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pacing w:line="240" w:lineRule="atLeast"/>
        <w:jc w:val="center"/>
        <w:outlineLvl w:val="9"/>
        <w:rPr>
          <w:rFonts w:hint="default" w:ascii="宋体" w:hAnsi="宋体" w:eastAsia="宋体" w:cs="宋体"/>
          <w:b/>
          <w:color w:val="auto"/>
          <w:kern w:val="44"/>
          <w:sz w:val="40"/>
          <w:szCs w:val="22"/>
          <w:highlight w:val="none"/>
          <w:lang w:val="en-US" w:eastAsia="zh-CN"/>
        </w:rPr>
      </w:pPr>
      <w:bookmarkStart w:id="0" w:name="_Toc31645"/>
      <w:bookmarkStart w:id="1" w:name="_Toc17321"/>
      <w:bookmarkStart w:id="2" w:name="_Toc1934"/>
      <w:bookmarkStart w:id="3" w:name="_Toc3501"/>
      <w:bookmarkStart w:id="4" w:name="_Toc11880"/>
      <w:bookmarkStart w:id="5" w:name="_Toc31636"/>
      <w:bookmarkStart w:id="6" w:name="_Toc12442"/>
      <w:bookmarkStart w:id="7" w:name="_Toc27286"/>
      <w:bookmarkStart w:id="8" w:name="_Toc13297"/>
      <w:bookmarkStart w:id="9" w:name="_Toc4177"/>
      <w:bookmarkStart w:id="10" w:name="_Toc22083"/>
      <w:bookmarkStart w:id="11" w:name="_Toc13057"/>
      <w:bookmarkStart w:id="12" w:name="_Toc29241"/>
      <w:bookmarkStart w:id="13" w:name="_Toc16093"/>
      <w:bookmarkStart w:id="14" w:name="_Toc515647832"/>
      <w:bookmarkStart w:id="15" w:name="_Toc219175639"/>
      <w:bookmarkStart w:id="16" w:name="_Toc7971"/>
      <w:bookmarkStart w:id="17" w:name="_Toc216582826"/>
      <w:bookmarkStart w:id="18" w:name="_Toc32647"/>
      <w:bookmarkStart w:id="19" w:name="_Toc507399907"/>
      <w:bookmarkStart w:id="20" w:name="_Toc218935355"/>
      <w:r>
        <w:rPr>
          <w:rFonts w:hint="eastAsia" w:ascii="宋体" w:hAnsi="宋体" w:cs="宋体"/>
          <w:b/>
          <w:color w:val="auto"/>
          <w:kern w:val="44"/>
          <w:sz w:val="40"/>
          <w:szCs w:val="22"/>
          <w:highlight w:val="none"/>
          <w:lang w:val="en-US" w:eastAsia="zh-CN"/>
        </w:rPr>
        <w:t xml:space="preserve">  </w:t>
      </w:r>
    </w:p>
    <w:p>
      <w:pPr>
        <w:spacing w:line="240" w:lineRule="atLeast"/>
        <w:jc w:val="center"/>
        <w:outlineLvl w:val="9"/>
        <w:rPr>
          <w:rFonts w:hint="eastAsia" w:hAnsi="宋体" w:cs="宋体"/>
          <w:b w:val="0"/>
          <w:bCs/>
          <w:color w:val="auto"/>
          <w:kern w:val="44"/>
          <w:sz w:val="40"/>
          <w:szCs w:val="22"/>
          <w:highlight w:val="none"/>
          <w:lang w:val="en-US" w:eastAsia="zh-CN"/>
        </w:rPr>
      </w:pPr>
      <w:r>
        <w:rPr>
          <w:rFonts w:hint="eastAsia" w:hAnsi="宋体" w:cs="宋体"/>
          <w:b w:val="0"/>
          <w:bCs/>
          <w:color w:val="auto"/>
          <w:kern w:val="44"/>
          <w:sz w:val="40"/>
          <w:szCs w:val="22"/>
          <w:highlight w:val="none"/>
          <w:lang w:val="en-US" w:eastAsia="zh-CN"/>
        </w:rPr>
        <w:t>喀什地区第一人民医院医疗设备维修保养服务项目</w:t>
      </w:r>
    </w:p>
    <w:p>
      <w:pPr>
        <w:spacing w:line="240" w:lineRule="atLeast"/>
        <w:jc w:val="center"/>
        <w:outlineLvl w:val="9"/>
        <w:rPr>
          <w:rFonts w:hint="eastAsia" w:hAnsi="宋体" w:cs="宋体"/>
          <w:b w:val="0"/>
          <w:bCs/>
          <w:color w:val="auto"/>
          <w:kern w:val="44"/>
          <w:sz w:val="40"/>
          <w:szCs w:val="22"/>
          <w:highlight w:val="none"/>
          <w:lang w:val="en-US" w:eastAsia="zh-CN"/>
        </w:rPr>
      </w:pPr>
    </w:p>
    <w:p>
      <w:pPr>
        <w:pStyle w:val="7"/>
        <w:outlineLvl w:val="9"/>
        <w:rPr>
          <w:rFonts w:hint="eastAsia" w:ascii="宋体" w:hAnsi="宋体" w:eastAsia="宋体" w:cs="宋体"/>
          <w:color w:val="auto"/>
          <w:highlight w:val="none"/>
          <w:lang w:eastAsia="zh-CN"/>
        </w:rPr>
      </w:pPr>
    </w:p>
    <w:p>
      <w:pPr>
        <w:outlineLvl w:val="9"/>
        <w:rPr>
          <w:rFonts w:hint="eastAsia" w:ascii="宋体" w:hAnsi="宋体" w:eastAsia="宋体" w:cs="宋体"/>
          <w:color w:val="auto"/>
          <w:highlight w:val="none"/>
          <w:lang w:eastAsia="zh-CN"/>
        </w:rPr>
      </w:pPr>
    </w:p>
    <w:p>
      <w:pPr>
        <w:spacing w:line="240" w:lineRule="atLeast"/>
        <w:jc w:val="center"/>
        <w:outlineLvl w:val="9"/>
        <w:rPr>
          <w:rFonts w:hint="eastAsia" w:ascii="宋体" w:hAnsi="宋体" w:eastAsia="宋体" w:cs="宋体"/>
          <w:b/>
          <w:bCs w:val="0"/>
          <w:color w:val="auto"/>
          <w:sz w:val="48"/>
          <w:szCs w:val="48"/>
          <w:highlight w:val="none"/>
        </w:rPr>
      </w:pPr>
      <w:r>
        <w:rPr>
          <w:rFonts w:hint="eastAsia" w:ascii="宋体" w:hAnsi="宋体" w:eastAsia="宋体" w:cs="宋体"/>
          <w:b/>
          <w:bCs w:val="0"/>
          <w:color w:val="auto"/>
          <w:sz w:val="48"/>
          <w:szCs w:val="48"/>
          <w:highlight w:val="none"/>
        </w:rPr>
        <w:t>招 标 文 件</w:t>
      </w:r>
    </w:p>
    <w:p>
      <w:pPr>
        <w:outlineLvl w:val="9"/>
        <w:rPr>
          <w:rFonts w:hint="eastAsia"/>
          <w:color w:val="auto"/>
          <w:highlight w:val="none"/>
        </w:rPr>
      </w:pPr>
    </w:p>
    <w:p>
      <w:pPr>
        <w:outlineLvl w:val="9"/>
        <w:rPr>
          <w:rFonts w:hint="eastAsia"/>
          <w:color w:val="auto"/>
          <w:highlight w:val="none"/>
        </w:rPr>
      </w:pPr>
    </w:p>
    <w:p>
      <w:pPr>
        <w:outlineLvl w:val="9"/>
        <w:rPr>
          <w:rFonts w:hint="eastAsia"/>
          <w:color w:val="auto"/>
          <w:highlight w:val="none"/>
        </w:rPr>
      </w:pPr>
    </w:p>
    <w:p>
      <w:pPr>
        <w:spacing w:line="360" w:lineRule="auto"/>
        <w:jc w:val="center"/>
        <w:outlineLvl w:val="9"/>
        <w:rPr>
          <w:rFonts w:hint="default" w:ascii="宋体" w:hAnsi="宋体" w:eastAsia="宋体" w:cs="宋体"/>
          <w:b/>
          <w:color w:val="auto"/>
          <w:sz w:val="32"/>
          <w:highlight w:val="none"/>
          <w:lang w:val="en-US" w:eastAsia="zh-CN"/>
        </w:rPr>
      </w:pPr>
      <w:r>
        <w:rPr>
          <w:rFonts w:hint="eastAsia" w:ascii="宋体" w:hAnsi="宋体" w:eastAsia="宋体" w:cs="宋体"/>
          <w:b/>
          <w:color w:val="auto"/>
          <w:sz w:val="32"/>
          <w:highlight w:val="none"/>
        </w:rPr>
        <w:t>项目编号：</w:t>
      </w:r>
      <w:r>
        <w:rPr>
          <w:rFonts w:hint="eastAsia" w:ascii="宋体" w:hAnsi="宋体" w:cs="宋体"/>
          <w:b/>
          <w:color w:val="auto"/>
          <w:sz w:val="32"/>
          <w:highlight w:val="none"/>
          <w:lang w:val="en-US" w:eastAsia="zh-CN"/>
        </w:rPr>
        <w:t>XJFT(Z)2023-008</w:t>
      </w:r>
    </w:p>
    <w:p>
      <w:pPr>
        <w:spacing w:line="240" w:lineRule="atLeast"/>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 xml:space="preserve">  </w:t>
      </w:r>
    </w:p>
    <w:p>
      <w:pPr>
        <w:spacing w:line="240" w:lineRule="atLeast"/>
        <w:ind w:firstLine="1120" w:firstLineChars="4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购</w:t>
      </w:r>
      <w:r>
        <w:rPr>
          <w:rFonts w:hint="eastAsia" w:ascii="宋体" w:hAnsi="宋体" w:eastAsia="宋体" w:cs="宋体"/>
          <w:b/>
          <w:color w:val="auto"/>
          <w:sz w:val="28"/>
          <w:szCs w:val="28"/>
          <w:highlight w:val="none"/>
          <w:lang w:val="en-US" w:eastAsia="zh-CN"/>
        </w:rPr>
        <w:t xml:space="preserve"> 人</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喀什地区第一人民医院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rPr>
        <w:t xml:space="preserve">   </w:t>
      </w:r>
    </w:p>
    <w:p>
      <w:pPr>
        <w:ind w:firstLine="1120" w:firstLineChars="400"/>
        <w:outlineLvl w:val="9"/>
        <w:rPr>
          <w:rFonts w:hint="eastAsia"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曹林岚</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pStyle w:val="7"/>
        <w:ind w:firstLine="1120" w:firstLineChars="400"/>
        <w:outlineLvl w:val="9"/>
        <w:rPr>
          <w:rFonts w:hint="default" w:ascii="宋体" w:hAnsi="宋体" w:eastAsia="宋体" w:cs="宋体"/>
          <w:b/>
          <w:bCs/>
          <w:color w:val="auto"/>
          <w:sz w:val="28"/>
          <w:szCs w:val="28"/>
          <w:highlight w:val="none"/>
          <w:u w:val="single"/>
          <w:lang w:val="en-US" w:eastAsia="zh-CN"/>
        </w:rPr>
      </w:pPr>
      <w:r>
        <w:rPr>
          <w:rFonts w:hint="eastAsia" w:hAnsi="宋体" w:cs="宋体"/>
          <w:b/>
          <w:bCs/>
          <w:color w:val="auto"/>
          <w:sz w:val="28"/>
          <w:szCs w:val="28"/>
          <w:highlight w:val="none"/>
          <w:lang w:val="en-US" w:eastAsia="zh-CN"/>
        </w:rPr>
        <w:t>联系方式：</w:t>
      </w:r>
      <w:r>
        <w:rPr>
          <w:rFonts w:hint="eastAsia" w:hAnsi="宋体" w:cs="宋体"/>
          <w:b/>
          <w:bCs/>
          <w:color w:val="auto"/>
          <w:sz w:val="28"/>
          <w:szCs w:val="28"/>
          <w:highlight w:val="none"/>
          <w:u w:val="single"/>
          <w:lang w:val="en-US" w:eastAsia="zh-CN"/>
        </w:rPr>
        <w:t xml:space="preserve">       0998-2962911               </w:t>
      </w:r>
    </w:p>
    <w:p>
      <w:pPr>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8"/>
        <w:outlineLvl w:val="9"/>
        <w:rPr>
          <w:rFonts w:hint="eastAsia"/>
          <w:color w:val="auto"/>
          <w:highlight w:val="none"/>
        </w:rPr>
      </w:pPr>
    </w:p>
    <w:p>
      <w:pPr>
        <w:spacing w:line="240" w:lineRule="atLeast"/>
        <w:ind w:firstLine="1120" w:firstLineChars="400"/>
        <w:outlineLvl w:val="9"/>
        <w:rPr>
          <w:rFonts w:hint="default" w:ascii="宋体" w:hAnsi="宋体" w:eastAsia="宋体" w:cs="宋体"/>
          <w:b/>
          <w:color w:val="auto"/>
          <w:sz w:val="28"/>
          <w:szCs w:val="28"/>
          <w:highlight w:val="none"/>
          <w:u w:val="single"/>
          <w:lang w:val="en-US" w:eastAsia="zh-CN"/>
        </w:rPr>
      </w:pPr>
      <w:r>
        <w:rPr>
          <w:rFonts w:hint="eastAsia" w:ascii="宋体" w:hAnsi="宋体" w:eastAsia="宋体" w:cs="宋体"/>
          <w:b/>
          <w:color w:val="auto"/>
          <w:sz w:val="28"/>
          <w:szCs w:val="28"/>
          <w:highlight w:val="none"/>
        </w:rPr>
        <w:t>代理机构：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cs="宋体"/>
          <w:b/>
          <w:color w:val="auto"/>
          <w:sz w:val="28"/>
          <w:szCs w:val="28"/>
          <w:highlight w:val="none"/>
          <w:u w:val="single"/>
          <w:lang w:val="en-US" w:eastAsia="zh-CN"/>
        </w:rPr>
        <w:t xml:space="preserve"> 新疆方通招标有限责任公司</w:t>
      </w:r>
      <w:r>
        <w:rPr>
          <w:rFonts w:hint="eastAsia" w:ascii="宋体" w:hAnsi="宋体" w:eastAsia="宋体" w:cs="宋体"/>
          <w:b/>
          <w:color w:val="auto"/>
          <w:sz w:val="28"/>
          <w:szCs w:val="28"/>
          <w:highlight w:val="none"/>
          <w:u w:val="single"/>
          <w:lang w:val="en-US" w:eastAsia="zh-CN"/>
        </w:rPr>
        <w:t xml:space="preserve">   </w:t>
      </w:r>
    </w:p>
    <w:p>
      <w:pPr>
        <w:spacing w:line="240" w:lineRule="atLeast"/>
        <w:ind w:firstLine="1120" w:firstLineChars="400"/>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rPr>
        <w:t>人：</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蒲齐</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ind w:firstLine="1120" w:firstLineChars="400"/>
        <w:outlineLvl w:val="9"/>
        <w:rPr>
          <w:rFonts w:hint="eastAsia" w:ascii="宋体" w:hAnsi="宋体" w:eastAsia="宋体" w:cs="宋体"/>
          <w:b/>
          <w:bCs/>
          <w:color w:val="auto"/>
          <w:sz w:val="32"/>
          <w:szCs w:val="40"/>
          <w:highlight w:val="none"/>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13565376211 </w:t>
      </w:r>
      <w:r>
        <w:rPr>
          <w:rFonts w:hint="eastAsia" w:ascii="宋体" w:hAnsi="宋体" w:eastAsia="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lang w:val="en-US" w:eastAsia="zh-CN"/>
        </w:rPr>
        <w:t xml:space="preserve"> </w:t>
      </w:r>
      <w:r>
        <w:rPr>
          <w:rFonts w:hint="eastAsia" w:ascii="宋体" w:hAnsi="宋体" w:eastAsia="宋体" w:cs="宋体"/>
          <w:b/>
          <w:color w:val="auto"/>
          <w:sz w:val="28"/>
          <w:szCs w:val="28"/>
          <w:highlight w:val="none"/>
          <w:u w:val="single"/>
        </w:rPr>
        <w:t xml:space="preserve">  </w:t>
      </w:r>
      <w:r>
        <w:rPr>
          <w:rFonts w:hint="eastAsia" w:ascii="宋体" w:hAnsi="宋体" w:eastAsia="宋体" w:cs="宋体"/>
          <w:b/>
          <w:color w:val="auto"/>
          <w:sz w:val="28"/>
          <w:szCs w:val="28"/>
          <w:highlight w:val="none"/>
        </w:rPr>
        <w:t xml:space="preserve">   </w:t>
      </w:r>
    </w:p>
    <w:p>
      <w:pPr>
        <w:spacing w:line="240" w:lineRule="atLeast"/>
        <w:jc w:val="center"/>
        <w:outlineLvl w:val="9"/>
        <w:rPr>
          <w:rFonts w:hint="eastAsia" w:ascii="宋体" w:hAnsi="宋体" w:eastAsia="宋体" w:cs="宋体"/>
          <w:b/>
          <w:color w:val="auto"/>
          <w:sz w:val="28"/>
          <w:szCs w:val="28"/>
          <w:highlight w:val="none"/>
          <w:lang w:val="en-US" w:eastAsia="zh-CN"/>
        </w:rPr>
        <w:sectPr>
          <w:head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r>
        <w:rPr>
          <w:rFonts w:hint="eastAsia" w:ascii="宋体" w:hAnsi="宋体" w:eastAsia="宋体" w:cs="宋体"/>
          <w:b/>
          <w:color w:val="auto"/>
          <w:sz w:val="28"/>
          <w:szCs w:val="28"/>
          <w:highlight w:val="none"/>
        </w:rPr>
        <w:t>日期：20</w:t>
      </w:r>
      <w:r>
        <w:rPr>
          <w:rFonts w:hint="eastAsia" w:ascii="宋体" w:hAnsi="宋体" w:cs="宋体"/>
          <w:b/>
          <w:color w:val="auto"/>
          <w:sz w:val="28"/>
          <w:szCs w:val="28"/>
          <w:highlight w:val="none"/>
          <w:lang w:val="en-US" w:eastAsia="zh-CN"/>
        </w:rPr>
        <w:t>23</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9</w:t>
      </w:r>
      <w:r>
        <w:rPr>
          <w:rFonts w:hint="eastAsia" w:ascii="宋体" w:hAnsi="宋体" w:eastAsia="宋体" w:cs="宋体"/>
          <w:b/>
          <w:color w:val="auto"/>
          <w:sz w:val="28"/>
          <w:szCs w:val="28"/>
          <w:highlight w:val="none"/>
          <w:lang w:val="en-US" w:eastAsia="zh-CN"/>
        </w:rPr>
        <w:t>月</w:t>
      </w:r>
    </w:p>
    <w:p>
      <w:pPr>
        <w:ind w:firstLine="3534" w:firstLineChars="1100"/>
        <w:jc w:val="both"/>
        <w:rPr>
          <w:rFonts w:hint="eastAsia" w:ascii="宋体" w:hAnsi="宋体" w:eastAsia="宋体" w:cs="宋体"/>
          <w:b/>
          <w:bCs/>
          <w:color w:val="auto"/>
          <w:sz w:val="32"/>
          <w:szCs w:val="40"/>
          <w:highlight w:val="none"/>
        </w:rPr>
      </w:pPr>
      <w:bookmarkStart w:id="21" w:name="_Toc17230"/>
      <w:bookmarkStart w:id="22" w:name="_Toc22782"/>
      <w:bookmarkStart w:id="23" w:name="_Toc216582804"/>
      <w:bookmarkStart w:id="24" w:name="_Toc8627"/>
      <w:bookmarkStart w:id="25" w:name="_Toc515647798"/>
      <w:bookmarkStart w:id="26" w:name="_Toc16548"/>
      <w:bookmarkStart w:id="27" w:name="_Toc11115"/>
      <w:bookmarkStart w:id="28" w:name="_Toc25253"/>
      <w:bookmarkStart w:id="29" w:name="_Toc1148"/>
      <w:r>
        <w:rPr>
          <w:rFonts w:hint="eastAsia" w:ascii="宋体" w:hAnsi="宋体" w:eastAsia="宋体" w:cs="宋体"/>
          <w:b/>
          <w:bCs/>
          <w:color w:val="auto"/>
          <w:sz w:val="32"/>
          <w:szCs w:val="40"/>
          <w:highlight w:val="none"/>
        </w:rPr>
        <w:t>目   录</w:t>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_Toc12897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szCs w:val="32"/>
          <w:highlight w:val="none"/>
        </w:rPr>
        <w:t>第1章</w:t>
      </w:r>
      <w:r>
        <w:rPr>
          <w:rFonts w:hint="eastAsia" w:hAnsi="宋体" w:cs="宋体"/>
          <w:bCs/>
          <w:color w:val="auto"/>
          <w:szCs w:val="32"/>
          <w:highlight w:val="none"/>
          <w:lang w:val="en-US" w:eastAsia="zh-CN"/>
        </w:rPr>
        <w:t xml:space="preserve">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color w:val="auto"/>
          <w:highlight w:val="none"/>
        </w:rPr>
        <w:tab/>
      </w:r>
      <w:r>
        <w:rPr>
          <w:color w:val="auto"/>
          <w:highlight w:val="none"/>
        </w:rPr>
        <w:fldChar w:fldCharType="begin"/>
      </w:r>
      <w:r>
        <w:rPr>
          <w:color w:val="auto"/>
          <w:highlight w:val="none"/>
        </w:rPr>
        <w:instrText xml:space="preserve"> PAGEREF _Toc12897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_Toc29004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一   总 则</w:t>
      </w:r>
      <w:r>
        <w:rPr>
          <w:color w:val="auto"/>
          <w:highlight w:val="none"/>
        </w:rPr>
        <w:tab/>
      </w:r>
      <w:r>
        <w:rPr>
          <w:color w:val="auto"/>
          <w:highlight w:val="none"/>
        </w:rPr>
        <w:fldChar w:fldCharType="begin"/>
      </w:r>
      <w:r>
        <w:rPr>
          <w:color w:val="auto"/>
          <w:highlight w:val="none"/>
        </w:rPr>
        <w:instrText xml:space="preserve"> PAGEREF _Toc29004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_Toc13790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二   招标文件</w:t>
      </w:r>
      <w:r>
        <w:rPr>
          <w:color w:val="auto"/>
          <w:highlight w:val="none"/>
        </w:rPr>
        <w:tab/>
      </w:r>
      <w:r>
        <w:rPr>
          <w:color w:val="auto"/>
          <w:highlight w:val="none"/>
        </w:rPr>
        <w:fldChar w:fldCharType="begin"/>
      </w:r>
      <w:r>
        <w:rPr>
          <w:color w:val="auto"/>
          <w:highlight w:val="none"/>
        </w:rPr>
        <w:instrText xml:space="preserve"> PAGEREF _Toc13790 \h </w:instrText>
      </w:r>
      <w:r>
        <w:rPr>
          <w:color w:val="auto"/>
          <w:highlight w:val="none"/>
        </w:rPr>
        <w:fldChar w:fldCharType="separate"/>
      </w:r>
      <w:r>
        <w:rPr>
          <w:b/>
        </w:rPr>
        <w:t>错误！未定义书签。</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_Toc3736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三   投标文件的编制</w:t>
      </w:r>
      <w:r>
        <w:rPr>
          <w:color w:val="auto"/>
          <w:highlight w:val="none"/>
        </w:rPr>
        <w:tab/>
      </w:r>
      <w:r>
        <w:rPr>
          <w:color w:val="auto"/>
          <w:highlight w:val="none"/>
        </w:rPr>
        <w:fldChar w:fldCharType="begin"/>
      </w:r>
      <w:r>
        <w:rPr>
          <w:color w:val="auto"/>
          <w:highlight w:val="none"/>
        </w:rPr>
        <w:instrText xml:space="preserve"> PAGEREF _Toc3736 \h </w:instrText>
      </w:r>
      <w:r>
        <w:rPr>
          <w:color w:val="auto"/>
          <w:highlight w:val="none"/>
        </w:rPr>
        <w:fldChar w:fldCharType="separate"/>
      </w:r>
      <w:r>
        <w:rPr>
          <w:b/>
        </w:rPr>
        <w:t>错误！未定义书签。</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_Toc20477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四   投标文件的递交</w:t>
      </w:r>
      <w:r>
        <w:rPr>
          <w:color w:val="auto"/>
          <w:highlight w:val="none"/>
        </w:rPr>
        <w:tab/>
      </w:r>
      <w:r>
        <w:rPr>
          <w:color w:val="auto"/>
          <w:highlight w:val="none"/>
        </w:rPr>
        <w:fldChar w:fldCharType="begin"/>
      </w:r>
      <w:r>
        <w:rPr>
          <w:color w:val="auto"/>
          <w:highlight w:val="none"/>
        </w:rPr>
        <w:instrText xml:space="preserve"> PAGEREF _Toc20477 \h </w:instrText>
      </w:r>
      <w:r>
        <w:rPr>
          <w:color w:val="auto"/>
          <w:highlight w:val="none"/>
        </w:rPr>
        <w:fldChar w:fldCharType="separate"/>
      </w:r>
      <w:r>
        <w:rPr>
          <w:b/>
        </w:rPr>
        <w:t>错误！未定义书签。</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_Toc10548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五   开标及评标</w:t>
      </w:r>
      <w:r>
        <w:rPr>
          <w:color w:val="auto"/>
          <w:highlight w:val="none"/>
        </w:rPr>
        <w:tab/>
      </w:r>
      <w:r>
        <w:rPr>
          <w:color w:val="auto"/>
          <w:highlight w:val="none"/>
        </w:rPr>
        <w:fldChar w:fldCharType="begin"/>
      </w:r>
      <w:r>
        <w:rPr>
          <w:color w:val="auto"/>
          <w:highlight w:val="none"/>
        </w:rPr>
        <w:instrText xml:space="preserve"> PAGEREF _Toc10548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_Toc27430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六   确定中标</w:t>
      </w:r>
      <w:r>
        <w:rPr>
          <w:color w:val="auto"/>
          <w:highlight w:val="none"/>
        </w:rPr>
        <w:tab/>
      </w:r>
      <w:r>
        <w:rPr>
          <w:color w:val="auto"/>
          <w:highlight w:val="none"/>
        </w:rPr>
        <w:fldChar w:fldCharType="begin"/>
      </w:r>
      <w:r>
        <w:rPr>
          <w:color w:val="auto"/>
          <w:highlight w:val="none"/>
        </w:rPr>
        <w:instrText xml:space="preserve"> PAGEREF _Toc27430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_Toc22390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kern w:val="0"/>
          <w:szCs w:val="32"/>
          <w:highlight w:val="none"/>
          <w:lang w:val="en-US" w:eastAsia="zh-CN" w:bidi="ar-SA"/>
        </w:rPr>
        <w:t>第2章</w:t>
      </w:r>
      <w:r>
        <w:rPr>
          <w:rFonts w:hint="eastAsia" w:hAnsi="宋体" w:cs="宋体"/>
          <w:bCs/>
          <w:color w:val="auto"/>
          <w:kern w:val="0"/>
          <w:szCs w:val="32"/>
          <w:highlight w:val="none"/>
          <w:lang w:val="en-US" w:eastAsia="zh-CN" w:bidi="ar-SA"/>
        </w:rPr>
        <w:t xml:space="preserve">  </w:t>
      </w:r>
      <w:r>
        <w:rPr>
          <w:rFonts w:hint="eastAsia" w:ascii="宋体" w:hAnsi="宋体" w:eastAsia="宋体" w:cs="宋体"/>
          <w:bCs/>
          <w:color w:val="auto"/>
          <w:kern w:val="0"/>
          <w:szCs w:val="32"/>
          <w:highlight w:val="none"/>
          <w:lang w:val="en-US" w:eastAsia="zh-CN" w:bidi="ar-SA"/>
        </w:rPr>
        <w:t>投标文件格式</w:t>
      </w:r>
      <w:r>
        <w:rPr>
          <w:color w:val="auto"/>
          <w:highlight w:val="none"/>
        </w:rPr>
        <w:tab/>
      </w:r>
      <w:r>
        <w:rPr>
          <w:color w:val="auto"/>
          <w:highlight w:val="none"/>
        </w:rPr>
        <w:fldChar w:fldCharType="begin"/>
      </w:r>
      <w:r>
        <w:rPr>
          <w:color w:val="auto"/>
          <w:highlight w:val="none"/>
        </w:rPr>
        <w:instrText xml:space="preserve"> PAGEREF _Toc22390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_Toc26858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4"/>
          <w:highlight w:val="none"/>
        </w:rPr>
        <w:t>第一部分 开标一览表及资格证明文件</w:t>
      </w:r>
      <w:r>
        <w:rPr>
          <w:color w:val="auto"/>
          <w:highlight w:val="none"/>
        </w:rPr>
        <w:tab/>
      </w:r>
      <w:r>
        <w:rPr>
          <w:color w:val="auto"/>
          <w:highlight w:val="none"/>
        </w:rPr>
        <w:fldChar w:fldCharType="begin"/>
      </w:r>
      <w:r>
        <w:rPr>
          <w:color w:val="auto"/>
          <w:highlight w:val="none"/>
        </w:rPr>
        <w:instrText xml:space="preserve"> PAGEREF _Toc26858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_Toc29944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rPr>
        <w:t>1.开标一览表；</w:t>
      </w:r>
      <w:r>
        <w:rPr>
          <w:color w:val="auto"/>
          <w:highlight w:val="none"/>
        </w:rPr>
        <w:tab/>
      </w:r>
      <w:r>
        <w:rPr>
          <w:color w:val="auto"/>
          <w:highlight w:val="none"/>
        </w:rPr>
        <w:fldChar w:fldCharType="begin"/>
      </w:r>
      <w:r>
        <w:rPr>
          <w:color w:val="auto"/>
          <w:highlight w:val="none"/>
        </w:rPr>
        <w:instrText xml:space="preserve"> PAGEREF _Toc29944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_Toc16252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rPr>
        <w:t>2.</w:t>
      </w:r>
      <w:r>
        <w:rPr>
          <w:rFonts w:hint="eastAsia" w:ascii="宋体" w:hAnsi="宋体" w:eastAsia="宋体" w:cs="宋体"/>
          <w:color w:val="auto"/>
          <w:szCs w:val="28"/>
          <w:highlight w:val="none"/>
          <w:lang w:val="en-US" w:eastAsia="zh-CN"/>
        </w:rPr>
        <w:t>合格有效的三证合一的营业执照（三证合一）或电子营业执照（需加盖公章）或同等法律效力的证明文件（发证机关或公证机关出具的证明材料）；</w:t>
      </w:r>
      <w:r>
        <w:rPr>
          <w:color w:val="auto"/>
          <w:highlight w:val="none"/>
        </w:rPr>
        <w:tab/>
      </w:r>
      <w:r>
        <w:rPr>
          <w:color w:val="auto"/>
          <w:highlight w:val="none"/>
        </w:rPr>
        <w:fldChar w:fldCharType="begin"/>
      </w:r>
      <w:r>
        <w:rPr>
          <w:color w:val="auto"/>
          <w:highlight w:val="none"/>
        </w:rPr>
        <w:instrText xml:space="preserve"> PAGEREF _Toc16252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_Toc14661 </w:instrText>
      </w:r>
      <w:r>
        <w:rPr>
          <w:rFonts w:hint="eastAsia" w:ascii="宋体" w:hAnsi="宋体" w:eastAsia="宋体" w:cs="宋体"/>
          <w:color w:val="auto"/>
          <w:kern w:val="2"/>
          <w:szCs w:val="21"/>
          <w:highlight w:val="none"/>
        </w:rPr>
        <w:fldChar w:fldCharType="separate"/>
      </w:r>
      <w:r>
        <w:rPr>
          <w:rFonts w:hint="eastAsia" w:ascii="宋体" w:hAnsi="宋体" w:cs="宋体"/>
          <w:color w:val="auto"/>
          <w:kern w:val="2"/>
          <w:szCs w:val="21"/>
          <w:highlight w:val="none"/>
          <w:lang w:val="en-US" w:eastAsia="zh-CN"/>
        </w:rPr>
        <w:t>3</w:t>
      </w:r>
      <w:r>
        <w:rPr>
          <w:rFonts w:hint="eastAsia"/>
          <w:color w:val="auto"/>
          <w:highlight w:val="none"/>
        </w:rPr>
        <w:t xml:space="preserve">. </w:t>
      </w:r>
      <w:r>
        <w:rPr>
          <w:rFonts w:hint="eastAsia" w:ascii="宋体" w:hAnsi="宋体" w:eastAsia="宋体" w:cs="宋体"/>
          <w:color w:val="auto"/>
          <w:szCs w:val="28"/>
          <w:highlight w:val="none"/>
          <w:lang w:val="en-US" w:eastAsia="zh-CN"/>
        </w:rPr>
        <w:t>法定代表人资格证明及授权书、被授权人身份证(法定代表人投标需提供法定代表人身份证)；</w:t>
      </w:r>
      <w:r>
        <w:rPr>
          <w:color w:val="auto"/>
          <w:highlight w:val="none"/>
        </w:rPr>
        <w:tab/>
      </w:r>
      <w:r>
        <w:rPr>
          <w:color w:val="auto"/>
          <w:highlight w:val="none"/>
        </w:rPr>
        <w:fldChar w:fldCharType="begin"/>
      </w:r>
      <w:r>
        <w:rPr>
          <w:color w:val="auto"/>
          <w:highlight w:val="none"/>
        </w:rPr>
        <w:instrText xml:space="preserve"> PAGEREF _Toc14661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_Toc31929 </w:instrText>
      </w:r>
      <w:r>
        <w:rPr>
          <w:rFonts w:hint="eastAsia" w:ascii="宋体" w:hAnsi="宋体" w:eastAsia="宋体" w:cs="宋体"/>
          <w:color w:val="auto"/>
          <w:kern w:val="2"/>
          <w:szCs w:val="21"/>
          <w:highlight w:val="none"/>
        </w:rPr>
        <w:fldChar w:fldCharType="separate"/>
      </w:r>
      <w:r>
        <w:rPr>
          <w:rFonts w:hint="eastAsia" w:ascii="宋体" w:hAnsi="宋体" w:cs="宋体"/>
          <w:color w:val="auto"/>
          <w:kern w:val="2"/>
          <w:szCs w:val="21"/>
          <w:highlight w:val="none"/>
          <w:lang w:val="en-US" w:eastAsia="zh-CN"/>
        </w:rPr>
        <w:t>4</w:t>
      </w:r>
      <w:r>
        <w:rPr>
          <w:rFonts w:hint="eastAsia" w:ascii="宋体" w:hAnsi="宋体" w:eastAsia="宋体" w:cs="宋体"/>
          <w:color w:val="auto"/>
          <w:szCs w:val="28"/>
          <w:highlight w:val="none"/>
          <w:lang w:val="en-US" w:eastAsia="zh-CN"/>
        </w:rPr>
        <w:t>.提供近两年内任意一年的财务审计报告（新成立未满一年的新公司可提供近三个月内任意一个月的银行资信证明）；</w:t>
      </w:r>
      <w:r>
        <w:rPr>
          <w:color w:val="auto"/>
          <w:highlight w:val="none"/>
        </w:rPr>
        <w:tab/>
      </w:r>
      <w:r>
        <w:rPr>
          <w:color w:val="auto"/>
          <w:highlight w:val="none"/>
        </w:rPr>
        <w:fldChar w:fldCharType="begin"/>
      </w:r>
      <w:r>
        <w:rPr>
          <w:color w:val="auto"/>
          <w:highlight w:val="none"/>
        </w:rPr>
        <w:instrText xml:space="preserve"> PAGEREF _Toc31929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_Toc21555 </w:instrText>
      </w:r>
      <w:r>
        <w:rPr>
          <w:rFonts w:hint="eastAsia" w:ascii="宋体" w:hAnsi="宋体" w:eastAsia="宋体" w:cs="宋体"/>
          <w:color w:val="auto"/>
          <w:kern w:val="2"/>
          <w:szCs w:val="21"/>
          <w:highlight w:val="none"/>
        </w:rPr>
        <w:fldChar w:fldCharType="separate"/>
      </w:r>
      <w:r>
        <w:rPr>
          <w:rFonts w:hint="eastAsia" w:ascii="宋体" w:hAnsi="宋体" w:cs="宋体"/>
          <w:color w:val="auto"/>
          <w:kern w:val="2"/>
          <w:szCs w:val="21"/>
          <w:highlight w:val="none"/>
          <w:lang w:val="en-US" w:eastAsia="zh-CN"/>
        </w:rPr>
        <w:t>5</w:t>
      </w:r>
      <w:r>
        <w:rPr>
          <w:rFonts w:hint="eastAsia" w:ascii="宋体" w:hAnsi="宋体" w:eastAsia="宋体" w:cs="宋体"/>
          <w:color w:val="auto"/>
          <w:szCs w:val="28"/>
          <w:highlight w:val="none"/>
          <w:lang w:val="en-US" w:eastAsia="zh-CN"/>
        </w:rPr>
        <w:t>.</w:t>
      </w:r>
      <w:r>
        <w:rPr>
          <w:rFonts w:hint="eastAsia" w:ascii="宋体" w:hAnsi="宋体" w:cs="宋体"/>
          <w:color w:val="auto"/>
          <w:szCs w:val="28"/>
          <w:highlight w:val="none"/>
          <w:lang w:val="en-US" w:eastAsia="zh-CN"/>
        </w:rPr>
        <w:t>依法缴纳近六个月内任意一个月社会保险证明</w:t>
      </w:r>
      <w:r>
        <w:rPr>
          <w:rFonts w:hint="eastAsia" w:ascii="宋体" w:hAnsi="宋体" w:eastAsia="宋体" w:cs="宋体"/>
          <w:color w:val="auto"/>
          <w:szCs w:val="28"/>
          <w:highlight w:val="none"/>
          <w:lang w:val="en-US" w:eastAsia="zh-CN"/>
        </w:rPr>
        <w:t>；</w:t>
      </w:r>
      <w:r>
        <w:rPr>
          <w:color w:val="auto"/>
          <w:highlight w:val="none"/>
        </w:rPr>
        <w:tab/>
      </w:r>
      <w:r>
        <w:rPr>
          <w:color w:val="auto"/>
          <w:highlight w:val="none"/>
        </w:rPr>
        <w:fldChar w:fldCharType="begin"/>
      </w:r>
      <w:r>
        <w:rPr>
          <w:color w:val="auto"/>
          <w:highlight w:val="none"/>
        </w:rPr>
        <w:instrText xml:space="preserve"> PAGEREF _Toc21555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_Toc7759 </w:instrText>
      </w:r>
      <w:r>
        <w:rPr>
          <w:rFonts w:hint="eastAsia" w:ascii="宋体" w:hAnsi="宋体" w:eastAsia="宋体" w:cs="宋体"/>
          <w:color w:val="auto"/>
          <w:kern w:val="2"/>
          <w:szCs w:val="21"/>
          <w:highlight w:val="none"/>
        </w:rPr>
        <w:fldChar w:fldCharType="separate"/>
      </w:r>
      <w:r>
        <w:rPr>
          <w:rFonts w:hint="eastAsia" w:ascii="宋体" w:hAnsi="宋体" w:cs="宋体"/>
          <w:color w:val="auto"/>
          <w:kern w:val="2"/>
          <w:szCs w:val="21"/>
          <w:highlight w:val="none"/>
          <w:lang w:val="en-US" w:eastAsia="zh-CN"/>
        </w:rPr>
        <w:t>6</w:t>
      </w:r>
      <w:r>
        <w:rPr>
          <w:rFonts w:hint="eastAsia" w:ascii="宋体" w:hAnsi="宋体" w:eastAsia="宋体" w:cs="宋体"/>
          <w:color w:val="auto"/>
          <w:szCs w:val="28"/>
          <w:highlight w:val="none"/>
          <w:lang w:val="en-US" w:eastAsia="zh-CN"/>
        </w:rPr>
        <w:t>.</w:t>
      </w:r>
      <w:r>
        <w:rPr>
          <w:rFonts w:hint="eastAsia" w:ascii="宋体" w:hAnsi="宋体" w:cs="宋体"/>
          <w:color w:val="auto"/>
          <w:szCs w:val="28"/>
          <w:highlight w:val="none"/>
          <w:lang w:val="en-US" w:eastAsia="zh-CN"/>
        </w:rPr>
        <w:t>依法缴纳近六个月内任意一个月税收证明</w:t>
      </w:r>
      <w:r>
        <w:rPr>
          <w:rFonts w:hint="eastAsia" w:ascii="宋体" w:hAnsi="宋体" w:eastAsia="宋体" w:cs="宋体"/>
          <w:color w:val="auto"/>
          <w:szCs w:val="28"/>
          <w:highlight w:val="none"/>
          <w:lang w:val="en-US" w:eastAsia="zh-CN"/>
        </w:rPr>
        <w:t>；</w:t>
      </w:r>
      <w:r>
        <w:rPr>
          <w:color w:val="auto"/>
          <w:highlight w:val="none"/>
        </w:rPr>
        <w:tab/>
      </w:r>
      <w:r>
        <w:rPr>
          <w:color w:val="auto"/>
          <w:highlight w:val="none"/>
        </w:rPr>
        <w:fldChar w:fldCharType="begin"/>
      </w:r>
      <w:r>
        <w:rPr>
          <w:color w:val="auto"/>
          <w:highlight w:val="none"/>
        </w:rPr>
        <w:instrText xml:space="preserve"> PAGEREF _Toc7759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_Toc19599 </w:instrText>
      </w:r>
      <w:r>
        <w:rPr>
          <w:rFonts w:hint="eastAsia" w:ascii="宋体" w:hAnsi="宋体" w:eastAsia="宋体" w:cs="宋体"/>
          <w:color w:val="auto"/>
          <w:kern w:val="2"/>
          <w:szCs w:val="21"/>
          <w:highlight w:val="none"/>
        </w:rPr>
        <w:fldChar w:fldCharType="separate"/>
      </w:r>
      <w:r>
        <w:rPr>
          <w:rFonts w:hint="eastAsia" w:ascii="宋体" w:hAnsi="宋体" w:cs="宋体"/>
          <w:color w:val="auto"/>
          <w:kern w:val="2"/>
          <w:szCs w:val="21"/>
          <w:highlight w:val="none"/>
          <w:lang w:val="en-US" w:eastAsia="zh-CN"/>
        </w:rPr>
        <w:t>7</w:t>
      </w:r>
      <w:r>
        <w:rPr>
          <w:rFonts w:hint="eastAsia" w:ascii="宋体" w:hAnsi="宋体" w:eastAsia="宋体" w:cs="宋体"/>
          <w:color w:val="auto"/>
          <w:szCs w:val="28"/>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w:t>
      </w:r>
      <w:r>
        <w:rPr>
          <w:rFonts w:hint="eastAsia" w:ascii="宋体" w:hAnsi="宋体" w:eastAsia="宋体" w:cs="宋体"/>
          <w:color w:val="auto"/>
          <w:spacing w:val="-2"/>
          <w:szCs w:val="21"/>
          <w:highlight w:val="none"/>
        </w:rPr>
        <w:t>（以采购代理机构或采购人查询为准）</w:t>
      </w:r>
      <w:r>
        <w:rPr>
          <w:rFonts w:hint="eastAsia" w:ascii="宋体" w:hAnsi="宋体" w:cs="宋体"/>
          <w:color w:val="auto"/>
          <w:spacing w:val="-2"/>
          <w:szCs w:val="21"/>
          <w:highlight w:val="none"/>
          <w:lang w:eastAsia="zh-CN"/>
        </w:rPr>
        <w:t>；</w:t>
      </w:r>
      <w:r>
        <w:rPr>
          <w:color w:val="auto"/>
          <w:highlight w:val="none"/>
        </w:rPr>
        <w:tab/>
      </w:r>
      <w:r>
        <w:rPr>
          <w:color w:val="auto"/>
          <w:highlight w:val="none"/>
        </w:rPr>
        <w:fldChar w:fldCharType="begin"/>
      </w:r>
      <w:r>
        <w:rPr>
          <w:color w:val="auto"/>
          <w:highlight w:val="none"/>
        </w:rPr>
        <w:instrText xml:space="preserve"> PAGEREF _Toc19599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_Toc24966 </w:instrText>
      </w:r>
      <w:r>
        <w:rPr>
          <w:rFonts w:hint="eastAsia" w:ascii="宋体" w:hAnsi="宋体" w:eastAsia="宋体" w:cs="宋体"/>
          <w:color w:val="auto"/>
          <w:kern w:val="2"/>
          <w:szCs w:val="21"/>
          <w:highlight w:val="none"/>
        </w:rPr>
        <w:fldChar w:fldCharType="separate"/>
      </w:r>
      <w:r>
        <w:rPr>
          <w:rFonts w:hint="eastAsia" w:ascii="宋体" w:hAnsi="宋体" w:cs="宋体"/>
          <w:color w:val="auto"/>
          <w:kern w:val="2"/>
          <w:szCs w:val="21"/>
          <w:highlight w:val="none"/>
          <w:lang w:val="en-US" w:eastAsia="zh-CN"/>
        </w:rPr>
        <w:t>8</w:t>
      </w:r>
      <w:r>
        <w:rPr>
          <w:rFonts w:hint="eastAsia" w:ascii="宋体" w:hAnsi="宋体" w:eastAsia="宋体" w:cs="宋体"/>
          <w:color w:val="auto"/>
          <w:szCs w:val="28"/>
          <w:highlight w:val="none"/>
          <w:lang w:val="en-US" w:eastAsia="zh-CN"/>
        </w:rPr>
        <w:t>.参与政府采购活动前3年内未被列入失信、重大税收违法案件、财政部门禁止参加政府采购活动的承诺书；</w:t>
      </w:r>
      <w:r>
        <w:rPr>
          <w:color w:val="auto"/>
          <w:highlight w:val="none"/>
        </w:rPr>
        <w:tab/>
      </w:r>
      <w:r>
        <w:rPr>
          <w:color w:val="auto"/>
          <w:highlight w:val="none"/>
        </w:rPr>
        <w:fldChar w:fldCharType="begin"/>
      </w:r>
      <w:r>
        <w:rPr>
          <w:color w:val="auto"/>
          <w:highlight w:val="none"/>
        </w:rPr>
        <w:instrText xml:space="preserve"> PAGEREF _Toc24966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_Toc13096 </w:instrText>
      </w:r>
      <w:r>
        <w:rPr>
          <w:rFonts w:hint="eastAsia" w:ascii="宋体" w:hAnsi="宋体" w:eastAsia="宋体" w:cs="宋体"/>
          <w:color w:val="auto"/>
          <w:kern w:val="2"/>
          <w:szCs w:val="21"/>
          <w:highlight w:val="none"/>
        </w:rPr>
        <w:fldChar w:fldCharType="separate"/>
      </w:r>
      <w:r>
        <w:rPr>
          <w:rFonts w:hint="eastAsia" w:ascii="宋体" w:hAnsi="宋体" w:cs="宋体"/>
          <w:color w:val="auto"/>
          <w:kern w:val="2"/>
          <w:szCs w:val="21"/>
          <w:highlight w:val="none"/>
          <w:lang w:val="en-US" w:eastAsia="zh-CN"/>
        </w:rPr>
        <w:t>9</w:t>
      </w:r>
      <w:r>
        <w:rPr>
          <w:rFonts w:hint="eastAsia" w:ascii="宋体" w:hAnsi="宋体" w:eastAsia="宋体" w:cs="宋体"/>
          <w:color w:val="auto"/>
          <w:szCs w:val="28"/>
          <w:highlight w:val="none"/>
          <w:lang w:val="en-US" w:eastAsia="zh-CN"/>
        </w:rPr>
        <w:t>.提供针对本次项目的《反商业贿赂承诺书》；</w:t>
      </w:r>
      <w:r>
        <w:rPr>
          <w:color w:val="auto"/>
          <w:highlight w:val="none"/>
        </w:rPr>
        <w:tab/>
      </w:r>
      <w:r>
        <w:rPr>
          <w:color w:val="auto"/>
          <w:highlight w:val="none"/>
        </w:rPr>
        <w:fldChar w:fldCharType="begin"/>
      </w:r>
      <w:r>
        <w:rPr>
          <w:color w:val="auto"/>
          <w:highlight w:val="none"/>
        </w:rPr>
        <w:instrText xml:space="preserve"> PAGEREF _Toc13096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_Toc32156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1</w:t>
      </w:r>
      <w:r>
        <w:rPr>
          <w:rFonts w:hint="eastAsia" w:ascii="宋体" w:hAnsi="宋体" w:cs="宋体"/>
          <w:color w:val="auto"/>
          <w:szCs w:val="28"/>
          <w:highlight w:val="none"/>
          <w:lang w:val="en-US" w:eastAsia="zh-CN"/>
        </w:rPr>
        <w:t>0</w:t>
      </w:r>
      <w:r>
        <w:rPr>
          <w:rFonts w:hint="eastAsia" w:ascii="宋体" w:hAnsi="宋体" w:eastAsia="宋体" w:cs="宋体"/>
          <w:color w:val="auto"/>
          <w:szCs w:val="28"/>
          <w:highlight w:val="none"/>
          <w:lang w:val="en-US" w:eastAsia="zh-CN"/>
        </w:rPr>
        <w:t>.缴纳投标保证金的有效凭证；</w:t>
      </w:r>
      <w:r>
        <w:rPr>
          <w:color w:val="auto"/>
          <w:highlight w:val="none"/>
        </w:rPr>
        <w:tab/>
      </w:r>
      <w:r>
        <w:rPr>
          <w:color w:val="auto"/>
          <w:highlight w:val="none"/>
        </w:rPr>
        <w:fldChar w:fldCharType="begin"/>
      </w:r>
      <w:r>
        <w:rPr>
          <w:color w:val="auto"/>
          <w:highlight w:val="none"/>
        </w:rPr>
        <w:instrText xml:space="preserve"> PAGEREF _Toc32156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_Toc19813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1</w:t>
      </w:r>
      <w:r>
        <w:rPr>
          <w:rFonts w:hint="eastAsia" w:ascii="宋体" w:hAnsi="宋体" w:cs="宋体"/>
          <w:color w:val="auto"/>
          <w:szCs w:val="28"/>
          <w:highlight w:val="none"/>
          <w:lang w:val="en-US" w:eastAsia="zh-CN"/>
        </w:rPr>
        <w:t>1</w:t>
      </w:r>
      <w:r>
        <w:rPr>
          <w:rFonts w:hint="eastAsia" w:ascii="宋体" w:hAnsi="宋体" w:eastAsia="宋体" w:cs="宋体"/>
          <w:color w:val="auto"/>
          <w:szCs w:val="28"/>
          <w:highlight w:val="none"/>
          <w:lang w:val="en-US" w:eastAsia="zh-CN"/>
        </w:rPr>
        <w:t>.银行开户许可证复印件或银行基本账户信息(包含：银行账号及开户行名称）；</w:t>
      </w:r>
      <w:r>
        <w:rPr>
          <w:color w:val="auto"/>
          <w:highlight w:val="none"/>
        </w:rPr>
        <w:tab/>
      </w:r>
      <w:r>
        <w:rPr>
          <w:color w:val="auto"/>
          <w:highlight w:val="none"/>
        </w:rPr>
        <w:fldChar w:fldCharType="begin"/>
      </w:r>
      <w:r>
        <w:rPr>
          <w:color w:val="auto"/>
          <w:highlight w:val="none"/>
        </w:rPr>
        <w:instrText xml:space="preserve"> PAGEREF _Toc19813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_Toc18703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1</w:t>
      </w:r>
      <w:r>
        <w:rPr>
          <w:rFonts w:hint="eastAsia" w:ascii="宋体" w:hAnsi="宋体" w:cs="宋体"/>
          <w:color w:val="auto"/>
          <w:szCs w:val="28"/>
          <w:highlight w:val="none"/>
          <w:lang w:val="en-US" w:eastAsia="zh-CN"/>
        </w:rPr>
        <w:t>2</w:t>
      </w:r>
      <w:r>
        <w:rPr>
          <w:rFonts w:hint="eastAsia" w:ascii="宋体" w:hAnsi="宋体" w:eastAsia="宋体" w:cs="宋体"/>
          <w:color w:val="auto"/>
          <w:szCs w:val="28"/>
          <w:highlight w:val="none"/>
          <w:lang w:val="en-US" w:eastAsia="zh-CN"/>
        </w:rPr>
        <w:t>.供应商可提供有利于投标的其他资格证明材料。</w:t>
      </w:r>
      <w:r>
        <w:rPr>
          <w:color w:val="auto"/>
          <w:highlight w:val="none"/>
        </w:rPr>
        <w:tab/>
      </w:r>
      <w:r>
        <w:rPr>
          <w:color w:val="auto"/>
          <w:highlight w:val="none"/>
        </w:rPr>
        <w:fldChar w:fldCharType="begin"/>
      </w:r>
      <w:r>
        <w:rPr>
          <w:color w:val="auto"/>
          <w:highlight w:val="none"/>
        </w:rPr>
        <w:instrText xml:space="preserve"> PAGEREF _Toc18703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_Toc27567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第二部分  商务及技术文件</w:t>
      </w:r>
      <w:r>
        <w:rPr>
          <w:color w:val="auto"/>
          <w:highlight w:val="none"/>
        </w:rPr>
        <w:tab/>
      </w:r>
      <w:r>
        <w:rPr>
          <w:color w:val="auto"/>
          <w:highlight w:val="none"/>
        </w:rPr>
        <w:fldChar w:fldCharType="begin"/>
      </w:r>
      <w:r>
        <w:rPr>
          <w:color w:val="auto"/>
          <w:highlight w:val="none"/>
        </w:rPr>
        <w:instrText xml:space="preserve"> PAGEREF _Toc27567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_Toc32484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1.投标书</w:t>
      </w:r>
      <w:r>
        <w:rPr>
          <w:color w:val="auto"/>
          <w:highlight w:val="none"/>
        </w:rPr>
        <w:tab/>
      </w:r>
      <w:r>
        <w:rPr>
          <w:color w:val="auto"/>
          <w:highlight w:val="none"/>
        </w:rPr>
        <w:fldChar w:fldCharType="begin"/>
      </w:r>
      <w:r>
        <w:rPr>
          <w:color w:val="auto"/>
          <w:highlight w:val="none"/>
        </w:rPr>
        <w:instrText xml:space="preserve"> PAGEREF _Toc32484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_Toc24631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2.投标分项报价表</w:t>
      </w:r>
      <w:r>
        <w:rPr>
          <w:color w:val="auto"/>
          <w:highlight w:val="none"/>
        </w:rPr>
        <w:tab/>
      </w:r>
      <w:r>
        <w:rPr>
          <w:color w:val="auto"/>
          <w:highlight w:val="none"/>
        </w:rPr>
        <w:fldChar w:fldCharType="begin"/>
      </w:r>
      <w:r>
        <w:rPr>
          <w:color w:val="auto"/>
          <w:highlight w:val="none"/>
        </w:rPr>
        <w:instrText xml:space="preserve"> PAGEREF _Toc24631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_Toc1758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3.货物说明一览表</w:t>
      </w:r>
      <w:r>
        <w:rPr>
          <w:color w:val="auto"/>
          <w:highlight w:val="none"/>
        </w:rPr>
        <w:tab/>
      </w:r>
      <w:r>
        <w:rPr>
          <w:color w:val="auto"/>
          <w:highlight w:val="none"/>
        </w:rPr>
        <w:fldChar w:fldCharType="begin"/>
      </w:r>
      <w:r>
        <w:rPr>
          <w:color w:val="auto"/>
          <w:highlight w:val="none"/>
        </w:rPr>
        <w:instrText xml:space="preserve"> PAGEREF _Toc1758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_Toc8378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4.技术规格偏离表</w:t>
      </w:r>
      <w:r>
        <w:rPr>
          <w:color w:val="auto"/>
          <w:highlight w:val="none"/>
        </w:rPr>
        <w:tab/>
      </w:r>
      <w:r>
        <w:rPr>
          <w:color w:val="auto"/>
          <w:highlight w:val="none"/>
        </w:rPr>
        <w:fldChar w:fldCharType="begin"/>
      </w:r>
      <w:r>
        <w:rPr>
          <w:color w:val="auto"/>
          <w:highlight w:val="none"/>
        </w:rPr>
        <w:instrText xml:space="preserve"> PAGEREF _Toc8378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_Toc8354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5.商务条款偏离表</w:t>
      </w:r>
      <w:r>
        <w:rPr>
          <w:color w:val="auto"/>
          <w:highlight w:val="none"/>
        </w:rPr>
        <w:tab/>
      </w:r>
      <w:r>
        <w:rPr>
          <w:color w:val="auto"/>
          <w:highlight w:val="none"/>
        </w:rPr>
        <w:fldChar w:fldCharType="begin"/>
      </w:r>
      <w:r>
        <w:rPr>
          <w:color w:val="auto"/>
          <w:highlight w:val="none"/>
        </w:rPr>
        <w:instrText xml:space="preserve"> PAGEREF _Toc8354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_Toc5026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6-1中小企业声明函</w:t>
      </w:r>
      <w:r>
        <w:rPr>
          <w:color w:val="auto"/>
          <w:highlight w:val="none"/>
        </w:rPr>
        <w:tab/>
      </w:r>
      <w:r>
        <w:rPr>
          <w:color w:val="auto"/>
          <w:highlight w:val="none"/>
        </w:rPr>
        <w:fldChar w:fldCharType="begin"/>
      </w:r>
      <w:r>
        <w:rPr>
          <w:color w:val="auto"/>
          <w:highlight w:val="none"/>
        </w:rPr>
        <w:instrText xml:space="preserve"> PAGEREF _Toc5026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_Toc4327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6-2 残疾人福利性单位声明函</w:t>
      </w:r>
      <w:r>
        <w:rPr>
          <w:color w:val="auto"/>
          <w:highlight w:val="none"/>
        </w:rPr>
        <w:tab/>
      </w:r>
      <w:r>
        <w:rPr>
          <w:color w:val="auto"/>
          <w:highlight w:val="none"/>
        </w:rPr>
        <w:fldChar w:fldCharType="begin"/>
      </w:r>
      <w:r>
        <w:rPr>
          <w:color w:val="auto"/>
          <w:highlight w:val="none"/>
        </w:rPr>
        <w:instrText xml:space="preserve"> PAGEREF _Toc4327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_Toc19192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7.供应商关联单位的说明（格式自拟）</w:t>
      </w:r>
      <w:r>
        <w:rPr>
          <w:color w:val="auto"/>
          <w:highlight w:val="none"/>
        </w:rPr>
        <w:tab/>
      </w:r>
      <w:r>
        <w:rPr>
          <w:color w:val="auto"/>
          <w:highlight w:val="none"/>
        </w:rPr>
        <w:fldChar w:fldCharType="begin"/>
      </w:r>
      <w:r>
        <w:rPr>
          <w:color w:val="auto"/>
          <w:highlight w:val="none"/>
        </w:rPr>
        <w:instrText xml:space="preserve"> PAGEREF _Toc19192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_Toc10519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8.供应商可提供有利于投标的其他证明材料</w:t>
      </w:r>
      <w:r>
        <w:rPr>
          <w:color w:val="auto"/>
          <w:highlight w:val="none"/>
        </w:rPr>
        <w:tab/>
      </w:r>
      <w:r>
        <w:rPr>
          <w:color w:val="auto"/>
          <w:highlight w:val="none"/>
        </w:rPr>
        <w:fldChar w:fldCharType="begin"/>
      </w:r>
      <w:r>
        <w:rPr>
          <w:color w:val="auto"/>
          <w:highlight w:val="none"/>
        </w:rPr>
        <w:instrText xml:space="preserve"> PAGEREF _Toc10519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_Toc17398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szCs w:val="28"/>
          <w:highlight w:val="none"/>
          <w:lang w:val="en-US" w:eastAsia="zh-CN"/>
        </w:rPr>
        <w:t>9.投标文件格式范本</w:t>
      </w:r>
      <w:r>
        <w:rPr>
          <w:color w:val="auto"/>
          <w:highlight w:val="none"/>
        </w:rPr>
        <w:tab/>
      </w:r>
      <w:r>
        <w:rPr>
          <w:color w:val="auto"/>
          <w:highlight w:val="none"/>
        </w:rPr>
        <w:fldChar w:fldCharType="begin"/>
      </w:r>
      <w:r>
        <w:rPr>
          <w:color w:val="auto"/>
          <w:highlight w:val="none"/>
        </w:rPr>
        <w:instrText xml:space="preserve"> PAGEREF _Toc17398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_Toc1297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kern w:val="0"/>
          <w:szCs w:val="32"/>
          <w:highlight w:val="none"/>
          <w:lang w:val="en-US" w:eastAsia="zh-CN" w:bidi="ar-SA"/>
        </w:rPr>
        <w:t>第3章</w:t>
      </w:r>
      <w:r>
        <w:rPr>
          <w:rFonts w:hint="eastAsia" w:ascii="宋体" w:hAnsi="宋体" w:cs="宋体"/>
          <w:bCs/>
          <w:color w:val="auto"/>
          <w:kern w:val="0"/>
          <w:szCs w:val="32"/>
          <w:highlight w:val="none"/>
          <w:lang w:val="en-US" w:eastAsia="zh-CN" w:bidi="ar-SA"/>
        </w:rPr>
        <w:t xml:space="preserve">  </w:t>
      </w:r>
      <w:r>
        <w:rPr>
          <w:rFonts w:hint="eastAsia" w:ascii="宋体" w:hAnsi="宋体" w:eastAsia="宋体" w:cs="宋体"/>
          <w:bCs/>
          <w:color w:val="auto"/>
          <w:kern w:val="0"/>
          <w:szCs w:val="32"/>
          <w:highlight w:val="none"/>
          <w:lang w:val="en-US" w:eastAsia="zh-CN" w:bidi="ar-SA"/>
        </w:rPr>
        <w:t>投标邀请</w:t>
      </w:r>
      <w:r>
        <w:rPr>
          <w:color w:val="auto"/>
          <w:highlight w:val="none"/>
        </w:rPr>
        <w:tab/>
      </w:r>
      <w:r>
        <w:rPr>
          <w:color w:val="auto"/>
          <w:highlight w:val="none"/>
        </w:rPr>
        <w:fldChar w:fldCharType="begin"/>
      </w:r>
      <w:r>
        <w:rPr>
          <w:color w:val="auto"/>
          <w:highlight w:val="none"/>
        </w:rPr>
        <w:instrText xml:space="preserve"> PAGEREF _Toc1297 \h </w:instrText>
      </w:r>
      <w:r>
        <w:rPr>
          <w:color w:val="auto"/>
          <w:highlight w:val="none"/>
        </w:rPr>
        <w:fldChar w:fldCharType="separate"/>
      </w:r>
      <w:r>
        <w:rPr>
          <w:color w:val="auto"/>
          <w:highlight w:val="none"/>
        </w:rPr>
        <w:t>36</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_Toc14411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kern w:val="0"/>
          <w:szCs w:val="32"/>
          <w:highlight w:val="none"/>
          <w:lang w:val="en-US" w:eastAsia="zh-CN" w:bidi="ar-SA"/>
        </w:rPr>
        <w:t>第4章</w:t>
      </w:r>
      <w:r>
        <w:rPr>
          <w:rFonts w:hint="eastAsia" w:hAnsi="宋体" w:cs="宋体"/>
          <w:bCs/>
          <w:color w:val="auto"/>
          <w:kern w:val="0"/>
          <w:szCs w:val="32"/>
          <w:highlight w:val="none"/>
          <w:lang w:val="en-US" w:eastAsia="zh-CN" w:bidi="ar-SA"/>
        </w:rPr>
        <w:t xml:space="preserve">  </w:t>
      </w:r>
      <w:r>
        <w:rPr>
          <w:rFonts w:hint="eastAsia" w:ascii="宋体" w:hAnsi="宋体" w:eastAsia="宋体" w:cs="宋体"/>
          <w:bCs/>
          <w:color w:val="auto"/>
          <w:kern w:val="0"/>
          <w:szCs w:val="32"/>
          <w:highlight w:val="none"/>
          <w:lang w:val="en-US" w:eastAsia="zh-CN" w:bidi="ar-SA"/>
        </w:rPr>
        <w:t>供应商须知资料表</w:t>
      </w:r>
      <w:r>
        <w:rPr>
          <w:color w:val="auto"/>
          <w:highlight w:val="none"/>
        </w:rPr>
        <w:tab/>
      </w:r>
      <w:r>
        <w:rPr>
          <w:color w:val="auto"/>
          <w:highlight w:val="none"/>
        </w:rPr>
        <w:fldChar w:fldCharType="begin"/>
      </w:r>
      <w:r>
        <w:rPr>
          <w:color w:val="auto"/>
          <w:highlight w:val="none"/>
        </w:rPr>
        <w:instrText xml:space="preserve"> PAGEREF _Toc14411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_Toc30701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kern w:val="0"/>
          <w:szCs w:val="32"/>
          <w:highlight w:val="none"/>
          <w:lang w:val="en-US" w:eastAsia="zh-CN" w:bidi="ar-SA"/>
        </w:rPr>
        <w:t>第5章  货物内容及项目要求</w:t>
      </w:r>
      <w:r>
        <w:rPr>
          <w:color w:val="auto"/>
          <w:highlight w:val="none"/>
        </w:rPr>
        <w:tab/>
      </w:r>
      <w:r>
        <w:rPr>
          <w:color w:val="auto"/>
          <w:highlight w:val="none"/>
        </w:rPr>
        <w:fldChar w:fldCharType="begin"/>
      </w:r>
      <w:r>
        <w:rPr>
          <w:color w:val="auto"/>
          <w:highlight w:val="none"/>
        </w:rPr>
        <w:instrText xml:space="preserve"> PAGEREF _Toc30701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_Toc13893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i w:val="0"/>
          <w:caps w:val="0"/>
          <w:color w:val="auto"/>
          <w:spacing w:val="0"/>
          <w:w w:val="100"/>
          <w:kern w:val="0"/>
          <w:szCs w:val="28"/>
          <w:highlight w:val="none"/>
          <w:lang w:val="en-US" w:eastAsia="zh-CN" w:bidi="ar-SA"/>
        </w:rPr>
        <w:t>一、货物需求：</w:t>
      </w:r>
      <w:r>
        <w:rPr>
          <w:color w:val="auto"/>
          <w:highlight w:val="none"/>
        </w:rPr>
        <w:tab/>
      </w:r>
      <w:r>
        <w:rPr>
          <w:color w:val="auto"/>
          <w:highlight w:val="none"/>
        </w:rPr>
        <w:fldChar w:fldCharType="begin"/>
      </w:r>
      <w:r>
        <w:rPr>
          <w:color w:val="auto"/>
          <w:highlight w:val="none"/>
        </w:rPr>
        <w:instrText xml:space="preserve"> PAGEREF _Toc13893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_Toc20225 </w:instrText>
      </w:r>
      <w:r>
        <w:rPr>
          <w:rFonts w:hint="eastAsia" w:ascii="宋体" w:hAnsi="宋体" w:eastAsia="宋体" w:cs="宋体"/>
          <w:color w:val="auto"/>
          <w:kern w:val="2"/>
          <w:szCs w:val="21"/>
          <w:highlight w:val="none"/>
        </w:rPr>
        <w:fldChar w:fldCharType="separate"/>
      </w:r>
      <w:r>
        <w:rPr>
          <w:rFonts w:hint="eastAsia" w:ascii="宋体" w:hAnsi="宋体" w:cs="宋体"/>
          <w:bCs/>
          <w:color w:val="auto"/>
          <w:szCs w:val="24"/>
          <w:highlight w:val="none"/>
          <w:lang w:val="en-US" w:eastAsia="zh-CN"/>
        </w:rPr>
        <w:t>二</w:t>
      </w:r>
      <w:r>
        <w:rPr>
          <w:rFonts w:hint="eastAsia" w:ascii="宋体" w:hAnsi="宋体" w:eastAsia="宋体" w:cs="宋体"/>
          <w:bCs/>
          <w:color w:val="auto"/>
          <w:szCs w:val="24"/>
          <w:highlight w:val="none"/>
          <w:lang w:val="en-US" w:eastAsia="zh-CN"/>
        </w:rPr>
        <w:t>、 项目要求：</w:t>
      </w:r>
      <w:r>
        <w:rPr>
          <w:color w:val="auto"/>
          <w:highlight w:val="none"/>
        </w:rPr>
        <w:tab/>
      </w:r>
      <w:r>
        <w:rPr>
          <w:color w:val="auto"/>
          <w:highlight w:val="none"/>
        </w:rPr>
        <w:fldChar w:fldCharType="begin"/>
      </w:r>
      <w:r>
        <w:rPr>
          <w:color w:val="auto"/>
          <w:highlight w:val="none"/>
        </w:rPr>
        <w:instrText xml:space="preserve"> PAGEREF _Toc20225 \h </w:instrText>
      </w:r>
      <w:r>
        <w:rPr>
          <w:color w:val="auto"/>
          <w:highlight w:val="none"/>
        </w:rPr>
        <w:fldChar w:fldCharType="separate"/>
      </w:r>
      <w:r>
        <w:rPr>
          <w:b/>
        </w:rPr>
        <w:t>错误！未定义书签。</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_Toc26305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kern w:val="0"/>
          <w:szCs w:val="32"/>
          <w:highlight w:val="none"/>
          <w:lang w:val="en-US" w:eastAsia="zh-CN" w:bidi="ar-SA"/>
        </w:rPr>
        <w:t>第6章  评标方法和标准</w:t>
      </w:r>
      <w:r>
        <w:rPr>
          <w:color w:val="auto"/>
          <w:highlight w:val="none"/>
        </w:rPr>
        <w:tab/>
      </w:r>
      <w:r>
        <w:rPr>
          <w:color w:val="auto"/>
          <w:highlight w:val="none"/>
        </w:rPr>
        <w:fldChar w:fldCharType="begin"/>
      </w:r>
      <w:r>
        <w:rPr>
          <w:color w:val="auto"/>
          <w:highlight w:val="none"/>
        </w:rPr>
        <w:instrText xml:space="preserve"> PAGEREF _Toc26305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_Toc19552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初步评审—资格性审查表</w:t>
      </w:r>
      <w:r>
        <w:rPr>
          <w:color w:val="auto"/>
          <w:highlight w:val="none"/>
        </w:rPr>
        <w:tab/>
      </w:r>
      <w:r>
        <w:rPr>
          <w:color w:val="auto"/>
          <w:highlight w:val="none"/>
        </w:rPr>
        <w:fldChar w:fldCharType="begin"/>
      </w:r>
      <w:r>
        <w:rPr>
          <w:color w:val="auto"/>
          <w:highlight w:val="none"/>
        </w:rPr>
        <w:instrText xml:space="preserve"> PAGEREF _Toc19552 \h </w:instrText>
      </w:r>
      <w:r>
        <w:rPr>
          <w:color w:val="auto"/>
          <w:highlight w:val="none"/>
        </w:rPr>
        <w:fldChar w:fldCharType="separate"/>
      </w:r>
      <w:r>
        <w:rPr>
          <w:color w:val="auto"/>
          <w:highlight w:val="none"/>
        </w:rPr>
        <w:t>49</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_Toc6970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初步评审—符合性审查表</w:t>
      </w:r>
      <w:r>
        <w:rPr>
          <w:color w:val="auto"/>
          <w:highlight w:val="none"/>
        </w:rPr>
        <w:tab/>
      </w:r>
      <w:r>
        <w:rPr>
          <w:color w:val="auto"/>
          <w:highlight w:val="none"/>
        </w:rPr>
        <w:fldChar w:fldCharType="begin"/>
      </w:r>
      <w:r>
        <w:rPr>
          <w:color w:val="auto"/>
          <w:highlight w:val="none"/>
        </w:rPr>
        <w:instrText xml:space="preserve"> PAGEREF _Toc6970 \h </w:instrText>
      </w:r>
      <w:r>
        <w:rPr>
          <w:color w:val="auto"/>
          <w:highlight w:val="none"/>
        </w:rPr>
        <w:fldChar w:fldCharType="separate"/>
      </w:r>
      <w:r>
        <w:rPr>
          <w:color w:val="auto"/>
          <w:highlight w:val="none"/>
        </w:rPr>
        <w:t>50</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5"/>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_Toc3259 </w:instrText>
      </w:r>
      <w:r>
        <w:rPr>
          <w:rFonts w:hint="eastAsia" w:ascii="宋体" w:hAnsi="宋体" w:eastAsia="宋体" w:cs="宋体"/>
          <w:color w:val="auto"/>
          <w:kern w:val="2"/>
          <w:szCs w:val="21"/>
          <w:highlight w:val="none"/>
        </w:rPr>
        <w:fldChar w:fldCharType="separate"/>
      </w:r>
      <w:r>
        <w:rPr>
          <w:rFonts w:hint="eastAsia" w:ascii="宋体" w:hAnsi="宋体" w:eastAsia="宋体" w:cs="宋体"/>
          <w:color w:val="auto"/>
          <w:highlight w:val="none"/>
        </w:rPr>
        <w:t>综合评分表</w:t>
      </w:r>
      <w:r>
        <w:rPr>
          <w:rFonts w:hint="eastAsia" w:ascii="宋体" w:hAnsi="宋体" w:cs="宋体"/>
          <w:color w:val="auto"/>
          <w:highlight w:val="none"/>
          <w:lang w:eastAsia="zh-CN"/>
        </w:rPr>
        <w:t>（</w:t>
      </w:r>
      <w:r>
        <w:rPr>
          <w:rFonts w:hint="eastAsia" w:ascii="宋体" w:hAnsi="宋体" w:cs="宋体"/>
          <w:color w:val="auto"/>
          <w:highlight w:val="none"/>
          <w:lang w:val="en-US" w:eastAsia="zh-CN"/>
        </w:rPr>
        <w:t>第一包-第三包</w:t>
      </w:r>
      <w:r>
        <w:rPr>
          <w:rFonts w:hint="eastAsia" w:ascii="宋体" w:hAnsi="宋体" w:cs="宋体"/>
          <w:color w:val="auto"/>
          <w:highlight w:val="none"/>
          <w:lang w:eastAsia="zh-CN"/>
        </w:rPr>
        <w:t>）</w:t>
      </w:r>
      <w:r>
        <w:rPr>
          <w:color w:val="auto"/>
          <w:highlight w:val="none"/>
        </w:rPr>
        <w:tab/>
      </w:r>
      <w:r>
        <w:rPr>
          <w:color w:val="auto"/>
          <w:highlight w:val="none"/>
        </w:rPr>
        <w:fldChar w:fldCharType="begin"/>
      </w:r>
      <w:r>
        <w:rPr>
          <w:color w:val="auto"/>
          <w:highlight w:val="none"/>
        </w:rPr>
        <w:instrText xml:space="preserve"> PAGEREF _Toc3259 \h </w:instrText>
      </w:r>
      <w:r>
        <w:rPr>
          <w:color w:val="auto"/>
          <w:highlight w:val="none"/>
        </w:rPr>
        <w:fldChar w:fldCharType="separate"/>
      </w:r>
      <w:r>
        <w:rPr>
          <w:color w:val="auto"/>
          <w:highlight w:val="none"/>
        </w:rPr>
        <w:t>53</w:t>
      </w:r>
      <w:r>
        <w:rPr>
          <w:color w:val="auto"/>
          <w:highlight w:val="none"/>
        </w:rPr>
        <w:fldChar w:fldCharType="end"/>
      </w:r>
      <w:r>
        <w:rPr>
          <w:rFonts w:hint="eastAsia" w:ascii="宋体" w:hAnsi="宋体" w:eastAsia="宋体" w:cs="宋体"/>
          <w:color w:val="auto"/>
          <w:kern w:val="2"/>
          <w:szCs w:val="21"/>
          <w:highlight w:val="none"/>
        </w:rPr>
        <w:fldChar w:fldCharType="end"/>
      </w:r>
    </w:p>
    <w:p>
      <w:pPr>
        <w:pStyle w:val="21"/>
        <w:keepNext w:val="0"/>
        <w:keepLines w:val="0"/>
        <w:pageBreakBefore w:val="0"/>
        <w:widowControl w:val="0"/>
        <w:tabs>
          <w:tab w:val="right" w:leader="dot" w:pos="8311"/>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eastAsia="宋体" w:cs="宋体"/>
          <w:color w:val="auto"/>
          <w:kern w:val="2"/>
          <w:szCs w:val="21"/>
          <w:highlight w:val="none"/>
        </w:rPr>
        <w:fldChar w:fldCharType="begin"/>
      </w:r>
      <w:r>
        <w:rPr>
          <w:rFonts w:hint="eastAsia" w:ascii="宋体" w:hAnsi="宋体" w:eastAsia="宋体" w:cs="宋体"/>
          <w:color w:val="auto"/>
          <w:kern w:val="2"/>
          <w:szCs w:val="21"/>
          <w:highlight w:val="none"/>
        </w:rPr>
        <w:instrText xml:space="preserve"> HYPERLINK \l _Toc18042 </w:instrText>
      </w:r>
      <w:r>
        <w:rPr>
          <w:rFonts w:hint="eastAsia" w:ascii="宋体" w:hAnsi="宋体" w:eastAsia="宋体" w:cs="宋体"/>
          <w:color w:val="auto"/>
          <w:kern w:val="2"/>
          <w:szCs w:val="21"/>
          <w:highlight w:val="none"/>
        </w:rPr>
        <w:fldChar w:fldCharType="separate"/>
      </w:r>
      <w:r>
        <w:rPr>
          <w:rFonts w:hint="eastAsia" w:ascii="宋体" w:hAnsi="宋体" w:eastAsia="宋体" w:cs="宋体"/>
          <w:bCs/>
          <w:color w:val="auto"/>
          <w:kern w:val="0"/>
          <w:szCs w:val="32"/>
          <w:highlight w:val="none"/>
          <w:lang w:val="en-US" w:eastAsia="zh-CN" w:bidi="ar-SA"/>
        </w:rPr>
        <w:t>第7章  政府采购合同</w:t>
      </w:r>
      <w:r>
        <w:rPr>
          <w:color w:val="auto"/>
          <w:highlight w:val="none"/>
        </w:rPr>
        <w:tab/>
      </w:r>
      <w:r>
        <w:rPr>
          <w:color w:val="auto"/>
          <w:highlight w:val="none"/>
        </w:rPr>
        <w:fldChar w:fldCharType="begin"/>
      </w:r>
      <w:r>
        <w:rPr>
          <w:color w:val="auto"/>
          <w:highlight w:val="none"/>
        </w:rPr>
        <w:instrText xml:space="preserve"> PAGEREF _Toc18042 \h </w:instrText>
      </w:r>
      <w:r>
        <w:rPr>
          <w:color w:val="auto"/>
          <w:highlight w:val="none"/>
        </w:rPr>
        <w:fldChar w:fldCharType="separate"/>
      </w:r>
      <w:r>
        <w:rPr>
          <w:color w:val="auto"/>
          <w:highlight w:val="none"/>
        </w:rPr>
        <w:t>56</w:t>
      </w:r>
      <w:r>
        <w:rPr>
          <w:color w:val="auto"/>
          <w:highlight w:val="none"/>
        </w:rPr>
        <w:fldChar w:fldCharType="end"/>
      </w:r>
      <w:r>
        <w:rPr>
          <w:rFonts w:hint="eastAsia" w:ascii="宋体" w:hAnsi="宋体" w:eastAsia="宋体" w:cs="宋体"/>
          <w:color w:val="auto"/>
          <w:kern w:val="2"/>
          <w:szCs w:val="21"/>
          <w:highlight w:val="none"/>
        </w:rPr>
        <w:fldChar w:fldCharType="end"/>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rPr>
      </w:pPr>
      <w:r>
        <w:rPr>
          <w:rFonts w:hint="eastAsia" w:ascii="宋体" w:hAnsi="宋体" w:eastAsia="宋体" w:cs="宋体"/>
          <w:color w:val="auto"/>
          <w:kern w:val="2"/>
          <w:szCs w:val="21"/>
          <w:highlight w:val="none"/>
        </w:rPr>
        <w:fldChar w:fldCharType="end"/>
      </w:r>
      <w:r>
        <w:rPr>
          <w:rFonts w:hint="eastAsia" w:ascii="宋体" w:hAnsi="宋体" w:eastAsia="宋体" w:cs="宋体"/>
          <w:color w:val="auto"/>
          <w:highlight w:val="none"/>
        </w:rPr>
        <w:br w:type="page"/>
      </w: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both"/>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rPr>
          <w:rFonts w:hint="eastAsia" w:ascii="宋体" w:hAnsi="宋体" w:eastAsia="宋体" w:cs="宋体"/>
          <w:color w:val="auto"/>
          <w:sz w:val="32"/>
          <w:szCs w:val="32"/>
          <w:highlight w:val="none"/>
        </w:rPr>
      </w:pPr>
    </w:p>
    <w:p>
      <w:pPr>
        <w:spacing w:line="240" w:lineRule="atLeast"/>
        <w:jc w:val="center"/>
        <w:outlineLvl w:val="9"/>
        <w:rPr>
          <w:rFonts w:hint="eastAsia" w:ascii="宋体" w:hAnsi="宋体" w:eastAsia="宋体" w:cs="宋体"/>
          <w:b/>
          <w:color w:val="auto"/>
          <w:sz w:val="44"/>
          <w:szCs w:val="4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
          <w:color w:val="auto"/>
          <w:sz w:val="44"/>
          <w:szCs w:val="44"/>
          <w:highlight w:val="none"/>
        </w:rPr>
        <w:t>招 标 文 件</w:t>
      </w:r>
    </w:p>
    <w:p>
      <w:pPr>
        <w:spacing w:line="360" w:lineRule="auto"/>
        <w:outlineLvl w:val="9"/>
        <w:rPr>
          <w:rFonts w:hint="eastAsia" w:ascii="宋体" w:hAnsi="宋体" w:eastAsia="宋体" w:cs="宋体"/>
          <w:b/>
          <w:color w:val="auto"/>
          <w:sz w:val="40"/>
          <w:szCs w:val="40"/>
          <w:highlight w:val="none"/>
        </w:rPr>
      </w:pPr>
    </w:p>
    <w:p>
      <w:pPr>
        <w:spacing w:line="360" w:lineRule="auto"/>
        <w:jc w:val="center"/>
        <w:outlineLvl w:val="9"/>
        <w:rPr>
          <w:rFonts w:hint="default" w:ascii="宋体" w:hAnsi="宋体" w:eastAsia="宋体" w:cs="宋体"/>
          <w:b/>
          <w:color w:val="auto"/>
          <w:sz w:val="32"/>
          <w:highlight w:val="none"/>
          <w:lang w:val="en-US" w:eastAsia="zh-CN"/>
        </w:rPr>
      </w:pPr>
      <w:r>
        <w:rPr>
          <w:rFonts w:hint="eastAsia" w:ascii="宋体" w:hAnsi="宋体" w:eastAsia="宋体" w:cs="宋体"/>
          <w:b/>
          <w:color w:val="auto"/>
          <w:sz w:val="40"/>
          <w:szCs w:val="40"/>
          <w:highlight w:val="none"/>
        </w:rPr>
        <w:t>项目编号：</w:t>
      </w:r>
      <w:r>
        <w:rPr>
          <w:rFonts w:hint="eastAsia" w:ascii="宋体" w:hAnsi="宋体" w:cs="宋体"/>
          <w:b/>
          <w:color w:val="auto"/>
          <w:sz w:val="32"/>
          <w:highlight w:val="none"/>
          <w:lang w:val="en-US" w:eastAsia="zh-CN"/>
        </w:rPr>
        <w:t>XJFT(Z)2023-008</w:t>
      </w:r>
    </w:p>
    <w:p>
      <w:pPr>
        <w:spacing w:line="360" w:lineRule="auto"/>
        <w:jc w:val="center"/>
        <w:outlineLvl w:val="9"/>
        <w:rPr>
          <w:rFonts w:hint="eastAsia" w:ascii="宋体" w:hAnsi="宋体" w:eastAsia="宋体" w:cs="宋体"/>
          <w:b/>
          <w:color w:val="auto"/>
          <w:sz w:val="40"/>
          <w:szCs w:val="40"/>
          <w:highlight w:val="none"/>
          <w:lang w:val="en-US" w:eastAsia="zh-CN"/>
        </w:rPr>
      </w:pPr>
    </w:p>
    <w:p>
      <w:pPr>
        <w:spacing w:line="240" w:lineRule="atLeast"/>
        <w:jc w:val="center"/>
        <w:outlineLvl w:val="9"/>
        <w:rPr>
          <w:rFonts w:hint="eastAsia" w:ascii="宋体" w:hAnsi="宋体" w:eastAsia="宋体" w:cs="宋体"/>
          <w:b/>
          <w:color w:val="auto"/>
          <w:sz w:val="32"/>
          <w:highlight w:val="none"/>
        </w:rPr>
      </w:pPr>
    </w:p>
    <w:p>
      <w:pPr>
        <w:spacing w:line="240" w:lineRule="atLeast"/>
        <w:jc w:val="center"/>
        <w:outlineLvl w:val="9"/>
        <w:rPr>
          <w:rFonts w:hint="eastAsia" w:ascii="宋体" w:hAnsi="宋体" w:eastAsia="宋体" w:cs="宋体"/>
          <w:b/>
          <w:color w:val="auto"/>
          <w:sz w:val="32"/>
          <w:highlight w:val="none"/>
        </w:rPr>
      </w:pPr>
    </w:p>
    <w:p>
      <w:pPr>
        <w:pStyle w:val="7"/>
        <w:ind w:firstLine="0"/>
        <w:jc w:val="center"/>
        <w:outlineLvl w:val="9"/>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 xml:space="preserve">第 </w:t>
      </w:r>
      <w:r>
        <w:rPr>
          <w:rFonts w:hint="eastAsia" w:hAnsi="宋体" w:cs="宋体"/>
          <w:b/>
          <w:color w:val="auto"/>
          <w:sz w:val="44"/>
          <w:szCs w:val="36"/>
          <w:highlight w:val="none"/>
          <w:lang w:val="en-US" w:eastAsia="zh-CN"/>
        </w:rPr>
        <w:t>一</w:t>
      </w:r>
      <w:r>
        <w:rPr>
          <w:rFonts w:hint="eastAsia" w:ascii="宋体" w:hAnsi="宋体" w:eastAsia="宋体" w:cs="宋体"/>
          <w:b/>
          <w:color w:val="auto"/>
          <w:sz w:val="44"/>
          <w:szCs w:val="36"/>
          <w:highlight w:val="none"/>
        </w:rPr>
        <w:t xml:space="preserve"> 册</w:t>
      </w:r>
    </w:p>
    <w:p>
      <w:pPr>
        <w:outlineLvl w:val="9"/>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br w:type="page"/>
      </w:r>
    </w:p>
    <w:p>
      <w:pPr>
        <w:pStyle w:val="7"/>
        <w:ind w:firstLine="0"/>
        <w:jc w:val="center"/>
        <w:outlineLvl w:val="0"/>
        <w:rPr>
          <w:rFonts w:hint="eastAsia" w:ascii="宋体" w:hAnsi="宋体" w:eastAsia="宋体" w:cs="宋体"/>
          <w:color w:val="auto"/>
          <w:sz w:val="32"/>
          <w:szCs w:val="32"/>
          <w:highlight w:val="none"/>
        </w:rPr>
      </w:pPr>
      <w:bookmarkStart w:id="30" w:name="_Toc12897"/>
      <w:bookmarkStart w:id="31" w:name="_Toc16201"/>
      <w:r>
        <w:rPr>
          <w:rFonts w:hint="eastAsia" w:ascii="宋体" w:hAnsi="宋体" w:eastAsia="宋体" w:cs="宋体"/>
          <w:b/>
          <w:bCs/>
          <w:color w:val="auto"/>
          <w:sz w:val="32"/>
          <w:szCs w:val="32"/>
          <w:highlight w:val="none"/>
        </w:rPr>
        <w:t>第1章</w:t>
      </w:r>
      <w:bookmarkStart w:id="32" w:name="_Toc515647756"/>
      <w:r>
        <w:rPr>
          <w:rFonts w:hint="eastAsia" w:hAnsi="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21"/>
      <w:bookmarkEnd w:id="22"/>
      <w:bookmarkEnd w:id="23"/>
      <w:bookmarkEnd w:id="24"/>
      <w:bookmarkEnd w:id="30"/>
      <w:bookmarkEnd w:id="31"/>
      <w:bookmarkEnd w:id="32"/>
    </w:p>
    <w:p>
      <w:pPr>
        <w:pStyle w:val="4"/>
        <w:pageBreakBefore w:val="0"/>
        <w:kinsoku/>
        <w:wordWrap/>
        <w:overflowPunct/>
        <w:topLinePunct w:val="0"/>
        <w:bidi w:val="0"/>
        <w:spacing w:before="0" w:line="360" w:lineRule="exact"/>
        <w:ind w:left="1080" w:leftChars="257" w:hanging="540"/>
        <w:rPr>
          <w:rFonts w:hint="eastAsia" w:ascii="宋体" w:hAnsi="宋体" w:eastAsia="宋体" w:cs="宋体"/>
          <w:color w:val="auto"/>
          <w:sz w:val="24"/>
          <w:szCs w:val="24"/>
          <w:highlight w:val="none"/>
        </w:rPr>
      </w:pPr>
      <w:bookmarkStart w:id="33" w:name="_Toc515647757"/>
      <w:bookmarkStart w:id="34" w:name="_Toc216582805"/>
      <w:bookmarkStart w:id="35" w:name="_Toc520356143"/>
      <w:bookmarkStart w:id="36" w:name="_Toc11227"/>
      <w:bookmarkStart w:id="37" w:name="_Toc4604"/>
      <w:bookmarkStart w:id="38" w:name="_Toc21015"/>
      <w:bookmarkStart w:id="39" w:name="_Toc21215"/>
      <w:bookmarkStart w:id="40" w:name="_Toc29004"/>
      <w:r>
        <w:rPr>
          <w:rFonts w:hint="eastAsia" w:ascii="宋体" w:hAnsi="宋体" w:eastAsia="宋体" w:cs="宋体"/>
          <w:color w:val="auto"/>
          <w:sz w:val="24"/>
          <w:szCs w:val="24"/>
          <w:highlight w:val="none"/>
        </w:rPr>
        <w:t xml:space="preserve">一   </w:t>
      </w:r>
      <w:bookmarkEnd w:id="33"/>
      <w:bookmarkEnd w:id="34"/>
      <w:bookmarkEnd w:id="35"/>
      <w:r>
        <w:rPr>
          <w:rFonts w:hint="eastAsia" w:ascii="宋体" w:hAnsi="宋体" w:eastAsia="宋体" w:cs="宋体"/>
          <w:color w:val="auto"/>
          <w:sz w:val="24"/>
          <w:szCs w:val="24"/>
          <w:highlight w:val="none"/>
        </w:rPr>
        <w:t>总 则</w:t>
      </w:r>
      <w:bookmarkEnd w:id="36"/>
      <w:bookmarkEnd w:id="37"/>
      <w:bookmarkEnd w:id="38"/>
      <w:bookmarkEnd w:id="39"/>
      <w:bookmarkEnd w:id="40"/>
    </w:p>
    <w:p>
      <w:pPr>
        <w:pStyle w:val="5"/>
        <w:numPr>
          <w:ilvl w:val="0"/>
          <w:numId w:val="5"/>
        </w:numPr>
        <w:spacing w:before="0" w:after="0" w:line="360" w:lineRule="exact"/>
        <w:rPr>
          <w:rFonts w:hint="eastAsia" w:ascii="宋体" w:hAnsi="宋体" w:eastAsia="宋体" w:cs="宋体"/>
          <w:color w:val="auto"/>
          <w:kern w:val="2"/>
          <w:sz w:val="24"/>
          <w:szCs w:val="24"/>
          <w:highlight w:val="none"/>
          <w:u w:val="none"/>
          <w:lang w:val="en-US" w:eastAsia="zh-CN" w:bidi="ar-SA"/>
        </w:rPr>
      </w:pPr>
      <w:bookmarkStart w:id="41" w:name="_Toc31685"/>
      <w:bookmarkStart w:id="42" w:name="_Toc333"/>
      <w:bookmarkStart w:id="43" w:name="_Toc28967"/>
      <w:bookmarkStart w:id="44" w:name="_Toc32189"/>
      <w:bookmarkStart w:id="45" w:name="_Toc515647758"/>
      <w:bookmarkStart w:id="46" w:name="_Toc29554"/>
      <w:bookmarkStart w:id="47" w:name="_Toc32623"/>
      <w:bookmarkStart w:id="48" w:name="_Toc4880"/>
      <w:bookmarkStart w:id="49" w:name="_Toc12861"/>
      <w:bookmarkStart w:id="50" w:name="_Toc23985"/>
      <w:bookmarkStart w:id="51" w:name="_Toc520356144"/>
      <w:bookmarkStart w:id="52" w:name="_Toc11808"/>
      <w:bookmarkStart w:id="53" w:name="_Toc3607"/>
      <w:bookmarkStart w:id="54" w:name="_Toc21672"/>
      <w:bookmarkStart w:id="55" w:name="_Toc32697"/>
      <w:bookmarkStart w:id="56" w:name="_Toc12038"/>
      <w:bookmarkStart w:id="57" w:name="_Toc16017"/>
      <w:bookmarkStart w:id="58" w:name="_Toc15895"/>
      <w:bookmarkStart w:id="59" w:name="_Toc16221"/>
      <w:bookmarkStart w:id="60" w:name="_Toc23980"/>
      <w:bookmarkStart w:id="61" w:name="_Toc26672"/>
      <w:bookmarkStart w:id="62" w:name="_Toc14344"/>
      <w:bookmarkStart w:id="63" w:name="_Toc14586"/>
      <w:bookmarkStart w:id="64" w:name="_Toc15043"/>
      <w:bookmarkStart w:id="65" w:name="_Toc32450"/>
      <w:bookmarkStart w:id="66" w:name="_Toc18135"/>
      <w:bookmarkStart w:id="67" w:name="_Toc15966"/>
      <w:bookmarkStart w:id="68" w:name="_Toc32742"/>
      <w:bookmarkStart w:id="69" w:name="_Toc28398"/>
      <w:bookmarkStart w:id="70" w:name="_Toc12436"/>
      <w:bookmarkStart w:id="71" w:name="_Toc515647778"/>
      <w:bookmarkStart w:id="72" w:name="_Toc520356163"/>
      <w:bookmarkStart w:id="73" w:name="_Toc216582809"/>
      <w:bookmarkStart w:id="74" w:name="_Toc7470"/>
      <w:r>
        <w:rPr>
          <w:rFonts w:hint="eastAsia" w:ascii="微软雅黑" w:hAnsi="微软雅黑" w:eastAsia="微软雅黑" w:cs="微软雅黑"/>
          <w:color w:val="auto"/>
          <w:highlight w:val="none"/>
          <w:u w:val="none"/>
          <w:lang w:val="en-US" w:eastAsia="zh-CN"/>
        </w:rPr>
        <w:t xml:space="preserve">  </w:t>
      </w:r>
      <w:r>
        <w:rPr>
          <w:rFonts w:hint="eastAsia" w:ascii="微软雅黑" w:hAnsi="微软雅黑" w:eastAsia="微软雅黑" w:cs="微软雅黑"/>
          <w:color w:val="auto"/>
          <w:highlight w:val="none"/>
          <w:u w:val="none"/>
        </w:rPr>
        <w:t>采</w:t>
      </w:r>
      <w:r>
        <w:rPr>
          <w:rFonts w:hint="eastAsia" w:ascii="宋体" w:hAnsi="宋体" w:eastAsia="宋体" w:cs="宋体"/>
          <w:color w:val="auto"/>
          <w:kern w:val="2"/>
          <w:sz w:val="24"/>
          <w:szCs w:val="24"/>
          <w:highlight w:val="none"/>
          <w:u w:val="none"/>
          <w:lang w:val="en-US" w:eastAsia="zh-CN" w:bidi="ar-SA"/>
        </w:rPr>
        <w:t>购人、采购代理机构及</w:t>
      </w:r>
      <w:bookmarkEnd w:id="41"/>
      <w:bookmarkEnd w:id="42"/>
      <w:bookmarkEnd w:id="43"/>
      <w:bookmarkEnd w:id="44"/>
      <w:bookmarkEnd w:id="45"/>
      <w:bookmarkEnd w:id="46"/>
      <w:bookmarkEnd w:id="47"/>
      <w:bookmarkEnd w:id="48"/>
      <w:bookmarkEnd w:id="49"/>
      <w:bookmarkEnd w:id="50"/>
      <w:bookmarkEnd w:id="51"/>
      <w:bookmarkEnd w:id="52"/>
      <w:r>
        <w:rPr>
          <w:rFonts w:hint="eastAsia" w:ascii="宋体" w:hAnsi="宋体" w:eastAsia="宋体" w:cs="宋体"/>
          <w:color w:val="auto"/>
          <w:kern w:val="2"/>
          <w:sz w:val="24"/>
          <w:szCs w:val="24"/>
          <w:highlight w:val="none"/>
          <w:u w:val="none"/>
          <w:lang w:val="en-US" w:eastAsia="zh-CN" w:bidi="ar-SA"/>
        </w:rPr>
        <w:t>供应商</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tabs>
          <w:tab w:val="left" w:pos="0"/>
        </w:tabs>
        <w:spacing w:line="360" w:lineRule="exact"/>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1.1  采购人：是指依法开展政府采购活动的国家机关、事业单位、团体组织。</w:t>
      </w:r>
    </w:p>
    <w:p>
      <w:pPr>
        <w:tabs>
          <w:tab w:val="left" w:pos="0"/>
        </w:tabs>
        <w:spacing w:line="360" w:lineRule="exact"/>
        <w:ind w:firstLine="720" w:firstLineChars="3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本项目的采购人见供应商须知资料表。</w:t>
      </w:r>
    </w:p>
    <w:p>
      <w:pPr>
        <w:tabs>
          <w:tab w:val="left" w:pos="0"/>
        </w:tabs>
        <w:spacing w:line="360" w:lineRule="exact"/>
        <w:ind w:left="720" w:hanging="720" w:hangingChars="3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1.2   采购代理机构：是指在集中采购机构或从事采购代理业务的社会中介机构。本项目的采购代理机构见供应商须知资料表。</w:t>
      </w:r>
    </w:p>
    <w:p>
      <w:pPr>
        <w:spacing w:line="360" w:lineRule="exact"/>
        <w:ind w:left="960" w:hanging="960" w:hangingChars="400"/>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1.3    供应商：是指向采购人提供货物、工程或者服务的法人、非法人组织或者自然人。本项目的供应商及其投标货物须满足以下条件：</w:t>
      </w:r>
    </w:p>
    <w:p>
      <w:pPr>
        <w:spacing w:line="360" w:lineRule="exact"/>
        <w:ind w:left="850" w:hanging="849" w:hangingChars="354"/>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1.3.1</w:t>
      </w:r>
      <w:r>
        <w:rPr>
          <w:rFonts w:hint="eastAsia" w:ascii="宋体" w:hAnsi="宋体" w:eastAsia="宋体" w:cs="宋体"/>
          <w:color w:val="auto"/>
          <w:kern w:val="2"/>
          <w:sz w:val="24"/>
          <w:szCs w:val="24"/>
          <w:highlight w:val="none"/>
          <w:u w:val="none"/>
          <w:lang w:val="en-US" w:eastAsia="zh-CN" w:bidi="ar-SA"/>
        </w:rPr>
        <w:tab/>
      </w:r>
      <w:r>
        <w:rPr>
          <w:rFonts w:hint="eastAsia" w:ascii="宋体" w:hAnsi="宋体" w:eastAsia="宋体" w:cs="宋体"/>
          <w:color w:val="auto"/>
          <w:kern w:val="2"/>
          <w:sz w:val="24"/>
          <w:szCs w:val="24"/>
          <w:highlight w:val="none"/>
          <w:u w:val="none"/>
          <w:lang w:val="en-US" w:eastAsia="zh-CN" w:bidi="ar-SA"/>
        </w:rPr>
        <w:t>在中华人民共和国境内注册，能够独立承担民事责任，有生产或供应能力的本国供应商。</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1.3.2  具备《中华人民共和国政府采购法》第二十二条关于供应商条件的规定，遵守本项目采购人本级和上级财政部门政府采购的有关规定。</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1.3.3   以采购代理机构认可的方式获得了本项目的招标文件。</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微软雅黑" w:hAnsi="微软雅黑" w:eastAsia="微软雅黑" w:cs="微软雅黑"/>
          <w:color w:val="auto"/>
          <w:sz w:val="24"/>
          <w:highlight w:val="none"/>
        </w:rPr>
        <w:t>1.</w:t>
      </w:r>
      <w:r>
        <w:rPr>
          <w:rFonts w:hint="eastAsia" w:ascii="宋体" w:hAnsi="宋体" w:eastAsia="宋体" w:cs="宋体"/>
          <w:color w:val="auto"/>
          <w:kern w:val="2"/>
          <w:sz w:val="24"/>
          <w:szCs w:val="24"/>
          <w:highlight w:val="none"/>
          <w:u w:val="none"/>
          <w:lang w:val="en-US" w:eastAsia="zh-CN" w:bidi="ar-SA"/>
        </w:rPr>
        <w:t>3.4   符合供应商须知资料表中规定的其他要求。</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1.3.5   若供应商须知资料表中写明专门面向中小企业采购的，如供应商为非中小企业且所投产品为非中小企业产品，其投标将被认定为</w:t>
      </w:r>
      <w:r>
        <w:rPr>
          <w:rFonts w:hint="eastAsia" w:ascii="宋体" w:hAnsi="宋体" w:eastAsia="宋体" w:cs="宋体"/>
          <w:b/>
          <w:bCs/>
          <w:color w:val="auto"/>
          <w:kern w:val="2"/>
          <w:sz w:val="24"/>
          <w:szCs w:val="24"/>
          <w:highlight w:val="none"/>
          <w:u w:val="none"/>
          <w:lang w:val="en-US" w:eastAsia="zh-CN" w:bidi="ar-SA"/>
        </w:rPr>
        <w:t>投标无效</w:t>
      </w:r>
      <w:r>
        <w:rPr>
          <w:rFonts w:hint="eastAsia" w:ascii="宋体" w:hAnsi="宋体" w:eastAsia="宋体" w:cs="宋体"/>
          <w:color w:val="auto"/>
          <w:kern w:val="2"/>
          <w:sz w:val="24"/>
          <w:szCs w:val="24"/>
          <w:highlight w:val="none"/>
          <w:u w:val="none"/>
          <w:lang w:val="en-US" w:eastAsia="zh-CN" w:bidi="ar-SA"/>
        </w:rPr>
        <w:t>。</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1.4    如供应商须知资料表中允许联合体投标，对联合体规定如下：</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1.4.1   两个以上供应商可以组成一个投标联合体，以一个供应商的身份投标。</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1.4.2   联合体各方均应符合《中华人民共和国政府采购法》第二十二条规定的条件。</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1.4.3   采购人根据采购项目对供应商的特殊要求，联合体中至少应当有一方符合相关规定。</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1.4.4   联合体各方应签订共同投标协议，明确约定联合体各方承担的工作和相应的责任，并将共同投标协议连同作为投标文件第一部分的内容提交。</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1.4.5   大中型企业、其他自然人、法人或者非法人组织与小型、微型企业组成联合体共同参加投标，共同投标协议中应写明小型、微型企业的协议合同金额占到共同投标协议投标总金额的比例。</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1.4.6  联合体中有同类资质的供应商按照联合体分工承担相同工作的，按照较低的资质等级确定联合体的资质等级。</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1.4.7  以联合体形式参加政府采购活动的，联合体各方不得再单独参加或者与其他供应商另外组成联合体参加本项目投标，否则相关投标将被认定为</w:t>
      </w:r>
      <w:r>
        <w:rPr>
          <w:rFonts w:hint="eastAsia" w:ascii="宋体" w:hAnsi="宋体" w:eastAsia="宋体" w:cs="宋体"/>
          <w:b/>
          <w:bCs/>
          <w:color w:val="auto"/>
          <w:kern w:val="2"/>
          <w:sz w:val="24"/>
          <w:szCs w:val="24"/>
          <w:highlight w:val="none"/>
          <w:u w:val="none"/>
          <w:lang w:val="en-US" w:eastAsia="zh-CN" w:bidi="ar-SA"/>
        </w:rPr>
        <w:t>投标无效</w:t>
      </w:r>
      <w:r>
        <w:rPr>
          <w:rFonts w:hint="eastAsia" w:ascii="宋体" w:hAnsi="宋体" w:eastAsia="宋体" w:cs="宋体"/>
          <w:color w:val="auto"/>
          <w:kern w:val="2"/>
          <w:sz w:val="24"/>
          <w:szCs w:val="24"/>
          <w:highlight w:val="none"/>
          <w:u w:val="none"/>
          <w:lang w:val="en-US" w:eastAsia="zh-CN" w:bidi="ar-SA"/>
        </w:rPr>
        <w:t>。</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1.4.8   对联合体投标的其他资格要求见供应商须知资料表。</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1.5    单位负责人为同一人或者存在直接控股、管理关系的不同供应商，其相关投标将被认定为</w:t>
      </w:r>
      <w:r>
        <w:rPr>
          <w:rFonts w:hint="eastAsia" w:ascii="宋体" w:hAnsi="宋体" w:eastAsia="宋体" w:cs="宋体"/>
          <w:b/>
          <w:bCs/>
          <w:color w:val="auto"/>
          <w:kern w:val="2"/>
          <w:sz w:val="24"/>
          <w:szCs w:val="24"/>
          <w:highlight w:val="none"/>
          <w:u w:val="none"/>
          <w:lang w:val="en-US" w:eastAsia="zh-CN" w:bidi="ar-SA"/>
        </w:rPr>
        <w:t>投标无效</w:t>
      </w:r>
      <w:r>
        <w:rPr>
          <w:rFonts w:hint="eastAsia" w:ascii="宋体" w:hAnsi="宋体" w:eastAsia="宋体" w:cs="宋体"/>
          <w:color w:val="auto"/>
          <w:kern w:val="2"/>
          <w:sz w:val="24"/>
          <w:szCs w:val="24"/>
          <w:highlight w:val="none"/>
          <w:u w:val="none"/>
          <w:lang w:val="en-US" w:eastAsia="zh-CN" w:bidi="ar-SA"/>
        </w:rPr>
        <w:t>。</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1.6    供应商在投标过程中不得向采购人提供、给予任何有价值的物品，影响其正常决策行为。一经发现，其将被认定为</w:t>
      </w:r>
      <w:r>
        <w:rPr>
          <w:rFonts w:hint="eastAsia" w:ascii="宋体" w:hAnsi="宋体" w:eastAsia="宋体" w:cs="宋体"/>
          <w:b/>
          <w:bCs/>
          <w:color w:val="auto"/>
          <w:kern w:val="2"/>
          <w:sz w:val="24"/>
          <w:szCs w:val="24"/>
          <w:highlight w:val="none"/>
          <w:u w:val="none"/>
          <w:lang w:val="en-US" w:eastAsia="zh-CN" w:bidi="ar-SA"/>
        </w:rPr>
        <w:t>投标无效</w:t>
      </w:r>
      <w:r>
        <w:rPr>
          <w:rFonts w:hint="eastAsia" w:ascii="宋体" w:hAnsi="宋体" w:eastAsia="宋体" w:cs="宋体"/>
          <w:color w:val="auto"/>
          <w:kern w:val="2"/>
          <w:sz w:val="24"/>
          <w:szCs w:val="24"/>
          <w:highlight w:val="none"/>
          <w:u w:val="none"/>
          <w:lang w:val="en-US" w:eastAsia="zh-CN" w:bidi="ar-SA"/>
        </w:rPr>
        <w:t>。</w:t>
      </w:r>
    </w:p>
    <w:p>
      <w:pPr>
        <w:pStyle w:val="5"/>
        <w:spacing w:before="0" w:after="0" w:line="360" w:lineRule="exact"/>
        <w:rPr>
          <w:rFonts w:hint="eastAsia" w:ascii="宋体" w:hAnsi="宋体" w:eastAsia="宋体" w:cs="宋体"/>
          <w:color w:val="auto"/>
          <w:kern w:val="2"/>
          <w:sz w:val="24"/>
          <w:szCs w:val="24"/>
          <w:highlight w:val="none"/>
          <w:u w:val="none"/>
          <w:lang w:val="en-US" w:eastAsia="zh-CN" w:bidi="ar-SA"/>
        </w:rPr>
      </w:pPr>
      <w:bookmarkStart w:id="75" w:name="_Toc29854"/>
      <w:bookmarkStart w:id="76" w:name="_Toc19970"/>
      <w:bookmarkStart w:id="77" w:name="_Toc27814"/>
      <w:bookmarkStart w:id="78" w:name="_Toc8897"/>
      <w:bookmarkStart w:id="79" w:name="_Toc19378"/>
      <w:bookmarkStart w:id="80" w:name="_Toc30940"/>
      <w:bookmarkStart w:id="81" w:name="_Toc5286"/>
      <w:bookmarkStart w:id="82" w:name="_Toc10699"/>
      <w:bookmarkStart w:id="83" w:name="_Toc10189"/>
      <w:bookmarkStart w:id="84" w:name="_Toc28511"/>
      <w:bookmarkStart w:id="85" w:name="_Toc12139"/>
      <w:bookmarkStart w:id="86" w:name="_Toc4311"/>
      <w:bookmarkStart w:id="87" w:name="_Toc515647759"/>
      <w:bookmarkStart w:id="88" w:name="_Toc26154"/>
      <w:bookmarkStart w:id="89" w:name="_Toc7800"/>
      <w:bookmarkStart w:id="90" w:name="_Toc1403"/>
      <w:bookmarkStart w:id="91" w:name="_Toc1760"/>
      <w:bookmarkStart w:id="92" w:name="_Toc2406"/>
      <w:bookmarkStart w:id="93" w:name="_Toc27821"/>
      <w:bookmarkStart w:id="94" w:name="_Toc1572"/>
      <w:bookmarkStart w:id="95" w:name="_Toc21286"/>
      <w:bookmarkStart w:id="96" w:name="_Toc11068"/>
      <w:bookmarkStart w:id="97" w:name="_Toc29731"/>
      <w:bookmarkStart w:id="98" w:name="_Toc4816"/>
      <w:bookmarkStart w:id="99" w:name="_Toc13272"/>
      <w:bookmarkStart w:id="100" w:name="_Toc674"/>
      <w:bookmarkStart w:id="101" w:name="_Toc15289"/>
      <w:r>
        <w:rPr>
          <w:rFonts w:hint="eastAsia" w:ascii="宋体" w:hAnsi="宋体" w:eastAsia="宋体" w:cs="宋体"/>
          <w:color w:val="auto"/>
          <w:kern w:val="2"/>
          <w:sz w:val="24"/>
          <w:szCs w:val="24"/>
          <w:highlight w:val="none"/>
          <w:u w:val="none"/>
          <w:lang w:val="en-US" w:eastAsia="zh-CN" w:bidi="ar-SA"/>
        </w:rPr>
        <w:t>2.资金来源</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2.1</w:t>
      </w:r>
      <w:r>
        <w:rPr>
          <w:rFonts w:hint="eastAsia" w:ascii="宋体" w:hAnsi="宋体" w:eastAsia="宋体" w:cs="宋体"/>
          <w:color w:val="auto"/>
          <w:kern w:val="2"/>
          <w:sz w:val="24"/>
          <w:szCs w:val="24"/>
          <w:highlight w:val="none"/>
          <w:u w:val="none"/>
          <w:lang w:val="en-US" w:eastAsia="zh-CN" w:bidi="ar-SA"/>
        </w:rPr>
        <w:tab/>
      </w:r>
      <w:r>
        <w:rPr>
          <w:rFonts w:hint="eastAsia" w:ascii="宋体" w:hAnsi="宋体" w:eastAsia="宋体" w:cs="宋体"/>
          <w:color w:val="auto"/>
          <w:kern w:val="2"/>
          <w:sz w:val="24"/>
          <w:szCs w:val="24"/>
          <w:highlight w:val="none"/>
          <w:u w:val="none"/>
          <w:lang w:val="en-US" w:eastAsia="zh-CN" w:bidi="ar-SA"/>
        </w:rPr>
        <w:t>本项目的采购人已获得足以支付本次招标后所签订的合同项下的资金（包括财政性资金和本项目采购中无法与财政性资金分割的非财政性资金）。</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2.2    项目预算金额和分项或分包最高限价见供应商须知资料表。</w:t>
      </w:r>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2.3    供应商报价超过招标文件规定的预算金额或者分项、分包最高限价的，其投标将被认定为</w:t>
      </w:r>
      <w:r>
        <w:rPr>
          <w:rFonts w:hint="eastAsia" w:ascii="宋体" w:hAnsi="宋体" w:eastAsia="宋体" w:cs="宋体"/>
          <w:b/>
          <w:bCs/>
          <w:color w:val="auto"/>
          <w:kern w:val="2"/>
          <w:sz w:val="24"/>
          <w:szCs w:val="24"/>
          <w:highlight w:val="none"/>
          <w:u w:val="none"/>
          <w:lang w:val="en-US" w:eastAsia="zh-CN" w:bidi="ar-SA"/>
        </w:rPr>
        <w:t>投标无效</w:t>
      </w:r>
      <w:r>
        <w:rPr>
          <w:rFonts w:hint="eastAsia" w:ascii="宋体" w:hAnsi="宋体" w:eastAsia="宋体" w:cs="宋体"/>
          <w:color w:val="auto"/>
          <w:kern w:val="2"/>
          <w:sz w:val="24"/>
          <w:szCs w:val="24"/>
          <w:highlight w:val="none"/>
          <w:u w:val="none"/>
          <w:lang w:val="en-US" w:eastAsia="zh-CN" w:bidi="ar-SA"/>
        </w:rPr>
        <w:t>。</w:t>
      </w:r>
    </w:p>
    <w:p>
      <w:pPr>
        <w:pStyle w:val="5"/>
        <w:spacing w:before="0" w:after="0" w:line="360" w:lineRule="exact"/>
        <w:rPr>
          <w:rFonts w:hint="eastAsia" w:ascii="宋体" w:hAnsi="宋体" w:eastAsia="宋体" w:cs="宋体"/>
          <w:color w:val="auto"/>
          <w:kern w:val="2"/>
          <w:sz w:val="24"/>
          <w:szCs w:val="24"/>
          <w:highlight w:val="none"/>
          <w:u w:val="none"/>
          <w:lang w:val="en-US" w:eastAsia="zh-CN" w:bidi="ar-SA"/>
        </w:rPr>
      </w:pPr>
      <w:bookmarkStart w:id="102" w:name="_Toc6389"/>
      <w:bookmarkStart w:id="103" w:name="_Toc5240"/>
      <w:bookmarkStart w:id="104" w:name="_Toc144"/>
      <w:bookmarkStart w:id="105" w:name="_Toc5207"/>
      <w:bookmarkStart w:id="106" w:name="_Toc6415"/>
      <w:bookmarkStart w:id="107" w:name="_Toc10963"/>
      <w:bookmarkStart w:id="108" w:name="_Toc515647760"/>
      <w:bookmarkStart w:id="109" w:name="_Toc15518"/>
      <w:bookmarkStart w:id="110" w:name="_Toc15936"/>
      <w:bookmarkStart w:id="111" w:name="_Toc14612"/>
      <w:bookmarkStart w:id="112" w:name="_Toc8806"/>
      <w:bookmarkStart w:id="113" w:name="_Toc29481"/>
      <w:bookmarkStart w:id="114" w:name="_Toc29504"/>
      <w:bookmarkStart w:id="115" w:name="_Toc30708"/>
      <w:bookmarkStart w:id="116" w:name="_Toc25239"/>
      <w:bookmarkStart w:id="117" w:name="_Toc6110"/>
      <w:bookmarkStart w:id="118" w:name="_Toc520356145"/>
      <w:bookmarkStart w:id="119" w:name="_Toc20526"/>
      <w:bookmarkStart w:id="120" w:name="_Toc30650"/>
      <w:bookmarkStart w:id="121" w:name="_Toc2156"/>
      <w:bookmarkStart w:id="122" w:name="_Toc24375"/>
      <w:bookmarkStart w:id="123" w:name="_Toc32186"/>
      <w:bookmarkStart w:id="124" w:name="_Toc16588"/>
      <w:bookmarkStart w:id="125" w:name="_Toc20799"/>
      <w:bookmarkStart w:id="126" w:name="_Toc22731"/>
      <w:bookmarkStart w:id="127" w:name="_Toc29808"/>
      <w:bookmarkStart w:id="128" w:name="_Toc235"/>
      <w:bookmarkStart w:id="129" w:name="_Toc20044"/>
      <w:r>
        <w:rPr>
          <w:rFonts w:hint="eastAsia" w:ascii="宋体" w:hAnsi="宋体" w:eastAsia="宋体" w:cs="宋体"/>
          <w:color w:val="auto"/>
          <w:kern w:val="2"/>
          <w:sz w:val="24"/>
          <w:szCs w:val="24"/>
          <w:highlight w:val="none"/>
          <w:u w:val="none"/>
          <w:lang w:val="en-US" w:eastAsia="zh-CN" w:bidi="ar-SA"/>
        </w:rPr>
        <w:t>3.投标费用</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ab/>
      </w:r>
      <w:r>
        <w:rPr>
          <w:rFonts w:hint="eastAsia" w:ascii="宋体" w:hAnsi="宋体" w:eastAsia="宋体" w:cs="宋体"/>
          <w:color w:val="auto"/>
          <w:kern w:val="2"/>
          <w:sz w:val="24"/>
          <w:szCs w:val="24"/>
          <w:highlight w:val="none"/>
          <w:u w:val="none"/>
          <w:lang w:val="en-US" w:eastAsia="zh-CN" w:bidi="ar-SA"/>
        </w:rPr>
        <w:t>不论投标的结果如何，供应商应承担所有与准备和参加投标有关的费用。</w:t>
      </w:r>
    </w:p>
    <w:p>
      <w:pPr>
        <w:pStyle w:val="5"/>
        <w:spacing w:before="0" w:after="0" w:line="360" w:lineRule="exact"/>
        <w:rPr>
          <w:rFonts w:hint="eastAsia" w:ascii="宋体" w:hAnsi="宋体" w:eastAsia="宋体" w:cs="宋体"/>
          <w:color w:val="auto"/>
          <w:kern w:val="2"/>
          <w:sz w:val="24"/>
          <w:szCs w:val="24"/>
          <w:highlight w:val="none"/>
          <w:u w:val="none"/>
          <w:lang w:val="en-US" w:eastAsia="zh-CN" w:bidi="ar-SA"/>
        </w:rPr>
      </w:pPr>
      <w:bookmarkStart w:id="130" w:name="_Toc515647761"/>
      <w:bookmarkStart w:id="131" w:name="_Toc5853"/>
      <w:bookmarkStart w:id="132" w:name="_Toc9371"/>
      <w:bookmarkStart w:id="133" w:name="_Toc18172"/>
      <w:bookmarkStart w:id="134" w:name="_Toc21641"/>
      <w:bookmarkStart w:id="135" w:name="_Toc7511"/>
      <w:bookmarkStart w:id="136" w:name="_Toc20080"/>
      <w:bookmarkStart w:id="137" w:name="_Toc8724"/>
      <w:bookmarkStart w:id="138" w:name="_Toc16328"/>
      <w:bookmarkStart w:id="139" w:name="_Toc12920"/>
      <w:bookmarkStart w:id="140" w:name="_Toc6116"/>
      <w:bookmarkStart w:id="141" w:name="_Toc20532"/>
      <w:bookmarkStart w:id="142" w:name="_Toc27687"/>
      <w:bookmarkStart w:id="143" w:name="_Toc4463"/>
      <w:bookmarkStart w:id="144" w:name="_Toc29011"/>
      <w:bookmarkStart w:id="145" w:name="_Toc14210"/>
      <w:bookmarkStart w:id="146" w:name="_Toc16052"/>
      <w:bookmarkStart w:id="147" w:name="_Toc24881"/>
      <w:bookmarkStart w:id="148" w:name="_Toc25508"/>
      <w:bookmarkStart w:id="149" w:name="_Toc15870"/>
      <w:bookmarkStart w:id="150" w:name="_Toc17308"/>
      <w:bookmarkStart w:id="151" w:name="_Toc28775"/>
      <w:bookmarkStart w:id="152" w:name="_Toc16751"/>
      <w:bookmarkStart w:id="153" w:name="_Toc1198"/>
      <w:bookmarkStart w:id="154" w:name="_Toc6759"/>
      <w:bookmarkStart w:id="155" w:name="_Toc11355"/>
      <w:bookmarkStart w:id="156" w:name="_Toc15600"/>
      <w:r>
        <w:rPr>
          <w:rFonts w:hint="eastAsia" w:ascii="宋体" w:hAnsi="宋体" w:eastAsia="宋体" w:cs="宋体"/>
          <w:color w:val="auto"/>
          <w:kern w:val="2"/>
          <w:sz w:val="24"/>
          <w:szCs w:val="24"/>
          <w:highlight w:val="none"/>
          <w:u w:val="none"/>
          <w:lang w:val="en-US" w:eastAsia="zh-CN" w:bidi="ar-SA"/>
        </w:rPr>
        <w:t>4.适用法律</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exact"/>
        <w:ind w:left="900" w:hanging="900" w:hangingChars="375"/>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kern w:val="2"/>
          <w:sz w:val="24"/>
          <w:szCs w:val="24"/>
          <w:highlight w:val="none"/>
          <w:u w:val="none"/>
          <w:lang w:val="en-US" w:eastAsia="zh-CN" w:bidi="ar-SA"/>
        </w:rPr>
        <w:t xml:space="preserve">       本项目采购人、采购代理机构、供应商、评标委员会的相关行为均受《中华人民共和国政府采购法》、《中华人民共和国政府采购法实施条例》、《中华人民共和国财政部令第87号--政府采购货物和货物招标投标管理办法》及本项目本级和上级财政部门政府采购有关规定的约束，其权利受到上述法律法规的保护。</w:t>
      </w:r>
    </w:p>
    <w:p>
      <w:pPr>
        <w:spacing w:line="360" w:lineRule="exact"/>
        <w:rPr>
          <w:rFonts w:ascii="微软雅黑" w:hAnsi="微软雅黑" w:eastAsia="微软雅黑" w:cs="微软雅黑"/>
          <w:color w:val="auto"/>
          <w:sz w:val="24"/>
          <w:highlight w:val="none"/>
        </w:rPr>
      </w:pPr>
    </w:p>
    <w:p>
      <w:pPr>
        <w:pStyle w:val="4"/>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szCs w:val="24"/>
          <w:highlight w:val="none"/>
        </w:rPr>
      </w:pPr>
      <w:bookmarkStart w:id="157" w:name="_Toc4365"/>
      <w:bookmarkStart w:id="158" w:name="_Toc8437"/>
      <w:bookmarkStart w:id="159" w:name="_Toc216582806"/>
      <w:bookmarkStart w:id="160" w:name="_Toc515647762"/>
      <w:bookmarkStart w:id="161" w:name="_Toc520356146"/>
      <w:bookmarkStart w:id="162" w:name="_Toc21566"/>
      <w:bookmarkStart w:id="163" w:name="_Toc6385"/>
      <w:bookmarkStart w:id="164" w:name="_Toc14968"/>
      <w:r>
        <w:rPr>
          <w:rFonts w:hint="eastAsia" w:ascii="宋体" w:hAnsi="宋体" w:eastAsia="宋体" w:cs="宋体"/>
          <w:color w:val="auto"/>
          <w:sz w:val="24"/>
          <w:szCs w:val="24"/>
          <w:highlight w:val="none"/>
        </w:rPr>
        <w:t>二   招标文件</w:t>
      </w:r>
      <w:bookmarkEnd w:id="157"/>
      <w:bookmarkEnd w:id="158"/>
      <w:bookmarkEnd w:id="159"/>
      <w:bookmarkEnd w:id="160"/>
      <w:bookmarkEnd w:id="161"/>
      <w:bookmarkEnd w:id="162"/>
      <w:bookmarkEnd w:id="163"/>
      <w:bookmarkEnd w:id="164"/>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165" w:name="_Toc4380"/>
      <w:bookmarkStart w:id="166" w:name="_Toc7875"/>
      <w:bookmarkStart w:id="167" w:name="_Toc24971"/>
      <w:bookmarkStart w:id="168" w:name="_Toc29395"/>
      <w:bookmarkStart w:id="169" w:name="_Toc21734"/>
      <w:bookmarkStart w:id="170" w:name="_Toc15256"/>
      <w:bookmarkStart w:id="171" w:name="_Toc18714"/>
      <w:bookmarkStart w:id="172" w:name="_Toc15203"/>
      <w:bookmarkStart w:id="173" w:name="_Toc31526"/>
      <w:bookmarkStart w:id="174" w:name="_Toc10939"/>
      <w:bookmarkStart w:id="175" w:name="_Toc27186"/>
      <w:bookmarkStart w:id="176" w:name="_Toc20307"/>
      <w:bookmarkStart w:id="177" w:name="_Toc18213"/>
      <w:bookmarkStart w:id="178" w:name="_Toc1044"/>
      <w:bookmarkStart w:id="179" w:name="_Toc515647763"/>
      <w:bookmarkStart w:id="180" w:name="_Toc5875"/>
      <w:bookmarkStart w:id="181" w:name="_Toc30280"/>
      <w:bookmarkStart w:id="182" w:name="_Toc14084"/>
      <w:bookmarkStart w:id="183" w:name="_Toc14656"/>
      <w:bookmarkStart w:id="184" w:name="_Toc25743"/>
      <w:bookmarkStart w:id="185" w:name="_Toc21137"/>
      <w:bookmarkStart w:id="186" w:name="_Toc26987"/>
      <w:bookmarkStart w:id="187" w:name="_Toc31365"/>
      <w:bookmarkStart w:id="188" w:name="_Toc21275"/>
      <w:bookmarkStart w:id="189" w:name="_Toc520356147"/>
      <w:bookmarkStart w:id="190" w:name="_Toc29550"/>
      <w:bookmarkStart w:id="191" w:name="_Toc12831"/>
      <w:bookmarkStart w:id="192" w:name="_Toc31428"/>
      <w:r>
        <w:rPr>
          <w:rFonts w:hint="eastAsia" w:ascii="宋体" w:hAnsi="宋体" w:eastAsia="宋体" w:cs="宋体"/>
          <w:color w:val="auto"/>
          <w:sz w:val="24"/>
          <w:highlight w:val="none"/>
          <w:lang w:eastAsia="zh-CN"/>
        </w:rPr>
        <w:t>5.招标文件构成</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5.1</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招标文件分为三册共7章，内容如下：</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第一册</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 供应商须知</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2投标文件格式</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第二册</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 投标邀请</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 供应商须知资料表</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 xml:space="preserve">5 </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lang w:eastAsia="zh-CN"/>
        </w:rPr>
        <w:t xml:space="preserve">内容及项目要求 </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 评标方法和标准</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第三册</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7政府采购合同格式</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5.2    如本文件的前后内容不一致，以最后描述为准。</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5.3    供应商应认真阅读招标文件所有的事项、格式、条款和技术规范等。如供应商没有按照招标文件要求提交全部资料，或者投标文件没有对招标文件在各方面都做出实质性响应，可能导致其投标将被认定为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lang w:eastAsia="zh-CN"/>
        </w:rPr>
        <w:t>投标无效</w:t>
      </w:r>
      <w:r>
        <w:rPr>
          <w:rFonts w:hint="eastAsia" w:ascii="宋体" w:hAnsi="宋体" w:eastAsia="宋体" w:cs="宋体"/>
          <w:color w:val="auto"/>
          <w:sz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193" w:name="_Toc515904805"/>
      <w:bookmarkStart w:id="194" w:name="_Toc520356148"/>
      <w:bookmarkStart w:id="195" w:name="_Toc19275"/>
      <w:bookmarkStart w:id="196" w:name="_Toc28731"/>
      <w:bookmarkStart w:id="197" w:name="_Toc10213"/>
      <w:bookmarkStart w:id="198" w:name="_Toc20202"/>
      <w:bookmarkStart w:id="199" w:name="_Toc21165"/>
      <w:bookmarkStart w:id="200" w:name="_Toc20604"/>
      <w:bookmarkStart w:id="201" w:name="_Toc29407"/>
      <w:bookmarkStart w:id="202" w:name="_Toc16486"/>
      <w:bookmarkStart w:id="203" w:name="_Toc8643"/>
      <w:bookmarkStart w:id="204" w:name="_Toc24450"/>
      <w:bookmarkStart w:id="205" w:name="_Toc26044"/>
      <w:bookmarkStart w:id="206" w:name="_Toc12813"/>
      <w:bookmarkStart w:id="207" w:name="_Toc32213"/>
      <w:bookmarkStart w:id="208" w:name="_Toc1117"/>
      <w:bookmarkStart w:id="209" w:name="_Toc20908"/>
      <w:bookmarkStart w:id="210" w:name="_Toc12536"/>
      <w:bookmarkStart w:id="211" w:name="_Toc20243"/>
      <w:bookmarkStart w:id="212" w:name="_Toc10034"/>
      <w:bookmarkStart w:id="213" w:name="_Toc21098"/>
      <w:bookmarkStart w:id="214" w:name="_Toc7432"/>
      <w:bookmarkStart w:id="215" w:name="_Toc25866"/>
      <w:bookmarkStart w:id="216" w:name="_Toc3341"/>
      <w:bookmarkStart w:id="217" w:name="_Toc5991"/>
      <w:bookmarkStart w:id="218" w:name="_Toc30772"/>
      <w:bookmarkStart w:id="219" w:name="_Toc9232"/>
      <w:bookmarkStart w:id="220" w:name="_Toc20556"/>
      <w:r>
        <w:rPr>
          <w:rFonts w:hint="eastAsia" w:ascii="宋体" w:hAnsi="宋体" w:eastAsia="宋体" w:cs="宋体"/>
          <w:color w:val="auto"/>
          <w:sz w:val="24"/>
          <w:highlight w:val="none"/>
          <w:lang w:eastAsia="zh-CN"/>
        </w:rPr>
        <w:t>6.招标文件的澄清</w:t>
      </w:r>
      <w:bookmarkEnd w:id="193"/>
      <w:bookmarkEnd w:id="194"/>
      <w:r>
        <w:rPr>
          <w:rFonts w:hint="eastAsia" w:ascii="宋体" w:hAnsi="宋体" w:eastAsia="宋体" w:cs="宋体"/>
          <w:color w:val="auto"/>
          <w:sz w:val="24"/>
          <w:highlight w:val="none"/>
          <w:lang w:eastAsia="zh-CN"/>
        </w:rPr>
        <w:t>与修改</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6.1    为了保证对招标文件的澄清和修改满足法律的时限要求，任何要求对招标文件进行澄清的供应商，均应在投标截止期十五日前，以书面形式将澄清要求通知采购人或采购代理机构。</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221" w:name="_Ref467378678"/>
      <w:bookmarkStart w:id="222" w:name="_Toc520356149"/>
      <w:bookmarkStart w:id="223" w:name="_Toc515904806"/>
      <w:r>
        <w:rPr>
          <w:rFonts w:hint="eastAsia" w:ascii="宋体" w:hAnsi="宋体" w:eastAsia="宋体" w:cs="宋体"/>
          <w:color w:val="auto"/>
          <w:sz w:val="24"/>
          <w:highlight w:val="none"/>
          <w:lang w:eastAsia="zh-CN"/>
        </w:rPr>
        <w:t>6.2</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采购人可主动地或在解答供应商提出的澄清问题时对招标文件进行澄清或修改。采购代理机构将以发布澄清（更正）公告的方式，澄清或修改招标文件，澄清或修改内容作为招标文件的组成部分。</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6.3</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澄清或者修改的内容可能影响投标文件编制的，采购代理机构将以书面形式通知所有购买招标文件的潜在供应商，并对其具有约束力。供应商在收到上述通知后，应及时向采购代理机构回函确认。</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224" w:name="_Toc9080"/>
      <w:bookmarkStart w:id="225" w:name="_Toc1073"/>
      <w:bookmarkStart w:id="226" w:name="_Toc25635"/>
      <w:bookmarkStart w:id="227" w:name="_Toc517"/>
      <w:bookmarkStart w:id="228" w:name="_Toc24028"/>
      <w:bookmarkStart w:id="229" w:name="_Toc14856"/>
      <w:bookmarkStart w:id="230" w:name="_Toc26728"/>
      <w:bookmarkStart w:id="231" w:name="_Toc978"/>
      <w:bookmarkStart w:id="232" w:name="_Toc5103"/>
      <w:bookmarkStart w:id="233" w:name="_Toc2280"/>
      <w:bookmarkStart w:id="234" w:name="_Toc23315"/>
      <w:bookmarkStart w:id="235" w:name="_Toc21187"/>
      <w:bookmarkStart w:id="236" w:name="_Toc14569"/>
      <w:bookmarkStart w:id="237" w:name="_Toc27823"/>
      <w:bookmarkStart w:id="238" w:name="_Toc32714"/>
      <w:bookmarkStart w:id="239" w:name="_Toc13079"/>
      <w:bookmarkStart w:id="240" w:name="_Toc10609"/>
      <w:bookmarkStart w:id="241" w:name="_Toc25066"/>
      <w:bookmarkStart w:id="242" w:name="_Toc19836"/>
      <w:bookmarkStart w:id="243" w:name="_Toc11082"/>
      <w:bookmarkStart w:id="244" w:name="_Toc7919"/>
      <w:bookmarkStart w:id="245" w:name="_Toc10823"/>
      <w:bookmarkStart w:id="246" w:name="_Toc27811"/>
      <w:bookmarkStart w:id="247" w:name="_Toc14901"/>
      <w:bookmarkStart w:id="248" w:name="_Toc11464"/>
      <w:bookmarkStart w:id="249" w:name="_Toc22107"/>
      <w:r>
        <w:rPr>
          <w:rFonts w:hint="eastAsia" w:ascii="宋体" w:hAnsi="宋体" w:eastAsia="宋体" w:cs="宋体"/>
          <w:color w:val="auto"/>
          <w:sz w:val="24"/>
          <w:highlight w:val="none"/>
          <w:lang w:eastAsia="zh-CN"/>
        </w:rPr>
        <w:t>7</w:t>
      </w:r>
      <w:bookmarkEnd w:id="221"/>
      <w:bookmarkEnd w:id="222"/>
      <w:bookmarkEnd w:id="223"/>
      <w:r>
        <w:rPr>
          <w:rFonts w:hint="eastAsia" w:ascii="宋体" w:hAnsi="宋体" w:eastAsia="宋体" w:cs="宋体"/>
          <w:color w:val="auto"/>
          <w:sz w:val="24"/>
          <w:highlight w:val="none"/>
          <w:lang w:eastAsia="zh-CN"/>
        </w:rPr>
        <w:t>.投标截止时间的顺延</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为使供应商准备投标时有足够的时间对招标文件的澄清或者修改部分进行研究，采购人将依法决定是否顺延投标截止时间。</w:t>
      </w:r>
      <w:bookmarkStart w:id="250" w:name="_Toc516367020"/>
      <w:bookmarkStart w:id="251" w:name="_Toc7636"/>
      <w:bookmarkStart w:id="252" w:name="_Toc216582807"/>
      <w:bookmarkStart w:id="253" w:name="_Toc30808"/>
      <w:bookmarkStart w:id="254" w:name="_Toc520356150"/>
      <w:bookmarkStart w:id="255" w:name="_Toc515647766"/>
    </w:p>
    <w:p>
      <w:pPr>
        <w:tabs>
          <w:tab w:val="left" w:pos="900"/>
        </w:tabs>
        <w:spacing w:line="360" w:lineRule="exact"/>
        <w:ind w:hanging="540"/>
        <w:rPr>
          <w:rFonts w:ascii="微软雅黑" w:hAnsi="微软雅黑" w:eastAsia="微软雅黑" w:cs="微软雅黑"/>
          <w:color w:val="auto"/>
          <w:sz w:val="28"/>
          <w:highlight w:val="none"/>
        </w:rPr>
      </w:pPr>
    </w:p>
    <w:p>
      <w:pPr>
        <w:pStyle w:val="4"/>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szCs w:val="24"/>
          <w:highlight w:val="none"/>
        </w:rPr>
      </w:pPr>
      <w:bookmarkStart w:id="256" w:name="_Toc29522"/>
      <w:bookmarkStart w:id="257" w:name="_Toc31588"/>
      <w:r>
        <w:rPr>
          <w:rFonts w:hint="eastAsia" w:ascii="宋体" w:hAnsi="宋体" w:eastAsia="宋体" w:cs="宋体"/>
          <w:color w:val="auto"/>
          <w:sz w:val="24"/>
          <w:szCs w:val="24"/>
          <w:highlight w:val="none"/>
        </w:rPr>
        <w:t>三   投标文件</w:t>
      </w:r>
      <w:bookmarkEnd w:id="250"/>
      <w:r>
        <w:rPr>
          <w:rFonts w:hint="eastAsia" w:ascii="宋体" w:hAnsi="宋体" w:eastAsia="宋体" w:cs="宋体"/>
          <w:color w:val="auto"/>
          <w:sz w:val="24"/>
          <w:szCs w:val="24"/>
          <w:highlight w:val="none"/>
        </w:rPr>
        <w:t>的编制</w:t>
      </w:r>
      <w:bookmarkEnd w:id="251"/>
      <w:bookmarkEnd w:id="252"/>
      <w:bookmarkEnd w:id="253"/>
      <w:bookmarkEnd w:id="254"/>
      <w:bookmarkEnd w:id="255"/>
      <w:bookmarkEnd w:id="256"/>
      <w:bookmarkEnd w:id="257"/>
    </w:p>
    <w:p>
      <w:pPr>
        <w:pStyle w:val="7"/>
        <w:spacing w:line="360" w:lineRule="exact"/>
        <w:rPr>
          <w:rFonts w:ascii="微软雅黑" w:hAnsi="微软雅黑" w:eastAsia="微软雅黑" w:cs="微软雅黑"/>
          <w:color w:val="auto"/>
          <w:highlight w:val="none"/>
        </w:rPr>
      </w:pP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258" w:name="_Toc14602"/>
      <w:bookmarkStart w:id="259" w:name="_Toc32487"/>
      <w:bookmarkStart w:id="260" w:name="_Toc7120"/>
      <w:bookmarkStart w:id="261" w:name="_Toc24558"/>
      <w:bookmarkStart w:id="262" w:name="_Toc28980"/>
      <w:bookmarkStart w:id="263" w:name="_Toc14086"/>
      <w:bookmarkStart w:id="264" w:name="_Toc13375"/>
      <w:bookmarkStart w:id="265" w:name="_Toc10748"/>
      <w:bookmarkStart w:id="266" w:name="_Toc5025"/>
      <w:bookmarkStart w:id="267" w:name="_Toc12887"/>
      <w:bookmarkStart w:id="268" w:name="_Toc66"/>
      <w:bookmarkStart w:id="269" w:name="_Toc10810"/>
      <w:bookmarkStart w:id="270" w:name="_Toc7786"/>
      <w:bookmarkStart w:id="271" w:name="_Toc14739"/>
      <w:bookmarkStart w:id="272" w:name="_Toc11687"/>
      <w:bookmarkStart w:id="273" w:name="_Toc31544"/>
      <w:bookmarkStart w:id="274" w:name="_Toc1632"/>
      <w:bookmarkStart w:id="275" w:name="_Toc516367021"/>
      <w:bookmarkStart w:id="276" w:name="_Toc3553"/>
      <w:bookmarkStart w:id="277" w:name="_Toc30945"/>
      <w:bookmarkStart w:id="278" w:name="_Toc515647767"/>
      <w:bookmarkStart w:id="279" w:name="_Toc2539"/>
      <w:bookmarkStart w:id="280" w:name="_Toc520356151"/>
      <w:bookmarkStart w:id="281" w:name="_Toc2129"/>
      <w:bookmarkStart w:id="282" w:name="_Toc15642"/>
      <w:bookmarkStart w:id="283" w:name="_Toc20486"/>
      <w:bookmarkStart w:id="284" w:name="_Toc6674"/>
      <w:bookmarkStart w:id="285" w:name="_Toc13512"/>
      <w:bookmarkStart w:id="286" w:name="_Toc14649"/>
      <w:r>
        <w:rPr>
          <w:rFonts w:hint="eastAsia" w:ascii="宋体" w:hAnsi="宋体" w:eastAsia="宋体" w:cs="宋体"/>
          <w:color w:val="auto"/>
          <w:sz w:val="24"/>
          <w:highlight w:val="none"/>
          <w:lang w:eastAsia="zh-CN"/>
        </w:rPr>
        <w:t>8.</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投标范围及投标文件中标准和计量单位的使用</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8.1</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项目有分包的，供应商可对招标文件其中某一个或几个分包服务进行投标，除非在供应商须知资料表中另有规定。</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8.2     供应商应当对所投分包招标文件中“</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lang w:eastAsia="zh-CN"/>
        </w:rPr>
        <w:t>内容及项目要求”所列的所有内容进行投标，如仅响应某一包中的部分内容，其该包投标将被认定为</w:t>
      </w:r>
      <w:r>
        <w:rPr>
          <w:rFonts w:hint="eastAsia" w:ascii="宋体" w:hAnsi="宋体" w:eastAsia="宋体" w:cs="宋体"/>
          <w:b/>
          <w:bCs/>
          <w:color w:val="auto"/>
          <w:sz w:val="24"/>
          <w:highlight w:val="none"/>
          <w:lang w:eastAsia="zh-CN"/>
        </w:rPr>
        <w:t>投标无效</w:t>
      </w:r>
      <w:r>
        <w:rPr>
          <w:rFonts w:hint="eastAsia" w:ascii="宋体" w:hAnsi="宋体" w:eastAsia="宋体" w:cs="宋体"/>
          <w:color w:val="auto"/>
          <w:sz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8.3     除招标文件中有特殊要求外，投标文件中所使用的计量单位，应采用中华人民共和国法定计量单位。</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287" w:name="_Toc516367022"/>
      <w:bookmarkStart w:id="288" w:name="_Ref467306676"/>
      <w:bookmarkStart w:id="289" w:name="_Ref467306195"/>
      <w:bookmarkStart w:id="290" w:name="_Toc19557"/>
      <w:bookmarkStart w:id="291" w:name="_Toc12296"/>
      <w:bookmarkStart w:id="292" w:name="_Toc7658"/>
      <w:bookmarkStart w:id="293" w:name="_Toc22417"/>
      <w:bookmarkStart w:id="294" w:name="_Toc4852"/>
      <w:bookmarkStart w:id="295" w:name="_Toc15740"/>
      <w:bookmarkStart w:id="296" w:name="_Toc16016"/>
      <w:bookmarkStart w:id="297" w:name="_Toc22958"/>
      <w:bookmarkStart w:id="298" w:name="_Toc25596"/>
      <w:bookmarkStart w:id="299" w:name="_Toc9146"/>
      <w:bookmarkStart w:id="300" w:name="_Toc515647768"/>
      <w:bookmarkStart w:id="301" w:name="_Toc28307"/>
      <w:bookmarkStart w:id="302" w:name="_Toc9418"/>
      <w:bookmarkStart w:id="303" w:name="_Toc23291"/>
      <w:bookmarkStart w:id="304" w:name="_Toc520356152"/>
      <w:bookmarkStart w:id="305" w:name="_Toc11888"/>
      <w:bookmarkStart w:id="306" w:name="_Toc30291"/>
      <w:bookmarkStart w:id="307" w:name="_Toc258"/>
      <w:bookmarkStart w:id="308" w:name="_Toc6152"/>
      <w:bookmarkStart w:id="309" w:name="_Toc10364"/>
      <w:bookmarkStart w:id="310" w:name="_Toc7278"/>
      <w:bookmarkStart w:id="311" w:name="_Toc26287"/>
      <w:bookmarkStart w:id="312" w:name="_Toc10573"/>
      <w:bookmarkStart w:id="313" w:name="_Toc20101"/>
      <w:bookmarkStart w:id="314" w:name="_Toc22897"/>
      <w:bookmarkStart w:id="315" w:name="_Toc12220"/>
      <w:bookmarkStart w:id="316" w:name="_Toc18673"/>
      <w:r>
        <w:rPr>
          <w:rFonts w:hint="eastAsia" w:ascii="宋体" w:hAnsi="宋体" w:eastAsia="宋体" w:cs="宋体"/>
          <w:color w:val="auto"/>
          <w:sz w:val="24"/>
          <w:highlight w:val="none"/>
          <w:lang w:eastAsia="zh-CN"/>
        </w:rPr>
        <w:t>9.投标文件</w:t>
      </w:r>
      <w:bookmarkEnd w:id="287"/>
      <w:bookmarkEnd w:id="288"/>
      <w:bookmarkEnd w:id="289"/>
      <w:r>
        <w:rPr>
          <w:rFonts w:hint="eastAsia" w:ascii="宋体" w:hAnsi="宋体" w:eastAsia="宋体" w:cs="宋体"/>
          <w:color w:val="auto"/>
          <w:sz w:val="24"/>
          <w:highlight w:val="none"/>
          <w:lang w:eastAsia="zh-CN"/>
        </w:rPr>
        <w:t>构成</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b/>
          <w:bCs/>
          <w:color w:val="auto"/>
          <w:sz w:val="24"/>
          <w:highlight w:val="none"/>
          <w:lang w:eastAsia="zh-CN"/>
        </w:rPr>
      </w:pPr>
      <w:bookmarkStart w:id="317" w:name="_Ref467052588"/>
      <w:r>
        <w:rPr>
          <w:rFonts w:hint="eastAsia" w:ascii="宋体" w:hAnsi="宋体" w:eastAsia="宋体" w:cs="宋体"/>
          <w:color w:val="auto"/>
          <w:sz w:val="24"/>
          <w:highlight w:val="none"/>
          <w:lang w:eastAsia="zh-CN"/>
        </w:rPr>
        <w:t xml:space="preserve">9.1   </w:t>
      </w:r>
      <w:r>
        <w:rPr>
          <w:rFonts w:hint="eastAsia" w:ascii="宋体" w:hAnsi="宋体" w:eastAsia="宋体" w:cs="宋体"/>
          <w:b/>
          <w:bCs/>
          <w:color w:val="auto"/>
          <w:sz w:val="24"/>
          <w:highlight w:val="none"/>
          <w:lang w:eastAsia="zh-CN"/>
        </w:rPr>
        <w:t xml:space="preserve"> 供应商应完整地按招标文件提供的投标文件格式及要求编写投标文件，根据平台关联点上传对应佐证资料，投标文件应包括“开标一览表及资格证明文件”和“商务及技术文件”两部分，两部分合并成完整一册上传至政采云平台。供应商应承担</w:t>
      </w:r>
      <w:r>
        <w:rPr>
          <w:rFonts w:hint="eastAsia" w:ascii="宋体" w:hAnsi="宋体" w:eastAsia="宋体" w:cs="宋体"/>
          <w:b/>
          <w:bCs/>
          <w:color w:val="auto"/>
          <w:sz w:val="24"/>
          <w:highlight w:val="none"/>
          <w:lang w:val="en-US" w:eastAsia="zh-CN"/>
        </w:rPr>
        <w:t>上传</w:t>
      </w:r>
      <w:r>
        <w:rPr>
          <w:rFonts w:hint="eastAsia" w:ascii="宋体" w:hAnsi="宋体" w:eastAsia="宋体" w:cs="宋体"/>
          <w:b/>
          <w:bCs/>
          <w:color w:val="auto"/>
          <w:sz w:val="24"/>
          <w:highlight w:val="none"/>
          <w:lang w:eastAsia="zh-CN"/>
        </w:rPr>
        <w:t>失误产生的任何后果。</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9.2    上述文件应按照招标文件规定的格式填写、签署和盖章。</w:t>
      </w:r>
      <w:bookmarkEnd w:id="317"/>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318" w:name="_Toc6978"/>
      <w:bookmarkStart w:id="319" w:name="_Toc14035"/>
      <w:bookmarkStart w:id="320" w:name="_Toc30354"/>
      <w:bookmarkStart w:id="321" w:name="_Toc22195"/>
      <w:bookmarkStart w:id="322" w:name="_Toc12338"/>
      <w:bookmarkStart w:id="323" w:name="_Toc17715"/>
      <w:bookmarkStart w:id="324" w:name="_Toc515647769"/>
      <w:bookmarkStart w:id="325" w:name="_Toc12121"/>
      <w:bookmarkStart w:id="326" w:name="_Toc520356153"/>
      <w:bookmarkStart w:id="327" w:name="_Toc10379"/>
      <w:bookmarkStart w:id="328" w:name="_Toc15151"/>
      <w:bookmarkStart w:id="329" w:name="_Toc17150"/>
      <w:bookmarkStart w:id="330" w:name="_Toc2056"/>
      <w:bookmarkStart w:id="331" w:name="_Toc4601"/>
      <w:bookmarkStart w:id="332" w:name="_Toc10584"/>
      <w:bookmarkStart w:id="333" w:name="_Toc516367023"/>
      <w:bookmarkStart w:id="334" w:name="_Toc19928"/>
      <w:bookmarkStart w:id="335" w:name="_Toc18045"/>
      <w:bookmarkStart w:id="336" w:name="_Toc26241"/>
      <w:bookmarkStart w:id="337" w:name="_Toc31216"/>
      <w:bookmarkStart w:id="338" w:name="_Toc15768"/>
      <w:bookmarkStart w:id="339" w:name="_Toc9764"/>
      <w:bookmarkStart w:id="340" w:name="_Toc13757"/>
      <w:bookmarkStart w:id="341" w:name="_Toc17541"/>
      <w:bookmarkStart w:id="342" w:name="_Toc32268"/>
      <w:bookmarkStart w:id="343" w:name="_Toc32499"/>
      <w:bookmarkStart w:id="344" w:name="_Toc6734"/>
      <w:bookmarkStart w:id="345" w:name="_Toc1879"/>
      <w:bookmarkStart w:id="346" w:name="_Toc23028"/>
      <w:r>
        <w:rPr>
          <w:rFonts w:hint="eastAsia" w:ascii="宋体" w:hAnsi="宋体" w:eastAsia="宋体" w:cs="宋体"/>
          <w:color w:val="auto"/>
          <w:sz w:val="24"/>
          <w:highlight w:val="none"/>
          <w:lang w:eastAsia="zh-CN"/>
        </w:rPr>
        <w:t>10.</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证明投标的的合格性和符合招标文件规定的技术文件</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Pr>
          <w:rFonts w:hint="eastAsia" w:ascii="宋体" w:hAnsi="宋体" w:eastAsia="宋体" w:cs="宋体"/>
          <w:color w:val="auto"/>
          <w:sz w:val="24"/>
          <w:highlight w:val="none"/>
          <w:lang w:eastAsia="zh-CN"/>
        </w:rPr>
        <w:t>。</w:t>
      </w:r>
      <w:bookmarkEnd w:id="334"/>
      <w:bookmarkEnd w:id="335"/>
      <w:bookmarkEnd w:id="336"/>
      <w:bookmarkEnd w:id="337"/>
      <w:bookmarkEnd w:id="338"/>
      <w:bookmarkEnd w:id="339"/>
      <w:bookmarkEnd w:id="340"/>
      <w:bookmarkEnd w:id="341"/>
      <w:bookmarkEnd w:id="342"/>
      <w:bookmarkEnd w:id="343"/>
      <w:bookmarkEnd w:id="344"/>
      <w:bookmarkEnd w:id="345"/>
      <w:bookmarkEnd w:id="346"/>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10.1</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供应商应提交证明文件，证明其投标内容符合招标文件规定。该证明文件是投标文件的一部分。</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347" w:name="_Ref467306244"/>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上款所述的证明文件，可以是文字资料、图纸和数据，</w:t>
      </w:r>
      <w:bookmarkEnd w:id="347"/>
      <w:r>
        <w:rPr>
          <w:rFonts w:hint="eastAsia" w:ascii="宋体" w:hAnsi="宋体" w:eastAsia="宋体" w:cs="宋体"/>
          <w:color w:val="auto"/>
          <w:sz w:val="24"/>
          <w:highlight w:val="none"/>
          <w:lang w:eastAsia="zh-CN"/>
        </w:rPr>
        <w:t>它包括：</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10.2.1</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lang w:eastAsia="zh-CN"/>
        </w:rPr>
        <w:t>主要技术指标的详细说明；</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10.2.2</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lang w:eastAsia="zh-CN"/>
        </w:rPr>
        <w:t>从买方开始使用至谈判文件规定的保质期内正常、连续地使用所必须的备件和专用工具清单，包括备件和专用工具的货源及现行价格；</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10.2.3</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对照招标文件技术规格，逐条说明所提供</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lang w:eastAsia="zh-CN"/>
        </w:rPr>
        <w:t>及伴随的工程和货物已对招标文件的技术规格做出了实质性的响应，或申明与技术规格条文的偏差和例外。</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10.3</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供应商在投标中可以选用替代牌号或分类号，但这些替代要实质上相当于技术规格的要求。采购人、采购代理机构承诺不以上述参照品牌型号或分类号作为评标时判定其投标是否有效的标准。</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348" w:name="_Toc23231"/>
      <w:bookmarkStart w:id="349" w:name="_Toc520356155"/>
      <w:bookmarkStart w:id="350" w:name="_Toc14799"/>
      <w:bookmarkStart w:id="351" w:name="_Toc301"/>
      <w:bookmarkStart w:id="352" w:name="_Toc2248"/>
      <w:bookmarkStart w:id="353" w:name="_Toc5144"/>
      <w:bookmarkStart w:id="354" w:name="_Toc28480"/>
      <w:bookmarkStart w:id="355" w:name="_Toc29220"/>
      <w:bookmarkStart w:id="356" w:name="_Toc30467"/>
      <w:bookmarkStart w:id="357" w:name="_Toc24095"/>
      <w:bookmarkStart w:id="358" w:name="_Toc30792"/>
      <w:bookmarkStart w:id="359" w:name="_Toc7791"/>
      <w:bookmarkStart w:id="360" w:name="_Toc25118"/>
      <w:bookmarkStart w:id="361" w:name="_Toc16452"/>
      <w:bookmarkStart w:id="362" w:name="_Toc11160"/>
      <w:bookmarkStart w:id="363" w:name="_Toc515647770"/>
      <w:bookmarkStart w:id="364" w:name="_Toc21396"/>
      <w:bookmarkStart w:id="365" w:name="_Toc3868"/>
      <w:bookmarkStart w:id="366" w:name="_Toc9374"/>
      <w:bookmarkStart w:id="367" w:name="_Toc8365"/>
      <w:bookmarkStart w:id="368" w:name="_Toc25641"/>
      <w:bookmarkStart w:id="369" w:name="_Toc26145"/>
      <w:bookmarkStart w:id="370" w:name="_Toc16481"/>
      <w:bookmarkStart w:id="371" w:name="_Toc21031"/>
      <w:bookmarkStart w:id="372" w:name="_Toc29204"/>
      <w:bookmarkStart w:id="373" w:name="_Toc6338"/>
      <w:bookmarkStart w:id="374" w:name="_Toc10596"/>
      <w:bookmarkStart w:id="375" w:name="_Toc24468"/>
      <w:r>
        <w:rPr>
          <w:rFonts w:hint="eastAsia" w:ascii="宋体" w:hAnsi="宋体" w:eastAsia="宋体" w:cs="宋体"/>
          <w:color w:val="auto"/>
          <w:sz w:val="24"/>
          <w:highlight w:val="none"/>
          <w:lang w:eastAsia="zh-CN"/>
        </w:rPr>
        <w:t>11.投标报价</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11.1</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所有投标均以人民币报价。供应商的投标报价应遵守《中华人民共和国价格法》。同时，根据《中华人民共和国政府采购法》第二条的规定，为保证公平竞争，如有主体部分的赠与行为，其投标将被认定为</w:t>
      </w:r>
      <w:r>
        <w:rPr>
          <w:rFonts w:hint="eastAsia" w:ascii="宋体" w:hAnsi="宋体" w:eastAsia="宋体" w:cs="宋体"/>
          <w:b/>
          <w:bCs/>
          <w:color w:val="auto"/>
          <w:sz w:val="24"/>
          <w:highlight w:val="none"/>
          <w:lang w:eastAsia="zh-CN"/>
        </w:rPr>
        <w:t>投标无效</w:t>
      </w:r>
      <w:r>
        <w:rPr>
          <w:rFonts w:hint="eastAsia" w:ascii="宋体" w:hAnsi="宋体" w:eastAsia="宋体" w:cs="宋体"/>
          <w:color w:val="auto"/>
          <w:sz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11.2</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供应商应在投标分项报价表上标明投标相关</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lang w:eastAsia="zh-CN"/>
        </w:rPr>
        <w:t>的单价（如适用）和总价，并由法定代表人或其授权代表签署。</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11.3</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投标分项报价表上的价格应按下列方式填写；</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11.4</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供应商所报的各分项投标单价在合同履行过程中是固定不变的，不得以任何理由予以变更。任何包含价格调整要求的投标，其投标将被认定为</w:t>
      </w:r>
      <w:r>
        <w:rPr>
          <w:rFonts w:hint="eastAsia" w:ascii="宋体" w:hAnsi="宋体" w:eastAsia="宋体" w:cs="宋体"/>
          <w:b/>
          <w:bCs/>
          <w:color w:val="auto"/>
          <w:sz w:val="24"/>
          <w:highlight w:val="none"/>
          <w:lang w:eastAsia="zh-CN"/>
        </w:rPr>
        <w:t>投标无效</w:t>
      </w:r>
      <w:r>
        <w:rPr>
          <w:rFonts w:hint="eastAsia" w:ascii="宋体" w:hAnsi="宋体" w:eastAsia="宋体" w:cs="宋体"/>
          <w:color w:val="auto"/>
          <w:sz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11.5</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每种</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lang w:eastAsia="zh-CN"/>
        </w:rPr>
        <w:t>只能有一个投标报价。采购人不接受具有附加条件的报价。</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376" w:name="_Toc10329"/>
      <w:bookmarkStart w:id="377" w:name="_Toc15349"/>
      <w:bookmarkStart w:id="378" w:name="_Toc28149"/>
      <w:bookmarkStart w:id="379" w:name="_Toc23784"/>
      <w:bookmarkStart w:id="380" w:name="_Toc17788"/>
      <w:bookmarkStart w:id="381" w:name="_Toc11514"/>
      <w:bookmarkStart w:id="382" w:name="_Toc401"/>
      <w:bookmarkStart w:id="383" w:name="_Toc23768"/>
      <w:bookmarkStart w:id="384" w:name="_Ref467306513"/>
      <w:bookmarkStart w:id="385" w:name="_Toc30245"/>
      <w:bookmarkStart w:id="386" w:name="_Toc25003"/>
      <w:bookmarkStart w:id="387" w:name="_Toc24205"/>
      <w:bookmarkStart w:id="388" w:name="_Toc520356156"/>
      <w:bookmarkStart w:id="389" w:name="_Toc1683"/>
      <w:bookmarkStart w:id="390" w:name="_Toc230"/>
      <w:bookmarkStart w:id="391" w:name="_Toc21719"/>
      <w:bookmarkStart w:id="392" w:name="_Toc19603"/>
      <w:bookmarkStart w:id="393" w:name="_Toc9261"/>
      <w:bookmarkStart w:id="394" w:name="_Toc18556"/>
      <w:bookmarkStart w:id="395" w:name="_Toc1123"/>
      <w:bookmarkStart w:id="396" w:name="_Toc3670"/>
      <w:bookmarkStart w:id="397" w:name="_Toc515647771"/>
      <w:bookmarkStart w:id="398" w:name="_Toc30871"/>
      <w:bookmarkStart w:id="399" w:name="_Toc23666"/>
      <w:bookmarkStart w:id="400" w:name="_Toc22722"/>
      <w:bookmarkStart w:id="401" w:name="_Toc22499"/>
      <w:bookmarkStart w:id="402" w:name="_Toc24283"/>
      <w:bookmarkStart w:id="403" w:name="_Toc28730"/>
      <w:bookmarkStart w:id="404" w:name="_Toc5648"/>
      <w:r>
        <w:rPr>
          <w:rFonts w:hint="eastAsia" w:ascii="宋体" w:hAnsi="宋体" w:eastAsia="宋体" w:cs="宋体"/>
          <w:color w:val="auto"/>
          <w:sz w:val="24"/>
          <w:highlight w:val="none"/>
          <w:lang w:eastAsia="zh-CN"/>
        </w:rPr>
        <w:t>12.投标保证金</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405" w:name="_Ref467306302"/>
      <w:r>
        <w:rPr>
          <w:rFonts w:hint="eastAsia" w:ascii="宋体" w:hAnsi="宋体" w:eastAsia="宋体" w:cs="宋体"/>
          <w:color w:val="auto"/>
          <w:sz w:val="24"/>
          <w:highlight w:val="none"/>
          <w:lang w:eastAsia="zh-CN"/>
        </w:rPr>
        <w:t>12.1</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供应商应提交供应商须知资料表中规定的投标保证金</w:t>
      </w:r>
      <w:bookmarkEnd w:id="405"/>
      <w:r>
        <w:rPr>
          <w:rFonts w:hint="eastAsia" w:ascii="宋体" w:hAnsi="宋体" w:eastAsia="宋体" w:cs="宋体"/>
          <w:color w:val="auto"/>
          <w:sz w:val="24"/>
          <w:highlight w:val="none"/>
          <w:lang w:eastAsia="zh-CN"/>
        </w:rPr>
        <w:t>，并作为其投标的一部分。</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12.2</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供应商存在下列情形的，投标保证金不予退还：</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（1）在投标有效期内，撤销投标的；</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（2）中标后不按本须知第30条的规定与采购人签订合同的；</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（3）中标后不按本须知第31条的规定提交履约保证金的；</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（4）中标后不按本须知第32条的规定缴纳中标服务费的；</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（5）存在其他违法违规行为的。</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406" w:name="_Ref467306336"/>
      <w:r>
        <w:rPr>
          <w:rFonts w:hint="eastAsia" w:ascii="宋体" w:hAnsi="宋体" w:eastAsia="宋体" w:cs="宋体"/>
          <w:color w:val="auto"/>
          <w:sz w:val="24"/>
          <w:highlight w:val="none"/>
          <w:lang w:eastAsia="zh-CN"/>
        </w:rPr>
        <w:t>12.3</w:t>
      </w:r>
      <w:r>
        <w:rPr>
          <w:rFonts w:hint="eastAsia" w:ascii="宋体" w:hAnsi="宋体" w:eastAsia="宋体" w:cs="宋体"/>
          <w:color w:val="auto"/>
          <w:sz w:val="24"/>
          <w:highlight w:val="none"/>
          <w:lang w:eastAsia="zh-CN"/>
        </w:rPr>
        <w:tab/>
      </w:r>
      <w:bookmarkEnd w:id="406"/>
      <w:r>
        <w:rPr>
          <w:rFonts w:hint="eastAsia" w:ascii="宋体" w:hAnsi="宋体" w:eastAsia="宋体" w:cs="宋体"/>
          <w:color w:val="auto"/>
          <w:sz w:val="24"/>
          <w:highlight w:val="none"/>
          <w:lang w:eastAsia="zh-CN"/>
        </w:rPr>
        <w:t>政府采购信用担保试点范围内的项目，接受符合财政部门规定的政府采购投标担开户行银行保函原件。</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12.4</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供应商未按本须知第12.1和12.3条规定提交投标保证金的，其投标将被认定为</w:t>
      </w:r>
      <w:r>
        <w:rPr>
          <w:rFonts w:hint="eastAsia" w:ascii="宋体" w:hAnsi="宋体" w:eastAsia="宋体" w:cs="宋体"/>
          <w:b/>
          <w:bCs/>
          <w:color w:val="auto"/>
          <w:sz w:val="24"/>
          <w:highlight w:val="none"/>
          <w:lang w:eastAsia="zh-CN"/>
        </w:rPr>
        <w:t>投标无效。</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12.4.1  采用电汇形式的，一般可以实时入账。</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招标文件的第22.2条相关规定处理。</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12.5   联合体投标的，可以由联合体中的一方或者共同提交投标保证金。以一方名义提交投标保证金的，对联合体各方均具有约束力。</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12.6</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投标保证金的退还</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12.6.1  中标人应在与采购人签订合同之日起5个工作日内，及时联系保证金收受机构办理投标保证金无息退还手续。</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12.6.2  未中标供应商的投标保证金将在中标通知书发出之日暨中标结果公告公布之日起5个工作日内无息退还。供应商应及时联系保证金收受机构办理退还投标保证金手续。</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12.6.3  政府采购投标担开户行银行保函不予退回。</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12.7    因供应商自身原因导致无法及时退还的，采购人或采购代理机构将不承担相应责任。</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407" w:name="_Toc3714"/>
      <w:bookmarkStart w:id="408" w:name="_Toc1977"/>
      <w:bookmarkStart w:id="409" w:name="_Toc18019"/>
      <w:bookmarkStart w:id="410" w:name="_Toc28650"/>
      <w:bookmarkStart w:id="411" w:name="_Toc27008"/>
      <w:bookmarkStart w:id="412" w:name="_Toc11132"/>
      <w:bookmarkStart w:id="413" w:name="_Toc7349"/>
      <w:bookmarkStart w:id="414" w:name="_Toc520356157"/>
      <w:bookmarkStart w:id="415" w:name="_Toc1255"/>
      <w:bookmarkStart w:id="416" w:name="_Toc9858"/>
      <w:bookmarkStart w:id="417" w:name="_Toc23590"/>
      <w:bookmarkStart w:id="418" w:name="_Toc24994"/>
      <w:bookmarkStart w:id="419" w:name="_Toc32569"/>
      <w:bookmarkStart w:id="420" w:name="_Toc27999"/>
      <w:bookmarkStart w:id="421" w:name="_Toc32685"/>
      <w:bookmarkStart w:id="422" w:name="_Toc12107"/>
      <w:bookmarkStart w:id="423" w:name="_Toc13507"/>
      <w:bookmarkStart w:id="424" w:name="_Toc3538"/>
      <w:bookmarkStart w:id="425" w:name="_Toc12947"/>
      <w:bookmarkStart w:id="426" w:name="_Toc17927"/>
      <w:bookmarkStart w:id="427" w:name="_Toc31306"/>
      <w:bookmarkStart w:id="428" w:name="_Toc13589"/>
      <w:bookmarkStart w:id="429" w:name="_Toc30519"/>
      <w:bookmarkStart w:id="430" w:name="_Toc3015"/>
      <w:bookmarkStart w:id="431" w:name="_Toc23657"/>
      <w:bookmarkStart w:id="432" w:name="_Toc515647772"/>
      <w:bookmarkStart w:id="433" w:name="_Toc19152"/>
      <w:bookmarkStart w:id="434" w:name="_Toc1719"/>
      <w:r>
        <w:rPr>
          <w:rFonts w:hint="eastAsia" w:ascii="宋体" w:hAnsi="宋体" w:eastAsia="宋体" w:cs="宋体"/>
          <w:color w:val="auto"/>
          <w:sz w:val="24"/>
          <w:highlight w:val="none"/>
          <w:lang w:eastAsia="zh-CN"/>
        </w:rPr>
        <w:t>13.投标有效期</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13.1</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投标应在供应商须知资料表中规定时间内保持有效。投标有效期不满足要求的投标，其投标将被认定为</w:t>
      </w:r>
      <w:r>
        <w:rPr>
          <w:rFonts w:hint="eastAsia" w:ascii="宋体" w:hAnsi="宋体" w:eastAsia="宋体" w:cs="宋体"/>
          <w:b/>
          <w:bCs/>
          <w:color w:val="auto"/>
          <w:sz w:val="24"/>
          <w:highlight w:val="none"/>
          <w:lang w:eastAsia="zh-CN"/>
        </w:rPr>
        <w:t>投标无效</w:t>
      </w:r>
      <w:r>
        <w:rPr>
          <w:rFonts w:hint="eastAsia" w:ascii="宋体" w:hAnsi="宋体" w:eastAsia="宋体" w:cs="宋体"/>
          <w:color w:val="auto"/>
          <w:sz w:val="24"/>
          <w:highlight w:val="none"/>
          <w:lang w:eastAsia="zh-CN"/>
        </w:rPr>
        <w:t>。</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13.2</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无息退还。上述要求和答复都应以书面形式提交。</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435" w:name="_Toc520356158"/>
      <w:bookmarkStart w:id="436" w:name="_Toc4425"/>
      <w:bookmarkStart w:id="437" w:name="_Toc17074"/>
      <w:bookmarkStart w:id="438" w:name="_Toc6302"/>
      <w:bookmarkStart w:id="439" w:name="_Toc3823"/>
      <w:bookmarkStart w:id="440" w:name="_Toc10565"/>
      <w:bookmarkStart w:id="441" w:name="_Toc3558"/>
      <w:bookmarkStart w:id="442" w:name="_Toc27307"/>
      <w:bookmarkStart w:id="443" w:name="_Toc493"/>
      <w:bookmarkStart w:id="444" w:name="_Toc28956"/>
      <w:bookmarkStart w:id="445" w:name="_Toc25316"/>
      <w:bookmarkStart w:id="446" w:name="_Toc10391"/>
      <w:bookmarkStart w:id="447" w:name="_Toc87"/>
      <w:bookmarkStart w:id="448" w:name="_Toc11669"/>
      <w:bookmarkStart w:id="449" w:name="_Toc6801"/>
      <w:bookmarkStart w:id="450" w:name="_Toc30127"/>
      <w:bookmarkStart w:id="451" w:name="_Toc515647773"/>
      <w:bookmarkStart w:id="452" w:name="_Toc29619"/>
      <w:bookmarkStart w:id="453" w:name="_Toc16503"/>
      <w:bookmarkStart w:id="454" w:name="_Toc24787"/>
      <w:bookmarkStart w:id="455" w:name="_Toc11337"/>
      <w:bookmarkStart w:id="456" w:name="_Toc27840"/>
      <w:bookmarkStart w:id="457" w:name="_Toc6286"/>
      <w:bookmarkStart w:id="458" w:name="_Toc9672"/>
      <w:r>
        <w:rPr>
          <w:rFonts w:hint="eastAsia" w:ascii="宋体" w:hAnsi="宋体" w:eastAsia="宋体" w:cs="宋体"/>
          <w:color w:val="auto"/>
          <w:sz w:val="24"/>
          <w:highlight w:val="none"/>
          <w:lang w:eastAsia="zh-CN"/>
        </w:rPr>
        <w:t>14.投标文件的签署</w:t>
      </w:r>
      <w:bookmarkEnd w:id="435"/>
      <w:r>
        <w:rPr>
          <w:rFonts w:hint="eastAsia" w:ascii="宋体" w:hAnsi="宋体" w:eastAsia="宋体" w:cs="宋体"/>
          <w:color w:val="auto"/>
          <w:sz w:val="24"/>
          <w:highlight w:val="none"/>
          <w:lang w:eastAsia="zh-CN"/>
        </w:rPr>
        <w:t>及规定</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14.1</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供应商应按供应商须知资料表中的规定，准备和</w:t>
      </w:r>
      <w:r>
        <w:rPr>
          <w:rFonts w:hint="eastAsia" w:ascii="宋体" w:hAnsi="宋体" w:eastAsia="宋体" w:cs="宋体"/>
          <w:color w:val="auto"/>
          <w:sz w:val="24"/>
          <w:highlight w:val="none"/>
          <w:lang w:val="en-US" w:eastAsia="zh-CN"/>
        </w:rPr>
        <w:t>上传</w:t>
      </w:r>
      <w:r>
        <w:rPr>
          <w:rFonts w:hint="eastAsia" w:ascii="宋体" w:hAnsi="宋体" w:eastAsia="宋体" w:cs="宋体"/>
          <w:color w:val="auto"/>
          <w:sz w:val="24"/>
          <w:highlight w:val="none"/>
          <w:lang w:eastAsia="zh-CN"/>
        </w:rPr>
        <w:t>投标文件。</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14.2</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投标文件由供应商的法定代表人或经其正式委托代理人按招标文件规定在投标文件上签字或盖章并加盖单位印章。委托代理人须持有书面的“法定代表人授权委托书”，并将其附在投标文件中。如对投标文件进行了修改，则应由供应商的法定代表人或其委托代理人在每一修改处签字。</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14.3   投标文件因字迹潦草、表达不清所引起的后果由供应商负责。</w:t>
      </w:r>
      <w:bookmarkStart w:id="459" w:name="_Toc11179"/>
      <w:bookmarkStart w:id="460" w:name="_Toc16865"/>
      <w:bookmarkStart w:id="461" w:name="_Toc515647774"/>
      <w:bookmarkStart w:id="462" w:name="_Toc520356159"/>
      <w:bookmarkStart w:id="463" w:name="_Toc216582808"/>
    </w:p>
    <w:p>
      <w:pPr>
        <w:pStyle w:val="23"/>
        <w:rPr>
          <w:rFonts w:ascii="微软雅黑" w:hAnsi="微软雅黑" w:eastAsia="微软雅黑" w:cs="微软雅黑"/>
          <w:color w:val="auto"/>
          <w:sz w:val="24"/>
          <w:highlight w:val="none"/>
        </w:rPr>
      </w:pPr>
    </w:p>
    <w:p>
      <w:pPr>
        <w:pStyle w:val="4"/>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szCs w:val="24"/>
          <w:highlight w:val="none"/>
        </w:rPr>
      </w:pPr>
      <w:bookmarkStart w:id="464" w:name="_Toc30935"/>
      <w:bookmarkStart w:id="465" w:name="_Toc25125"/>
      <w:bookmarkStart w:id="466" w:name="_Toc29582"/>
      <w:r>
        <w:rPr>
          <w:rFonts w:hint="eastAsia" w:ascii="宋体" w:hAnsi="宋体" w:eastAsia="宋体" w:cs="宋体"/>
          <w:color w:val="auto"/>
          <w:sz w:val="24"/>
          <w:szCs w:val="24"/>
          <w:highlight w:val="none"/>
        </w:rPr>
        <w:t>四   投标文件的递交</w:t>
      </w:r>
      <w:bookmarkEnd w:id="459"/>
      <w:bookmarkEnd w:id="460"/>
      <w:bookmarkEnd w:id="461"/>
      <w:bookmarkEnd w:id="462"/>
      <w:bookmarkEnd w:id="463"/>
      <w:bookmarkEnd w:id="464"/>
      <w:bookmarkEnd w:id="465"/>
      <w:bookmarkEnd w:id="466"/>
    </w:p>
    <w:p>
      <w:pPr>
        <w:rPr>
          <w:rFonts w:ascii="微软雅黑" w:hAnsi="微软雅黑" w:eastAsia="微软雅黑" w:cs="微软雅黑"/>
          <w:color w:val="auto"/>
          <w:highlight w:val="none"/>
        </w:rPr>
      </w:pP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jc w:val="both"/>
        <w:textAlignment w:val="baseline"/>
        <w:outlineLvl w:val="9"/>
        <w:rPr>
          <w:rFonts w:hint="eastAsia" w:ascii="宋体" w:hAnsi="宋体" w:eastAsia="宋体" w:cs="宋体"/>
          <w:color w:val="auto"/>
          <w:sz w:val="24"/>
          <w:highlight w:val="none"/>
          <w:lang w:eastAsia="zh-CN"/>
        </w:rPr>
      </w:pPr>
      <w:bookmarkStart w:id="467" w:name="_Toc26050"/>
      <w:bookmarkStart w:id="468" w:name="_Toc5761"/>
      <w:bookmarkStart w:id="469" w:name="_Toc1280"/>
      <w:bookmarkStart w:id="470" w:name="_Toc8561"/>
      <w:bookmarkStart w:id="471" w:name="_Toc11198"/>
      <w:bookmarkStart w:id="472" w:name="_Toc1906"/>
      <w:bookmarkStart w:id="473" w:name="_Toc8129"/>
      <w:bookmarkStart w:id="474" w:name="_Toc18363"/>
      <w:bookmarkStart w:id="475" w:name="_Toc14401"/>
      <w:bookmarkStart w:id="476" w:name="_Toc2920"/>
      <w:r>
        <w:rPr>
          <w:rFonts w:hint="eastAsia" w:ascii="宋体" w:hAnsi="宋体" w:eastAsia="宋体" w:cs="宋体"/>
          <w:color w:val="auto"/>
          <w:sz w:val="24"/>
          <w:highlight w:val="none"/>
          <w:lang w:val="en-US" w:eastAsia="zh-CN"/>
        </w:rPr>
        <w:t xml:space="preserve">15 .    </w:t>
      </w:r>
      <w:r>
        <w:rPr>
          <w:rFonts w:hint="eastAsia" w:ascii="宋体" w:hAnsi="宋体" w:eastAsia="宋体" w:cs="宋体"/>
          <w:color w:val="auto"/>
          <w:sz w:val="24"/>
          <w:highlight w:val="none"/>
          <w:lang w:eastAsia="zh-CN"/>
        </w:rPr>
        <w:t>投标文件的</w:t>
      </w:r>
      <w:r>
        <w:rPr>
          <w:rFonts w:hint="eastAsia" w:ascii="宋体" w:hAnsi="宋体" w:eastAsia="宋体" w:cs="宋体"/>
          <w:color w:val="auto"/>
          <w:sz w:val="24"/>
          <w:highlight w:val="none"/>
          <w:lang w:val="en-US" w:eastAsia="zh-CN"/>
        </w:rPr>
        <w:t>上传</w:t>
      </w:r>
      <w:r>
        <w:rPr>
          <w:rFonts w:hint="eastAsia" w:ascii="宋体" w:hAnsi="宋体" w:eastAsia="宋体" w:cs="宋体"/>
          <w:color w:val="auto"/>
          <w:sz w:val="24"/>
          <w:highlight w:val="none"/>
          <w:lang w:eastAsia="zh-CN"/>
        </w:rPr>
        <w:t>和标记</w:t>
      </w:r>
      <w:bookmarkEnd w:id="467"/>
      <w:bookmarkEnd w:id="468"/>
      <w:bookmarkEnd w:id="469"/>
      <w:bookmarkEnd w:id="470"/>
      <w:bookmarkEnd w:id="471"/>
      <w:bookmarkEnd w:id="472"/>
      <w:bookmarkEnd w:id="473"/>
      <w:bookmarkEnd w:id="474"/>
      <w:bookmarkEnd w:id="475"/>
      <w:bookmarkEnd w:id="476"/>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15.1  为方便开启，供应商应将投标文件第一部分和第二部分的内容合并装订成一册，</w:t>
      </w:r>
      <w:r>
        <w:rPr>
          <w:rFonts w:hint="eastAsia" w:ascii="宋体" w:hAnsi="宋体" w:eastAsia="宋体" w:cs="宋体"/>
          <w:color w:val="auto"/>
          <w:sz w:val="24"/>
          <w:highlight w:val="none"/>
          <w:lang w:val="en-US" w:eastAsia="zh-CN"/>
        </w:rPr>
        <w:t>上传</w:t>
      </w:r>
      <w:r>
        <w:rPr>
          <w:rFonts w:hint="eastAsia" w:ascii="宋体" w:hAnsi="宋体" w:eastAsia="宋体" w:cs="宋体"/>
          <w:color w:val="auto"/>
          <w:sz w:val="24"/>
          <w:highlight w:val="none"/>
          <w:lang w:eastAsia="zh-CN"/>
        </w:rPr>
        <w:t>提交。</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15.2   如果供应商未按上述要求标记的，将承担相应的后果。</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477" w:name="_Toc22574"/>
      <w:bookmarkStart w:id="478" w:name="_Toc9893"/>
      <w:bookmarkStart w:id="479" w:name="_Toc24708"/>
      <w:bookmarkStart w:id="480" w:name="_Toc16308"/>
      <w:bookmarkStart w:id="481" w:name="_Toc7925"/>
      <w:bookmarkStart w:id="482" w:name="_Toc23034"/>
      <w:bookmarkStart w:id="483" w:name="_Toc7697"/>
      <w:bookmarkStart w:id="484" w:name="_Toc17998"/>
      <w:bookmarkStart w:id="485" w:name="_Toc679"/>
      <w:bookmarkStart w:id="486" w:name="_Toc20612"/>
      <w:r>
        <w:rPr>
          <w:rFonts w:hint="eastAsia" w:ascii="宋体" w:hAnsi="宋体" w:eastAsia="宋体" w:cs="宋体"/>
          <w:color w:val="auto"/>
          <w:sz w:val="24"/>
          <w:highlight w:val="none"/>
          <w:lang w:eastAsia="zh-CN"/>
        </w:rPr>
        <w:t>16.投标截止</w:t>
      </w:r>
      <w:bookmarkEnd w:id="477"/>
      <w:bookmarkEnd w:id="478"/>
      <w:bookmarkEnd w:id="479"/>
      <w:bookmarkEnd w:id="480"/>
      <w:bookmarkEnd w:id="481"/>
      <w:bookmarkEnd w:id="482"/>
      <w:bookmarkEnd w:id="483"/>
      <w:bookmarkEnd w:id="484"/>
      <w:bookmarkEnd w:id="485"/>
      <w:bookmarkEnd w:id="486"/>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16.1</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供应商应在供应商须知资料表中规定的投标截止时间前，将投标文件上传到公开招标公告中规定的地点。</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16.2</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采购人和采购代理机构有权按本须知的规定，延迟投标截止时间。在此情况下，采购人、采购代理机构和供应商受投标截止时间制约的所有权利和义务均应延长至新的截止时间。</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16.3</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采购人和采购代理机构将拒绝接收在投标截止时间后上传的投标文件。</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487" w:name="_Toc11854"/>
      <w:bookmarkStart w:id="488" w:name="_Toc79"/>
      <w:bookmarkStart w:id="489" w:name="_Toc17866"/>
      <w:bookmarkStart w:id="490" w:name="_Toc23097"/>
      <w:bookmarkStart w:id="491" w:name="_Toc27778"/>
      <w:bookmarkStart w:id="492" w:name="_Toc29765"/>
      <w:bookmarkStart w:id="493" w:name="_Toc22638"/>
      <w:bookmarkStart w:id="494" w:name="_Toc3514"/>
      <w:bookmarkStart w:id="495" w:name="_Toc16566"/>
      <w:bookmarkStart w:id="496" w:name="_Toc704"/>
      <w:r>
        <w:rPr>
          <w:rFonts w:hint="eastAsia" w:ascii="宋体" w:hAnsi="宋体" w:eastAsia="宋体" w:cs="宋体"/>
          <w:color w:val="auto"/>
          <w:sz w:val="24"/>
          <w:highlight w:val="none"/>
          <w:lang w:eastAsia="zh-CN"/>
        </w:rPr>
        <w:t>17.投标文件的接收、修改与撤回</w:t>
      </w:r>
      <w:bookmarkEnd w:id="487"/>
      <w:bookmarkEnd w:id="488"/>
      <w:bookmarkEnd w:id="489"/>
      <w:bookmarkEnd w:id="490"/>
      <w:bookmarkEnd w:id="491"/>
      <w:bookmarkEnd w:id="492"/>
      <w:bookmarkEnd w:id="493"/>
      <w:bookmarkEnd w:id="494"/>
      <w:bookmarkEnd w:id="495"/>
      <w:bookmarkEnd w:id="496"/>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17.1</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在投标截止时间后上传的投标文件的，采购人和采购代理机构将拒绝接收。</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17.2</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上传投标文件以后，如果供应商要进行修改或撤回</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，供应商对投标文件的修改或撤回通知应按本须知规定编制、标记。采购人和采购代理机构将予以接收，并视为投标文件的组成部分。</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17</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在投标截止期之后，采购人和采购代理机构不接受供应商主动对其投标文件做任何修改。</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17.4</w:t>
      </w:r>
      <w:r>
        <w:rPr>
          <w:rFonts w:hint="eastAsia" w:ascii="宋体" w:hAnsi="宋体" w:eastAsia="宋体" w:cs="宋体"/>
          <w:color w:val="auto"/>
          <w:sz w:val="24"/>
          <w:highlight w:val="none"/>
          <w:lang w:eastAsia="zh-CN"/>
        </w:rPr>
        <w:tab/>
      </w:r>
      <w:r>
        <w:rPr>
          <w:rFonts w:hint="eastAsia" w:ascii="宋体" w:hAnsi="宋体" w:eastAsia="宋体" w:cs="宋体"/>
          <w:color w:val="auto"/>
          <w:sz w:val="24"/>
          <w:highlight w:val="none"/>
          <w:lang w:eastAsia="zh-CN"/>
        </w:rPr>
        <w:t>采购人和采购代理机构对所接收投标文件概不退回。</w:t>
      </w:r>
    </w:p>
    <w:p>
      <w:pPr>
        <w:pageBreakBefore w:val="0"/>
        <w:widowControl w:val="0"/>
        <w:kinsoku/>
        <w:wordWrap/>
        <w:overflowPunct/>
        <w:topLinePunct w:val="0"/>
        <w:bidi w:val="0"/>
        <w:spacing w:before="0" w:line="360" w:lineRule="exact"/>
        <w:ind w:left="0" w:leftChars="0" w:hanging="540"/>
        <w:textAlignment w:val="auto"/>
        <w:outlineLvl w:val="9"/>
        <w:rPr>
          <w:rFonts w:hint="eastAsia" w:ascii="宋体" w:hAnsi="宋体" w:eastAsia="宋体" w:cs="宋体"/>
          <w:color w:val="auto"/>
          <w:sz w:val="24"/>
          <w:szCs w:val="24"/>
          <w:highlight w:val="none"/>
        </w:rPr>
      </w:pPr>
    </w:p>
    <w:p>
      <w:pPr>
        <w:pStyle w:val="4"/>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szCs w:val="24"/>
          <w:highlight w:val="none"/>
        </w:rPr>
      </w:pPr>
      <w:bookmarkStart w:id="497" w:name="_Toc10548"/>
      <w:bookmarkStart w:id="498" w:name="_Toc12049"/>
      <w:r>
        <w:rPr>
          <w:rFonts w:hint="eastAsia" w:ascii="宋体" w:hAnsi="宋体" w:eastAsia="宋体" w:cs="宋体"/>
          <w:color w:val="auto"/>
          <w:sz w:val="24"/>
          <w:szCs w:val="24"/>
          <w:highlight w:val="none"/>
        </w:rPr>
        <w:t>五   开标及评标</w:t>
      </w:r>
      <w:bookmarkEnd w:id="69"/>
      <w:bookmarkEnd w:id="70"/>
      <w:bookmarkEnd w:id="71"/>
      <w:bookmarkEnd w:id="72"/>
      <w:bookmarkEnd w:id="73"/>
      <w:bookmarkEnd w:id="74"/>
      <w:bookmarkEnd w:id="497"/>
      <w:bookmarkEnd w:id="498"/>
    </w:p>
    <w:p>
      <w:pPr>
        <w:pageBreakBefore w:val="0"/>
        <w:kinsoku/>
        <w:wordWrap/>
        <w:overflowPunct/>
        <w:topLinePunct w:val="0"/>
        <w:bidi w:val="0"/>
        <w:spacing w:line="360" w:lineRule="exact"/>
        <w:rPr>
          <w:rFonts w:hint="eastAsia" w:ascii="宋体" w:hAnsi="宋体" w:eastAsia="宋体" w:cs="宋体"/>
          <w:color w:val="auto"/>
          <w:sz w:val="24"/>
          <w:szCs w:val="24"/>
          <w:highlight w:val="none"/>
        </w:rPr>
      </w:pP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499" w:name="_Toc515647779"/>
      <w:bookmarkStart w:id="500" w:name="_Toc2886"/>
      <w:bookmarkStart w:id="501" w:name="_Toc25345"/>
      <w:bookmarkStart w:id="502" w:name="_Toc10643"/>
      <w:bookmarkStart w:id="503" w:name="_Toc1738"/>
      <w:bookmarkStart w:id="504" w:name="_Toc17685"/>
      <w:bookmarkStart w:id="505" w:name="_Toc10415"/>
      <w:bookmarkStart w:id="506" w:name="_Toc4771"/>
      <w:bookmarkStart w:id="507" w:name="_Toc17546"/>
      <w:bookmarkStart w:id="508" w:name="_Toc28057"/>
      <w:bookmarkStart w:id="509" w:name="_Toc24922"/>
      <w:bookmarkStart w:id="510" w:name="_Toc11726"/>
      <w:bookmarkStart w:id="511" w:name="_Toc31572"/>
      <w:bookmarkStart w:id="512" w:name="_Toc520356164"/>
      <w:bookmarkStart w:id="513" w:name="_Toc23987"/>
      <w:bookmarkStart w:id="514" w:name="_Toc11144"/>
      <w:bookmarkStart w:id="515" w:name="_Toc9432"/>
      <w:bookmarkStart w:id="516" w:name="_Toc4378"/>
      <w:bookmarkStart w:id="517" w:name="_Toc21418"/>
      <w:bookmarkStart w:id="518" w:name="_Toc23772"/>
      <w:bookmarkStart w:id="519" w:name="_Toc7186"/>
      <w:bookmarkStart w:id="520" w:name="_Toc4423"/>
      <w:bookmarkStart w:id="521" w:name="_Toc63"/>
      <w:bookmarkStart w:id="522" w:name="_Toc4385"/>
      <w:bookmarkStart w:id="523" w:name="_Toc9474"/>
      <w:bookmarkStart w:id="524" w:name="_Toc32409"/>
      <w:bookmarkStart w:id="525" w:name="_Toc520356165"/>
      <w:bookmarkStart w:id="526" w:name="_Toc10746"/>
      <w:bookmarkStart w:id="527" w:name="_Toc18228"/>
      <w:bookmarkStart w:id="528" w:name="_Toc22792"/>
      <w:bookmarkStart w:id="529" w:name="_Toc21372"/>
      <w:bookmarkStart w:id="530" w:name="_Toc26266"/>
      <w:bookmarkStart w:id="531" w:name="_Toc28586"/>
      <w:bookmarkStart w:id="532" w:name="_Toc4063"/>
      <w:bookmarkStart w:id="533" w:name="_Toc18233"/>
      <w:bookmarkStart w:id="534" w:name="_Toc16864"/>
      <w:bookmarkStart w:id="535" w:name="_Toc5052"/>
      <w:bookmarkStart w:id="536" w:name="_Toc3080"/>
      <w:bookmarkStart w:id="537" w:name="_Toc515647780"/>
      <w:bookmarkStart w:id="538" w:name="_Toc2316"/>
      <w:bookmarkStart w:id="539" w:name="_Toc10550"/>
      <w:bookmarkStart w:id="540" w:name="_Toc19296"/>
      <w:bookmarkStart w:id="541" w:name="_Toc21667"/>
      <w:bookmarkStart w:id="542" w:name="_Toc22770"/>
      <w:r>
        <w:rPr>
          <w:rFonts w:hint="eastAsia" w:hAnsi="宋体" w:cs="宋体"/>
          <w:b/>
          <w:bCs/>
          <w:color w:val="auto"/>
          <w:sz w:val="24"/>
          <w:szCs w:val="24"/>
          <w:highlight w:val="none"/>
          <w:u w:val="none"/>
          <w:lang w:val="en-US" w:eastAsia="zh-CN"/>
        </w:rPr>
        <w:t>18.</w:t>
      </w:r>
      <w:r>
        <w:rPr>
          <w:rFonts w:hint="eastAsia" w:ascii="宋体" w:hAnsi="宋体" w:eastAsia="宋体" w:cs="宋体"/>
          <w:b/>
          <w:bCs/>
          <w:color w:val="auto"/>
          <w:sz w:val="24"/>
          <w:szCs w:val="24"/>
          <w:highlight w:val="none"/>
          <w:u w:val="none"/>
        </w:rPr>
        <w:t>开标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bookmarkEnd w:id="525"/>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bookmarkStart w:id="543" w:name="_Toc8996"/>
      <w:bookmarkStart w:id="544" w:name="_Toc24046"/>
      <w:bookmarkStart w:id="545" w:name="_Toc13596"/>
      <w:bookmarkStart w:id="546" w:name="_Toc24244"/>
      <w:bookmarkStart w:id="547" w:name="_Toc23873"/>
      <w:bookmarkStart w:id="548" w:name="_Toc11617"/>
      <w:bookmarkStart w:id="549" w:name="_Toc1687"/>
      <w:r>
        <w:rPr>
          <w:rFonts w:hint="eastAsia" w:ascii="宋体" w:hAnsi="宋体" w:eastAsia="宋体" w:cs="宋体"/>
          <w:color w:val="auto"/>
          <w:sz w:val="24"/>
          <w:highlight w:val="none"/>
          <w:lang w:val="en-US" w:eastAsia="zh-CN"/>
        </w:rPr>
        <w:t>18.1</w:t>
      </w:r>
      <w:r>
        <w:rPr>
          <w:rFonts w:hint="eastAsia" w:ascii="宋体" w:hAnsi="宋体" w:eastAsia="宋体" w:cs="宋体"/>
          <w:color w:val="auto"/>
          <w:sz w:val="24"/>
          <w:highlight w:val="none"/>
          <w:lang w:eastAsia="zh-CN"/>
        </w:rPr>
        <w:t>供应商按照须知资料表中规定的开标时间和地点，在规定时间内上传投标文件。</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18.2</w:t>
      </w:r>
      <w:r>
        <w:rPr>
          <w:rFonts w:hint="eastAsia" w:ascii="宋体" w:hAnsi="宋体" w:eastAsia="宋体" w:cs="宋体"/>
          <w:color w:val="auto"/>
          <w:sz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 xml:space="preserve">，将被认定为无效投标。请供应商提前调试好CA锁，确定在操作时能正常使用。  </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18.3</w:t>
      </w:r>
      <w:r>
        <w:rPr>
          <w:rFonts w:hint="eastAsia" w:ascii="宋体" w:hAnsi="宋体" w:eastAsia="宋体" w:cs="宋体"/>
          <w:color w:val="auto"/>
          <w:sz w:val="24"/>
          <w:highlight w:val="none"/>
          <w:lang w:eastAsia="zh-CN"/>
        </w:rPr>
        <w:t>在开标记录时，代理机构开启签字时段，须供应商使用CA锁在政采云平台进行签字确认报价。</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18.4</w:t>
      </w:r>
      <w:r>
        <w:rPr>
          <w:rFonts w:hint="eastAsia" w:ascii="宋体" w:hAnsi="宋体" w:eastAsia="宋体" w:cs="宋体"/>
          <w:color w:val="auto"/>
          <w:sz w:val="24"/>
          <w:highlight w:val="none"/>
          <w:lang w:eastAsia="zh-CN"/>
        </w:rPr>
        <w:t>采购人登录政采云平台对供应商的资格证明材料进行审查。</w:t>
      </w: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lang w:eastAsia="zh-CN"/>
        </w:rPr>
      </w:pPr>
      <w:bookmarkStart w:id="550" w:name="_Toc30996"/>
      <w:bookmarkStart w:id="551" w:name="_Toc10614"/>
      <w:r>
        <w:rPr>
          <w:rFonts w:hint="eastAsia" w:hAnsi="宋体" w:cs="宋体"/>
          <w:b/>
          <w:bCs/>
          <w:color w:val="auto"/>
          <w:sz w:val="24"/>
          <w:szCs w:val="24"/>
          <w:highlight w:val="none"/>
          <w:u w:val="none"/>
          <w:lang w:val="en-US" w:eastAsia="zh-CN"/>
        </w:rPr>
        <w:t>19.</w:t>
      </w:r>
      <w:r>
        <w:rPr>
          <w:rFonts w:hint="eastAsia" w:ascii="宋体" w:hAnsi="宋体" w:eastAsia="宋体" w:cs="宋体"/>
          <w:b/>
          <w:bCs/>
          <w:color w:val="auto"/>
          <w:sz w:val="24"/>
          <w:szCs w:val="24"/>
          <w:highlight w:val="none"/>
          <w:u w:val="none"/>
          <w:lang w:eastAsia="zh-CN"/>
        </w:rPr>
        <w:t>资格审查及组建评标委员会</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20" w:leftChars="0" w:hanging="720" w:hangingChars="300"/>
        <w:jc w:val="both"/>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19.1</w:t>
      </w:r>
      <w:r>
        <w:rPr>
          <w:rFonts w:hint="eastAsia" w:ascii="宋体" w:hAnsi="宋体" w:eastAsia="宋体" w:cs="宋体"/>
          <w:color w:val="auto"/>
          <w:sz w:val="24"/>
          <w:szCs w:val="24"/>
          <w:highlight w:val="none"/>
          <w:lang w:eastAsia="zh-CN"/>
        </w:rPr>
        <w:t xml:space="preserve"> 采购人或采购代理机构依据法律法规和招标文件中规定的内容，对供应商及其服务的资格进行审查，本项目审查内容如下：</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60" w:lineRule="exact"/>
        <w:ind w:left="718" w:leftChars="342" w:firstLine="0" w:firstLineChars="0"/>
        <w:jc w:val="both"/>
        <w:textAlignment w:val="baseline"/>
        <w:rPr>
          <w:rFonts w:hint="eastAsia" w:ascii="宋体" w:hAnsi="宋体" w:eastAsia="宋体" w:cs="宋体"/>
          <w:b/>
          <w:bCs/>
          <w:color w:val="auto"/>
          <w:sz w:val="24"/>
          <w:szCs w:val="24"/>
          <w:highlight w:val="none"/>
        </w:rPr>
      </w:pPr>
      <w:r>
        <w:rPr>
          <w:rFonts w:hint="eastAsia" w:ascii="宋体" w:hAnsi="宋体" w:eastAsia="宋体" w:cs="宋体"/>
          <w:b/>
          <w:bCs/>
          <w:i w:val="0"/>
          <w:caps w:val="0"/>
          <w:color w:val="auto"/>
          <w:spacing w:val="0"/>
          <w:w w:val="100"/>
          <w:sz w:val="24"/>
          <w:szCs w:val="24"/>
          <w:highlight w:val="none"/>
        </w:rPr>
        <w:t>本项目</w:t>
      </w:r>
      <w:r>
        <w:rPr>
          <w:rFonts w:hint="eastAsia" w:ascii="宋体" w:hAnsi="宋体" w:eastAsia="宋体" w:cs="宋体"/>
          <w:b/>
          <w:bCs/>
          <w:i w:val="0"/>
          <w:caps w:val="0"/>
          <w:color w:val="auto"/>
          <w:spacing w:val="0"/>
          <w:w w:val="100"/>
          <w:sz w:val="24"/>
          <w:szCs w:val="24"/>
          <w:highlight w:val="none"/>
          <w:lang w:val="en-US" w:eastAsia="zh-CN"/>
        </w:rPr>
        <w:t>资格审查资料须附在投标文件中</w:t>
      </w:r>
      <w:r>
        <w:rPr>
          <w:rFonts w:hint="eastAsia" w:ascii="宋体" w:hAnsi="宋体" w:eastAsia="宋体" w:cs="宋体"/>
          <w:b/>
          <w:bCs/>
          <w:i w:val="0"/>
          <w:caps w:val="0"/>
          <w:color w:val="auto"/>
          <w:spacing w:val="0"/>
          <w:w w:val="100"/>
          <w:sz w:val="24"/>
          <w:szCs w:val="24"/>
          <w:highlight w:val="none"/>
        </w:rPr>
        <w:t>：</w:t>
      </w:r>
    </w:p>
    <w:p>
      <w:pPr>
        <w:keepNext w:val="0"/>
        <w:keepLines w:val="0"/>
        <w:pageBreakBefore w:val="0"/>
        <w:widowControl/>
        <w:numPr>
          <w:ilvl w:val="0"/>
          <w:numId w:val="6"/>
        </w:numPr>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合格有效的三证合一的营业执照（三证合一）或电子营业执照（需加盖公章）或同等法律效力的证明文件（发证机关或公证机关出具的证明材料）</w:t>
      </w:r>
      <w:r>
        <w:rPr>
          <w:rFonts w:hint="eastAsia" w:ascii="宋体" w:hAnsi="宋体" w:cs="宋体"/>
          <w:b/>
          <w:bCs/>
          <w:color w:val="auto"/>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法定代表人资格证明及授权书、被授权人身份证(法定代表人投标需提供法定代表人身份证)；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3</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提供近两年内任意一年的财务审计报告（新成立</w:t>
      </w:r>
      <w:r>
        <w:rPr>
          <w:rFonts w:hint="eastAsia" w:ascii="宋体" w:hAnsi="宋体" w:eastAsia="宋体" w:cs="宋体"/>
          <w:b/>
          <w:bCs/>
          <w:color w:val="auto"/>
          <w:sz w:val="24"/>
          <w:szCs w:val="24"/>
          <w:highlight w:val="none"/>
          <w:lang w:val="en-US" w:eastAsia="zh-CN"/>
        </w:rPr>
        <w:t>未满一年</w:t>
      </w:r>
      <w:r>
        <w:rPr>
          <w:rFonts w:hint="eastAsia" w:ascii="宋体" w:hAnsi="宋体" w:cs="宋体"/>
          <w:b/>
          <w:bCs/>
          <w:i w:val="0"/>
          <w:caps w:val="0"/>
          <w:color w:val="auto"/>
          <w:spacing w:val="0"/>
          <w:w w:val="100"/>
          <w:sz w:val="24"/>
          <w:szCs w:val="24"/>
          <w:highlight w:val="none"/>
          <w:lang w:val="en-US" w:eastAsia="zh-CN"/>
        </w:rPr>
        <w:t>的新公司可提供近三个月内任意一个月的银行资信证明）</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4</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依法缴纳近六个月内任意一个月社会保险证明</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5</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依法缴纳近六个月内任意一个月税收证明</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6</w:t>
      </w:r>
      <w:r>
        <w:rPr>
          <w:rFonts w:hint="eastAsia" w:ascii="宋体" w:hAnsi="宋体" w:eastAsia="宋体" w:cs="宋体"/>
          <w:b/>
          <w:bCs/>
          <w:i w:val="0"/>
          <w:caps w:val="0"/>
          <w:color w:val="auto"/>
          <w:spacing w:val="0"/>
          <w:w w:val="100"/>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w:t>
      </w:r>
      <w:r>
        <w:rPr>
          <w:rFonts w:hint="eastAsia" w:ascii="宋体" w:hAnsi="宋体" w:cs="宋体"/>
          <w:b/>
          <w:bCs/>
          <w:i w:val="0"/>
          <w:caps w:val="0"/>
          <w:color w:val="auto"/>
          <w:spacing w:val="0"/>
          <w:w w:val="100"/>
          <w:sz w:val="24"/>
          <w:szCs w:val="24"/>
          <w:highlight w:val="none"/>
          <w:lang w:val="en-US" w:eastAsia="zh-CN"/>
        </w:rPr>
        <w:t>列入严重违法失信名单（黑名单）信息；将拒绝其参加本次招标活动</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以采购代理机构或采购人查询为准</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7</w:t>
      </w:r>
      <w:r>
        <w:rPr>
          <w:rFonts w:hint="eastAsia" w:ascii="宋体" w:hAnsi="宋体" w:eastAsia="宋体" w:cs="宋体"/>
          <w:b/>
          <w:bCs/>
          <w:i w:val="0"/>
          <w:caps w:val="0"/>
          <w:color w:val="auto"/>
          <w:spacing w:val="0"/>
          <w:w w:val="100"/>
          <w:sz w:val="24"/>
          <w:szCs w:val="24"/>
          <w:highlight w:val="none"/>
          <w:lang w:val="en-US" w:eastAsia="zh-CN"/>
        </w:rPr>
        <w:t>）参与政府采购活动前3年内未被列入失信、重大税收违法案件、财政部门禁止参加政府采购活动的承诺书；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8</w:t>
      </w:r>
      <w:r>
        <w:rPr>
          <w:rFonts w:hint="eastAsia" w:ascii="宋体" w:hAnsi="宋体" w:eastAsia="宋体" w:cs="宋体"/>
          <w:b/>
          <w:bCs/>
          <w:i w:val="0"/>
          <w:caps w:val="0"/>
          <w:color w:val="auto"/>
          <w:spacing w:val="0"/>
          <w:w w:val="100"/>
          <w:sz w:val="24"/>
          <w:szCs w:val="24"/>
          <w:highlight w:val="none"/>
          <w:lang w:val="en-US" w:eastAsia="zh-CN"/>
        </w:rPr>
        <w:t>）提供针对本次项目的《反商业贿赂承诺书》</w:t>
      </w:r>
      <w:r>
        <w:rPr>
          <w:rFonts w:hint="eastAsia" w:ascii="宋体" w:hAnsi="宋体" w:eastAsia="宋体" w:cs="宋体"/>
          <w:b/>
          <w:bCs/>
          <w:i w:val="0"/>
          <w:caps w:val="0"/>
          <w:color w:val="auto"/>
          <w:spacing w:val="0"/>
          <w:w w:val="100"/>
          <w:sz w:val="24"/>
          <w:szCs w:val="24"/>
          <w:highlight w:val="none"/>
          <w:lang w:eastAsia="zh-CN"/>
        </w:rPr>
        <w:t>；</w:t>
      </w:r>
    </w:p>
    <w:p>
      <w:pPr>
        <w:pStyle w:val="23"/>
        <w:pageBreakBefore w:val="0"/>
        <w:kinsoku/>
        <w:wordWrap/>
        <w:overflowPunct/>
        <w:topLinePunct w:val="0"/>
        <w:bidi w:val="0"/>
        <w:spacing w:line="360" w:lineRule="exact"/>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9</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eastAsia="宋体" w:cs="宋体"/>
          <w:b/>
          <w:bCs/>
          <w:i w:val="0"/>
          <w:caps w:val="0"/>
          <w:color w:val="auto"/>
          <w:spacing w:val="0"/>
          <w:w w:val="100"/>
          <w:kern w:val="2"/>
          <w:sz w:val="24"/>
          <w:szCs w:val="24"/>
          <w:highlight w:val="none"/>
          <w:lang w:val="en-US" w:eastAsia="zh-CN" w:bidi="ar-SA"/>
        </w:rPr>
        <w:t>缴纳投标保证金的有效凭证。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firstLine="482" w:firstLineChars="20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rPr>
        <w:t>各供应商应注意以下事项：①本项目要求各投标供应商提供“</w:t>
      </w:r>
      <w:r>
        <w:rPr>
          <w:rFonts w:hint="eastAsia" w:ascii="宋体" w:hAnsi="宋体" w:cs="宋体"/>
          <w:b/>
          <w:bCs/>
          <w:i w:val="0"/>
          <w:caps w:val="0"/>
          <w:color w:val="auto"/>
          <w:spacing w:val="0"/>
          <w:w w:val="100"/>
          <w:sz w:val="24"/>
          <w:szCs w:val="24"/>
          <w:highlight w:val="none"/>
          <w:lang w:eastAsia="zh-CN"/>
        </w:rPr>
        <w:t>依法缴纳近六个月内任意一个月税收证明</w:t>
      </w:r>
      <w:r>
        <w:rPr>
          <w:rFonts w:hint="eastAsia" w:ascii="宋体" w:hAnsi="宋体" w:eastAsia="宋体" w:cs="宋体"/>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r>
        <w:rPr>
          <w:rFonts w:hint="eastAsia" w:ascii="宋体" w:hAnsi="宋体" w:eastAsia="宋体" w:cs="宋体"/>
          <w:b/>
          <w:bCs/>
          <w:i w:val="0"/>
          <w:caps w:val="0"/>
          <w:color w:val="auto"/>
          <w:spacing w:val="0"/>
          <w:w w:val="100"/>
          <w:sz w:val="24"/>
          <w:szCs w:val="24"/>
          <w:highlight w:val="none"/>
          <w:lang w:eastAsia="zh-CN"/>
        </w:rPr>
        <w:t>。</w:t>
      </w:r>
    </w:p>
    <w:p>
      <w:pPr>
        <w:pageBreakBefore w:val="0"/>
        <w:widowControl w:val="0"/>
        <w:kinsoku/>
        <w:wordWrap/>
        <w:overflowPunct/>
        <w:topLinePunct w:val="0"/>
        <w:bidi w:val="0"/>
        <w:spacing w:line="360" w:lineRule="exact"/>
        <w:ind w:left="0" w:leftChars="0"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i w:val="0"/>
          <w:caps w:val="0"/>
          <w:color w:val="auto"/>
          <w:spacing w:val="0"/>
          <w:w w:val="100"/>
          <w:sz w:val="24"/>
          <w:szCs w:val="24"/>
          <w:highlight w:val="none"/>
        </w:rPr>
        <w:t>未通过资格审查的供应商不进入评标；通过资格审查的供应商少于不足三家的，不得评标。</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采购人或采购代理机构将在开标前1个工作日至投标截止后1小时的期间内查询</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的信用记录。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存在不良信用记录的，其投标将被认定为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19.2.1 不良信用记录指：供应商在“信用中国”网站（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国家企业信用信息公示系统（http://www.gsxt.gov.cn）”列入严重违法失信企业名单（黑名单）信息截图。</w:t>
      </w:r>
    </w:p>
    <w:p>
      <w:pPr>
        <w:pageBreakBefore w:val="0"/>
        <w:widowControl w:val="0"/>
        <w:kinsoku/>
        <w:wordWrap/>
        <w:overflowPunct/>
        <w:topLinePunct w:val="0"/>
        <w:bidi w:val="0"/>
        <w:spacing w:line="360" w:lineRule="exact"/>
        <w:ind w:left="958" w:leftChars="456"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7"/>
        <w:pageBreakBefore w:val="0"/>
        <w:widowControl w:val="0"/>
        <w:kinsoku/>
        <w:wordWrap/>
        <w:overflowPunct/>
        <w:topLinePunct w:val="0"/>
        <w:bidi w:val="0"/>
        <w:spacing w:line="360" w:lineRule="exact"/>
        <w:ind w:left="849" w:leftChars="0" w:hanging="849" w:hangingChars="354"/>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19.2.2 查询及记录方式：采购人或采购代理机构经办人将查询网页打印、签字并存档备查。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不良信用记录以采购人或采购代理机构查询结果为准。</w:t>
      </w:r>
    </w:p>
    <w:p>
      <w:pPr>
        <w:pStyle w:val="7"/>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在本招标文件规定的查询时间之后，网站信息发生的任何变更均不再作为评标依据。</w:t>
      </w:r>
    </w:p>
    <w:p>
      <w:pPr>
        <w:pStyle w:val="7"/>
        <w:pageBreakBefore w:val="0"/>
        <w:widowControl w:val="0"/>
        <w:kinsoku/>
        <w:wordWrap/>
        <w:overflowPunct/>
        <w:topLinePunct w:val="0"/>
        <w:bidi w:val="0"/>
        <w:spacing w:line="360" w:lineRule="exact"/>
        <w:ind w:left="0" w:leftChars="0" w:firstLine="0"/>
        <w:jc w:val="both"/>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自行提供的与网站信息不一致的其他证明材料亦不作为资格审查依据。</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19.3  </w:t>
      </w:r>
      <w:bookmarkStart w:id="552" w:name="_Toc520356166"/>
      <w:r>
        <w:rPr>
          <w:rFonts w:hint="eastAsia" w:ascii="宋体" w:hAnsi="宋体" w:eastAsia="宋体" w:cs="宋体"/>
          <w:color w:val="auto"/>
          <w:sz w:val="24"/>
          <w:szCs w:val="24"/>
          <w:highlight w:val="none"/>
        </w:rPr>
        <w:t>按照《中华人民共和国政府采购法》、《中华人民共和国政府采购法实施条例》及本项目本级和上级财政部门的有关规定依法组建的评标委员会，负责评标工作。本项目评标委员会由</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人组成</w:t>
      </w:r>
      <w:r>
        <w:rPr>
          <w:rFonts w:hint="eastAsia" w:ascii="宋体" w:hAnsi="宋体" w:eastAsia="宋体" w:cs="宋体"/>
          <w:b/>
          <w:bCs/>
          <w:color w:val="auto"/>
          <w:sz w:val="24"/>
          <w:szCs w:val="24"/>
          <w:highlight w:val="none"/>
        </w:rPr>
        <w:t>（采购人专家</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名，</w:t>
      </w:r>
      <w:r>
        <w:rPr>
          <w:rFonts w:hint="eastAsia" w:ascii="宋体" w:hAnsi="宋体" w:eastAsia="宋体" w:cs="宋体"/>
          <w:b/>
          <w:bCs/>
          <w:color w:val="auto"/>
          <w:sz w:val="24"/>
          <w:szCs w:val="24"/>
          <w:highlight w:val="none"/>
          <w:lang w:val="en-US" w:eastAsia="zh-CN"/>
        </w:rPr>
        <w:t>政采云</w:t>
      </w:r>
      <w:r>
        <w:rPr>
          <w:rFonts w:hint="eastAsia" w:ascii="宋体" w:hAnsi="宋体" w:eastAsia="宋体" w:cs="宋体"/>
          <w:b/>
          <w:bCs/>
          <w:color w:val="auto"/>
          <w:sz w:val="24"/>
          <w:szCs w:val="24"/>
          <w:highlight w:val="none"/>
        </w:rPr>
        <w:t>随机抽取专家</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名）</w:t>
      </w: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553" w:name="_Toc827"/>
      <w:bookmarkStart w:id="554" w:name="_Toc22105"/>
      <w:bookmarkStart w:id="555" w:name="_Toc22736"/>
      <w:bookmarkStart w:id="556" w:name="_Toc515647781"/>
      <w:bookmarkStart w:id="557" w:name="_Toc21876"/>
      <w:bookmarkStart w:id="558" w:name="_Toc19949"/>
      <w:bookmarkStart w:id="559" w:name="_Toc4663"/>
      <w:bookmarkStart w:id="560" w:name="_Toc28479"/>
      <w:bookmarkStart w:id="561" w:name="_Toc14028"/>
      <w:bookmarkStart w:id="562" w:name="_Toc22021"/>
      <w:bookmarkStart w:id="563" w:name="_Toc29500"/>
      <w:bookmarkStart w:id="564" w:name="_Toc4062"/>
      <w:bookmarkStart w:id="565" w:name="_Toc12543"/>
      <w:bookmarkStart w:id="566" w:name="_Toc31534"/>
      <w:bookmarkStart w:id="567" w:name="_Toc32378"/>
      <w:bookmarkStart w:id="568" w:name="_Toc13892"/>
      <w:bookmarkStart w:id="569" w:name="_Toc14377"/>
      <w:bookmarkStart w:id="570" w:name="_Toc7962"/>
      <w:bookmarkStart w:id="571" w:name="_Toc19094"/>
      <w:bookmarkStart w:id="572" w:name="_Toc3936"/>
      <w:bookmarkStart w:id="573" w:name="_Toc22009"/>
      <w:bookmarkStart w:id="574" w:name="_Toc8432"/>
      <w:bookmarkStart w:id="575" w:name="_Toc13448"/>
      <w:bookmarkStart w:id="576" w:name="_Toc6771"/>
      <w:bookmarkStart w:id="577" w:name="_Toc10732"/>
      <w:bookmarkStart w:id="578" w:name="_Toc27593"/>
      <w:r>
        <w:rPr>
          <w:rFonts w:hint="eastAsia" w:hAnsi="宋体" w:cs="宋体"/>
          <w:b/>
          <w:bCs/>
          <w:color w:val="auto"/>
          <w:sz w:val="24"/>
          <w:szCs w:val="24"/>
          <w:highlight w:val="none"/>
          <w:u w:val="none"/>
          <w:lang w:val="en-US" w:eastAsia="zh-CN"/>
        </w:rPr>
        <w:t>20.</w:t>
      </w:r>
      <w:r>
        <w:rPr>
          <w:rFonts w:hint="eastAsia" w:ascii="宋体" w:hAnsi="宋体" w:eastAsia="宋体" w:cs="宋体"/>
          <w:b/>
          <w:bCs/>
          <w:color w:val="auto"/>
          <w:sz w:val="24"/>
          <w:szCs w:val="24"/>
          <w:highlight w:val="none"/>
          <w:u w:val="none"/>
        </w:rPr>
        <w:t>投标文件</w:t>
      </w:r>
      <w:bookmarkEnd w:id="552"/>
      <w:r>
        <w:rPr>
          <w:rFonts w:hint="eastAsia" w:ascii="宋体" w:hAnsi="宋体" w:eastAsia="宋体" w:cs="宋体"/>
          <w:b/>
          <w:bCs/>
          <w:color w:val="auto"/>
          <w:sz w:val="24"/>
          <w:szCs w:val="24"/>
          <w:highlight w:val="none"/>
          <w:u w:val="none"/>
        </w:rPr>
        <w:t>符合性审查与澄清</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符合性审查是指依据招标文件的规定，从投标文件的有效性和完整性对招标文件的响应程度进行审查，以确定是否对招标文件的实质性要求做出响应。</w:t>
      </w:r>
      <w:bookmarkStart w:id="579" w:name="_Hlt522424701"/>
      <w:bookmarkEnd w:id="579"/>
      <w:bookmarkStart w:id="580" w:name="_Toc520356167"/>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投标文件的澄清</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20.2.1  在评标期间，评标委员会将以书面方式要求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对其投标文件中含义不明确、对同类问题表述不一致或者有明显文字和计算错误的内容，以及评标委员会认为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的报价明显低于其他通过符合性检查</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的报价，有可能影响履约的情况作必要的澄清、说明或补正。</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的澄清、说明或补正应在评标委员会规定的时间内以书面方式进行，并不得超出投标文件范围或者改变投标文件的实质性内容。</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20.2.2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的的澄清、说明或补正将作为投标文件的一部分。</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投标文件报价出现前后不一致的，按照下列规定修正：</w:t>
      </w:r>
    </w:p>
    <w:p>
      <w:pPr>
        <w:pageBreakBefore w:val="0"/>
        <w:widowControl w:val="0"/>
        <w:kinsoku/>
        <w:wordWrap/>
        <w:overflowPunct/>
        <w:topLinePunct w:val="0"/>
        <w:bidi w:val="0"/>
        <w:spacing w:line="360" w:lineRule="exact"/>
        <w:ind w:left="1020" w:leftChars="0" w:hanging="1020" w:hangingChars="42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（一）投标文件中开标一览表（报价表）内容与投标文件中相应内容不一致的，以开标一览表（报价表）为准；</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　　   （二）大写金额和小写金额</w:t>
      </w:r>
      <w:r>
        <w:rPr>
          <w:rFonts w:hint="eastAsia" w:ascii="宋体" w:hAnsi="宋体" w:eastAsia="宋体" w:cs="宋体"/>
          <w:b w:val="0"/>
          <w:bCs w:val="0"/>
          <w:color w:val="auto"/>
          <w:sz w:val="24"/>
          <w:szCs w:val="24"/>
          <w:highlight w:val="none"/>
        </w:rPr>
        <w:t>不一致的，以大写金额为准；</w:t>
      </w:r>
    </w:p>
    <w:p>
      <w:pPr>
        <w:pageBreakBefore w:val="0"/>
        <w:widowControl w:val="0"/>
        <w:kinsoku/>
        <w:wordWrap/>
        <w:overflowPunct/>
        <w:topLinePunct w:val="0"/>
        <w:bidi w:val="0"/>
        <w:spacing w:line="360" w:lineRule="exact"/>
        <w:ind w:left="1020" w:leftChars="0" w:hanging="1020" w:hangingChars="425"/>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（三）单价金额小数点或者百分比有明显错位的，以开标一览表的总价为准，并修改单价；</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（四）总价金额与按单价汇总金额不一致的，以单价金额计算结果为准。</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同时出现两种以上不一致的，按照前款规定的顺序修正。修正后的报价按照第20.2条的规定经</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不确认的，其投标将被认定为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0" w:leftChars="0" w:firstLine="120" w:firstLineChars="5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对不同文字文本投标文件的解释发生异议的，以中文文本为准。</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   如一个分包内只有一种产品，不同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所投产品为同一品牌的，按如下方式处理：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20.4.1  如本项目使用最低评标价法，提供相同品牌产品的不同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以其中通过资格审查、符合性审查且报价最低的参加评标；报价相同的，由采购人或者采购人委托评标委员会按照招标文件中评标办法规定的方式确定一个参加评标的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；未规定的采取随机抽取方式确定，其他投标将被认定为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20.4.2  如本项目使用综合评分法，提供相同品牌产品且通过资格审查、符合性审查的不同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，按一家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计算，评审后得分最高的同品牌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获得中标人推荐资格；评审得分相同的，由采购人或者采购人委托评标委员会按照招标文件中评标办法规定的方式确定一个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获得中标人推荐资格；未规定的采取随机抽取方式确定，其他同品牌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不作为中标候选人。</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20.5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所投产品如被列入财政部与国家主管部门颁发的节能产品目录或环境标志产品目录或无线局域网产品目录，应提供相关证明，在评标时予以优先采购，具体优先采购办法见第六章评标方法和标准。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如采购人所采购产品为政府强制采购的节能产品，</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所投产品的品牌及型号必须为清单中有效期内产品并提供证明文件，否则其投标将被认定为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581" w:name="_Toc12161"/>
      <w:bookmarkStart w:id="582" w:name="_Toc28830"/>
      <w:bookmarkStart w:id="583" w:name="_Toc10143"/>
      <w:bookmarkStart w:id="584" w:name="_Toc515647782"/>
      <w:bookmarkStart w:id="585" w:name="_Toc630"/>
      <w:bookmarkStart w:id="586" w:name="_Toc6538"/>
      <w:bookmarkStart w:id="587" w:name="_Toc21138"/>
      <w:bookmarkStart w:id="588" w:name="_Toc21796"/>
      <w:bookmarkStart w:id="589" w:name="_Toc27571"/>
      <w:bookmarkStart w:id="590" w:name="_Toc16606"/>
      <w:bookmarkStart w:id="591" w:name="_Toc28431"/>
      <w:bookmarkStart w:id="592" w:name="_Toc9469"/>
      <w:bookmarkStart w:id="593" w:name="_Toc16070"/>
      <w:bookmarkStart w:id="594" w:name="_Toc18062"/>
      <w:bookmarkStart w:id="595" w:name="_Toc1633"/>
      <w:bookmarkStart w:id="596" w:name="_Toc22"/>
      <w:bookmarkStart w:id="597" w:name="_Toc11608"/>
      <w:bookmarkStart w:id="598" w:name="_Toc14269"/>
      <w:bookmarkStart w:id="599" w:name="_Toc7973"/>
      <w:bookmarkStart w:id="600" w:name="_Toc21658"/>
      <w:bookmarkStart w:id="601" w:name="_Toc19042"/>
      <w:bookmarkStart w:id="602" w:name="_Toc29292"/>
      <w:bookmarkStart w:id="603" w:name="_Toc6364"/>
      <w:bookmarkStart w:id="604" w:name="_Toc24344"/>
      <w:bookmarkStart w:id="605" w:name="_Toc5106"/>
      <w:bookmarkStart w:id="606" w:name="_Toc21482"/>
      <w:r>
        <w:rPr>
          <w:rFonts w:hint="eastAsia" w:hAnsi="宋体" w:cs="宋体"/>
          <w:b/>
          <w:bCs/>
          <w:color w:val="auto"/>
          <w:sz w:val="24"/>
          <w:szCs w:val="24"/>
          <w:highlight w:val="none"/>
          <w:u w:val="none"/>
          <w:lang w:val="en-US" w:eastAsia="zh-CN"/>
        </w:rPr>
        <w:t>21</w:t>
      </w:r>
      <w:r>
        <w:rPr>
          <w:rFonts w:hint="eastAsia" w:ascii="宋体" w:hAnsi="宋体" w:eastAsia="宋体" w:cs="宋体"/>
          <w:b/>
          <w:bCs/>
          <w:color w:val="auto"/>
          <w:sz w:val="24"/>
          <w:szCs w:val="24"/>
          <w:highlight w:val="none"/>
          <w:u w:val="none"/>
        </w:rPr>
        <w:t>投标偏离</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pPr>
        <w:pageBreakBefore w:val="0"/>
        <w:widowControl w:val="0"/>
        <w:kinsoku/>
        <w:wordWrap/>
        <w:overflowPunct/>
        <w:topLinePunct w:val="0"/>
        <w:bidi w:val="0"/>
        <w:spacing w:line="360" w:lineRule="exact"/>
        <w:ind w:left="640" w:leftChars="0" w:hanging="640" w:hangingChars="267"/>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评标委员会可以接受投标文件中不构成实质性偏离的不正规或不一致。</w:t>
      </w:r>
      <w:bookmarkStart w:id="607" w:name="_Toc515647783"/>
      <w:bookmarkStart w:id="608" w:name="_Toc6092"/>
      <w:bookmarkStart w:id="609" w:name="_Toc4950"/>
      <w:r>
        <w:rPr>
          <w:rFonts w:hint="eastAsia" w:ascii="宋体" w:hAnsi="宋体" w:eastAsia="宋体" w:cs="宋体"/>
          <w:color w:val="auto"/>
          <w:sz w:val="24"/>
          <w:szCs w:val="24"/>
          <w:highlight w:val="none"/>
          <w:lang w:eastAsia="zh-CN"/>
        </w:rPr>
        <w:t>本项目接受偏离，投标供应商提供参数中出现正偏离加分、负偏离扣</w:t>
      </w:r>
      <w:r>
        <w:rPr>
          <w:rFonts w:hint="eastAsia" w:ascii="宋体" w:hAnsi="宋体" w:eastAsia="宋体" w:cs="宋体"/>
          <w:color w:val="auto"/>
          <w:sz w:val="24"/>
          <w:szCs w:val="24"/>
          <w:highlight w:val="none"/>
          <w:lang w:val="en-US" w:eastAsia="zh-CN"/>
        </w:rPr>
        <w:t>分。</w:t>
      </w: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610" w:name="_Toc26299"/>
      <w:bookmarkStart w:id="611" w:name="_Toc13696"/>
      <w:bookmarkStart w:id="612" w:name="_Toc19922"/>
      <w:bookmarkStart w:id="613" w:name="_Toc18096"/>
      <w:bookmarkStart w:id="614" w:name="_Toc1257"/>
      <w:bookmarkStart w:id="615" w:name="_Toc9594"/>
      <w:bookmarkStart w:id="616" w:name="_Toc12294"/>
      <w:bookmarkStart w:id="617" w:name="_Toc550"/>
      <w:bookmarkStart w:id="618" w:name="_Toc1222"/>
      <w:bookmarkStart w:id="619" w:name="_Toc23335"/>
      <w:bookmarkStart w:id="620" w:name="_Toc3291"/>
      <w:bookmarkStart w:id="621" w:name="_Toc8254"/>
      <w:bookmarkStart w:id="622" w:name="_Toc28742"/>
      <w:bookmarkStart w:id="623" w:name="_Toc4727"/>
      <w:bookmarkStart w:id="624" w:name="_Toc665"/>
      <w:bookmarkStart w:id="625" w:name="_Toc11798"/>
      <w:bookmarkStart w:id="626" w:name="_Toc31472"/>
      <w:bookmarkStart w:id="627" w:name="_Toc7356"/>
      <w:bookmarkStart w:id="628" w:name="_Toc8973"/>
      <w:bookmarkStart w:id="629" w:name="_Toc27144"/>
      <w:bookmarkStart w:id="630" w:name="_Toc20972"/>
      <w:bookmarkStart w:id="631" w:name="_Toc23010"/>
      <w:bookmarkStart w:id="632" w:name="_Toc6553"/>
      <w:r>
        <w:rPr>
          <w:rFonts w:hint="eastAsia" w:hAnsi="宋体" w:cs="宋体"/>
          <w:b/>
          <w:bCs/>
          <w:color w:val="auto"/>
          <w:sz w:val="24"/>
          <w:szCs w:val="24"/>
          <w:highlight w:val="none"/>
          <w:u w:val="none"/>
          <w:lang w:val="en-US" w:eastAsia="zh-CN"/>
        </w:rPr>
        <w:t>22.</w:t>
      </w:r>
      <w:r>
        <w:rPr>
          <w:rFonts w:hint="eastAsia" w:ascii="宋体" w:hAnsi="宋体" w:eastAsia="宋体" w:cs="宋体"/>
          <w:b/>
          <w:bCs/>
          <w:color w:val="auto"/>
          <w:sz w:val="24"/>
          <w:szCs w:val="24"/>
          <w:highlight w:val="none"/>
          <w:u w:val="none"/>
        </w:rPr>
        <w:t>投标</w:t>
      </w:r>
      <w:bookmarkEnd w:id="607"/>
      <w:r>
        <w:rPr>
          <w:rFonts w:hint="eastAsia" w:ascii="宋体" w:hAnsi="宋体" w:eastAsia="宋体" w:cs="宋体"/>
          <w:b/>
          <w:bCs/>
          <w:color w:val="auto"/>
          <w:sz w:val="24"/>
          <w:szCs w:val="24"/>
          <w:highlight w:val="none"/>
          <w:u w:val="none"/>
        </w:rPr>
        <w:t>无效</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不得通过修正或撤销不符合要求的偏离，从而使其投标成为实质上响应的投标。</w:t>
      </w:r>
    </w:p>
    <w:p>
      <w:pPr>
        <w:pageBreakBefore w:val="0"/>
        <w:widowControl w:val="0"/>
        <w:kinsoku/>
        <w:wordWrap/>
        <w:overflowPunct/>
        <w:topLinePunct w:val="0"/>
        <w:bidi w:val="0"/>
        <w:spacing w:line="360" w:lineRule="exact"/>
        <w:ind w:left="718" w:leftChars="342"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评标委员会决定投标的响应性只根据招标文件要求、投标文件内容及财政主管部门指定相关信息发布媒体。</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如发现下列情况之一的，其投标将被认定为投标无效</w:t>
      </w:r>
      <w:r>
        <w:rPr>
          <w:rFonts w:hint="eastAsia" w:ascii="宋体" w:hAnsi="宋体" w:eastAsia="宋体" w:cs="宋体"/>
          <w:color w:val="auto"/>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未按招标文件规定的形式和金额提交投标保证金的；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未按照招标文件规定要求签署、盖章的；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未满足招标文件中技术条款的实质性要求；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与其他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串通投标，或者与</w:t>
      </w: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rPr>
        <w:t>串通投标；</w:t>
      </w:r>
      <w:r>
        <w:rPr>
          <w:rFonts w:hint="eastAsia" w:ascii="宋体" w:hAnsi="宋体" w:eastAsia="宋体" w:cs="宋体"/>
          <w:b/>
          <w:bCs/>
          <w:color w:val="auto"/>
          <w:sz w:val="24"/>
          <w:szCs w:val="24"/>
          <w:highlight w:val="no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81"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属于招标文件规定的其他投标无效情形；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538" w:leftChars="256"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评标委员会认为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的报价明显低于其他通过符合性检查</w:t>
      </w:r>
      <w:r>
        <w:rPr>
          <w:rFonts w:hint="eastAsia" w:ascii="宋体" w:hAnsi="宋体" w:eastAsia="宋体" w:cs="宋体"/>
          <w:b/>
          <w:bCs/>
          <w:color w:val="auto"/>
          <w:sz w:val="24"/>
          <w:szCs w:val="24"/>
          <w:highlight w:val="none"/>
          <w:lang w:eastAsia="zh-CN"/>
        </w:rPr>
        <w:t>供应</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商</w:t>
      </w:r>
      <w:r>
        <w:rPr>
          <w:rFonts w:hint="eastAsia" w:ascii="宋体" w:hAnsi="宋体" w:eastAsia="宋体" w:cs="宋体"/>
          <w:b/>
          <w:bCs/>
          <w:color w:val="auto"/>
          <w:sz w:val="24"/>
          <w:szCs w:val="24"/>
          <w:highlight w:val="none"/>
        </w:rPr>
        <w:t>的报价，有可能影响履约的，且</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未按照规定证明其报价合理性的；</w:t>
      </w:r>
    </w:p>
    <w:p>
      <w:pPr>
        <w:pageBreakBefore w:val="0"/>
        <w:widowControl w:val="0"/>
        <w:numPr>
          <w:ilvl w:val="0"/>
          <w:numId w:val="0"/>
        </w:numPr>
        <w:kinsoku/>
        <w:wordWrap/>
        <w:overflowPunct/>
        <w:topLinePunct w:val="0"/>
        <w:bidi w:val="0"/>
        <w:spacing w:line="360" w:lineRule="exact"/>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投标文件含有采购人不能接受的附加条件的；</w:t>
      </w:r>
    </w:p>
    <w:p>
      <w:pPr>
        <w:pageBreakBefore w:val="0"/>
        <w:widowControl w:val="0"/>
        <w:numPr>
          <w:ilvl w:val="0"/>
          <w:numId w:val="0"/>
        </w:numPr>
        <w:tabs>
          <w:tab w:val="left" w:pos="0"/>
        </w:tabs>
        <w:kinsoku/>
        <w:wordWrap/>
        <w:overflowPunct/>
        <w:topLinePunct w:val="0"/>
        <w:bidi w:val="0"/>
        <w:spacing w:line="360" w:lineRule="exact"/>
        <w:ind w:left="-180" w:leftChars="0" w:firstLine="723" w:firstLineChars="3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不符合法规和招标文件中规定的其他实质性要求的。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22.3   有下列情形之一的，属于恶意串通，对供应商依照政府采购法第七十七条第一款的规定追究法律责任，对采购人、采购代理机构及其工作人员依照政府采购法第七十二条的规定追究法律责任：</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（1）供应商直接或者间接从采购人或者采购代理机构处获得其他供应商的相关情况并修改其投标文件或者投标文件；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（2）供应商按照采购人或者采购代理机构的授意撤换、修改投标文件或者投标文件；</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（3）供应商之间协商报价、技术方案等投标文件或者投标文件的实质性内容；</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（4）属于同一集团、协会、商会等组织成员的供应商按照该组织要求协同参加政府采购活动；</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（5）供应商之间事先约定由某一特定供应商中标、成交；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（6）供应商之间商定部分供应商放弃参加政府采购活动或者放弃中标、成交；</w:t>
      </w:r>
    </w:p>
    <w:p>
      <w:pPr>
        <w:pageBreakBefore w:val="0"/>
        <w:widowControl w:val="0"/>
        <w:kinsoku/>
        <w:wordWrap/>
        <w:overflowPunct/>
        <w:topLinePunct w:val="0"/>
        <w:bidi w:val="0"/>
        <w:spacing w:line="360" w:lineRule="exact"/>
        <w:ind w:left="900" w:leftChars="0" w:hanging="900" w:hangingChars="375"/>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（7）供应商与采购人或者采购代理机构之间、供应商相互之间，为谋求特定供应商中标、成交或者排斥其他供应商的其他串通行为。</w:t>
      </w:r>
    </w:p>
    <w:bookmarkEnd w:id="580"/>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633" w:name="_Toc15400"/>
      <w:bookmarkStart w:id="634" w:name="_Toc4328"/>
      <w:bookmarkStart w:id="635" w:name="_Toc13566"/>
      <w:bookmarkStart w:id="636" w:name="_Toc13652"/>
      <w:bookmarkStart w:id="637" w:name="_Toc20498"/>
      <w:bookmarkStart w:id="638" w:name="_Toc9523"/>
      <w:bookmarkStart w:id="639" w:name="_Toc22267"/>
      <w:bookmarkStart w:id="640" w:name="_Toc13922"/>
      <w:bookmarkStart w:id="641" w:name="_Toc22981"/>
      <w:bookmarkStart w:id="642" w:name="_Toc29015"/>
      <w:bookmarkStart w:id="643" w:name="_Toc2833"/>
      <w:bookmarkStart w:id="644" w:name="_Toc24349"/>
      <w:bookmarkStart w:id="645" w:name="_Toc25837"/>
      <w:bookmarkStart w:id="646" w:name="_Toc515647784"/>
      <w:bookmarkStart w:id="647" w:name="_Toc19116"/>
      <w:bookmarkStart w:id="648" w:name="_Toc32146"/>
      <w:bookmarkStart w:id="649" w:name="_Toc13750"/>
      <w:bookmarkStart w:id="650" w:name="_Toc3877"/>
      <w:bookmarkStart w:id="651" w:name="_Toc18290"/>
      <w:bookmarkStart w:id="652" w:name="_Toc20639"/>
      <w:bookmarkStart w:id="653" w:name="_Toc25606"/>
      <w:bookmarkStart w:id="654" w:name="_Toc16915"/>
      <w:bookmarkStart w:id="655" w:name="_Toc22941"/>
      <w:r>
        <w:rPr>
          <w:rFonts w:hint="eastAsia" w:hAnsi="宋体" w:cs="宋体"/>
          <w:b/>
          <w:bCs/>
          <w:color w:val="auto"/>
          <w:sz w:val="24"/>
          <w:szCs w:val="24"/>
          <w:highlight w:val="none"/>
          <w:u w:val="none"/>
          <w:lang w:val="en-US" w:eastAsia="zh-CN"/>
        </w:rPr>
        <w:t>23.</w:t>
      </w:r>
      <w:r>
        <w:rPr>
          <w:rFonts w:hint="eastAsia" w:ascii="宋体" w:hAnsi="宋体" w:eastAsia="宋体" w:cs="宋体"/>
          <w:b/>
          <w:bCs/>
          <w:color w:val="auto"/>
          <w:sz w:val="24"/>
          <w:szCs w:val="24"/>
          <w:highlight w:val="none"/>
          <w:u w:val="none"/>
        </w:rPr>
        <w:t>比较与评价</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经符合性审查合格的投标文件，评标委员会将根据招标文件确定的评标方法和标准，对其技术部分和商务部分作进一步的比较和评价。</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评标严格按照招标文件的要求和条件进行。根据实际情况，在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中规定采用下列一种评标方法，详细评标标准见招标文件第六章：</w:t>
      </w:r>
    </w:p>
    <w:p>
      <w:pPr>
        <w:pStyle w:val="15"/>
        <w:pageBreakBefore w:val="0"/>
        <w:widowControl w:val="0"/>
        <w:kinsoku/>
        <w:wordWrap/>
        <w:overflowPunct/>
        <w:topLinePunct w:val="0"/>
        <w:bidi w:val="0"/>
        <w:spacing w:line="360" w:lineRule="exact"/>
        <w:ind w:left="239" w:leftChars="114" w:firstLine="31" w:firstLineChars="1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（1）最低评标价法，是指投标文件满足招标文件全部实质性要求，且投标报价最低的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pStyle w:val="15"/>
        <w:pageBreakBefore w:val="0"/>
        <w:widowControl w:val="0"/>
        <w:kinsoku/>
        <w:wordWrap/>
        <w:overflowPunct/>
        <w:topLinePunct w:val="0"/>
        <w:bidi w:val="0"/>
        <w:spacing w:line="360" w:lineRule="exact"/>
        <w:ind w:left="239" w:leftChars="114" w:firstLine="33" w:firstLineChars="1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（2）综合评分法，是指投标文件满足招标文件全部实质性要求，且按照评审因素的量化指标评审得分最高的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为中标候选人的评标方法。</w:t>
      </w:r>
    </w:p>
    <w:p>
      <w:pPr>
        <w:pStyle w:val="23"/>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auto"/>
          <w:spacing w:val="0"/>
          <w:w w:val="100"/>
          <w:sz w:val="24"/>
          <w:szCs w:val="24"/>
          <w:highlight w:val="none"/>
          <w:u w:val="none"/>
          <w:lang w:val="en-US" w:eastAsia="zh-CN"/>
        </w:rPr>
      </w:pPr>
      <w:r>
        <w:rPr>
          <w:rFonts w:hint="eastAsia" w:ascii="宋体" w:hAnsi="宋体" w:cs="宋体"/>
          <w:b/>
          <w:bCs/>
          <w:color w:val="auto"/>
          <w:sz w:val="24"/>
          <w:szCs w:val="24"/>
          <w:highlight w:val="none"/>
          <w:u w:val="none"/>
          <w:lang w:val="en-US" w:eastAsia="zh-CN"/>
        </w:rPr>
        <w:t>本项目</w:t>
      </w:r>
      <w:r>
        <w:rPr>
          <w:rFonts w:hint="eastAsia" w:ascii="宋体" w:hAnsi="宋体" w:eastAsia="宋体" w:cs="宋体"/>
          <w:b/>
          <w:bCs/>
          <w:color w:val="auto"/>
          <w:sz w:val="24"/>
          <w:szCs w:val="24"/>
          <w:highlight w:val="none"/>
          <w:u w:val="none"/>
        </w:rPr>
        <w:t>采用综合评分法</w:t>
      </w:r>
      <w:r>
        <w:rPr>
          <w:rFonts w:hint="eastAsia" w:ascii="宋体" w:hAnsi="宋体" w:eastAsia="宋体" w:cs="宋体"/>
          <w:b/>
          <w:bCs/>
          <w:color w:val="auto"/>
          <w:sz w:val="24"/>
          <w:szCs w:val="24"/>
          <w:highlight w:val="none"/>
          <w:u w:val="none"/>
          <w:lang w:eastAsia="zh-CN"/>
        </w:rPr>
        <w:t>：价格占</w:t>
      </w:r>
      <w:r>
        <w:rPr>
          <w:rFonts w:hint="eastAsia" w:ascii="宋体" w:hAnsi="宋体" w:cs="宋体"/>
          <w:b/>
          <w:bCs/>
          <w:color w:val="auto"/>
          <w:sz w:val="24"/>
          <w:szCs w:val="24"/>
          <w:highlight w:val="none"/>
          <w:u w:val="none"/>
          <w:lang w:val="en-US" w:eastAsia="zh-CN"/>
        </w:rPr>
        <w:t>2</w:t>
      </w:r>
      <w:r>
        <w:rPr>
          <w:rFonts w:hint="eastAsia" w:ascii="宋体" w:hAnsi="宋体" w:eastAsia="宋体" w:cs="宋体"/>
          <w:b/>
          <w:bCs/>
          <w:color w:val="auto"/>
          <w:sz w:val="24"/>
          <w:szCs w:val="24"/>
          <w:highlight w:val="none"/>
          <w:u w:val="none"/>
          <w:lang w:eastAsia="zh-CN"/>
        </w:rPr>
        <w:t>0%，商务占</w:t>
      </w:r>
      <w:r>
        <w:rPr>
          <w:rFonts w:hint="eastAsia" w:ascii="宋体" w:hAnsi="宋体" w:cs="宋体"/>
          <w:b/>
          <w:bCs/>
          <w:color w:val="auto"/>
          <w:sz w:val="24"/>
          <w:szCs w:val="24"/>
          <w:highlight w:val="none"/>
          <w:u w:val="none"/>
          <w:lang w:val="en-US" w:eastAsia="zh-CN"/>
        </w:rPr>
        <w:t>5</w:t>
      </w:r>
      <w:r>
        <w:rPr>
          <w:rFonts w:hint="eastAsia" w:ascii="宋体" w:hAnsi="宋体" w:eastAsia="宋体" w:cs="宋体"/>
          <w:b/>
          <w:bCs/>
          <w:color w:val="auto"/>
          <w:sz w:val="24"/>
          <w:szCs w:val="24"/>
          <w:highlight w:val="none"/>
          <w:u w:val="none"/>
          <w:lang w:eastAsia="zh-CN"/>
        </w:rPr>
        <w:t>%，技术占</w:t>
      </w:r>
      <w:r>
        <w:rPr>
          <w:rFonts w:hint="eastAsia" w:ascii="宋体" w:hAnsi="宋体" w:cs="宋体"/>
          <w:b/>
          <w:bCs/>
          <w:color w:val="auto"/>
          <w:sz w:val="24"/>
          <w:szCs w:val="24"/>
          <w:highlight w:val="none"/>
          <w:u w:val="none"/>
          <w:lang w:val="en-US" w:eastAsia="zh-CN"/>
        </w:rPr>
        <w:t>75</w:t>
      </w: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b/>
          <w:bCs/>
          <w:i w:val="0"/>
          <w:caps w:val="0"/>
          <w:color w:val="auto"/>
          <w:spacing w:val="0"/>
          <w:w w:val="100"/>
          <w:sz w:val="24"/>
          <w:szCs w:val="24"/>
          <w:highlight w:val="none"/>
          <w:u w:val="none"/>
          <w:lang w:val="en-US" w:eastAsia="zh-CN"/>
        </w:rPr>
        <w:t>。</w:t>
      </w:r>
    </w:p>
    <w:p>
      <w:pPr>
        <w:keepNext w:val="0"/>
        <w:keepLines w:val="0"/>
        <w:pageBreakBefore w:val="0"/>
        <w:widowControl/>
        <w:kinsoku/>
        <w:wordWrap/>
        <w:overflowPunct/>
        <w:topLinePunct w:val="0"/>
        <w:autoSpaceDE/>
        <w:autoSpaceDN/>
        <w:bidi w:val="0"/>
        <w:adjustRightInd/>
        <w:spacing w:line="38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u w:val="none"/>
          <w:lang w:val="en-US" w:eastAsia="zh-CN" w:bidi="ar-SA"/>
        </w:rPr>
        <w:t>23.3   本项目</w:t>
      </w:r>
      <w:r>
        <w:rPr>
          <w:rFonts w:hint="eastAsia" w:hAnsi="宋体" w:cs="宋体"/>
          <w:b/>
          <w:bCs/>
          <w:color w:val="auto"/>
          <w:kern w:val="2"/>
          <w:sz w:val="24"/>
          <w:szCs w:val="24"/>
          <w:highlight w:val="none"/>
          <w:u w:val="none"/>
          <w:lang w:val="en-US" w:eastAsia="zh-CN" w:bidi="ar-SA"/>
        </w:rPr>
        <w:t>不专门</w:t>
      </w:r>
      <w:r>
        <w:rPr>
          <w:rFonts w:hint="eastAsia" w:ascii="宋体" w:hAnsi="宋体" w:eastAsia="宋体" w:cs="宋体"/>
          <w:b/>
          <w:bCs/>
          <w:color w:val="auto"/>
          <w:kern w:val="2"/>
          <w:sz w:val="24"/>
          <w:szCs w:val="24"/>
          <w:highlight w:val="none"/>
          <w:u w:val="none"/>
          <w:lang w:val="en-US" w:eastAsia="zh-CN" w:bidi="ar-SA"/>
        </w:rPr>
        <w:t>面向中小企业采购。</w:t>
      </w:r>
      <w:r>
        <w:rPr>
          <w:rFonts w:hint="eastAsia" w:ascii="宋体" w:hAnsi="宋体" w:eastAsia="宋体" w:cs="宋体"/>
          <w:b/>
          <w:bCs/>
          <w:color w:val="auto"/>
          <w:sz w:val="24"/>
          <w:highlight w:val="none"/>
          <w:u w:val="none"/>
          <w:lang w:eastAsia="zh-CN"/>
        </w:rPr>
        <w:t>根据《财政部关于进一步加大政府采</w:t>
      </w:r>
      <w:r>
        <w:rPr>
          <w:rFonts w:hint="eastAsia" w:ascii="宋体" w:hAnsi="宋体" w:eastAsia="宋体" w:cs="宋体"/>
          <w:b/>
          <w:bCs/>
          <w:color w:val="auto"/>
          <w:sz w:val="24"/>
          <w:highlight w:val="none"/>
          <w:lang w:eastAsia="zh-CN"/>
        </w:rPr>
        <w:t>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656" w:name="_Toc20227"/>
      <w:bookmarkStart w:id="657" w:name="_Toc16770"/>
      <w:bookmarkStart w:id="658" w:name="_Toc515647785"/>
      <w:bookmarkStart w:id="659" w:name="_Toc14038"/>
      <w:bookmarkStart w:id="660" w:name="_Toc6053"/>
      <w:bookmarkStart w:id="661" w:name="_Toc30004"/>
      <w:bookmarkStart w:id="662" w:name="_Toc12703"/>
      <w:bookmarkStart w:id="663" w:name="_Toc16371"/>
      <w:bookmarkStart w:id="664" w:name="_Toc7770"/>
      <w:bookmarkStart w:id="665" w:name="_Toc30532"/>
      <w:bookmarkStart w:id="666" w:name="_Toc26540"/>
      <w:bookmarkStart w:id="667" w:name="_Toc9378"/>
      <w:bookmarkStart w:id="668" w:name="_Toc29851"/>
      <w:bookmarkStart w:id="669" w:name="_Toc21133"/>
      <w:bookmarkStart w:id="670" w:name="_Toc31084"/>
      <w:bookmarkStart w:id="671" w:name="_Toc29970"/>
      <w:bookmarkStart w:id="672" w:name="_Toc19218"/>
      <w:bookmarkStart w:id="673" w:name="_Toc6001"/>
      <w:bookmarkStart w:id="674" w:name="_Toc27067"/>
      <w:bookmarkStart w:id="675" w:name="_Toc28349"/>
      <w:bookmarkStart w:id="676" w:name="_Toc14346"/>
      <w:bookmarkStart w:id="677" w:name="_Toc30602"/>
      <w:bookmarkStart w:id="678" w:name="_Toc1505"/>
      <w:bookmarkStart w:id="679" w:name="_Toc23302"/>
      <w:bookmarkStart w:id="680" w:name="_Toc20064"/>
      <w:bookmarkStart w:id="681" w:name="_Toc7858"/>
      <w:r>
        <w:rPr>
          <w:rFonts w:hint="eastAsia" w:hAnsi="宋体" w:cs="宋体"/>
          <w:b/>
          <w:bCs/>
          <w:color w:val="auto"/>
          <w:sz w:val="24"/>
          <w:szCs w:val="24"/>
          <w:highlight w:val="none"/>
          <w:u w:val="none"/>
          <w:lang w:val="en-US" w:eastAsia="zh-CN"/>
        </w:rPr>
        <w:t>24.</w:t>
      </w:r>
      <w:r>
        <w:rPr>
          <w:rFonts w:hint="eastAsia" w:ascii="宋体" w:hAnsi="宋体" w:eastAsia="宋体" w:cs="宋体"/>
          <w:b/>
          <w:bCs/>
          <w:color w:val="auto"/>
          <w:sz w:val="24"/>
          <w:szCs w:val="24"/>
          <w:highlight w:val="none"/>
          <w:u w:val="none"/>
        </w:rPr>
        <w:t>废标</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p>
      <w:pPr>
        <w:pageBreakBefore w:val="0"/>
        <w:widowControl w:val="0"/>
        <w:kinsoku/>
        <w:wordWrap/>
        <w:overflowPunct/>
        <w:topLinePunct w:val="0"/>
        <w:bidi w:val="0"/>
        <w:spacing w:line="360" w:lineRule="exact"/>
        <w:ind w:left="60" w:leftChars="0" w:hanging="60" w:hangingChars="25"/>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24.1</w:t>
      </w:r>
      <w:r>
        <w:rPr>
          <w:rFonts w:hint="eastAsia" w:ascii="宋体" w:hAnsi="宋体" w:eastAsia="宋体" w:cs="宋体"/>
          <w:b/>
          <w:bCs/>
          <w:color w:val="auto"/>
          <w:sz w:val="24"/>
          <w:szCs w:val="24"/>
          <w:highlight w:val="none"/>
        </w:rPr>
        <w:t>出现下列情形之一，将导致项目废标：</w:t>
      </w:r>
      <w:r>
        <w:rPr>
          <w:rFonts w:hint="eastAsia" w:ascii="宋体" w:hAnsi="宋体" w:eastAsia="宋体" w:cs="宋体"/>
          <w:color w:val="auto"/>
          <w:sz w:val="24"/>
          <w:szCs w:val="24"/>
          <w:highlight w:val="none"/>
        </w:rPr>
        <w:t xml:space="preserve"> </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（1）符合专业条件的供应商或者对招标文件做实质性响应的供应商不足三家；</w:t>
      </w:r>
    </w:p>
    <w:p>
      <w:pPr>
        <w:pageBreakBefore w:val="0"/>
        <w:widowControl w:val="0"/>
        <w:kinsoku/>
        <w:wordWrap/>
        <w:overflowPunct/>
        <w:topLinePunct w:val="0"/>
        <w:bidi w:val="0"/>
        <w:spacing w:line="360" w:lineRule="exact"/>
        <w:ind w:left="904" w:leftChars="0" w:hanging="904" w:hangingChars="375"/>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（2）出现影响采购公正的违法、违规行为的；</w:t>
      </w:r>
    </w:p>
    <w:p>
      <w:pPr>
        <w:pageBreakBefore w:val="0"/>
        <w:widowControl w:val="0"/>
        <w:kinsoku/>
        <w:wordWrap/>
        <w:overflowPunct/>
        <w:topLinePunct w:val="0"/>
        <w:bidi w:val="0"/>
        <w:spacing w:line="360" w:lineRule="exact"/>
        <w:ind w:left="0" w:leftChars="0" w:firstLine="843" w:firstLineChars="35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的报价均超过了采购预算，采购人不能支付的；</w:t>
      </w:r>
    </w:p>
    <w:p>
      <w:pPr>
        <w:pageBreakBefore w:val="0"/>
        <w:widowControl w:val="0"/>
        <w:kinsoku/>
        <w:wordWrap/>
        <w:overflowPunct/>
        <w:topLinePunct w:val="0"/>
        <w:bidi w:val="0"/>
        <w:spacing w:line="360" w:lineRule="exact"/>
        <w:ind w:left="0" w:leftChars="0" w:firstLine="843" w:firstLineChars="35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（4）因重大变故，采购任务取消的。  </w:t>
      </w:r>
      <w:r>
        <w:rPr>
          <w:rFonts w:hint="eastAsia" w:ascii="宋体" w:hAnsi="宋体" w:eastAsia="宋体" w:cs="宋体"/>
          <w:color w:val="auto"/>
          <w:sz w:val="24"/>
          <w:szCs w:val="24"/>
          <w:highlight w:val="none"/>
        </w:rPr>
        <w:t xml:space="preserve"> </w:t>
      </w: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682" w:name="_Toc27604"/>
      <w:bookmarkStart w:id="683" w:name="_Toc17702"/>
      <w:bookmarkStart w:id="684" w:name="_Toc9864"/>
      <w:bookmarkStart w:id="685" w:name="_Toc5674"/>
      <w:bookmarkStart w:id="686" w:name="_Toc11422"/>
      <w:bookmarkStart w:id="687" w:name="_Toc21380"/>
      <w:bookmarkStart w:id="688" w:name="_Toc10983"/>
      <w:bookmarkStart w:id="689" w:name="_Toc515647786"/>
      <w:bookmarkStart w:id="690" w:name="_Toc10657"/>
      <w:bookmarkStart w:id="691" w:name="_Toc31289"/>
      <w:bookmarkStart w:id="692" w:name="_Toc3793"/>
      <w:bookmarkStart w:id="693" w:name="_Toc23725"/>
      <w:bookmarkStart w:id="694" w:name="_Toc21697"/>
      <w:bookmarkStart w:id="695" w:name="_Toc11460"/>
      <w:bookmarkStart w:id="696" w:name="_Toc24972"/>
      <w:bookmarkStart w:id="697" w:name="_Toc29646"/>
      <w:bookmarkStart w:id="698" w:name="_Toc25775"/>
      <w:bookmarkStart w:id="699" w:name="_Toc13885"/>
      <w:bookmarkStart w:id="700" w:name="_Toc7638"/>
      <w:bookmarkStart w:id="701" w:name="_Toc13385"/>
      <w:bookmarkStart w:id="702" w:name="_Toc993"/>
      <w:bookmarkStart w:id="703" w:name="_Toc30848"/>
      <w:bookmarkStart w:id="704" w:name="_Toc25957"/>
      <w:bookmarkStart w:id="705" w:name="_Toc3431"/>
      <w:bookmarkStart w:id="706" w:name="_Toc5328"/>
      <w:bookmarkStart w:id="707" w:name="_Toc29790"/>
      <w:bookmarkStart w:id="708" w:name="_Toc520356169"/>
      <w:r>
        <w:rPr>
          <w:rFonts w:hint="eastAsia" w:hAnsi="宋体" w:cs="宋体"/>
          <w:b/>
          <w:bCs/>
          <w:color w:val="auto"/>
          <w:sz w:val="24"/>
          <w:szCs w:val="24"/>
          <w:highlight w:val="none"/>
          <w:u w:val="none"/>
          <w:lang w:val="en-US" w:eastAsia="zh-CN"/>
        </w:rPr>
        <w:t>25.</w:t>
      </w:r>
      <w:r>
        <w:rPr>
          <w:rFonts w:hint="eastAsia" w:ascii="宋体" w:hAnsi="宋体" w:eastAsia="宋体" w:cs="宋体"/>
          <w:b/>
          <w:bCs/>
          <w:color w:val="auto"/>
          <w:sz w:val="24"/>
          <w:szCs w:val="24"/>
          <w:highlight w:val="none"/>
          <w:u w:val="none"/>
        </w:rPr>
        <w:t>保密原则</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评标将在严格保密的情况下进行。</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政府采购评审专家应当遵守评审工作纪律，不得泄露评审文件、评审情况和评审中获悉的商业秘密。</w:t>
      </w:r>
    </w:p>
    <w:p>
      <w:pPr>
        <w:pageBreakBefore w:val="0"/>
        <w:widowControl w:val="0"/>
        <w:kinsoku/>
        <w:wordWrap/>
        <w:overflowPunct/>
        <w:topLinePunct w:val="0"/>
        <w:bidi w:val="0"/>
        <w:spacing w:line="360" w:lineRule="exact"/>
        <w:ind w:left="0" w:leftChars="0" w:hanging="540"/>
        <w:textAlignment w:val="auto"/>
        <w:rPr>
          <w:rFonts w:hint="eastAsia" w:ascii="宋体" w:hAnsi="宋体" w:eastAsia="宋体" w:cs="宋体"/>
          <w:color w:val="auto"/>
          <w:sz w:val="24"/>
          <w:szCs w:val="24"/>
          <w:highlight w:val="none"/>
        </w:rPr>
      </w:pPr>
    </w:p>
    <w:p>
      <w:pPr>
        <w:pStyle w:val="4"/>
        <w:pageBreakBefore w:val="0"/>
        <w:widowControl w:val="0"/>
        <w:kinsoku/>
        <w:wordWrap/>
        <w:overflowPunct/>
        <w:topLinePunct w:val="0"/>
        <w:bidi w:val="0"/>
        <w:spacing w:before="0" w:line="360" w:lineRule="exact"/>
        <w:ind w:left="0" w:leftChars="0" w:hanging="540"/>
        <w:textAlignment w:val="auto"/>
        <w:rPr>
          <w:rFonts w:hint="eastAsia" w:ascii="宋体" w:hAnsi="宋体" w:eastAsia="宋体" w:cs="宋体"/>
          <w:color w:val="auto"/>
          <w:sz w:val="24"/>
          <w:szCs w:val="24"/>
          <w:highlight w:val="none"/>
        </w:rPr>
      </w:pPr>
      <w:bookmarkStart w:id="709" w:name="_Toc31410"/>
      <w:bookmarkStart w:id="710" w:name="_Toc23904"/>
      <w:bookmarkStart w:id="711" w:name="_Toc27430"/>
      <w:bookmarkStart w:id="712" w:name="_Toc21721"/>
      <w:bookmarkStart w:id="713" w:name="_Toc216582810"/>
      <w:bookmarkStart w:id="714" w:name="_Toc515647787"/>
      <w:bookmarkStart w:id="715" w:name="_Toc12143"/>
      <w:r>
        <w:rPr>
          <w:rFonts w:hint="eastAsia" w:ascii="宋体" w:hAnsi="宋体" w:eastAsia="宋体" w:cs="宋体"/>
          <w:color w:val="auto"/>
          <w:sz w:val="24"/>
          <w:szCs w:val="24"/>
          <w:highlight w:val="none"/>
        </w:rPr>
        <w:t xml:space="preserve">六   </w:t>
      </w:r>
      <w:bookmarkEnd w:id="708"/>
      <w:r>
        <w:rPr>
          <w:rFonts w:hint="eastAsia" w:ascii="宋体" w:hAnsi="宋体" w:eastAsia="宋体" w:cs="宋体"/>
          <w:color w:val="auto"/>
          <w:sz w:val="24"/>
          <w:szCs w:val="24"/>
          <w:highlight w:val="none"/>
        </w:rPr>
        <w:t>确定中标</w:t>
      </w:r>
      <w:bookmarkEnd w:id="709"/>
      <w:bookmarkEnd w:id="710"/>
      <w:bookmarkEnd w:id="711"/>
      <w:bookmarkEnd w:id="712"/>
      <w:bookmarkEnd w:id="713"/>
      <w:bookmarkEnd w:id="714"/>
      <w:bookmarkEnd w:id="715"/>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lang w:val="en-US" w:eastAsia="zh-CN"/>
        </w:rPr>
      </w:pPr>
      <w:bookmarkStart w:id="716" w:name="_Toc3604"/>
      <w:bookmarkStart w:id="717" w:name="_Toc28179"/>
      <w:bookmarkStart w:id="718" w:name="_Toc12168"/>
      <w:bookmarkStart w:id="719" w:name="_Toc14800"/>
      <w:bookmarkStart w:id="720" w:name="_Toc23617"/>
      <w:bookmarkStart w:id="721" w:name="_Toc520356170"/>
      <w:bookmarkStart w:id="722" w:name="_Toc515647788"/>
      <w:bookmarkStart w:id="723" w:name="_Toc23762"/>
      <w:bookmarkStart w:id="724" w:name="_Toc30510"/>
      <w:bookmarkStart w:id="725" w:name="_Toc17072"/>
      <w:bookmarkStart w:id="726" w:name="_Ref467307010"/>
      <w:bookmarkStart w:id="727" w:name="_Toc27501"/>
      <w:bookmarkStart w:id="728" w:name="_Toc13936"/>
      <w:bookmarkStart w:id="729" w:name="_Toc6381"/>
      <w:bookmarkStart w:id="730" w:name="_Toc24833"/>
      <w:bookmarkStart w:id="731" w:name="_Toc30741"/>
      <w:bookmarkStart w:id="732" w:name="_Toc22284"/>
      <w:bookmarkStart w:id="733" w:name="_Toc20762"/>
      <w:bookmarkStart w:id="734" w:name="_Toc22054"/>
      <w:bookmarkStart w:id="735" w:name="_Toc26456"/>
      <w:bookmarkStart w:id="736" w:name="_Toc24563"/>
      <w:bookmarkStart w:id="737" w:name="_Toc20061"/>
      <w:bookmarkStart w:id="738" w:name="_Toc31710"/>
      <w:bookmarkStart w:id="739" w:name="_Toc29156"/>
      <w:bookmarkStart w:id="740" w:name="_Toc20567"/>
      <w:bookmarkStart w:id="741" w:name="_Toc154"/>
      <w:bookmarkStart w:id="742" w:name="_Toc24864"/>
      <w:r>
        <w:rPr>
          <w:rFonts w:hint="eastAsia" w:hAnsi="宋体" w:cs="宋体"/>
          <w:b/>
          <w:bCs/>
          <w:color w:val="auto"/>
          <w:sz w:val="24"/>
          <w:szCs w:val="24"/>
          <w:highlight w:val="none"/>
          <w:u w:val="none"/>
          <w:lang w:val="en-US" w:eastAsia="zh-CN"/>
        </w:rPr>
        <w:t>26.</w:t>
      </w:r>
      <w:r>
        <w:rPr>
          <w:rFonts w:hint="eastAsia" w:ascii="宋体" w:hAnsi="宋体" w:eastAsia="宋体" w:cs="宋体"/>
          <w:b/>
          <w:bCs/>
          <w:color w:val="auto"/>
          <w:sz w:val="24"/>
          <w:szCs w:val="24"/>
          <w:highlight w:val="none"/>
          <w:u w:val="none"/>
          <w:lang w:val="en-US" w:eastAsia="zh-CN"/>
        </w:rPr>
        <w:t>中标候选人的确定原则及标准</w:t>
      </w:r>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对实质上响应招标文件的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按下列方法进行排序，确定投标候选人：</w:t>
      </w:r>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bookmarkStart w:id="743" w:name="_Toc520356171"/>
      <w:bookmarkStart w:id="744" w:name="_Toc515647789"/>
      <w:r>
        <w:rPr>
          <w:rFonts w:hint="eastAsia" w:ascii="宋体" w:hAnsi="宋体" w:eastAsia="宋体" w:cs="宋体"/>
          <w:color w:val="auto"/>
          <w:sz w:val="24"/>
          <w:szCs w:val="24"/>
          <w:highlight w:val="none"/>
        </w:rPr>
        <w:t>（1）采用最低评标价法的，除了算术修正和落实政府采购政策需进行的价格扣除外，不对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的投标价格进行任何调整。评标结果按修正和扣除后的投标报价由低到高顺序排列。报价相同的处理方式详见招标文件第6章。</w:t>
      </w:r>
    </w:p>
    <w:p>
      <w:pPr>
        <w:pageBreakBefore w:val="0"/>
        <w:widowControl w:val="0"/>
        <w:kinsoku/>
        <w:wordWrap/>
        <w:overflowPunct/>
        <w:topLinePunct w:val="0"/>
        <w:bidi w:val="0"/>
        <w:spacing w:line="3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（2）采用综合评分法的，评标结果按评审后得分由高到低顺序排列。得分相同的，按修正和扣除后的投标报价由低到高顺序排列。得分与投标报价均相同的处理方式详见招标文件第6章。</w:t>
      </w:r>
    </w:p>
    <w:p>
      <w:pPr>
        <w:pStyle w:val="23"/>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i w:val="0"/>
          <w:caps w:val="0"/>
          <w:color w:val="FF0000"/>
          <w:spacing w:val="0"/>
          <w:w w:val="100"/>
          <w:sz w:val="24"/>
          <w:szCs w:val="24"/>
          <w:highlight w:val="none"/>
          <w:lang w:val="en-US" w:eastAsia="zh-CN"/>
        </w:rPr>
      </w:pPr>
      <w:bookmarkStart w:id="745" w:name="_Toc17933"/>
      <w:bookmarkStart w:id="746" w:name="_Toc15604"/>
      <w:bookmarkStart w:id="747" w:name="_Toc976"/>
      <w:bookmarkStart w:id="748" w:name="_Toc3720"/>
      <w:bookmarkStart w:id="749" w:name="_Toc29803"/>
      <w:bookmarkStart w:id="750" w:name="_Toc24948"/>
      <w:bookmarkStart w:id="751" w:name="_Toc17200"/>
      <w:bookmarkStart w:id="752" w:name="_Toc25274"/>
      <w:bookmarkStart w:id="753" w:name="_Toc11969"/>
      <w:bookmarkStart w:id="754" w:name="_Toc15364"/>
      <w:bookmarkStart w:id="755" w:name="_Toc721"/>
      <w:bookmarkStart w:id="756" w:name="_Toc27172"/>
      <w:bookmarkStart w:id="757" w:name="_Toc2803"/>
      <w:bookmarkStart w:id="758" w:name="_Toc30756"/>
      <w:bookmarkStart w:id="759" w:name="_Toc28294"/>
      <w:bookmarkStart w:id="760" w:name="_Toc21913"/>
      <w:bookmarkStart w:id="761" w:name="_Toc12678"/>
      <w:bookmarkStart w:id="762" w:name="_Toc21306"/>
      <w:bookmarkStart w:id="763" w:name="_Toc2108"/>
      <w:bookmarkStart w:id="764" w:name="_Toc17164"/>
      <w:bookmarkStart w:id="765" w:name="_Toc1644"/>
      <w:bookmarkStart w:id="766" w:name="_Toc11247"/>
      <w:bookmarkStart w:id="767" w:name="_Toc14558"/>
      <w:bookmarkStart w:id="768" w:name="_Toc16846"/>
      <w:r>
        <w:rPr>
          <w:rFonts w:hint="eastAsia" w:ascii="宋体" w:hAnsi="宋体" w:eastAsia="宋体" w:cs="宋体"/>
          <w:b/>
          <w:bCs/>
          <w:color w:val="auto"/>
          <w:sz w:val="24"/>
          <w:szCs w:val="24"/>
          <w:highlight w:val="none"/>
        </w:rPr>
        <w:t>采用综合评分法</w:t>
      </w:r>
      <w:r>
        <w:rPr>
          <w:rFonts w:hint="eastAsia" w:ascii="宋体" w:hAnsi="宋体" w:eastAsia="宋体" w:cs="宋体"/>
          <w:b/>
          <w:bCs/>
          <w:color w:val="auto"/>
          <w:sz w:val="24"/>
          <w:szCs w:val="24"/>
          <w:highlight w:val="none"/>
          <w:lang w:eastAsia="zh-CN"/>
        </w:rPr>
        <w:t>：价格占</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0%，商务占</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%，技术占</w:t>
      </w:r>
      <w:r>
        <w:rPr>
          <w:rFonts w:hint="eastAsia" w:ascii="宋体" w:hAnsi="宋体" w:cs="宋体"/>
          <w:b/>
          <w:bCs/>
          <w:color w:val="auto"/>
          <w:sz w:val="24"/>
          <w:szCs w:val="24"/>
          <w:highlight w:val="none"/>
          <w:lang w:val="en-US" w:eastAsia="zh-CN"/>
        </w:rPr>
        <w:t>75</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i w:val="0"/>
          <w:caps w:val="0"/>
          <w:color w:val="auto"/>
          <w:spacing w:val="0"/>
          <w:w w:val="100"/>
          <w:sz w:val="24"/>
          <w:szCs w:val="24"/>
          <w:highlight w:val="none"/>
          <w:lang w:val="en-US" w:eastAsia="zh-CN"/>
        </w:rPr>
        <w:t>。</w:t>
      </w: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769" w:name="_Toc15710"/>
      <w:bookmarkStart w:id="770" w:name="_Toc4911"/>
      <w:r>
        <w:rPr>
          <w:rFonts w:hint="eastAsia" w:hAnsi="宋体" w:cs="宋体"/>
          <w:b/>
          <w:bCs/>
          <w:color w:val="auto"/>
          <w:sz w:val="24"/>
          <w:szCs w:val="24"/>
          <w:highlight w:val="none"/>
          <w:u w:val="none"/>
          <w:lang w:val="en-US" w:eastAsia="zh-CN"/>
        </w:rPr>
        <w:t>27.</w:t>
      </w:r>
      <w:r>
        <w:rPr>
          <w:rFonts w:hint="eastAsia" w:ascii="宋体" w:hAnsi="宋体" w:eastAsia="宋体" w:cs="宋体"/>
          <w:b/>
          <w:bCs/>
          <w:color w:val="auto"/>
          <w:sz w:val="24"/>
          <w:szCs w:val="24"/>
          <w:highlight w:val="none"/>
          <w:u w:val="none"/>
        </w:rPr>
        <w:t>确定</w:t>
      </w:r>
      <w:r>
        <w:rPr>
          <w:rFonts w:hint="eastAsia" w:ascii="宋体" w:hAnsi="宋体" w:eastAsia="宋体" w:cs="宋体"/>
          <w:b/>
          <w:bCs/>
          <w:color w:val="auto"/>
          <w:sz w:val="24"/>
          <w:szCs w:val="24"/>
          <w:highlight w:val="none"/>
          <w:u w:val="none"/>
          <w:lang w:val="en-US" w:eastAsia="zh-CN"/>
        </w:rPr>
        <w:t>中标</w:t>
      </w:r>
      <w:r>
        <w:rPr>
          <w:rFonts w:hint="eastAsia" w:ascii="宋体" w:hAnsi="宋体" w:eastAsia="宋体" w:cs="宋体"/>
          <w:b/>
          <w:bCs/>
          <w:color w:val="auto"/>
          <w:sz w:val="24"/>
          <w:szCs w:val="24"/>
          <w:highlight w:val="none"/>
          <w:u w:val="none"/>
        </w:rPr>
        <w:t>候选人和</w:t>
      </w:r>
      <w:bookmarkEnd w:id="745"/>
      <w:r>
        <w:rPr>
          <w:rFonts w:hint="eastAsia" w:ascii="宋体" w:hAnsi="宋体" w:eastAsia="宋体" w:cs="宋体"/>
          <w:b/>
          <w:bCs/>
          <w:color w:val="auto"/>
          <w:sz w:val="24"/>
          <w:szCs w:val="24"/>
          <w:highlight w:val="none"/>
          <w:u w:val="none"/>
          <w:lang w:val="en-US" w:eastAsia="zh-CN"/>
        </w:rPr>
        <w:t>中标</w:t>
      </w:r>
      <w:r>
        <w:rPr>
          <w:rFonts w:hint="eastAsia" w:ascii="宋体" w:hAnsi="宋体" w:eastAsia="宋体" w:cs="宋体"/>
          <w:b/>
          <w:bCs/>
          <w:color w:val="auto"/>
          <w:sz w:val="24"/>
          <w:szCs w:val="24"/>
          <w:highlight w:val="none"/>
          <w:u w:val="none"/>
        </w:rPr>
        <w:t>人</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bookmarkEnd w:id="743"/>
    <w:bookmarkEnd w:id="744"/>
    <w:p>
      <w:pPr>
        <w:pageBreakBefore w:val="0"/>
        <w:widowControl w:val="0"/>
        <w:kinsoku/>
        <w:wordWrap/>
        <w:overflowPunct/>
        <w:topLinePunct w:val="0"/>
        <w:bidi w:val="0"/>
        <w:spacing w:line="360" w:lineRule="exact"/>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评标委员会将根据评标标准，按</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须知资料表中</w:t>
      </w:r>
      <w:r>
        <w:rPr>
          <w:rFonts w:hint="eastAsia" w:ascii="宋体" w:hAnsi="宋体" w:eastAsia="宋体" w:cs="宋体"/>
          <w:color w:val="auto"/>
          <w:sz w:val="24"/>
          <w:szCs w:val="24"/>
          <w:highlight w:val="none"/>
        </w:rPr>
        <w:t>规定数量推荐中标候</w:t>
      </w:r>
    </w:p>
    <w:p>
      <w:pPr>
        <w:pageBreakBefore w:val="0"/>
        <w:widowControl w:val="0"/>
        <w:kinsoku/>
        <w:wordWrap/>
        <w:overflowPunct/>
        <w:topLinePunct w:val="0"/>
        <w:bidi w:val="0"/>
        <w:spacing w:line="360" w:lineRule="exact"/>
        <w:ind w:left="479" w:leftChars="228" w:firstLine="60" w:firstLineChars="2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选人；或根据采购人的委托，直接确定中标人。</w:t>
      </w: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771" w:name="_Toc1269"/>
      <w:bookmarkStart w:id="772" w:name="_Toc17591"/>
      <w:bookmarkStart w:id="773" w:name="_Toc21889"/>
      <w:bookmarkStart w:id="774" w:name="_Toc7630"/>
      <w:bookmarkStart w:id="775" w:name="_Toc24959"/>
      <w:bookmarkStart w:id="776" w:name="_Toc2533"/>
      <w:bookmarkStart w:id="777" w:name="_Toc8389"/>
      <w:bookmarkStart w:id="778" w:name="_Toc6340"/>
      <w:bookmarkStart w:id="779" w:name="_Toc5507"/>
      <w:bookmarkStart w:id="780" w:name="_Toc21618"/>
      <w:bookmarkStart w:id="781" w:name="_Toc31043"/>
      <w:bookmarkStart w:id="782" w:name="_Toc18821"/>
      <w:bookmarkStart w:id="783" w:name="_Toc45"/>
      <w:bookmarkStart w:id="784" w:name="_Toc20001"/>
      <w:bookmarkStart w:id="785" w:name="_Toc515647790"/>
      <w:bookmarkStart w:id="786" w:name="_Toc9701"/>
      <w:bookmarkStart w:id="787" w:name="_Toc32455"/>
      <w:bookmarkStart w:id="788" w:name="_Toc18980"/>
      <w:bookmarkStart w:id="789" w:name="_Toc10338"/>
      <w:bookmarkStart w:id="790" w:name="_Toc3328"/>
      <w:bookmarkStart w:id="791" w:name="_Toc7156"/>
      <w:bookmarkStart w:id="792" w:name="_Toc20705"/>
      <w:bookmarkStart w:id="793" w:name="_Toc19007"/>
      <w:bookmarkStart w:id="794" w:name="_Toc28562"/>
      <w:bookmarkStart w:id="795" w:name="_Toc21208"/>
      <w:bookmarkStart w:id="796" w:name="_Toc9640"/>
      <w:r>
        <w:rPr>
          <w:rFonts w:hint="eastAsia" w:hAnsi="宋体" w:cs="宋体"/>
          <w:b/>
          <w:bCs/>
          <w:color w:val="auto"/>
          <w:sz w:val="24"/>
          <w:szCs w:val="24"/>
          <w:highlight w:val="none"/>
          <w:u w:val="none"/>
          <w:lang w:val="en-US" w:eastAsia="zh-CN"/>
        </w:rPr>
        <w:t>28.</w:t>
      </w:r>
      <w:r>
        <w:rPr>
          <w:rFonts w:hint="eastAsia" w:ascii="宋体" w:hAnsi="宋体" w:eastAsia="宋体" w:cs="宋体"/>
          <w:b/>
          <w:bCs/>
          <w:color w:val="auto"/>
          <w:sz w:val="24"/>
          <w:szCs w:val="24"/>
          <w:highlight w:val="none"/>
          <w:u w:val="none"/>
        </w:rPr>
        <w:t>采购任务取消</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因重大变故采购任务取消时，采购人有权拒绝任何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中标，且对受影响的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不承担任何责任。</w:t>
      </w:r>
      <w:bookmarkStart w:id="797" w:name="_Toc520356174"/>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798" w:name="_Toc137"/>
      <w:bookmarkStart w:id="799" w:name="_Toc8834"/>
      <w:bookmarkStart w:id="800" w:name="_Toc31099"/>
      <w:bookmarkStart w:id="801" w:name="_Toc17202"/>
      <w:bookmarkStart w:id="802" w:name="_Toc515647791"/>
      <w:bookmarkStart w:id="803" w:name="_Toc5820"/>
      <w:bookmarkStart w:id="804" w:name="_Toc25281"/>
      <w:bookmarkStart w:id="805" w:name="_Toc27996"/>
      <w:bookmarkStart w:id="806" w:name="_Toc13576"/>
      <w:bookmarkStart w:id="807" w:name="_Toc4099"/>
      <w:bookmarkStart w:id="808" w:name="_Toc9886"/>
      <w:bookmarkStart w:id="809" w:name="_Toc31066"/>
      <w:bookmarkStart w:id="810" w:name="_Toc515"/>
      <w:bookmarkStart w:id="811" w:name="_Toc21583"/>
      <w:bookmarkStart w:id="812" w:name="_Toc30931"/>
      <w:bookmarkStart w:id="813" w:name="_Toc10717"/>
      <w:bookmarkStart w:id="814" w:name="_Toc12348"/>
      <w:bookmarkStart w:id="815" w:name="_Toc8140"/>
      <w:bookmarkStart w:id="816" w:name="_Toc30170"/>
      <w:bookmarkStart w:id="817" w:name="_Toc20363"/>
      <w:bookmarkStart w:id="818" w:name="_Toc1676"/>
      <w:bookmarkStart w:id="819" w:name="_Toc15667"/>
      <w:bookmarkStart w:id="820" w:name="_Toc14221"/>
      <w:bookmarkStart w:id="821" w:name="_Toc30149"/>
      <w:bookmarkStart w:id="822" w:name="_Toc1178"/>
      <w:bookmarkStart w:id="823" w:name="_Toc1818"/>
      <w:r>
        <w:rPr>
          <w:rFonts w:hint="eastAsia" w:hAnsi="宋体" w:cs="宋体"/>
          <w:b/>
          <w:bCs/>
          <w:color w:val="auto"/>
          <w:sz w:val="24"/>
          <w:szCs w:val="24"/>
          <w:highlight w:val="none"/>
          <w:u w:val="none"/>
          <w:lang w:val="en-US" w:eastAsia="zh-CN"/>
        </w:rPr>
        <w:t>29.</w:t>
      </w:r>
      <w:r>
        <w:rPr>
          <w:rFonts w:hint="eastAsia" w:ascii="宋体" w:hAnsi="宋体" w:eastAsia="宋体" w:cs="宋体"/>
          <w:b/>
          <w:bCs/>
          <w:color w:val="auto"/>
          <w:sz w:val="24"/>
          <w:szCs w:val="24"/>
          <w:highlight w:val="none"/>
          <w:u w:val="none"/>
        </w:rPr>
        <w:t>中标通知书</w:t>
      </w:r>
      <w:bookmarkEnd w:id="797"/>
      <w:r>
        <w:rPr>
          <w:rFonts w:hint="eastAsia" w:ascii="宋体" w:hAnsi="宋体" w:eastAsia="宋体" w:cs="宋体"/>
          <w:b/>
          <w:bCs/>
          <w:color w:val="auto"/>
          <w:sz w:val="24"/>
          <w:szCs w:val="24"/>
          <w:highlight w:val="none"/>
          <w:u w:val="none"/>
        </w:rPr>
        <w:t>和招标结果通知书</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在投标有效期内，中标人确定后，采购人或者采购代理机构发布中标公告，同时以书面形式向中标人发出中标通知书。</w:t>
      </w:r>
    </w:p>
    <w:p>
      <w:pPr>
        <w:pageBreakBefore w:val="0"/>
        <w:widowControl w:val="0"/>
        <w:kinsoku/>
        <w:wordWrap/>
        <w:overflowPunct/>
        <w:topLinePunct w:val="0"/>
        <w:bidi w:val="0"/>
        <w:spacing w:line="360" w:lineRule="exact"/>
        <w:ind w:left="900" w:leftChars="0" w:hanging="900" w:hangingChars="375"/>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中标通知书是合同的组成部分。</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招标结果通知书和中标通知书同时发出。招标结果通知书中将告知未通过资格审查的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未通过的原因；采用综合评分法评审的，还将告知未中标人本人的评审得分和排序。</w:t>
      </w: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824" w:name="_Toc732"/>
      <w:bookmarkStart w:id="825" w:name="_Toc13873"/>
      <w:bookmarkStart w:id="826" w:name="_Toc1386"/>
      <w:bookmarkStart w:id="827" w:name="_Toc14896"/>
      <w:bookmarkStart w:id="828" w:name="_Toc830"/>
      <w:bookmarkStart w:id="829" w:name="_Toc15018"/>
      <w:bookmarkStart w:id="830" w:name="_Toc29255"/>
      <w:bookmarkStart w:id="831" w:name="_Ref467306377"/>
      <w:bookmarkStart w:id="832" w:name="_Toc790"/>
      <w:bookmarkStart w:id="833" w:name="_Toc7584"/>
      <w:bookmarkStart w:id="834" w:name="_Toc515647792"/>
      <w:bookmarkStart w:id="835" w:name="_Toc14106"/>
      <w:bookmarkStart w:id="836" w:name="_Toc9945"/>
      <w:bookmarkStart w:id="837" w:name="_Toc4466"/>
      <w:bookmarkStart w:id="838" w:name="_Toc24666"/>
      <w:bookmarkStart w:id="839" w:name="_Toc13210"/>
      <w:bookmarkStart w:id="840" w:name="_Ref467307062"/>
      <w:bookmarkStart w:id="841" w:name="_Toc26465"/>
      <w:bookmarkStart w:id="842" w:name="_Toc7779"/>
      <w:bookmarkStart w:id="843" w:name="_Toc14551"/>
      <w:bookmarkStart w:id="844" w:name="_Toc29299"/>
      <w:bookmarkStart w:id="845" w:name="_Toc3557"/>
      <w:bookmarkStart w:id="846" w:name="_Toc520356175"/>
      <w:bookmarkStart w:id="847" w:name="_Toc11340"/>
      <w:bookmarkStart w:id="848" w:name="_Toc6885"/>
      <w:bookmarkStart w:id="849" w:name="_Toc9417"/>
      <w:bookmarkStart w:id="850" w:name="_Toc30068"/>
      <w:bookmarkStart w:id="851" w:name="_Toc26598"/>
      <w:bookmarkStart w:id="852" w:name="_Ref467306978"/>
      <w:bookmarkStart w:id="853" w:name="_Toc19580"/>
      <w:bookmarkStart w:id="854" w:name="_Ref467307204"/>
      <w:r>
        <w:rPr>
          <w:rFonts w:hint="eastAsia" w:hAnsi="宋体" w:cs="宋体"/>
          <w:b/>
          <w:bCs/>
          <w:color w:val="auto"/>
          <w:sz w:val="24"/>
          <w:szCs w:val="24"/>
          <w:highlight w:val="none"/>
          <w:u w:val="none"/>
          <w:lang w:val="en-US" w:eastAsia="zh-CN"/>
        </w:rPr>
        <w:t>30.</w:t>
      </w:r>
      <w:r>
        <w:rPr>
          <w:rFonts w:hint="eastAsia" w:ascii="宋体" w:hAnsi="宋体" w:eastAsia="宋体" w:cs="宋体"/>
          <w:b/>
          <w:bCs/>
          <w:color w:val="auto"/>
          <w:sz w:val="24"/>
          <w:szCs w:val="24"/>
          <w:highlight w:val="none"/>
          <w:u w:val="none"/>
        </w:rPr>
        <w:t>签订合同</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中标人应当自发出中标通知书之日起</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日内，与采购人签订合同。</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r>
        <w:rPr>
          <w:rFonts w:hint="eastAsia" w:ascii="宋体" w:hAnsi="宋体" w:eastAsia="宋体" w:cs="宋体"/>
          <w:color w:val="auto"/>
          <w:sz w:val="24"/>
          <w:szCs w:val="24"/>
          <w:highlight w:val="none"/>
        </w:rPr>
        <w:tab/>
      </w:r>
      <w:bookmarkStart w:id="855" w:name="_Ref467307090"/>
      <w:bookmarkStart w:id="856" w:name="_Toc520356176"/>
      <w:bookmarkStart w:id="857" w:name="_Ref467306425"/>
      <w:r>
        <w:rPr>
          <w:rFonts w:hint="eastAsia" w:ascii="宋体" w:hAnsi="宋体" w:eastAsia="宋体" w:cs="宋体"/>
          <w:color w:val="auto"/>
          <w:sz w:val="24"/>
          <w:szCs w:val="24"/>
          <w:highlight w:val="none"/>
        </w:rPr>
        <w:t>招标文件、中标人的投标文件及其澄清文件等，均为签订合同的依据。</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30.3   中标人拒绝与采购人签订合同的，采购人可以按照评审报告推荐的中标候选人名单排序，确定下一中标候选人为中标人，也可以重新开展政府采购活动。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   当出现法规规定的</w:t>
      </w:r>
      <w:r>
        <w:rPr>
          <w:rFonts w:hint="eastAsia" w:ascii="宋体" w:hAnsi="宋体" w:eastAsia="宋体" w:cs="宋体"/>
          <w:b/>
          <w:color w:val="auto"/>
          <w:sz w:val="24"/>
          <w:szCs w:val="24"/>
          <w:highlight w:val="none"/>
        </w:rPr>
        <w:t>中标无效或中标结果无效</w:t>
      </w:r>
      <w:r>
        <w:rPr>
          <w:rFonts w:hint="eastAsia" w:ascii="宋体" w:hAnsi="宋体" w:eastAsia="宋体" w:cs="宋体"/>
          <w:color w:val="auto"/>
          <w:sz w:val="24"/>
          <w:szCs w:val="24"/>
          <w:highlight w:val="none"/>
        </w:rPr>
        <w:t>情形时，采购人可与排名下一位的中标候选人另行签订合同，或依法重新开展采购活动。</w:t>
      </w: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858" w:name="_Toc8801"/>
      <w:bookmarkStart w:id="859" w:name="_Toc8189"/>
      <w:bookmarkStart w:id="860" w:name="_Toc32131"/>
      <w:bookmarkStart w:id="861" w:name="_Toc11387"/>
      <w:bookmarkStart w:id="862" w:name="_Toc11467"/>
      <w:bookmarkStart w:id="863" w:name="_Toc10991"/>
      <w:bookmarkStart w:id="864" w:name="_Toc4460"/>
      <w:bookmarkStart w:id="865" w:name="_Toc9468"/>
      <w:bookmarkStart w:id="866" w:name="_Toc4849"/>
      <w:bookmarkStart w:id="867" w:name="_Toc13252"/>
      <w:bookmarkStart w:id="868" w:name="_Toc23943"/>
      <w:bookmarkStart w:id="869" w:name="_Toc11471"/>
      <w:bookmarkStart w:id="870" w:name="_Toc16092"/>
      <w:bookmarkStart w:id="871" w:name="_Toc21692"/>
      <w:bookmarkStart w:id="872" w:name="_Toc17960"/>
      <w:bookmarkStart w:id="873" w:name="_Toc31991"/>
      <w:bookmarkStart w:id="874" w:name="_Toc26902"/>
      <w:bookmarkStart w:id="875" w:name="_Toc22555"/>
      <w:bookmarkStart w:id="876" w:name="_Toc15750"/>
      <w:bookmarkStart w:id="877" w:name="_Toc32530"/>
      <w:bookmarkStart w:id="878" w:name="_Toc15498"/>
      <w:bookmarkStart w:id="879" w:name="_Toc515647793"/>
      <w:bookmarkStart w:id="880" w:name="_Toc15755"/>
      <w:bookmarkStart w:id="881" w:name="_Toc28788"/>
      <w:bookmarkStart w:id="882" w:name="_Toc31190"/>
      <w:bookmarkStart w:id="883" w:name="_Toc14080"/>
      <w:r>
        <w:rPr>
          <w:rFonts w:hint="eastAsia" w:hAnsi="宋体" w:cs="宋体"/>
          <w:b/>
          <w:bCs/>
          <w:color w:val="auto"/>
          <w:sz w:val="24"/>
          <w:szCs w:val="24"/>
          <w:highlight w:val="none"/>
          <w:u w:val="none"/>
          <w:lang w:val="en-US" w:eastAsia="zh-CN"/>
        </w:rPr>
        <w:t>31.</w:t>
      </w:r>
      <w:r>
        <w:rPr>
          <w:rFonts w:hint="eastAsia" w:ascii="宋体" w:hAnsi="宋体" w:eastAsia="宋体" w:cs="宋体"/>
          <w:b/>
          <w:bCs/>
          <w:color w:val="auto"/>
          <w:sz w:val="24"/>
          <w:szCs w:val="24"/>
          <w:highlight w:val="none"/>
          <w:u w:val="none"/>
        </w:rPr>
        <w:t>履约保证金</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中标人应按照</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规定向采购人缴纳履约保证金。</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政府采购利用担保试点范围内的项目，除31.1规定的情形外，中标人也可以按照财政部门的规定，向采购人提供合格的履约担</w:t>
      </w:r>
      <w:r>
        <w:rPr>
          <w:rFonts w:hint="eastAsia" w:ascii="宋体" w:hAnsi="宋体" w:eastAsia="宋体" w:cs="宋体"/>
          <w:color w:val="auto"/>
          <w:sz w:val="24"/>
          <w:szCs w:val="24"/>
          <w:highlight w:val="none"/>
          <w:lang w:eastAsia="zh-CN"/>
        </w:rPr>
        <w:t>开户行银行保函。</w:t>
      </w: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884" w:name="_Toc29408"/>
      <w:bookmarkStart w:id="885" w:name="_Toc9967"/>
      <w:bookmarkStart w:id="886" w:name="_Toc16406"/>
      <w:bookmarkStart w:id="887" w:name="_Toc515647794"/>
      <w:bookmarkStart w:id="888" w:name="_Toc15314"/>
      <w:bookmarkStart w:id="889" w:name="_Toc14040"/>
      <w:bookmarkStart w:id="890" w:name="_Toc14539"/>
      <w:bookmarkStart w:id="891" w:name="_Toc8906"/>
      <w:bookmarkStart w:id="892" w:name="_Toc9993"/>
      <w:bookmarkStart w:id="893" w:name="_Toc3090"/>
      <w:bookmarkStart w:id="894" w:name="_Toc1705"/>
      <w:bookmarkStart w:id="895" w:name="_Toc25385"/>
      <w:bookmarkStart w:id="896" w:name="_Toc20540"/>
      <w:bookmarkStart w:id="897" w:name="_Toc21835"/>
      <w:bookmarkStart w:id="898" w:name="_Toc31793"/>
      <w:bookmarkStart w:id="899" w:name="_Toc24979"/>
      <w:bookmarkStart w:id="900" w:name="_Toc17667"/>
      <w:bookmarkStart w:id="901" w:name="_Toc13043"/>
      <w:bookmarkStart w:id="902" w:name="_Toc13048"/>
      <w:bookmarkStart w:id="903" w:name="_Toc26497"/>
      <w:bookmarkStart w:id="904" w:name="_Toc17462"/>
      <w:bookmarkStart w:id="905" w:name="_Toc21246"/>
      <w:bookmarkStart w:id="906" w:name="_Toc30817"/>
      <w:bookmarkStart w:id="907" w:name="_Toc17256"/>
      <w:bookmarkStart w:id="908" w:name="_Toc17827"/>
      <w:bookmarkStart w:id="909" w:name="_Toc1144"/>
      <w:r>
        <w:rPr>
          <w:rFonts w:hint="eastAsia" w:hAnsi="宋体" w:cs="宋体"/>
          <w:b/>
          <w:bCs/>
          <w:color w:val="auto"/>
          <w:sz w:val="24"/>
          <w:szCs w:val="24"/>
          <w:highlight w:val="none"/>
          <w:u w:val="none"/>
          <w:lang w:val="en-US" w:eastAsia="zh-CN"/>
        </w:rPr>
        <w:t>32.</w:t>
      </w:r>
      <w:r>
        <w:rPr>
          <w:rFonts w:hint="eastAsia" w:ascii="宋体" w:hAnsi="宋体" w:eastAsia="宋体" w:cs="宋体"/>
          <w:b/>
          <w:bCs/>
          <w:color w:val="auto"/>
          <w:sz w:val="24"/>
          <w:szCs w:val="24"/>
          <w:highlight w:val="none"/>
          <w:u w:val="none"/>
        </w:rPr>
        <w:t>中标服务费</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pPr>
        <w:pageBreakBefore w:val="0"/>
        <w:widowControl w:val="0"/>
        <w:kinsoku/>
        <w:wordWrap/>
        <w:overflowPunct/>
        <w:topLinePunct w:val="0"/>
        <w:bidi w:val="0"/>
        <w:spacing w:line="360" w:lineRule="exact"/>
        <w:ind w:left="420" w:leftChars="0" w:hanging="420" w:hangingChars="1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中标人须按照</w:t>
      </w:r>
      <w:r>
        <w:rPr>
          <w:rFonts w:hint="eastAsia" w:ascii="宋体" w:hAnsi="宋体" w:eastAsia="宋体" w:cs="宋体"/>
          <w:color w:val="auto"/>
          <w:sz w:val="24"/>
          <w:szCs w:val="24"/>
          <w:highlight w:val="none"/>
          <w:u w:val="single"/>
        </w:rPr>
        <w:t>投标须知资料表</w:t>
      </w:r>
      <w:r>
        <w:rPr>
          <w:rFonts w:hint="eastAsia" w:ascii="宋体" w:hAnsi="宋体" w:eastAsia="宋体" w:cs="宋体"/>
          <w:color w:val="auto"/>
          <w:sz w:val="24"/>
          <w:szCs w:val="24"/>
          <w:highlight w:val="none"/>
        </w:rPr>
        <w:t>规定，向采购代理机构支付中标服务费。</w:t>
      </w: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910" w:name="_Toc14442"/>
      <w:bookmarkStart w:id="911" w:name="_Toc2419"/>
      <w:bookmarkStart w:id="912" w:name="_Toc10756"/>
      <w:bookmarkStart w:id="913" w:name="_Toc11984"/>
      <w:bookmarkStart w:id="914" w:name="_Toc7265"/>
      <w:bookmarkStart w:id="915" w:name="_Toc28372"/>
      <w:bookmarkStart w:id="916" w:name="_Toc7049"/>
      <w:bookmarkStart w:id="917" w:name="_Toc29584"/>
      <w:bookmarkStart w:id="918" w:name="_Toc16900"/>
      <w:bookmarkStart w:id="919" w:name="_Toc26840"/>
      <w:bookmarkStart w:id="920" w:name="_Toc10747"/>
      <w:bookmarkStart w:id="921" w:name="_Toc23330"/>
      <w:bookmarkStart w:id="922" w:name="_Toc25076"/>
      <w:bookmarkStart w:id="923" w:name="_Toc4947"/>
      <w:bookmarkStart w:id="924" w:name="_Toc6923"/>
      <w:bookmarkStart w:id="925" w:name="_Toc31379"/>
      <w:bookmarkStart w:id="926" w:name="_Toc24525"/>
      <w:bookmarkStart w:id="927" w:name="_Toc20843"/>
      <w:bookmarkStart w:id="928" w:name="_Toc8477"/>
      <w:bookmarkStart w:id="929" w:name="_Toc7158"/>
      <w:bookmarkStart w:id="930" w:name="_Toc3584"/>
      <w:bookmarkStart w:id="931" w:name="_Toc23477"/>
      <w:bookmarkStart w:id="932" w:name="_Toc14969"/>
      <w:bookmarkStart w:id="933" w:name="_Toc515647795"/>
      <w:bookmarkStart w:id="934" w:name="_Toc3053"/>
      <w:bookmarkStart w:id="935" w:name="_Toc365"/>
      <w:r>
        <w:rPr>
          <w:rFonts w:hint="eastAsia" w:hAnsi="宋体" w:cs="宋体"/>
          <w:b/>
          <w:bCs/>
          <w:color w:val="auto"/>
          <w:sz w:val="24"/>
          <w:szCs w:val="24"/>
          <w:highlight w:val="none"/>
          <w:u w:val="none"/>
          <w:lang w:val="en-US" w:eastAsia="zh-CN"/>
        </w:rPr>
        <w:t>33.</w:t>
      </w:r>
      <w:r>
        <w:rPr>
          <w:rFonts w:hint="eastAsia" w:ascii="宋体" w:hAnsi="宋体" w:eastAsia="宋体" w:cs="宋体"/>
          <w:b/>
          <w:bCs/>
          <w:color w:val="auto"/>
          <w:sz w:val="24"/>
          <w:szCs w:val="24"/>
          <w:highlight w:val="none"/>
          <w:u w:val="none"/>
        </w:rPr>
        <w:t>政府采购信用担保</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本项目是否属于信用担保试点范围见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ageBreakBefore w:val="0"/>
        <w:widowControl w:val="0"/>
        <w:kinsoku/>
        <w:wordWrap/>
        <w:overflowPunct/>
        <w:topLinePunct w:val="0"/>
        <w:bidi w:val="0"/>
        <w:spacing w:line="360" w:lineRule="exact"/>
        <w:ind w:left="849" w:leftChars="0" w:hanging="849" w:hangingChars="35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如属于政府采购信用担保试点范围内，中小型企业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可以自由按照财政部门的规定，采用投标担保、履约担保和融资担保。</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33.2.1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递交的投标担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和履约担</w:t>
      </w:r>
      <w:r>
        <w:rPr>
          <w:rFonts w:hint="eastAsia" w:ascii="宋体" w:hAnsi="宋体" w:eastAsia="宋体" w:cs="宋体"/>
          <w:color w:val="auto"/>
          <w:sz w:val="24"/>
          <w:szCs w:val="24"/>
          <w:highlight w:val="none"/>
          <w:lang w:eastAsia="zh-CN"/>
        </w:rPr>
        <w:t>开户行银行保函</w:t>
      </w:r>
      <w:r>
        <w:rPr>
          <w:rFonts w:hint="eastAsia" w:ascii="宋体" w:hAnsi="宋体" w:eastAsia="宋体" w:cs="宋体"/>
          <w:color w:val="auto"/>
          <w:sz w:val="24"/>
          <w:szCs w:val="24"/>
          <w:highlight w:val="none"/>
        </w:rPr>
        <w:t>应符合本招标文件的规定。</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33.2.2 中标人可以采取融资担保的形式为政府采购项目履约进行融资。</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33.2.3 合格的政府采购专业信用担保机构名单见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936" w:name="_Toc31178"/>
      <w:bookmarkStart w:id="937" w:name="_Toc3656"/>
      <w:bookmarkStart w:id="938" w:name="_Toc31425"/>
      <w:bookmarkStart w:id="939" w:name="_Toc3616"/>
      <w:bookmarkStart w:id="940" w:name="_Toc15505"/>
      <w:bookmarkStart w:id="941" w:name="_Toc18954"/>
      <w:bookmarkStart w:id="942" w:name="_Toc2133"/>
      <w:bookmarkStart w:id="943" w:name="_Toc27009"/>
      <w:bookmarkStart w:id="944" w:name="_Toc11707"/>
      <w:bookmarkStart w:id="945" w:name="_Toc12158"/>
      <w:bookmarkStart w:id="946" w:name="_Toc11013"/>
      <w:bookmarkStart w:id="947" w:name="_Toc11552"/>
      <w:bookmarkStart w:id="948" w:name="_Toc22315"/>
      <w:bookmarkStart w:id="949" w:name="_Toc5262"/>
      <w:bookmarkStart w:id="950" w:name="_Toc29108"/>
      <w:bookmarkStart w:id="951" w:name="_Toc22695"/>
      <w:bookmarkStart w:id="952" w:name="_Toc515647796"/>
      <w:bookmarkStart w:id="953" w:name="_Toc25791"/>
      <w:bookmarkStart w:id="954" w:name="_Toc23999"/>
      <w:bookmarkStart w:id="955" w:name="_Toc3713"/>
      <w:bookmarkStart w:id="956" w:name="_Toc32379"/>
      <w:bookmarkStart w:id="957" w:name="_Toc7459"/>
      <w:bookmarkStart w:id="958" w:name="_Toc23161"/>
      <w:bookmarkStart w:id="959" w:name="_Toc7880"/>
      <w:bookmarkStart w:id="960" w:name="_Toc5770"/>
      <w:bookmarkStart w:id="961" w:name="_Toc5750"/>
      <w:r>
        <w:rPr>
          <w:rFonts w:hint="eastAsia" w:hAnsi="宋体" w:cs="宋体"/>
          <w:b/>
          <w:bCs/>
          <w:color w:val="auto"/>
          <w:sz w:val="24"/>
          <w:szCs w:val="24"/>
          <w:highlight w:val="none"/>
          <w:u w:val="none"/>
          <w:lang w:val="en-US" w:eastAsia="zh-CN"/>
        </w:rPr>
        <w:t>34.</w:t>
      </w:r>
      <w:r>
        <w:rPr>
          <w:rFonts w:hint="eastAsia" w:ascii="宋体" w:hAnsi="宋体" w:eastAsia="宋体" w:cs="宋体"/>
          <w:b/>
          <w:bCs/>
          <w:color w:val="auto"/>
          <w:sz w:val="24"/>
          <w:szCs w:val="24"/>
          <w:highlight w:val="none"/>
          <w:u w:val="none"/>
        </w:rPr>
        <w:t>廉洁自律规定</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采购代理机构工作人员不得以不正当手段获取政府采购代理业务，不得与采购人、供应商恶意串通操纵政府采购活动。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34.3   为强化采购代理机构内部监督机制，供应商可按</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须知资料表中的</w:t>
      </w:r>
      <w:r>
        <w:rPr>
          <w:rFonts w:hint="eastAsia" w:ascii="宋体" w:hAnsi="宋体" w:eastAsia="宋体" w:cs="宋体"/>
          <w:color w:val="auto"/>
          <w:sz w:val="24"/>
          <w:szCs w:val="24"/>
          <w:highlight w:val="none"/>
        </w:rPr>
        <w:t>监督电话和邮箱，反映采购代理机构的廉洁自律等问题。</w:t>
      </w: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962" w:name="_Toc30045"/>
      <w:bookmarkStart w:id="963" w:name="_Toc15644"/>
      <w:bookmarkStart w:id="964" w:name="_Toc20945"/>
      <w:bookmarkStart w:id="965" w:name="_Toc5069"/>
      <w:bookmarkStart w:id="966" w:name="_Toc12422"/>
      <w:bookmarkStart w:id="967" w:name="_Toc4757"/>
      <w:bookmarkStart w:id="968" w:name="_Toc17079"/>
      <w:bookmarkStart w:id="969" w:name="_Toc11250"/>
      <w:bookmarkStart w:id="970" w:name="_Toc23126"/>
      <w:bookmarkStart w:id="971" w:name="_Toc19338"/>
      <w:bookmarkStart w:id="972" w:name="_Toc11586"/>
      <w:bookmarkStart w:id="973" w:name="_Toc5448"/>
      <w:bookmarkStart w:id="974" w:name="_Toc27260"/>
      <w:bookmarkStart w:id="975" w:name="_Toc25480"/>
      <w:bookmarkStart w:id="976" w:name="_Toc6587"/>
      <w:bookmarkStart w:id="977" w:name="_Toc29018"/>
      <w:bookmarkStart w:id="978" w:name="_Toc27794"/>
      <w:bookmarkStart w:id="979" w:name="_Toc31630"/>
      <w:bookmarkStart w:id="980" w:name="_Toc23695"/>
      <w:bookmarkStart w:id="981" w:name="_Toc515647797"/>
      <w:bookmarkStart w:id="982" w:name="_Toc17682"/>
      <w:bookmarkStart w:id="983" w:name="_Toc3585"/>
      <w:bookmarkStart w:id="984" w:name="_Toc29594"/>
      <w:bookmarkStart w:id="985" w:name="_Toc3319"/>
      <w:bookmarkStart w:id="986" w:name="_Toc30009"/>
      <w:bookmarkStart w:id="987" w:name="_Toc4826"/>
      <w:r>
        <w:rPr>
          <w:rFonts w:hint="eastAsia" w:hAnsi="宋体" w:cs="宋体"/>
          <w:b/>
          <w:bCs/>
          <w:color w:val="auto"/>
          <w:sz w:val="24"/>
          <w:szCs w:val="24"/>
          <w:highlight w:val="none"/>
          <w:u w:val="none"/>
          <w:lang w:val="en-US" w:eastAsia="zh-CN"/>
        </w:rPr>
        <w:t>35.</w:t>
      </w:r>
      <w:r>
        <w:rPr>
          <w:rFonts w:hint="eastAsia" w:ascii="宋体" w:hAnsi="宋体" w:eastAsia="宋体" w:cs="宋体"/>
          <w:b/>
          <w:bCs/>
          <w:color w:val="auto"/>
          <w:sz w:val="24"/>
          <w:szCs w:val="24"/>
          <w:highlight w:val="none"/>
          <w:u w:val="none"/>
        </w:rPr>
        <w:t>人员回避</w:t>
      </w:r>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pPr>
        <w:pageBreakBefore w:val="0"/>
        <w:widowControl w:val="0"/>
        <w:kinsoku/>
        <w:wordWrap/>
        <w:overflowPunct/>
        <w:topLinePunct w:val="0"/>
        <w:bidi w:val="0"/>
        <w:spacing w:line="360" w:lineRule="exact"/>
        <w:ind w:left="900" w:leftChars="0" w:hanging="900" w:hangingChars="37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认为采购人员及其相关人员有法律法规所列与其他供应商有利害关系的，可以向采购人或采购代理机构书面提出回避申请，并说明理由。</w:t>
      </w:r>
    </w:p>
    <w:p>
      <w:pPr>
        <w:pStyle w:val="5"/>
        <w:pageBreakBefore w:val="0"/>
        <w:widowControl w:val="0"/>
        <w:numPr>
          <w:ilvl w:val="0"/>
          <w:numId w:val="0"/>
        </w:numPr>
        <w:kinsoku/>
        <w:wordWrap/>
        <w:overflowPunct/>
        <w:topLinePunct w:val="0"/>
        <w:bidi w:val="0"/>
        <w:spacing w:before="0" w:after="0" w:line="360" w:lineRule="exact"/>
        <w:textAlignment w:val="auto"/>
        <w:outlineLvl w:val="1"/>
        <w:rPr>
          <w:rFonts w:hint="eastAsia" w:ascii="宋体" w:hAnsi="宋体" w:eastAsia="宋体" w:cs="宋体"/>
          <w:b/>
          <w:bCs/>
          <w:color w:val="auto"/>
          <w:sz w:val="24"/>
          <w:szCs w:val="24"/>
          <w:highlight w:val="none"/>
          <w:u w:val="none"/>
        </w:rPr>
      </w:pPr>
      <w:bookmarkStart w:id="988" w:name="_Toc12470"/>
      <w:bookmarkStart w:id="989" w:name="_Toc9357"/>
      <w:bookmarkStart w:id="990" w:name="_Toc15630"/>
      <w:bookmarkStart w:id="991" w:name="_Toc26773"/>
      <w:bookmarkStart w:id="992" w:name="_Toc12727"/>
      <w:bookmarkStart w:id="993" w:name="_Toc12880"/>
      <w:bookmarkStart w:id="994" w:name="_Toc25174"/>
      <w:bookmarkStart w:id="995" w:name="_Toc7870"/>
      <w:bookmarkStart w:id="996" w:name="_Toc22831"/>
      <w:bookmarkStart w:id="997" w:name="_Toc427"/>
      <w:bookmarkStart w:id="998" w:name="_Toc27328"/>
      <w:bookmarkStart w:id="999" w:name="_Toc1324"/>
      <w:bookmarkStart w:id="1000" w:name="_Toc21766"/>
      <w:bookmarkStart w:id="1001" w:name="_Toc1162"/>
      <w:bookmarkStart w:id="1002" w:name="_Toc21912"/>
      <w:bookmarkStart w:id="1003" w:name="_Toc27421"/>
      <w:bookmarkStart w:id="1004" w:name="_Toc8352"/>
      <w:bookmarkStart w:id="1005" w:name="_Toc6387"/>
      <w:bookmarkStart w:id="1006" w:name="_Toc30943"/>
      <w:bookmarkStart w:id="1007" w:name="_Toc6634"/>
      <w:bookmarkStart w:id="1008" w:name="_Toc1948"/>
      <w:bookmarkStart w:id="1009" w:name="_Toc14457"/>
      <w:r>
        <w:rPr>
          <w:rFonts w:hint="eastAsia" w:hAnsi="宋体" w:cs="宋体"/>
          <w:b/>
          <w:bCs/>
          <w:color w:val="auto"/>
          <w:sz w:val="24"/>
          <w:szCs w:val="24"/>
          <w:highlight w:val="none"/>
          <w:u w:val="none"/>
          <w:lang w:val="en-US" w:eastAsia="zh-CN"/>
        </w:rPr>
        <w:t>36.</w:t>
      </w:r>
      <w:r>
        <w:rPr>
          <w:rFonts w:hint="eastAsia" w:ascii="宋体" w:hAnsi="宋体" w:eastAsia="宋体" w:cs="宋体"/>
          <w:b/>
          <w:bCs/>
          <w:color w:val="auto"/>
          <w:sz w:val="24"/>
          <w:szCs w:val="24"/>
          <w:highlight w:val="none"/>
          <w:u w:val="none"/>
        </w:rPr>
        <w:t>质疑与接收</w:t>
      </w:r>
      <w:bookmarkEnd w:id="25"/>
      <w:bookmarkEnd w:id="26"/>
      <w:bookmarkEnd w:id="27"/>
      <w:bookmarkEnd w:id="28"/>
      <w:bookmarkEnd w:id="29"/>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供应商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Style w:val="42"/>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pPr>
        <w:pStyle w:val="42"/>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pageBreakBefore w:val="0"/>
        <w:widowControl w:val="0"/>
        <w:kinsoku/>
        <w:wordWrap/>
        <w:overflowPunct/>
        <w:topLinePunct w:val="0"/>
        <w:bidi w:val="0"/>
        <w:spacing w:line="360" w:lineRule="exact"/>
        <w:ind w:left="720" w:leftChars="0" w:hanging="720" w:hanging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采购代理机构质疑函接收部门、联系电话和通讯地址, 见</w:t>
      </w:r>
      <w:r>
        <w:rPr>
          <w:rFonts w:hint="eastAsia" w:ascii="宋体" w:hAnsi="宋体" w:eastAsia="宋体" w:cs="宋体"/>
          <w:color w:val="auto"/>
          <w:sz w:val="24"/>
          <w:szCs w:val="24"/>
          <w:highlight w:val="none"/>
          <w:u w:val="single"/>
        </w:rPr>
        <w:t>供应商须知资料表。</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供应商认为采购文件、采购过程和中标结果使自己的权益受到损害的，可以在知道或者应知其权益受到损害之日起7个工作日内，以书面形式向采购方提出质疑。供应商应知其权益受到损害之日，是指：</w:t>
      </w:r>
    </w:p>
    <w:p>
      <w:pPr>
        <w:pageBreakBefore w:val="0"/>
        <w:widowControl w:val="0"/>
        <w:kinsoku/>
        <w:wordWrap/>
        <w:overflowPunct/>
        <w:topLinePunct w:val="0"/>
        <w:bidi w:val="0"/>
        <w:spacing w:line="360" w:lineRule="exact"/>
        <w:ind w:left="720" w:leftChars="0" w:hanging="720" w:hanging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eastAsia="宋体" w:cs="宋体"/>
          <w:b w:val="0"/>
          <w:bCs w:val="0"/>
          <w:color w:val="auto"/>
          <w:sz w:val="24"/>
          <w:szCs w:val="24"/>
          <w:highlight w:val="none"/>
          <w:lang w:val="en-US" w:eastAsia="zh-CN"/>
        </w:rPr>
        <w:t>供应商有权提出一次质疑，不能多次提出。</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对采购过程和中标结果提出质疑的，质疑人为直接参与本项目的报价方。采购过程,即从采购项目信息公告发布起到中标结果公告止，包括采购文件的发出、提交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提出质疑应当符合下列条件：</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质疑人所提供的证明材料应当具有真实性、合法性以及与质疑事项的关联性和证明力，否则不能作为认定该质疑事项成立的依据。</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质疑人提出质疑时应当提交质疑函。质疑函包括下列内容：</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质疑人可以委托代理人进行质疑。代理人应当提交授权委托书。授权委托书应当载明委托代理的具体权限、期限和相关事项。</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质疑的审查和受理</w:t>
      </w:r>
    </w:p>
    <w:p>
      <w:pPr>
        <w:pageBreakBefore w:val="0"/>
        <w:widowControl w:val="0"/>
        <w:kinsoku/>
        <w:wordWrap/>
        <w:overflowPunct/>
        <w:topLinePunct w:val="0"/>
        <w:bidi w:val="0"/>
        <w:spacing w:line="360" w:lineRule="exact"/>
        <w:ind w:left="718" w:leftChars="342" w:firstLine="0" w:firstLine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对不符合质疑受理条件的，分别按照下列不同情形予以处理：</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质疑的处理和答复</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对于质疑事项中涉及的问题较多、情况比较复杂的，为了全面查清事实、取得充分的证据，采购方认为有必要时，可以进行调查取证或者组织质证。</w:t>
      </w:r>
    </w:p>
    <w:p>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对评审过程、中标结果提出质疑的，采购方可以组织原评审委员会协助答复质疑。</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质疑处理过程中，质疑人书面申请撤回质疑的，将终止质疑处理程序。</w:t>
      </w:r>
    </w:p>
    <w:p>
      <w:pPr>
        <w:pageBreakBefore w:val="0"/>
        <w:widowControl w:val="0"/>
        <w:kinsoku/>
        <w:wordWrap/>
        <w:overflowPunct/>
        <w:topLinePunct w:val="0"/>
        <w:bidi w:val="0"/>
        <w:spacing w:line="360" w:lineRule="exact"/>
        <w:ind w:left="960" w:leftChars="0" w:hanging="960" w:hangingChars="4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720" w:leftChars="0" w:hanging="720" w:hangingChars="3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质疑人拒绝配合采购方依法对质疑进行调查处理的，采购方将按质疑人自动撤回质疑处理；被质疑人拒绝配合采购方依法对质疑进行调查处理的，采购方将视同其认可质疑事项。</w:t>
      </w:r>
    </w:p>
    <w:p>
      <w:pPr>
        <w:pageBreakBefore w:val="0"/>
        <w:widowControl w:val="0"/>
        <w:kinsoku/>
        <w:wordWrap/>
        <w:overflowPunct/>
        <w:topLinePunct w:val="0"/>
        <w:bidi w:val="0"/>
        <w:spacing w:line="360" w:lineRule="exact"/>
        <w:ind w:left="0" w:leftChars="0"/>
        <w:jc w:val="left"/>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pPr>
        <w:pStyle w:val="42"/>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质疑答复应当包括下列内容：</w:t>
      </w:r>
    </w:p>
    <w:p>
      <w:pPr>
        <w:pStyle w:val="42"/>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pPr>
        <w:pStyle w:val="42"/>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pPr>
        <w:pStyle w:val="42"/>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pPr>
        <w:pStyle w:val="42"/>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pPr>
        <w:pStyle w:val="42"/>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pPr>
        <w:pStyle w:val="42"/>
        <w:pageBreakBefore w:val="0"/>
        <w:widowControl w:val="0"/>
        <w:kinsoku/>
        <w:wordWrap/>
        <w:overflowPunct/>
        <w:topLinePunct w:val="0"/>
        <w:bidi w:val="0"/>
        <w:spacing w:line="360" w:lineRule="exact"/>
        <w:ind w:left="0" w:leftChars="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（六）答复质疑的日期。</w:t>
      </w:r>
    </w:p>
    <w:p>
      <w:pPr>
        <w:pageBreakBefore w:val="0"/>
        <w:kinsoku/>
        <w:wordWrap/>
        <w:overflowPunct/>
        <w:topLinePunct w:val="0"/>
        <w:bidi w:val="0"/>
        <w:spacing w:line="360" w:lineRule="exact"/>
        <w:ind w:left="0" w:leftChars="0"/>
        <w:jc w:val="center"/>
        <w:textAlignment w:val="auto"/>
        <w:outlineLvl w:val="9"/>
        <w:rPr>
          <w:rFonts w:hint="eastAsia" w:ascii="宋体" w:hAnsi="宋体" w:eastAsia="宋体" w:cs="宋体"/>
          <w:b/>
          <w:bCs/>
          <w:color w:val="auto"/>
          <w:sz w:val="24"/>
          <w:szCs w:val="24"/>
          <w:highlight w:val="none"/>
        </w:rPr>
      </w:pPr>
      <w:bookmarkStart w:id="1010" w:name="_Toc2799"/>
      <w:bookmarkStart w:id="1011" w:name="_Toc6493"/>
      <w:bookmarkStart w:id="1012" w:name="_Toc1369"/>
      <w:bookmarkStart w:id="1013" w:name="_Toc16553"/>
      <w:bookmarkStart w:id="1014" w:name="_Toc30512"/>
      <w:bookmarkStart w:id="1015" w:name="_Toc2072"/>
      <w:bookmarkStart w:id="1016" w:name="_Toc30093"/>
      <w:bookmarkStart w:id="1017" w:name="_Toc30855"/>
      <w:bookmarkStart w:id="1018" w:name="_Toc27096"/>
      <w:bookmarkStart w:id="1019" w:name="_Toc1819"/>
      <w:bookmarkStart w:id="1020" w:name="_Toc27146"/>
      <w:bookmarkStart w:id="1021" w:name="_Toc2500"/>
      <w:bookmarkStart w:id="1022" w:name="_Toc13021"/>
      <w:bookmarkStart w:id="1023" w:name="_Toc11973"/>
      <w:bookmarkStart w:id="1024" w:name="_Toc22908"/>
      <w:bookmarkStart w:id="1025" w:name="_Toc24946"/>
      <w:bookmarkStart w:id="1026" w:name="_Toc9437"/>
      <w:bookmarkStart w:id="1027" w:name="_Toc12088"/>
      <w:bookmarkStart w:id="1028" w:name="_Toc25636"/>
      <w:bookmarkStart w:id="1029" w:name="_Toc8353"/>
      <w:bookmarkStart w:id="1030" w:name="_Toc3696"/>
      <w:bookmarkStart w:id="1031" w:name="_Toc18518"/>
      <w:bookmarkStart w:id="1032" w:name="_Toc11297"/>
      <w:bookmarkStart w:id="1033" w:name="_Toc27601"/>
      <w:bookmarkStart w:id="1034" w:name="_Toc23411"/>
      <w:r>
        <w:rPr>
          <w:rFonts w:hint="eastAsia" w:ascii="宋体" w:hAnsi="宋体" w:eastAsia="宋体" w:cs="宋体"/>
          <w:b/>
          <w:bCs/>
          <w:color w:val="auto"/>
          <w:sz w:val="24"/>
          <w:szCs w:val="24"/>
          <w:highlight w:val="none"/>
        </w:rPr>
        <w:t>质疑函范本</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pPr>
        <w:pageBreakBefore w:val="0"/>
        <w:kinsoku/>
        <w:wordWrap/>
        <w:overflowPunct/>
        <w:topLinePunct w:val="0"/>
        <w:bidi w:val="0"/>
        <w:adjustRightInd w:val="0"/>
        <w:snapToGrid w:val="0"/>
        <w:spacing w:line="360" w:lineRule="exact"/>
        <w:ind w:left="0" w:leftChars="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pPr>
        <w:pageBreakBefore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pPr>
        <w:pageBreakBefore w:val="0"/>
        <w:kinsoku/>
        <w:wordWrap/>
        <w:overflowPunct/>
        <w:topLinePunct w:val="0"/>
        <w:bidi w:val="0"/>
        <w:spacing w:line="360" w:lineRule="exact"/>
        <w:ind w:left="0" w:left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pPr>
        <w:pageBreakBefore w:val="0"/>
        <w:kinsoku/>
        <w:wordWrap/>
        <w:overflowPunct/>
        <w:topLinePunct w:val="0"/>
        <w:bidi w:val="0"/>
        <w:spacing w:line="360" w:lineRule="exact"/>
        <w:ind w:left="0" w:leftChars="0"/>
        <w:textAlignment w:val="auto"/>
        <w:outlineLvl w:val="9"/>
        <w:rPr>
          <w:rFonts w:hint="eastAsia" w:ascii="宋体" w:hAnsi="宋体" w:eastAsia="宋体" w:cs="宋体"/>
          <w:b/>
          <w:color w:val="auto"/>
          <w:sz w:val="24"/>
          <w:szCs w:val="24"/>
          <w:highlight w:val="none"/>
        </w:rPr>
      </w:pPr>
    </w:p>
    <w:p>
      <w:pPr>
        <w:pageBreakBefore w:val="0"/>
        <w:kinsoku/>
        <w:wordWrap/>
        <w:overflowPunct/>
        <w:topLinePunct w:val="0"/>
        <w:bidi w:val="0"/>
        <w:spacing w:line="360" w:lineRule="exact"/>
        <w:ind w:left="0" w:lef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pPr>
        <w:pageBreakBefore w:val="0"/>
        <w:widowControl/>
        <w:kinsoku/>
        <w:wordWrap/>
        <w:overflowPunct/>
        <w:topLinePunct w:val="0"/>
        <w:bidi w:val="0"/>
        <w:spacing w:line="36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pPr>
        <w:pStyle w:val="7"/>
        <w:spacing w:line="400" w:lineRule="exact"/>
        <w:ind w:firstLine="0"/>
        <w:rPr>
          <w:rFonts w:hint="eastAsia" w:ascii="宋体" w:hAnsi="宋体" w:eastAsia="宋体" w:cs="宋体"/>
          <w:color w:val="auto"/>
          <w:kern w:val="2"/>
          <w:sz w:val="21"/>
          <w:szCs w:val="21"/>
          <w:highlight w:val="none"/>
        </w:rPr>
      </w:pPr>
      <w:r>
        <w:rPr>
          <w:rFonts w:hint="eastAsia" w:ascii="宋体" w:hAnsi="宋体" w:eastAsia="宋体" w:cs="宋体"/>
          <w:b/>
          <w:color w:val="auto"/>
          <w:szCs w:val="24"/>
          <w:highlight w:val="none"/>
        </w:rPr>
        <w:br w:type="page"/>
      </w:r>
    </w:p>
    <w:p>
      <w:pPr>
        <w:pStyle w:val="3"/>
        <w:keepNext/>
        <w:keepLines/>
        <w:pageBreakBefore w:val="0"/>
        <w:widowControl w:val="0"/>
        <w:kinsoku/>
        <w:wordWrap/>
        <w:overflowPunct/>
        <w:topLinePunct w:val="0"/>
        <w:autoSpaceDE w:val="0"/>
        <w:autoSpaceDN w:val="0"/>
        <w:bidi w:val="0"/>
        <w:adjustRightInd w:val="0"/>
        <w:snapToGrid/>
        <w:spacing w:before="0" w:after="0" w:line="240" w:lineRule="atLeast"/>
        <w:ind w:left="0"/>
        <w:jc w:val="center"/>
        <w:textAlignment w:val="auto"/>
        <w:rPr>
          <w:rFonts w:hint="eastAsia" w:ascii="宋体" w:hAnsi="宋体" w:eastAsia="宋体" w:cs="宋体"/>
          <w:b/>
          <w:bCs/>
          <w:color w:val="auto"/>
          <w:sz w:val="32"/>
          <w:szCs w:val="32"/>
          <w:highlight w:val="none"/>
        </w:rPr>
      </w:pPr>
      <w:bookmarkStart w:id="1035" w:name="_Toc29770"/>
      <w:bookmarkStart w:id="1036" w:name="_Toc702"/>
      <w:bookmarkStart w:id="1037" w:name="_Toc515647802"/>
      <w:bookmarkStart w:id="1038" w:name="_Toc3574"/>
      <w:bookmarkStart w:id="1039" w:name="_Toc216582812"/>
      <w:bookmarkStart w:id="1040" w:name="_Toc22390"/>
      <w:bookmarkStart w:id="1041" w:name="_Toc728"/>
      <w:bookmarkStart w:id="1042" w:name="_Toc31373"/>
      <w:r>
        <w:rPr>
          <w:rFonts w:hint="eastAsia" w:ascii="宋体" w:hAnsi="宋体" w:eastAsia="宋体" w:cs="宋体"/>
          <w:b/>
          <w:bCs/>
          <w:color w:val="auto"/>
          <w:kern w:val="0"/>
          <w:sz w:val="32"/>
          <w:szCs w:val="32"/>
          <w:highlight w:val="none"/>
          <w:lang w:val="en-US" w:eastAsia="zh-CN" w:bidi="ar-SA"/>
        </w:rPr>
        <w:t>第2章</w:t>
      </w:r>
      <w:r>
        <w:rPr>
          <w:rFonts w:hint="eastAsia"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投标文件格式</w:t>
      </w:r>
      <w:bookmarkEnd w:id="1035"/>
      <w:bookmarkEnd w:id="1036"/>
      <w:bookmarkEnd w:id="1037"/>
      <w:bookmarkEnd w:id="1038"/>
      <w:bookmarkEnd w:id="1039"/>
      <w:bookmarkEnd w:id="1040"/>
      <w:bookmarkEnd w:id="1041"/>
      <w:bookmarkEnd w:id="1042"/>
    </w:p>
    <w:p>
      <w:pPr>
        <w:pStyle w:val="4"/>
        <w:pageBreakBefore w:val="0"/>
        <w:kinsoku/>
        <w:wordWrap/>
        <w:overflowPunct/>
        <w:topLinePunct w:val="0"/>
        <w:bidi w:val="0"/>
        <w:spacing w:before="0" w:line="360" w:lineRule="exact"/>
        <w:ind w:left="1080" w:leftChars="257" w:hanging="540"/>
        <w:rPr>
          <w:rFonts w:hint="eastAsia" w:ascii="宋体" w:hAnsi="宋体" w:eastAsia="宋体" w:cs="宋体"/>
          <w:color w:val="auto"/>
          <w:sz w:val="24"/>
          <w:szCs w:val="24"/>
          <w:highlight w:val="none"/>
        </w:rPr>
      </w:pPr>
      <w:bookmarkStart w:id="1043" w:name="_Toc17114"/>
      <w:bookmarkStart w:id="1044" w:name="_Toc26858"/>
      <w:bookmarkStart w:id="1045" w:name="_Toc32123"/>
      <w:bookmarkStart w:id="1046" w:name="_Toc22572"/>
      <w:bookmarkStart w:id="1047" w:name="_Toc18694"/>
      <w:bookmarkStart w:id="1048" w:name="_Toc32079"/>
      <w:bookmarkStart w:id="1049" w:name="_Toc18974"/>
      <w:bookmarkStart w:id="1050" w:name="_Toc515647803"/>
      <w:bookmarkStart w:id="1051" w:name="_Toc11138"/>
      <w:bookmarkStart w:id="1052" w:name="_Toc29091"/>
      <w:bookmarkStart w:id="1053" w:name="_Toc3620"/>
      <w:bookmarkStart w:id="1054" w:name="_Toc522"/>
      <w:bookmarkStart w:id="1055" w:name="_Toc16568"/>
      <w:bookmarkStart w:id="1056" w:name="_Toc21614"/>
      <w:bookmarkStart w:id="1057" w:name="_Toc14118"/>
      <w:bookmarkStart w:id="1058" w:name="_Toc30524"/>
      <w:bookmarkStart w:id="1059" w:name="_Toc515647804"/>
      <w:bookmarkStart w:id="1060" w:name="_Toc13595"/>
      <w:bookmarkStart w:id="1061" w:name="_Toc16750"/>
      <w:bookmarkStart w:id="1062" w:name="_Toc30630"/>
      <w:bookmarkStart w:id="1063" w:name="_Toc480942349"/>
      <w:bookmarkStart w:id="1064" w:name="_Toc216582813"/>
      <w:bookmarkStart w:id="1065" w:name="_Ref467988698"/>
      <w:bookmarkStart w:id="1066" w:name="_Toc520356217"/>
      <w:r>
        <w:rPr>
          <w:rFonts w:hint="eastAsia" w:ascii="宋体" w:hAnsi="宋体" w:eastAsia="宋体" w:cs="宋体"/>
          <w:color w:val="auto"/>
          <w:sz w:val="24"/>
          <w:szCs w:val="24"/>
          <w:highlight w:val="none"/>
        </w:rPr>
        <w:t>第一部分 开标一览表及资格证明文件</w:t>
      </w:r>
      <w:bookmarkEnd w:id="1043"/>
      <w:bookmarkEnd w:id="1044"/>
      <w:bookmarkEnd w:id="1045"/>
      <w:bookmarkEnd w:id="1046"/>
      <w:bookmarkEnd w:id="1047"/>
      <w:bookmarkEnd w:id="1048"/>
      <w:bookmarkEnd w:id="1049"/>
      <w:bookmarkEnd w:id="1050"/>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开标一览表</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合格有效的三证合一的营业执照（三证合一）或电子营业执照（需加盖公章）或同等法律效力的证明文件（发证机关或公证机关出具的证明材料）</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法定代表人资格证明及授权书、被授权人身份证(法定代表人投标需提供法定代表人身份证)；</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4.提供近两年内任意一年的财务审计报告（新成立未满一年的新公司可提供近三个月内任意一个月的银行资信证明）</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依法缴纳近六个月内任意一个月社会保险证明</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依法缴纳近六个月内任意一个月税收证明</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w:t>
      </w:r>
      <w:r>
        <w:rPr>
          <w:rFonts w:hint="eastAsia" w:ascii="宋体" w:hAnsi="宋体" w:cs="宋体"/>
          <w:color w:val="auto"/>
          <w:sz w:val="24"/>
          <w:szCs w:val="24"/>
          <w:highlight w:val="none"/>
          <w:lang w:eastAsia="zh-CN"/>
        </w:rPr>
        <w:t>列入严重违法失信名单（黑名单）信息；将拒绝其参加本次招标活动；</w:t>
      </w:r>
      <w:r>
        <w:rPr>
          <w:rFonts w:hint="eastAsia" w:ascii="宋体" w:hAnsi="宋体" w:eastAsia="宋体" w:cs="宋体"/>
          <w:color w:val="auto"/>
          <w:spacing w:val="-2"/>
          <w:szCs w:val="21"/>
          <w:highlight w:val="none"/>
        </w:rPr>
        <w:t>（以采购代理机构或采购人查询为准）</w:t>
      </w:r>
      <w:r>
        <w:rPr>
          <w:rFonts w:hint="eastAsia" w:ascii="宋体" w:hAnsi="宋体" w:cs="宋体"/>
          <w:color w:val="auto"/>
          <w:spacing w:val="-2"/>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参与政府采购活动前3年内未被列入失信、重大税收违法案件、财政部门禁止参加政府采购活动的承诺书；</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提供针对本次项目的《反商业贿赂承诺书》；</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缴纳投标保证金的有效凭证</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1.</w:t>
      </w:r>
      <w:r>
        <w:rPr>
          <w:rFonts w:hint="eastAsia" w:ascii="宋体" w:hAnsi="宋体" w:eastAsia="宋体" w:cs="宋体"/>
          <w:color w:val="auto"/>
          <w:kern w:val="0"/>
          <w:sz w:val="24"/>
          <w:szCs w:val="24"/>
          <w:highlight w:val="none"/>
        </w:rPr>
        <w:t>银行开户许可证复印件或银行基本账户信息(包含：银行账号及开户行名称）；</w:t>
      </w:r>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供应商可提供有利于投标的其他资格证明材料。</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1"/>
          <w:szCs w:val="21"/>
          <w:highlight w:val="none"/>
        </w:rPr>
      </w:pP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各供应商应注意以下事项：①本项目要求各投标供应商提供“</w:t>
      </w:r>
      <w:r>
        <w:rPr>
          <w:rFonts w:hint="eastAsia" w:ascii="宋体" w:hAnsi="宋体" w:cs="宋体"/>
          <w:b/>
          <w:bCs/>
          <w:color w:val="auto"/>
          <w:sz w:val="21"/>
          <w:szCs w:val="21"/>
          <w:highlight w:val="none"/>
          <w:lang w:eastAsia="zh-CN"/>
        </w:rPr>
        <w:t>依法缴纳近六个月内任意一个月税收证明</w:t>
      </w:r>
      <w:r>
        <w:rPr>
          <w:rFonts w:hint="eastAsia" w:ascii="宋体" w:hAnsi="宋体" w:eastAsia="宋体" w:cs="宋体"/>
          <w:b/>
          <w:bCs/>
          <w:color w:val="auto"/>
          <w:sz w:val="21"/>
          <w:szCs w:val="21"/>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bookmarkEnd w:id="1051"/>
    <w:bookmarkEnd w:id="1052"/>
    <w:bookmarkEnd w:id="1053"/>
    <w:bookmarkEnd w:id="1054"/>
    <w:bookmarkEnd w:id="1055"/>
    <w:bookmarkEnd w:id="1056"/>
    <w:bookmarkEnd w:id="1057"/>
    <w:bookmarkEnd w:id="1058"/>
    <w:bookmarkEnd w:id="1059"/>
    <w:bookmarkEnd w:id="1060"/>
    <w:bookmarkEnd w:id="1061"/>
    <w:bookmarkEnd w:id="1062"/>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rPr>
      </w:pPr>
      <w:bookmarkStart w:id="1067" w:name="_Toc29944"/>
      <w:bookmarkStart w:id="1068" w:name="_Toc22726"/>
      <w:r>
        <w:rPr>
          <w:rFonts w:hint="eastAsia" w:ascii="宋体" w:hAnsi="宋体" w:eastAsia="宋体" w:cs="宋体"/>
          <w:color w:val="auto"/>
          <w:sz w:val="28"/>
          <w:szCs w:val="28"/>
          <w:highlight w:val="none"/>
        </w:rPr>
        <w:t>1.开标一览表；</w:t>
      </w:r>
      <w:bookmarkEnd w:id="1067"/>
      <w:bookmarkEnd w:id="1068"/>
    </w:p>
    <w:p>
      <w:pPr>
        <w:pStyle w:val="7"/>
        <w:tabs>
          <w:tab w:val="left" w:pos="5580"/>
        </w:tabs>
        <w:spacing w:line="400" w:lineRule="exact"/>
        <w:ind w:left="1080" w:leftChars="257" w:hanging="540"/>
        <w:jc w:val="center"/>
        <w:rPr>
          <w:rFonts w:hint="eastAsia" w:ascii="宋体" w:hAnsi="宋体" w:eastAsia="宋体" w:cs="宋体"/>
          <w:color w:val="auto"/>
          <w:highlight w:val="none"/>
        </w:rPr>
      </w:pPr>
      <w:bookmarkStart w:id="1069" w:name="_Hlt520356241"/>
      <w:bookmarkEnd w:id="1069"/>
      <w:bookmarkStart w:id="1070" w:name="_Toc494296984"/>
      <w:r>
        <w:rPr>
          <w:rFonts w:hint="eastAsia" w:ascii="宋体" w:hAnsi="宋体" w:eastAsia="宋体" w:cs="宋体"/>
          <w:b/>
          <w:color w:val="auto"/>
          <w:highlight w:val="none"/>
        </w:rPr>
        <w:t>开标一览表</w:t>
      </w:r>
      <w:bookmarkEnd w:id="1070"/>
    </w:p>
    <w:p>
      <w:pPr>
        <w:tabs>
          <w:tab w:val="left" w:pos="1800"/>
          <w:tab w:val="left" w:pos="5580"/>
        </w:tabs>
        <w:spacing w:line="400" w:lineRule="exact"/>
        <w:ind w:left="1080" w:leftChars="257" w:right="-867" w:rightChars="-413"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pPr>
        <w:tabs>
          <w:tab w:val="left" w:pos="1800"/>
          <w:tab w:val="left" w:pos="5580"/>
        </w:tabs>
        <w:spacing w:line="400" w:lineRule="exact"/>
        <w:ind w:left="1080" w:leftChars="257" w:right="-867" w:rightChars="-413" w:hanging="54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报价单位：人民币</w:t>
      </w:r>
      <w:r>
        <w:rPr>
          <w:rFonts w:hint="eastAsia" w:ascii="宋体" w:hAnsi="宋体" w:eastAsia="宋体" w:cs="宋体"/>
          <w:color w:val="auto"/>
          <w:sz w:val="24"/>
          <w:highlight w:val="none"/>
          <w:lang w:val="en-US" w:eastAsia="zh-CN"/>
        </w:rPr>
        <w:t xml:space="preserve"> </w:t>
      </w:r>
      <w:r>
        <w:rPr>
          <w:rFonts w:hint="eastAsia" w:ascii="宋体" w:hAnsi="宋体" w:cs="宋体"/>
          <w:color w:val="auto"/>
          <w:sz w:val="24"/>
          <w:highlight w:val="none"/>
          <w:lang w:val="en-US" w:eastAsia="zh-CN"/>
        </w:rPr>
        <w:t xml:space="preserve">       元/年</w:t>
      </w:r>
      <w:r>
        <w:rPr>
          <w:rFonts w:hint="eastAsia" w:ascii="宋体" w:hAnsi="宋体" w:eastAsia="宋体" w:cs="宋体"/>
          <w:b/>
          <w:color w:val="auto"/>
          <w:sz w:val="24"/>
          <w:highlight w:val="none"/>
          <w:lang w:val="en-US" w:eastAsia="zh-CN"/>
        </w:rPr>
        <w:t xml:space="preserve"> </w:t>
      </w:r>
      <w:r>
        <w:rPr>
          <w:rFonts w:hint="eastAsia" w:ascii="宋体" w:hAnsi="宋体" w:cs="宋体"/>
          <w:b/>
          <w:color w:val="auto"/>
          <w:sz w:val="24"/>
          <w:highlight w:val="none"/>
          <w:lang w:val="en-US" w:eastAsia="zh-CN"/>
        </w:rPr>
        <w:t xml:space="preserve">    </w:t>
      </w:r>
      <w:r>
        <w:rPr>
          <w:rFonts w:hint="eastAsia" w:ascii="宋体" w:hAnsi="宋体" w:eastAsia="宋体" w:cs="宋体"/>
          <w:color w:val="auto"/>
          <w:sz w:val="24"/>
          <w:highlight w:val="none"/>
          <w:lang w:val="en-US" w:eastAsia="zh-CN"/>
        </w:rPr>
        <w:t>包号：</w:t>
      </w:r>
    </w:p>
    <w:tbl>
      <w:tblPr>
        <w:tblStyle w:val="30"/>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387"/>
        <w:gridCol w:w="1544"/>
        <w:gridCol w:w="1230"/>
        <w:gridCol w:w="1387"/>
        <w:gridCol w:w="1387"/>
        <w:gridCol w:w="1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货物名称</w:t>
            </w:r>
          </w:p>
        </w:tc>
        <w:tc>
          <w:tcPr>
            <w:tcW w:w="1544"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投标总价</w:t>
            </w:r>
          </w:p>
        </w:tc>
        <w:tc>
          <w:tcPr>
            <w:tcW w:w="1230"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投标保证金</w:t>
            </w: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lang w:val="en-US" w:eastAsia="zh-CN"/>
              </w:rPr>
              <w:t>期</w:t>
            </w: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lang w:val="en-US" w:eastAsia="zh-CN"/>
              </w:rPr>
              <w:t>地点</w:t>
            </w: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1544" w:type="dxa"/>
            <w:vAlign w:val="center"/>
          </w:tcPr>
          <w:p>
            <w:pPr>
              <w:tabs>
                <w:tab w:val="left" w:pos="5580"/>
              </w:tabs>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大写：</w:t>
            </w:r>
          </w:p>
          <w:p>
            <w:pPr>
              <w:tabs>
                <w:tab w:val="left" w:pos="5580"/>
              </w:tabs>
              <w:spacing w:line="400" w:lineRule="exact"/>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小写：</w:t>
            </w:r>
          </w:p>
        </w:tc>
        <w:tc>
          <w:tcPr>
            <w:tcW w:w="1230"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c>
          <w:tcPr>
            <w:tcW w:w="1387" w:type="dxa"/>
            <w:vAlign w:val="center"/>
          </w:tcPr>
          <w:p>
            <w:pPr>
              <w:tabs>
                <w:tab w:val="left" w:pos="5580"/>
              </w:tabs>
              <w:spacing w:line="400" w:lineRule="exact"/>
              <w:jc w:val="center"/>
              <w:rPr>
                <w:rFonts w:hint="eastAsia" w:ascii="宋体" w:hAnsi="宋体" w:eastAsia="宋体" w:cs="宋体"/>
                <w:color w:val="auto"/>
                <w:sz w:val="24"/>
                <w:highlight w:val="none"/>
                <w:lang w:val="en-US" w:eastAsia="zh-CN"/>
              </w:rPr>
            </w:pPr>
          </w:p>
        </w:tc>
      </w:tr>
    </w:tbl>
    <w:p>
      <w:pPr>
        <w:pStyle w:val="15"/>
        <w:tabs>
          <w:tab w:val="left" w:pos="5580"/>
        </w:tabs>
        <w:spacing w:line="400" w:lineRule="exact"/>
        <w:ind w:left="1080" w:leftChars="257" w:hanging="540"/>
        <w:rPr>
          <w:rFonts w:hint="eastAsia" w:ascii="宋体" w:hAnsi="宋体" w:eastAsia="宋体" w:cs="宋体"/>
          <w:color w:val="auto"/>
          <w:sz w:val="24"/>
          <w:highlight w:val="none"/>
        </w:rPr>
      </w:pPr>
    </w:p>
    <w:p>
      <w:pPr>
        <w:pStyle w:val="15"/>
        <w:tabs>
          <w:tab w:val="left" w:pos="5580"/>
        </w:tabs>
        <w:spacing w:line="400" w:lineRule="exact"/>
        <w:ind w:left="1080" w:leftChars="257" w:hanging="540"/>
        <w:rPr>
          <w:rFonts w:hint="eastAsia" w:ascii="宋体" w:hAnsi="宋体" w:eastAsia="宋体" w:cs="宋体"/>
          <w:color w:val="auto"/>
          <w:sz w:val="24"/>
          <w:highlight w:val="none"/>
          <w:u w:val="single"/>
        </w:rPr>
      </w:pPr>
    </w:p>
    <w:p>
      <w:pPr>
        <w:pStyle w:val="15"/>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供应商名称（公章）：</w:t>
      </w:r>
      <w:r>
        <w:rPr>
          <w:rFonts w:hint="eastAsia" w:ascii="宋体" w:hAnsi="宋体" w:eastAsia="宋体" w:cs="宋体"/>
          <w:color w:val="auto"/>
          <w:sz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法定代表人或委托代理</w:t>
      </w:r>
      <w:r>
        <w:rPr>
          <w:rFonts w:hint="eastAsia" w:ascii="宋体" w:hAnsi="宋体" w:eastAsia="宋体" w:cs="宋体"/>
          <w:color w:val="auto"/>
          <w:sz w:val="24"/>
          <w:highlight w:val="none"/>
          <w:lang w:eastAsia="zh-CN"/>
        </w:rPr>
        <w:t>人（</w:t>
      </w:r>
      <w:r>
        <w:rPr>
          <w:rFonts w:hint="eastAsia" w:hAnsi="宋体" w:cs="宋体"/>
          <w:color w:val="auto"/>
          <w:sz w:val="24"/>
          <w:highlight w:val="none"/>
          <w:lang w:val="en-US" w:eastAsia="zh-CN"/>
        </w:rPr>
        <w:t>签字或盖章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ab/>
      </w:r>
    </w:p>
    <w:p>
      <w:pPr>
        <w:pStyle w:val="15"/>
        <w:tabs>
          <w:tab w:val="left" w:pos="5580"/>
        </w:tabs>
        <w:spacing w:line="400" w:lineRule="exact"/>
        <w:ind w:left="1080" w:leftChars="257" w:hanging="540"/>
        <w:rPr>
          <w:rFonts w:hint="eastAsia" w:ascii="宋体" w:hAnsi="宋体" w:eastAsia="宋体" w:cs="宋体"/>
          <w:color w:val="auto"/>
          <w:sz w:val="24"/>
          <w:highlight w:val="none"/>
        </w:rPr>
      </w:pPr>
    </w:p>
    <w:p>
      <w:pPr>
        <w:pStyle w:val="15"/>
        <w:tabs>
          <w:tab w:val="left" w:pos="5580"/>
        </w:tabs>
        <w:spacing w:line="400" w:lineRule="exact"/>
        <w:ind w:left="741" w:leftChars="353"/>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注:1、此表中，投标总价应和投标分项报价表的总价相一致。</w:t>
      </w:r>
    </w:p>
    <w:p>
      <w:pPr>
        <w:pStyle w:val="15"/>
        <w:tabs>
          <w:tab w:val="left" w:pos="5580"/>
        </w:tabs>
        <w:spacing w:line="400" w:lineRule="exact"/>
        <w:ind w:left="741" w:leftChars="353"/>
        <w:rPr>
          <w:rFonts w:hint="eastAsia" w:ascii="宋体" w:hAnsi="宋体" w:eastAsia="宋体" w:cs="宋体"/>
          <w:b/>
          <w:color w:val="auto"/>
          <w:sz w:val="24"/>
          <w:highlight w:val="none"/>
        </w:rPr>
      </w:pPr>
      <w:r>
        <w:rPr>
          <w:rFonts w:hint="eastAsia" w:hAnsi="宋体" w:cs="宋体"/>
          <w:color w:val="auto"/>
          <w:sz w:val="24"/>
          <w:highlight w:val="none"/>
          <w:lang w:val="en-US" w:eastAsia="zh-CN"/>
        </w:rPr>
        <w:t>2</w:t>
      </w:r>
      <w:r>
        <w:rPr>
          <w:rFonts w:hint="eastAsia" w:ascii="宋体" w:hAnsi="宋体" w:eastAsia="宋体" w:cs="宋体"/>
          <w:color w:val="auto"/>
          <w:sz w:val="24"/>
          <w:highlight w:val="none"/>
        </w:rPr>
        <w:t>、投标商报价时包含税费等一切与本次项目相关的费用。</w:t>
      </w:r>
    </w:p>
    <w:p>
      <w:pPr>
        <w:pStyle w:val="15"/>
        <w:tabs>
          <w:tab w:val="left" w:pos="5580"/>
        </w:tabs>
        <w:spacing w:line="240" w:lineRule="atLeast"/>
        <w:rPr>
          <w:rFonts w:hint="eastAsia" w:ascii="宋体" w:hAnsi="宋体" w:eastAsia="宋体" w:cs="宋体"/>
          <w:b/>
          <w:color w:val="auto"/>
          <w:sz w:val="24"/>
          <w:highlight w:val="none"/>
        </w:rPr>
      </w:pPr>
    </w:p>
    <w:p>
      <w:pPr>
        <w:pStyle w:val="15"/>
        <w:tabs>
          <w:tab w:val="left" w:pos="5580"/>
        </w:tabs>
        <w:spacing w:line="240" w:lineRule="atLeast"/>
        <w:rPr>
          <w:rFonts w:hint="eastAsia" w:ascii="宋体" w:hAnsi="宋体" w:eastAsia="宋体" w:cs="宋体"/>
          <w:b/>
          <w:color w:val="auto"/>
          <w:sz w:val="24"/>
          <w:highlight w:val="none"/>
        </w:rPr>
      </w:pPr>
    </w:p>
    <w:p>
      <w:pPr>
        <w:pStyle w:val="15"/>
        <w:tabs>
          <w:tab w:val="left" w:pos="5580"/>
        </w:tabs>
        <w:spacing w:line="240" w:lineRule="atLeast"/>
        <w:rPr>
          <w:rFonts w:hint="eastAsia" w:ascii="宋体" w:hAnsi="宋体" w:eastAsia="宋体" w:cs="宋体"/>
          <w:b/>
          <w:color w:val="auto"/>
          <w:sz w:val="24"/>
          <w:highlight w:val="none"/>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b/>
          <w:color w:val="auto"/>
          <w:sz w:val="24"/>
          <w:highlight w:val="none"/>
        </w:rPr>
      </w:pPr>
      <w:bookmarkStart w:id="1071" w:name="_Toc3446"/>
      <w:bookmarkStart w:id="1072" w:name="_Toc16252"/>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合格有效的三证合一的营业执照（三证合一）或电子营业执照（需加盖公章）或同等法律效力的证明文件（发证机关或公证机关出具的证明材料）；</w:t>
      </w:r>
      <w:bookmarkEnd w:id="1071"/>
      <w:bookmarkEnd w:id="1072"/>
    </w:p>
    <w:p>
      <w:pPr>
        <w:pStyle w:val="15"/>
        <w:tabs>
          <w:tab w:val="left" w:pos="5580"/>
        </w:tabs>
        <w:spacing w:line="240" w:lineRule="atLeast"/>
        <w:rPr>
          <w:rFonts w:hint="eastAsia" w:ascii="宋体" w:hAnsi="宋体" w:eastAsia="宋体" w:cs="宋体"/>
          <w:b/>
          <w:color w:val="auto"/>
          <w:sz w:val="24"/>
          <w:highlight w:val="none"/>
        </w:rPr>
      </w:pPr>
    </w:p>
    <w:p>
      <w:pPr>
        <w:pStyle w:val="15"/>
        <w:tabs>
          <w:tab w:val="left" w:pos="5580"/>
        </w:tabs>
        <w:spacing w:line="240" w:lineRule="atLeast"/>
        <w:rPr>
          <w:rFonts w:hint="eastAsia" w:ascii="宋体" w:hAnsi="宋体" w:eastAsia="宋体" w:cs="宋体"/>
          <w:b/>
          <w:color w:val="auto"/>
          <w:sz w:val="24"/>
          <w:highlight w:val="none"/>
        </w:rPr>
      </w:pPr>
    </w:p>
    <w:p>
      <w:pPr>
        <w:outlineLvl w:val="9"/>
        <w:rPr>
          <w:rFonts w:hint="eastAsia" w:ascii="宋体" w:hAnsi="宋体" w:eastAsia="宋体" w:cs="宋体"/>
          <w:color w:val="auto"/>
          <w:sz w:val="28"/>
          <w:szCs w:val="28"/>
          <w:highlight w:val="none"/>
          <w:lang w:val="en-US" w:eastAsia="zh-CN"/>
        </w:rPr>
      </w:pPr>
      <w:bookmarkStart w:id="1073" w:name="_Toc16610"/>
    </w:p>
    <w:p>
      <w:pPr>
        <w:pStyle w:val="7"/>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p>
    <w:p>
      <w:pPr>
        <w:pStyle w:val="2"/>
        <w:rPr>
          <w:rFonts w:hint="eastAsia"/>
          <w:lang w:val="en-US" w:eastAsia="zh-CN"/>
        </w:rPr>
      </w:pPr>
    </w:p>
    <w:p>
      <w:pPr>
        <w:pStyle w:val="8"/>
        <w:rPr>
          <w:rFonts w:hint="eastAsia"/>
          <w:color w:val="auto"/>
          <w:highlight w:val="none"/>
          <w:lang w:val="en-US" w:eastAsia="zh-CN"/>
        </w:rPr>
      </w:pPr>
    </w:p>
    <w:p>
      <w:pPr>
        <w:pStyle w:val="4"/>
        <w:keepNext/>
        <w:keepLines/>
        <w:pageBreakBefore w:val="0"/>
        <w:widowControl w:val="0"/>
        <w:numPr>
          <w:ilvl w:val="0"/>
          <w:numId w:val="7"/>
        </w:numPr>
        <w:kinsoku/>
        <w:wordWrap/>
        <w:overflowPunct/>
        <w:topLinePunct w:val="0"/>
        <w:autoSpaceDE w:val="0"/>
        <w:autoSpaceDN w:val="0"/>
        <w:bidi w:val="0"/>
        <w:adjustRightInd w:val="0"/>
        <w:snapToGrid/>
        <w:spacing w:before="0" w:line="440" w:lineRule="exact"/>
        <w:jc w:val="left"/>
        <w:textAlignment w:val="auto"/>
        <w:rPr>
          <w:rFonts w:hint="eastAsia"/>
          <w:color w:val="auto"/>
          <w:highlight w:val="none"/>
        </w:rPr>
      </w:pPr>
      <w:bookmarkStart w:id="1074" w:name="_Toc14661"/>
      <w:r>
        <w:rPr>
          <w:rFonts w:hint="eastAsia" w:ascii="宋体" w:hAnsi="宋体" w:eastAsia="宋体" w:cs="宋体"/>
          <w:color w:val="auto"/>
          <w:sz w:val="28"/>
          <w:szCs w:val="28"/>
          <w:highlight w:val="none"/>
          <w:lang w:val="en-US" w:eastAsia="zh-CN"/>
        </w:rPr>
        <w:t>法定代表人资格证明及授权书、被授权人身份证(法定代表人投标需提供法定代表人身份证)；</w:t>
      </w:r>
      <w:bookmarkEnd w:id="1073"/>
      <w:bookmarkEnd w:id="1074"/>
    </w:p>
    <w:p>
      <w:pPr>
        <w:adjustRightInd w:val="0"/>
        <w:snapToGrid w:val="0"/>
        <w:spacing w:before="240" w:beforeLines="100" w:after="240" w:afterLines="100" w:line="360" w:lineRule="auto"/>
        <w:jc w:val="center"/>
        <w:outlineLvl w:val="2"/>
        <w:rPr>
          <w:rFonts w:hint="eastAsia" w:ascii="宋体" w:hAnsi="宋体" w:eastAsia="宋体" w:cs="宋体"/>
          <w:color w:val="auto"/>
          <w:sz w:val="24"/>
          <w:szCs w:val="24"/>
          <w:highlight w:val="none"/>
        </w:rPr>
      </w:pPr>
      <w:bookmarkStart w:id="1075" w:name="_Toc617"/>
      <w:bookmarkStart w:id="1076" w:name="_Toc27898"/>
      <w:r>
        <w:rPr>
          <w:rFonts w:hint="eastAsia" w:ascii="宋体" w:hAnsi="宋体" w:eastAsia="宋体" w:cs="宋体"/>
          <w:b/>
          <w:color w:val="auto"/>
          <w:sz w:val="24"/>
          <w:szCs w:val="24"/>
          <w:highlight w:val="none"/>
        </w:rPr>
        <w:t>（一）法定代表人身份证明</w:t>
      </w:r>
      <w:bookmarkEnd w:id="1075"/>
      <w:bookmarkEnd w:id="1076"/>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同志，现任我单位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职务，为法定代表人，特此证明。</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签发日期：</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单位：</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附：代表人性别：</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身份证号码：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合格有效的三证合一的营业执照（三证合一）或电子营业执照（需加盖公章）或同等法律效力的证明文件（发证机关或公证机关出具的证明材料）</w:t>
      </w:r>
      <w:r>
        <w:rPr>
          <w:rFonts w:hint="eastAsia" w:ascii="宋体" w:hAnsi="宋体" w:eastAsia="宋体" w:cs="宋体"/>
          <w:color w:val="auto"/>
          <w:sz w:val="24"/>
          <w:szCs w:val="24"/>
          <w:highlight w:val="none"/>
        </w:rPr>
        <w:t>号码：</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经济性质：</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1、法定代表人为企业事业单位、国家机关、社会团体的主要行政负责人。</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提供身份证正反面。</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内容必须填写真实、清楚、涂改无效，不得转让。</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wrap="square" upright="1"/>
                    </wps:wsp>
                  </a:graphicData>
                </a:graphic>
              </wp:anchor>
            </w:drawing>
          </mc:Choice>
          <mc:Fallback>
            <w:pict>
              <v:shape id="流程图: 可选过程 14"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5WTr11gAAAAgBAAAPAAAAAAAAAAEAIAAAACIAAABkcnMvZG93bnJldi54&#10;bWxQSwECFAAUAAAACACHTuJAmbji5zUCAABiBAAADgAAAAAAAAABACAAAAAlAQAAZHJzL2Uyb0Rv&#10;Yy54bWxQSwUGAAAAAAYABgBZAQAAzA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0" distR="0" simplePos="0" relativeHeight="251659264" behindDoc="0" locked="0" layoutInCell="1" allowOverlap="1">
                <wp:simplePos x="0" y="0"/>
                <wp:positionH relativeFrom="column">
                  <wp:posOffset>2918460</wp:posOffset>
                </wp:positionH>
                <wp:positionV relativeFrom="paragraph">
                  <wp:posOffset>28575</wp:posOffset>
                </wp:positionV>
                <wp:extent cx="2392045" cy="1557020"/>
                <wp:effectExtent l="5080" t="4445" r="12700" b="10160"/>
                <wp:wrapNone/>
                <wp:docPr id="1027" name="圆角矩形 15"/>
                <wp:cNvGraphicFramePr/>
                <a:graphic xmlns:a="http://schemas.openxmlformats.org/drawingml/2006/main">
                  <a:graphicData uri="http://schemas.microsoft.com/office/word/2010/wordprocessingShape">
                    <wps:wsp>
                      <wps:cNvSpPr/>
                      <wps:spPr>
                        <a:xfrm>
                          <a:off x="0" y="0"/>
                          <a:ext cx="2392045" cy="1557020"/>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7"/>
                            </w:pPr>
                          </w:p>
                          <w:p>
                            <w:pPr>
                              <w:pStyle w:val="7"/>
                            </w:pPr>
                          </w:p>
                          <w:p>
                            <w:pPr>
                              <w:pStyle w:val="7"/>
                            </w:pPr>
                          </w:p>
                          <w:p>
                            <w:pPr>
                              <w:pStyle w:val="7"/>
                            </w:pPr>
                          </w:p>
                        </w:txbxContent>
                      </wps:txbx>
                      <wps:bodyPr wrap="square" upright="1"/>
                    </wps:wsp>
                  </a:graphicData>
                </a:graphic>
              </wp:anchor>
            </w:drawing>
          </mc:Choice>
          <mc:Fallback>
            <w:pict>
              <v:roundrect id="圆角矩形 15" o:spid="_x0000_s1026" o:spt="2" style="position:absolute;left:0pt;margin-left:229.8pt;margin-top:2.25pt;height:122.6pt;width:188.35pt;z-index:251659264;mso-width-relative:page;mso-height-relative:page;" fillcolor="#FFFFFF" filled="t" stroked="t" coordsize="21600,21600" arcsize="0.166666666666667" o:gfxdata="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UD8jnaAAAACQEAAA8AAAAAAAAAAQAgAAAAIgAAAGRycy9kb3du&#10;cmV2LnhtbFBLAQIUABQAAAAIAIdO4kDJv7a+NgIAAHMEAAAOAAAAAAAAAAEAIAAAACkBAABkcnMv&#10;ZTJvRG9jLnhtbFBLBQYAAAAABgAGAFkBAADRBQAAAAA=&#10;">
                <v:fill on="t" focussize="0,0"/>
                <v:stroke color="#000000" joinstyle="miter"/>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p/>
                    <w:p>
                      <w:pPr>
                        <w:pStyle w:val="7"/>
                      </w:pPr>
                    </w:p>
                    <w:p>
                      <w:pPr>
                        <w:pStyle w:val="7"/>
                      </w:pPr>
                    </w:p>
                    <w:p>
                      <w:pPr>
                        <w:pStyle w:val="7"/>
                      </w:pPr>
                    </w:p>
                    <w:p>
                      <w:pPr>
                        <w:pStyle w:val="7"/>
                      </w:pPr>
                    </w:p>
                  </w:txbxContent>
                </v:textbox>
              </v:roundrect>
            </w:pict>
          </mc:Fallback>
        </mc:AlternateConten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color w:val="auto"/>
          <w:sz w:val="24"/>
          <w:szCs w:val="24"/>
          <w:highlight w:val="none"/>
        </w:rPr>
      </w:pPr>
    </w:p>
    <w:p>
      <w:pPr>
        <w:autoSpaceDE w:val="0"/>
        <w:autoSpaceDN w:val="0"/>
        <w:adjustRightInd w:val="0"/>
        <w:spacing w:line="360" w:lineRule="auto"/>
        <w:ind w:right="246"/>
        <w:rPr>
          <w:rFonts w:hint="eastAsia" w:ascii="宋体" w:hAnsi="宋体" w:eastAsia="宋体" w:cs="宋体"/>
          <w:color w:val="auto"/>
          <w:kern w:val="0"/>
          <w:sz w:val="24"/>
          <w:szCs w:val="24"/>
          <w:highlight w:val="none"/>
        </w:rPr>
      </w:pPr>
    </w:p>
    <w:p>
      <w:pPr>
        <w:autoSpaceDE w:val="0"/>
        <w:autoSpaceDN w:val="0"/>
        <w:adjustRightInd w:val="0"/>
        <w:spacing w:line="360" w:lineRule="auto"/>
        <w:ind w:right="246"/>
        <w:rPr>
          <w:rFonts w:hint="eastAsia" w:ascii="宋体" w:hAnsi="宋体" w:eastAsia="宋体" w:cs="宋体"/>
          <w:color w:val="auto"/>
          <w:kern w:val="0"/>
          <w:sz w:val="24"/>
          <w:szCs w:val="24"/>
          <w:highlight w:val="none"/>
        </w:rPr>
      </w:pPr>
    </w:p>
    <w:p>
      <w:pPr>
        <w:autoSpaceDE w:val="0"/>
        <w:autoSpaceDN w:val="0"/>
        <w:adjustRightInd w:val="0"/>
        <w:spacing w:line="360" w:lineRule="auto"/>
        <w:ind w:right="246" w:firstLine="784" w:firstLineChars="32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公</w:t>
      </w:r>
      <w:r>
        <w:rPr>
          <w:rFonts w:hint="eastAsia" w:ascii="宋体" w:hAnsi="宋体" w:eastAsia="宋体" w:cs="宋体"/>
          <w:color w:val="auto"/>
          <w:kern w:val="0"/>
          <w:sz w:val="24"/>
          <w:szCs w:val="24"/>
          <w:highlight w:val="none"/>
        </w:rPr>
        <w:t>章）：</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 </w:t>
      </w:r>
    </w:p>
    <w:p>
      <w:pPr>
        <w:adjustRightInd w:val="0"/>
        <w:snapToGrid w:val="0"/>
        <w:spacing w:line="360" w:lineRule="auto"/>
        <w:ind w:firstLine="784" w:firstLineChars="327"/>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法定代表人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签/章</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pPr>
        <w:autoSpaceDE w:val="0"/>
        <w:autoSpaceDN w:val="0"/>
        <w:adjustRightInd w:val="0"/>
        <w:spacing w:line="360" w:lineRule="auto"/>
        <w:ind w:right="246" w:firstLine="784" w:firstLineChars="327"/>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日期：</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 xml:space="preserve">        </w:t>
      </w:r>
      <w:r>
        <w:rPr>
          <w:rFonts w:hint="eastAsia" w:ascii="宋体" w:hAnsi="宋体" w:eastAsia="宋体" w:cs="宋体"/>
          <w:color w:val="auto"/>
          <w:kern w:val="0"/>
          <w:sz w:val="24"/>
          <w:szCs w:val="24"/>
          <w:highlight w:val="none"/>
          <w:lang w:eastAsia="zh-CN"/>
        </w:rPr>
        <w:t xml:space="preserve">         </w:t>
      </w:r>
    </w:p>
    <w:p>
      <w:pPr>
        <w:adjustRightInd w:val="0"/>
        <w:snapToGrid w:val="0"/>
        <w:spacing w:line="400" w:lineRule="exact"/>
        <w:ind w:firstLine="784" w:firstLineChars="327"/>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pPr>
        <w:pStyle w:val="15"/>
        <w:tabs>
          <w:tab w:val="left" w:pos="5580"/>
        </w:tabs>
        <w:spacing w:line="40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说明：1.供应商为自然人的，应提供身份证明的复印件。</w:t>
      </w:r>
    </w:p>
    <w:p>
      <w:pPr>
        <w:pStyle w:val="15"/>
        <w:tabs>
          <w:tab w:val="left" w:pos="5580"/>
        </w:tabs>
        <w:spacing w:line="400" w:lineRule="exact"/>
        <w:ind w:left="1080" w:leftChars="257" w:hanging="54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hAnsi="宋体" w:cs="宋体"/>
          <w:color w:val="auto"/>
          <w:sz w:val="24"/>
          <w:highlight w:val="none"/>
          <w:lang w:val="en-US" w:eastAsia="zh-CN"/>
        </w:rPr>
        <w:t>2</w:t>
      </w:r>
      <w:r>
        <w:rPr>
          <w:rFonts w:hint="eastAsia" w:ascii="宋体" w:hAnsi="宋体" w:eastAsia="宋体" w:cs="宋体"/>
          <w:color w:val="auto"/>
          <w:sz w:val="24"/>
          <w:highlight w:val="none"/>
        </w:rPr>
        <w:t>.联合体投标应提供联合体各方满足以上要求的证明文件。</w:t>
      </w:r>
      <w:bookmarkStart w:id="1077" w:name="_Toc515647807"/>
      <w:bookmarkStart w:id="1078" w:name="_Toc13107"/>
      <w:bookmarkStart w:id="1079" w:name="_Toc22472"/>
      <w:bookmarkStart w:id="1080" w:name="_Toc1083"/>
      <w:bookmarkStart w:id="1081" w:name="_Toc21867"/>
      <w:bookmarkStart w:id="1082" w:name="_Toc5436"/>
      <w:bookmarkStart w:id="1083" w:name="_Toc6829"/>
      <w:bookmarkStart w:id="1084" w:name="_Toc16640"/>
    </w:p>
    <w:p>
      <w:pPr>
        <w:rPr>
          <w:rFonts w:hint="eastAsia" w:ascii="宋体" w:hAnsi="宋体" w:eastAsia="宋体" w:cs="宋体"/>
          <w:b/>
          <w:bCs/>
          <w:color w:val="auto"/>
          <w:sz w:val="24"/>
          <w:highlight w:val="none"/>
        </w:rPr>
      </w:pPr>
      <w:bookmarkStart w:id="1085" w:name="_Toc24769"/>
      <w:bookmarkStart w:id="1086" w:name="_Toc6179"/>
      <w:bookmarkStart w:id="1087" w:name="_Toc32380"/>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bookmarkEnd w:id="1077"/>
    <w:bookmarkEnd w:id="1078"/>
    <w:bookmarkEnd w:id="1079"/>
    <w:bookmarkEnd w:id="1080"/>
    <w:bookmarkEnd w:id="1081"/>
    <w:bookmarkEnd w:id="1082"/>
    <w:bookmarkEnd w:id="1083"/>
    <w:bookmarkEnd w:id="1084"/>
    <w:bookmarkEnd w:id="1085"/>
    <w:bookmarkEnd w:id="1086"/>
    <w:bookmarkEnd w:id="1087"/>
    <w:p>
      <w:pPr>
        <w:spacing w:line="360" w:lineRule="auto"/>
        <w:jc w:val="center"/>
        <w:outlineLvl w:val="2"/>
        <w:rPr>
          <w:rFonts w:hint="eastAsia" w:ascii="宋体" w:hAnsi="宋体" w:eastAsia="宋体" w:cs="宋体"/>
          <w:b/>
          <w:bCs/>
          <w:color w:val="auto"/>
          <w:sz w:val="24"/>
          <w:szCs w:val="24"/>
          <w:highlight w:val="none"/>
          <w:u w:val="single"/>
        </w:rPr>
      </w:pPr>
      <w:bookmarkStart w:id="1088" w:name="_Toc9453"/>
      <w:bookmarkStart w:id="1089" w:name="_Toc1011"/>
      <w:bookmarkStart w:id="1090" w:name="_Toc515647808"/>
      <w:bookmarkStart w:id="1091" w:name="_Toc32520"/>
      <w:bookmarkStart w:id="1092" w:name="_Toc7039"/>
      <w:r>
        <w:rPr>
          <w:rFonts w:hint="eastAsia" w:ascii="宋体" w:hAnsi="宋体" w:eastAsia="宋体" w:cs="宋体"/>
          <w:b/>
          <w:bCs/>
          <w:color w:val="auto"/>
          <w:sz w:val="24"/>
          <w:szCs w:val="24"/>
          <w:highlight w:val="none"/>
        </w:rPr>
        <w:t>（二）法定代表人授权委托书</w:t>
      </w:r>
      <w:bookmarkEnd w:id="1088"/>
      <w:bookmarkEnd w:id="1089"/>
    </w:p>
    <w:p>
      <w:pPr>
        <w:pStyle w:val="15"/>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w:t>
      </w:r>
      <w:r>
        <w:rPr>
          <w:rFonts w:hint="eastAsia" w:ascii="宋体" w:hAnsi="宋体" w:eastAsia="宋体" w:cs="宋体"/>
          <w:i w:val="0"/>
          <w:iCs w:val="0"/>
          <w:color w:val="auto"/>
          <w:sz w:val="24"/>
          <w:szCs w:val="24"/>
          <w:highlight w:val="none"/>
        </w:rPr>
        <w:t>授权书声明：注册于</w:t>
      </w:r>
      <w:r>
        <w:rPr>
          <w:rFonts w:hint="eastAsia" w:ascii="宋体" w:hAnsi="宋体" w:eastAsia="宋体" w:cs="宋体"/>
          <w:i w:val="0"/>
          <w:iCs w:val="0"/>
          <w:color w:val="auto"/>
          <w:sz w:val="24"/>
          <w:szCs w:val="24"/>
          <w:highlight w:val="none"/>
          <w:u w:val="single"/>
        </w:rPr>
        <w:t>（国家或地区的名称）</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lang w:eastAsia="zh-CN"/>
        </w:rPr>
        <w:t>供应商</w:t>
      </w:r>
      <w:r>
        <w:rPr>
          <w:rFonts w:hint="eastAsia" w:ascii="宋体" w:hAnsi="宋体" w:eastAsia="宋体" w:cs="宋体"/>
          <w:i w:val="0"/>
          <w:iCs w:val="0"/>
          <w:color w:val="auto"/>
          <w:sz w:val="24"/>
          <w:szCs w:val="24"/>
          <w:highlight w:val="none"/>
        </w:rPr>
        <w:t>）的在下面签字的（</w:t>
      </w:r>
      <w:r>
        <w:rPr>
          <w:rFonts w:hint="eastAsia" w:ascii="宋体" w:hAnsi="宋体" w:eastAsia="宋体" w:cs="宋体"/>
          <w:i w:val="0"/>
          <w:iCs w:val="0"/>
          <w:color w:val="auto"/>
          <w:sz w:val="24"/>
          <w:szCs w:val="24"/>
          <w:highlight w:val="none"/>
          <w:u w:val="single"/>
        </w:rPr>
        <w:t>法定代表</w:t>
      </w:r>
      <w:r>
        <w:rPr>
          <w:rFonts w:hint="eastAsia" w:hAnsi="宋体" w:cs="宋体"/>
          <w:i w:val="0"/>
          <w:iCs w:val="0"/>
          <w:color w:val="auto"/>
          <w:sz w:val="24"/>
          <w:szCs w:val="24"/>
          <w:highlight w:val="none"/>
          <w:u w:val="single"/>
          <w:lang w:val="en-US" w:eastAsia="zh-CN"/>
        </w:rPr>
        <w:t>人</w:t>
      </w:r>
      <w:r>
        <w:rPr>
          <w:rFonts w:hint="eastAsia" w:ascii="宋体" w:hAnsi="宋体" w:eastAsia="宋体" w:cs="宋体"/>
          <w:i w:val="0"/>
          <w:iCs w:val="0"/>
          <w:color w:val="auto"/>
          <w:sz w:val="24"/>
          <w:szCs w:val="24"/>
          <w:highlight w:val="none"/>
          <w:u w:val="single"/>
        </w:rPr>
        <w:t>姓名、职务</w:t>
      </w:r>
      <w:r>
        <w:rPr>
          <w:rFonts w:hint="eastAsia" w:ascii="宋体" w:hAnsi="宋体" w:eastAsia="宋体" w:cs="宋体"/>
          <w:i w:val="0"/>
          <w:iCs w:val="0"/>
          <w:color w:val="auto"/>
          <w:sz w:val="24"/>
          <w:szCs w:val="24"/>
          <w:highlight w:val="none"/>
        </w:rPr>
        <w:t>）代表我单位授权（</w:t>
      </w:r>
      <w:r>
        <w:rPr>
          <w:rFonts w:hint="eastAsia" w:ascii="宋体" w:hAnsi="宋体" w:eastAsia="宋体" w:cs="宋体"/>
          <w:i w:val="0"/>
          <w:iCs w:val="0"/>
          <w:color w:val="auto"/>
          <w:sz w:val="24"/>
          <w:szCs w:val="24"/>
          <w:highlight w:val="none"/>
          <w:u w:val="single"/>
        </w:rPr>
        <w:t>单位名称</w:t>
      </w:r>
      <w:r>
        <w:rPr>
          <w:rFonts w:hint="eastAsia" w:ascii="宋体" w:hAnsi="宋体" w:eastAsia="宋体" w:cs="宋体"/>
          <w:i w:val="0"/>
          <w:iCs w:val="0"/>
          <w:color w:val="auto"/>
          <w:sz w:val="24"/>
          <w:szCs w:val="24"/>
          <w:highlight w:val="none"/>
        </w:rPr>
        <w:t>）的在下面签字的（</w:t>
      </w:r>
      <w:r>
        <w:rPr>
          <w:rFonts w:hint="eastAsia" w:ascii="宋体" w:hAnsi="宋体" w:eastAsia="宋体" w:cs="宋体"/>
          <w:i w:val="0"/>
          <w:iCs w:val="0"/>
          <w:color w:val="auto"/>
          <w:sz w:val="24"/>
          <w:szCs w:val="24"/>
          <w:highlight w:val="none"/>
          <w:u w:val="single"/>
        </w:rPr>
        <w:t>被授权人的姓名、职务</w:t>
      </w:r>
      <w:r>
        <w:rPr>
          <w:rFonts w:hint="eastAsia" w:ascii="宋体" w:hAnsi="宋体" w:eastAsia="宋体" w:cs="宋体"/>
          <w:i w:val="0"/>
          <w:iCs w:val="0"/>
          <w:color w:val="auto"/>
          <w:sz w:val="24"/>
          <w:szCs w:val="24"/>
          <w:highlight w:val="none"/>
        </w:rPr>
        <w:t>）为我单位的合法代理人，就（</w:t>
      </w:r>
      <w:r>
        <w:rPr>
          <w:rFonts w:hint="eastAsia" w:ascii="宋体" w:hAnsi="宋体" w:eastAsia="宋体" w:cs="宋体"/>
          <w:i w:val="0"/>
          <w:iCs w:val="0"/>
          <w:color w:val="auto"/>
          <w:sz w:val="24"/>
          <w:szCs w:val="24"/>
          <w:highlight w:val="none"/>
          <w:u w:val="single"/>
        </w:rPr>
        <w:t>项目名称</w:t>
      </w:r>
      <w:r>
        <w:rPr>
          <w:rFonts w:hint="eastAsia" w:ascii="宋体" w:hAnsi="宋体" w:eastAsia="宋体" w:cs="宋体"/>
          <w:i w:val="0"/>
          <w:iCs w:val="0"/>
          <w:color w:val="auto"/>
          <w:sz w:val="24"/>
          <w:szCs w:val="24"/>
          <w:highlight w:val="none"/>
        </w:rPr>
        <w:t>）的投标，以我单位名义处理一切与之有关的事</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rPr>
        <w:cr/>
      </w:r>
      <w:r>
        <w:rPr>
          <w:rFonts w:hint="eastAsia" w:ascii="宋体" w:hAnsi="宋体" w:eastAsia="宋体" w:cs="宋体"/>
          <w:color w:val="auto"/>
          <w:sz w:val="24"/>
          <w:szCs w:val="24"/>
          <w:highlight w:val="none"/>
        </w:rPr>
        <w:t>　　</w:t>
      </w:r>
    </w:p>
    <w:p>
      <w:pPr>
        <w:pStyle w:val="15"/>
        <w:tabs>
          <w:tab w:val="left" w:pos="5580"/>
        </w:tabs>
        <w:spacing w:line="360" w:lineRule="exact"/>
        <w:ind w:left="-540" w:leftChars="-257" w:firstLine="900" w:firstLine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日签字生效,特此声明。</w:t>
      </w:r>
    </w:p>
    <w:p>
      <w:pPr>
        <w:pStyle w:val="15"/>
        <w:tabs>
          <w:tab w:val="left" w:pos="5580"/>
        </w:tabs>
        <w:spacing w:line="240" w:lineRule="atLeast"/>
        <w:ind w:left="-540" w:leftChars="-257" w:firstLine="900" w:firstLine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3039110</wp:posOffset>
                </wp:positionH>
                <wp:positionV relativeFrom="paragraph">
                  <wp:posOffset>167640</wp:posOffset>
                </wp:positionV>
                <wp:extent cx="2478405" cy="969010"/>
                <wp:effectExtent l="7620" t="7620" r="9525" b="13970"/>
                <wp:wrapNone/>
                <wp:docPr id="1028" name="自选图形 5"/>
                <wp:cNvGraphicFramePr/>
                <a:graphic xmlns:a="http://schemas.openxmlformats.org/drawingml/2006/main">
                  <a:graphicData uri="http://schemas.microsoft.com/office/word/2010/wordprocessingShape">
                    <wps:wsp>
                      <wps:cNvSpPr/>
                      <wps:spPr>
                        <a:xfrm>
                          <a:off x="0" y="0"/>
                          <a:ext cx="2478405" cy="969010"/>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rPr>
                                <w:rFonts w:hAnsi="宋体"/>
                              </w:rPr>
                            </w:pPr>
                          </w:p>
                          <w:p>
                            <w:pPr>
                              <w:rPr>
                                <w:rFonts w:hAnsi="宋体"/>
                              </w:rPr>
                            </w:pPr>
                          </w:p>
                          <w:p>
                            <w:pPr>
                              <w:rPr>
                                <w:rFonts w:hAnsi="宋体"/>
                              </w:rPr>
                            </w:pPr>
                          </w:p>
                          <w:p>
                            <w:pPr>
                              <w:jc w:val="center"/>
                            </w:pPr>
                            <w:r>
                              <w:rPr>
                                <w:rFonts w:hint="eastAsia" w:hAnsi="宋体"/>
                              </w:rPr>
                              <w:t>授权委托人身份证复印件</w:t>
                            </w:r>
                          </w:p>
                          <w:p/>
                        </w:txbxContent>
                      </wps:txbx>
                      <wps:bodyPr wrap="square" upright="1"/>
                    </wps:wsp>
                  </a:graphicData>
                </a:graphic>
              </wp:anchor>
            </w:drawing>
          </mc:Choice>
          <mc:Fallback>
            <w:pict>
              <v:roundrect id="自选图形 5" o:spid="_x0000_s1026" o:spt="2" style="position:absolute;left:0pt;margin-left:239.3pt;margin-top:13.2pt;height:76.3pt;width:195.15pt;z-index:251660288;mso-width-relative:page;mso-height-relative:page;" fillcolor="#FFFFFF" filled="t" stroked="t" coordsize="21600,21600" arcsize="0.166666666666667" o:gfxdata="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TBZ+42wAAAAoBAAAPAAAAAAAAAAEAIAAAACIAAABkcnMvZG93bnJl&#10;di54bWxQSwECFAAUAAAACACHTuJAc0c2TzMCAAByBAAADgAAAAAAAAABACAAAAAqAQAAZHJzL2Uy&#10;b0RvYy54bWxQSwUGAAAAAAYABgBZAQAAzwUAAAAA&#10;">
                <v:fill on="t" focussize="0,0"/>
                <v:stroke weight="1.25pt" color="#808080" joinstyle="round"/>
                <v:imagedata o:title=""/>
                <o:lock v:ext="edit" aspectratio="f"/>
                <v:textbox>
                  <w:txbxContent>
                    <w:p>
                      <w:pPr>
                        <w:rPr>
                          <w:rFonts w:hAnsi="宋体"/>
                        </w:rPr>
                      </w:pPr>
                    </w:p>
                    <w:p>
                      <w:pPr>
                        <w:rPr>
                          <w:rFonts w:hAnsi="宋体"/>
                        </w:rPr>
                      </w:pPr>
                    </w:p>
                    <w:p>
                      <w:pPr>
                        <w:rPr>
                          <w:rFonts w:hAnsi="宋体"/>
                        </w:rPr>
                      </w:pPr>
                    </w:p>
                    <w:p>
                      <w:pPr>
                        <w:jc w:val="center"/>
                      </w:pPr>
                      <w:r>
                        <w:rPr>
                          <w:rFonts w:hint="eastAsia" w:hAnsi="宋体"/>
                        </w:rPr>
                        <w:t>授权委托人身份证复印件</w:t>
                      </w:r>
                    </w:p>
                    <w:p/>
                  </w:txbxContent>
                </v:textbox>
              </v:roundrect>
            </w:pict>
          </mc:Fallback>
        </mc:AlternateContent>
      </w:r>
      <w:r>
        <w:rPr>
          <w:rFonts w:hint="eastAsia" w:ascii="宋体" w:hAnsi="宋体" w:eastAsia="宋体" w:cs="宋体"/>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20955</wp:posOffset>
                </wp:positionH>
                <wp:positionV relativeFrom="paragraph">
                  <wp:posOffset>135890</wp:posOffset>
                </wp:positionV>
                <wp:extent cx="2317750" cy="942340"/>
                <wp:effectExtent l="4445" t="4445" r="11430" b="5715"/>
                <wp:wrapNone/>
                <wp:docPr id="1029" name="自选图形 6"/>
                <wp:cNvGraphicFramePr/>
                <a:graphic xmlns:a="http://schemas.openxmlformats.org/drawingml/2006/main">
                  <a:graphicData uri="http://schemas.microsoft.com/office/word/2010/wordprocessingShape">
                    <wps:wsp>
                      <wps:cNvSpPr/>
                      <wps:spPr>
                        <a:xfrm>
                          <a:off x="0" y="0"/>
                          <a:ext cx="2317750" cy="9423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wps:txbx>
                      <wps:bodyPr wrap="square" upright="1"/>
                    </wps:wsp>
                  </a:graphicData>
                </a:graphic>
              </wp:anchor>
            </w:drawing>
          </mc:Choice>
          <mc:Fallback>
            <w:pict>
              <v:shape id="自选图形 6" o:spid="_x0000_s1026" o:spt="176" type="#_x0000_t176" style="position:absolute;left:0pt;margin-left:1.65pt;margin-top:10.7pt;height:74.2pt;width:182.5pt;z-index:251660288;mso-width-relative:page;mso-height-relative:page;" fillcolor="#FFFFFF" filled="t" stroked="t" coordsize="21600,21600" o:gfxdata="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vNoQO1gAAAAgBAAAPAAAAAAAAAAEAIAAAACIAAABkcnMvZG93bnJldi54bWxQSwECFAAUAAAA&#10;CACHTuJA7Cj0kykCAABVBAAADgAAAAAAAAABACAAAAAlAQAAZHJzL2Uyb0RvYy54bWxQSwUGAAAA&#10;AAYABgBZAQAAwA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w:t>
                      </w:r>
                    </w:p>
                  </w:txbxContent>
                </v:textbox>
              </v:shape>
            </w:pict>
          </mc:Fallback>
        </mc:AlternateContent>
      </w: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3018155</wp:posOffset>
                </wp:positionH>
                <wp:positionV relativeFrom="paragraph">
                  <wp:posOffset>96520</wp:posOffset>
                </wp:positionV>
                <wp:extent cx="2535555" cy="935355"/>
                <wp:effectExtent l="7620" t="7620" r="9525" b="9525"/>
                <wp:wrapNone/>
                <wp:docPr id="1030" name="自选图形 7"/>
                <wp:cNvGraphicFramePr/>
                <a:graphic xmlns:a="http://schemas.openxmlformats.org/drawingml/2006/main">
                  <a:graphicData uri="http://schemas.microsoft.com/office/word/2010/wordprocessingShape">
                    <wps:wsp>
                      <wps:cNvSpPr/>
                      <wps:spPr>
                        <a:xfrm>
                          <a:off x="0" y="0"/>
                          <a:ext cx="2535555" cy="935355"/>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r>
                              <w:rPr>
                                <w:rFonts w:hint="eastAsia" w:hAnsi="宋体"/>
                              </w:rPr>
                              <w:t xml:space="preserve">  </w:t>
                            </w:r>
                          </w:p>
                          <w:p>
                            <w:pPr>
                              <w:rPr>
                                <w:rFonts w:hAnsi="宋体"/>
                              </w:rPr>
                            </w:pPr>
                          </w:p>
                          <w:p>
                            <w:pPr>
                              <w:jc w:val="center"/>
                              <w:rPr>
                                <w:szCs w:val="21"/>
                              </w:rPr>
                            </w:pPr>
                            <w:r>
                              <w:rPr>
                                <w:rFonts w:hint="eastAsia" w:hAnsi="宋体"/>
                                <w:szCs w:val="21"/>
                              </w:rPr>
                              <w:t>法定代表人身份证复印件</w:t>
                            </w:r>
                          </w:p>
                          <w:p/>
                        </w:txbxContent>
                      </wps:txbx>
                      <wps:bodyPr wrap="square" upright="1"/>
                    </wps:wsp>
                  </a:graphicData>
                </a:graphic>
              </wp:anchor>
            </w:drawing>
          </mc:Choice>
          <mc:Fallback>
            <w:pict>
              <v:roundrect id="自选图形 7" o:spid="_x0000_s1026" o:spt="2" style="position:absolute;left:0pt;margin-left:237.65pt;margin-top:7.6pt;height:73.65pt;width:199.65pt;z-index:251660288;mso-width-relative:page;mso-height-relative:page;" fillcolor="#FFFFFF" filled="t" stroked="t" coordsize="21600,21600" arcsize="0.166666666666667" o:gfxdata="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oDRWe2wAAAAoBAAAPAAAAAAAAAAEAIAAAACIAAABkcnMvZG93bnJldi54&#10;bWxQSwECFAAUAAAACACHTuJAJRqzWzACAAByBAAADgAAAAAAAAABACAAAAAqAQAAZHJzL2Uyb0Rv&#10;Yy54bWxQSwUGAAAAAAYABgBZAQAAzAUAAAAA&#10;">
                <v:fill on="t" focussize="0,0"/>
                <v:stroke weight="1.25pt" color="#808080" joinstyle="round"/>
                <v:imagedata o:title=""/>
                <o:lock v:ext="edit" aspectratio="f"/>
                <v:textbox>
                  <w:txbxContent>
                    <w:p>
                      <w:pPr>
                        <w:jc w:val="center"/>
                        <w:rPr>
                          <w:rFonts w:hAnsi="宋体"/>
                        </w:rPr>
                      </w:pPr>
                      <w:r>
                        <w:rPr>
                          <w:rFonts w:hint="eastAsia" w:hAnsi="宋体"/>
                        </w:rPr>
                        <w:t xml:space="preserve">  </w:t>
                      </w:r>
                    </w:p>
                    <w:p>
                      <w:pPr>
                        <w:rPr>
                          <w:rFonts w:hAnsi="宋体"/>
                        </w:rPr>
                      </w:pPr>
                    </w:p>
                    <w:p>
                      <w:pPr>
                        <w:jc w:val="center"/>
                        <w:rPr>
                          <w:szCs w:val="21"/>
                        </w:rPr>
                      </w:pPr>
                      <w:r>
                        <w:rPr>
                          <w:rFonts w:hint="eastAsia" w:hAnsi="宋体"/>
                          <w:szCs w:val="21"/>
                        </w:rPr>
                        <w:t>法定代表人身份证复印件</w:t>
                      </w:r>
                    </w:p>
                    <w:p/>
                  </w:txbxContent>
                </v:textbox>
              </v:roundrect>
            </w:pict>
          </mc:Fallback>
        </mc:AlternateContent>
      </w:r>
      <w:r>
        <w:rPr>
          <w:rFonts w:hint="eastAsia" w:ascii="宋体" w:hAnsi="宋体" w:eastAsia="宋体" w:cs="宋体"/>
          <w:color w:val="auto"/>
          <w:sz w:val="24"/>
          <w:szCs w:val="24"/>
          <w:highlight w:val="none"/>
        </w:rPr>
        <mc:AlternateContent>
          <mc:Choice Requires="wps">
            <w:drawing>
              <wp:anchor distT="0" distB="0" distL="0" distR="0" simplePos="0" relativeHeight="251660288"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031" name="自选图形 8"/>
                <wp:cNvGraphicFramePr/>
                <a:graphic xmlns:a="http://schemas.openxmlformats.org/drawingml/2006/main">
                  <a:graphicData uri="http://schemas.microsoft.com/office/word/2010/wordprocessingShape">
                    <wps:wsp>
                      <wps:cNvSpPr/>
                      <wps:spPr>
                        <a:xfrm>
                          <a:off x="0" y="0"/>
                          <a:ext cx="2555240" cy="1024889"/>
                        </a:xfrm>
                        <a:prstGeom prst="roundRect">
                          <a:avLst>
                            <a:gd name="adj" fmla="val 16667"/>
                          </a:avLst>
                        </a:prstGeom>
                        <a:solidFill>
                          <a:srgbClr val="FFFFFF"/>
                        </a:solidFill>
                        <a:ln w="15875" cap="flat" cmpd="sng">
                          <a:solidFill>
                            <a:srgbClr val="808080"/>
                          </a:solidFill>
                          <a:prstDash val="solid"/>
                          <a:round/>
                          <a:headEnd type="none" w="med" len="med"/>
                          <a:tailEnd type="none" w="med" len="med"/>
                        </a:ln>
                      </wps:spPr>
                      <wps:txbx>
                        <w:txbxContent>
                          <w:p>
                            <w:pPr>
                              <w:jc w:val="center"/>
                              <w:rPr>
                                <w:rFonts w:hAnsi="宋体"/>
                              </w:rPr>
                            </w:pPr>
                          </w:p>
                          <w:p>
                            <w:pPr>
                              <w:rPr>
                                <w:rFonts w:hAnsi="宋体"/>
                              </w:rPr>
                            </w:pPr>
                          </w:p>
                          <w:p>
                            <w:pPr>
                              <w:jc w:val="center"/>
                              <w:rPr>
                                <w:szCs w:val="21"/>
                              </w:rPr>
                            </w:pPr>
                            <w:r>
                              <w:rPr>
                                <w:rFonts w:hint="eastAsia" w:hAnsi="宋体"/>
                                <w:szCs w:val="21"/>
                              </w:rPr>
                              <w:t>法定代表人身份证复印件</w:t>
                            </w:r>
                          </w:p>
                          <w:p/>
                        </w:txbxContent>
                      </wps:txbx>
                      <wps:bodyPr wrap="square" upright="1"/>
                    </wps:wsp>
                  </a:graphicData>
                </a:graphic>
              </wp:anchor>
            </w:drawing>
          </mc:Choice>
          <mc:Fallback>
            <w:pict>
              <v:roundrect id="自选图形 8" o:spid="_x0000_s1026" o:spt="2" style="position:absolute;left:0pt;margin-left:-0.85pt;margin-top:2.35pt;height:80.7pt;width:201.2pt;z-index:251660288;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O+C3vYAAAACAEAAA8AAAAAAAAAAQAgAAAAIgAAAGRycy9kb3ducmV2&#10;LnhtbFBLAQIUABQAAAAIAIdO4kAhpKCcNQIAAHMEAAAOAAAAAAAAAAEAIAAAACcBAABkcnMvZTJv&#10;RG9jLnhtbFBLBQYAAAAABgAGAFkBAADOBQAAAAA=&#10;">
                <v:fill on="t" focussize="0,0"/>
                <v:stroke weight="1.25pt" color="#808080" joinstyle="round"/>
                <v:imagedata o:title=""/>
                <o:lock v:ext="edit" aspectratio="f"/>
                <v:textbox>
                  <w:txbxContent>
                    <w:p>
                      <w:pPr>
                        <w:jc w:val="center"/>
                        <w:rPr>
                          <w:rFonts w:hAnsi="宋体"/>
                        </w:rPr>
                      </w:pPr>
                    </w:p>
                    <w:p>
                      <w:pPr>
                        <w:rPr>
                          <w:rFonts w:hAnsi="宋体"/>
                        </w:rPr>
                      </w:pPr>
                    </w:p>
                    <w:p>
                      <w:pPr>
                        <w:jc w:val="center"/>
                        <w:rPr>
                          <w:szCs w:val="21"/>
                        </w:rPr>
                      </w:pPr>
                      <w:r>
                        <w:rPr>
                          <w:rFonts w:hint="eastAsia" w:hAnsi="宋体"/>
                          <w:szCs w:val="21"/>
                        </w:rPr>
                        <w:t>法定代表人身份证复印件</w:t>
                      </w:r>
                    </w:p>
                    <w:p/>
                  </w:txbxContent>
                </v:textbox>
              </v:roundrect>
            </w:pict>
          </mc:Fallback>
        </mc:AlternateContent>
      </w: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pStyle w:val="23"/>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color w:val="auto"/>
          <w:sz w:val="24"/>
          <w:szCs w:val="24"/>
          <w:highlight w:val="none"/>
        </w:rPr>
      </w:pPr>
    </w:p>
    <w:p>
      <w:pPr>
        <w:spacing w:line="360" w:lineRule="auto"/>
        <w:ind w:firstLine="241"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注：提供身份证正反面。</w:t>
      </w:r>
    </w:p>
    <w:p>
      <w:pPr>
        <w:pStyle w:val="15"/>
        <w:tabs>
          <w:tab w:val="left" w:pos="5580"/>
        </w:tabs>
        <w:spacing w:line="3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5"/>
        <w:tabs>
          <w:tab w:val="left" w:pos="5580"/>
        </w:tabs>
        <w:spacing w:line="36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pStyle w:val="15"/>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5"/>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5"/>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5"/>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5"/>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15"/>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pStyle w:val="15"/>
        <w:tabs>
          <w:tab w:val="left" w:pos="5580"/>
        </w:tabs>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pStyle w:val="15"/>
        <w:tabs>
          <w:tab w:val="left" w:pos="5580"/>
        </w:tabs>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 xml:space="preserve"> </w:t>
      </w:r>
      <w:bookmarkEnd w:id="1090"/>
      <w:bookmarkEnd w:id="1091"/>
      <w:bookmarkEnd w:id="1092"/>
    </w:p>
    <w:p>
      <w:pPr>
        <w:pStyle w:val="15"/>
        <w:tabs>
          <w:tab w:val="left" w:pos="5580"/>
        </w:tabs>
        <w:spacing w:line="400" w:lineRule="exact"/>
        <w:ind w:left="1079" w:leftChars="257" w:hanging="539"/>
        <w:rPr>
          <w:rFonts w:hint="eastAsia" w:ascii="宋体" w:hAnsi="宋体" w:eastAsia="宋体" w:cs="宋体"/>
          <w:color w:val="auto"/>
          <w:sz w:val="24"/>
          <w:highlight w:val="none"/>
        </w:rPr>
      </w:pPr>
    </w:p>
    <w:p>
      <w:pPr>
        <w:pStyle w:val="15"/>
        <w:tabs>
          <w:tab w:val="left" w:pos="5580"/>
        </w:tabs>
        <w:spacing w:line="400" w:lineRule="exact"/>
        <w:ind w:left="1079" w:leftChars="257" w:hanging="539"/>
        <w:rPr>
          <w:rFonts w:hint="eastAsia" w:ascii="宋体" w:hAnsi="宋体" w:eastAsia="宋体" w:cs="宋体"/>
          <w:color w:val="auto"/>
          <w:sz w:val="24"/>
          <w:highlight w:val="none"/>
        </w:rPr>
      </w:pPr>
    </w:p>
    <w:p>
      <w:pPr>
        <w:pStyle w:val="15"/>
        <w:tabs>
          <w:tab w:val="left" w:pos="5580"/>
        </w:tabs>
        <w:spacing w:line="400" w:lineRule="exact"/>
        <w:ind w:left="1079" w:leftChars="257" w:hanging="539"/>
        <w:rPr>
          <w:rFonts w:hint="eastAsia" w:ascii="宋体" w:hAnsi="宋体" w:eastAsia="宋体" w:cs="宋体"/>
          <w:color w:val="auto"/>
          <w:sz w:val="24"/>
          <w:highlight w:val="none"/>
        </w:rPr>
      </w:pPr>
    </w:p>
    <w:p>
      <w:pPr>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rPr>
        <w:br w:type="page"/>
      </w:r>
    </w:p>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093" w:name="_Toc23487"/>
      <w:bookmarkStart w:id="1094" w:name="_Toc31929"/>
    </w:p>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4.提供近两年内任意一年的财务审计报告（新成立未满一年的新公司可提供近三个月内任意一个月的银行资信证明）；</w:t>
      </w:r>
      <w:bookmarkEnd w:id="1093"/>
      <w:bookmarkEnd w:id="1094"/>
    </w:p>
    <w:p>
      <w:pPr>
        <w:pStyle w:val="12"/>
        <w:spacing w:line="400" w:lineRule="exact"/>
        <w:ind w:firstLine="0" w:firstLineChars="0"/>
        <w:rPr>
          <w:rFonts w:hint="eastAsia" w:ascii="宋体" w:hAnsi="宋体" w:eastAsia="宋体" w:cs="宋体"/>
          <w:b/>
          <w:color w:val="auto"/>
          <w:kern w:val="0"/>
          <w:szCs w:val="20"/>
          <w:highlight w:val="none"/>
        </w:rPr>
      </w:pPr>
    </w:p>
    <w:p>
      <w:pPr>
        <w:pStyle w:val="8"/>
        <w:rPr>
          <w:rFonts w:hint="eastAsia"/>
          <w:color w:val="auto"/>
          <w:highlight w:val="none"/>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rPr>
      </w:pPr>
      <w:bookmarkStart w:id="1095" w:name="_Toc21555"/>
      <w:bookmarkStart w:id="1096" w:name="_Toc15774"/>
      <w:r>
        <w:rPr>
          <w:rFonts w:hint="eastAsia" w:ascii="宋体" w:hAnsi="宋体" w:eastAsia="宋体" w:cs="宋体"/>
          <w:color w:val="auto"/>
          <w:sz w:val="28"/>
          <w:szCs w:val="28"/>
          <w:highlight w:val="none"/>
          <w:lang w:val="en-US" w:eastAsia="zh-CN"/>
        </w:rPr>
        <w:t>5.依法缴纳近六个月内任意一个月社会保险证明；</w:t>
      </w:r>
      <w:bookmarkEnd w:id="1095"/>
      <w:bookmarkEnd w:id="1096"/>
    </w:p>
    <w:p>
      <w:pPr>
        <w:pStyle w:val="7"/>
        <w:ind w:left="0" w:leftChars="0" w:firstLine="0" w:firstLineChars="0"/>
        <w:rPr>
          <w:rFonts w:hint="eastAsia"/>
          <w:color w:val="auto"/>
          <w:highlight w:val="none"/>
        </w:rPr>
      </w:pPr>
    </w:p>
    <w:p>
      <w:pPr>
        <w:pStyle w:val="7"/>
        <w:rPr>
          <w:rFonts w:hint="eastAsia"/>
          <w:color w:val="auto"/>
          <w:highlight w:val="none"/>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rPr>
      </w:pPr>
      <w:bookmarkStart w:id="1097" w:name="_Toc14027"/>
      <w:bookmarkStart w:id="1098" w:name="_Toc7759"/>
      <w:r>
        <w:rPr>
          <w:rFonts w:hint="eastAsia" w:ascii="宋体" w:hAnsi="宋体" w:eastAsia="宋体" w:cs="宋体"/>
          <w:color w:val="auto"/>
          <w:sz w:val="28"/>
          <w:szCs w:val="28"/>
          <w:highlight w:val="none"/>
          <w:lang w:val="en-US" w:eastAsia="zh-CN"/>
        </w:rPr>
        <w:t>6.依法缴纳近六个月内任意一个月税收证明；</w:t>
      </w:r>
      <w:bookmarkEnd w:id="1097"/>
      <w:bookmarkEnd w:id="1098"/>
    </w:p>
    <w:p>
      <w:pPr>
        <w:pStyle w:val="15"/>
        <w:tabs>
          <w:tab w:val="left" w:pos="5580"/>
        </w:tabs>
        <w:spacing w:line="400" w:lineRule="exact"/>
        <w:rPr>
          <w:rFonts w:hint="eastAsia" w:ascii="宋体" w:hAnsi="宋体" w:eastAsia="宋体" w:cs="宋体"/>
          <w:b/>
          <w:color w:val="auto"/>
          <w:kern w:val="0"/>
          <w:sz w:val="24"/>
          <w:highlight w:val="none"/>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099" w:name="_Toc3162"/>
      <w:bookmarkStart w:id="1100" w:name="_Toc19599"/>
      <w:r>
        <w:rPr>
          <w:rFonts w:hint="eastAsia" w:ascii="宋体" w:hAnsi="宋体" w:eastAsia="宋体" w:cs="宋体"/>
          <w:color w:val="auto"/>
          <w:sz w:val="28"/>
          <w:szCs w:val="28"/>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w:t>
      </w:r>
      <w:bookmarkEnd w:id="1099"/>
      <w:bookmarkEnd w:id="1100"/>
      <w:r>
        <w:rPr>
          <w:rFonts w:hint="eastAsia" w:ascii="宋体" w:hAnsi="宋体" w:eastAsia="宋体" w:cs="宋体"/>
          <w:color w:val="auto"/>
          <w:sz w:val="28"/>
          <w:szCs w:val="28"/>
          <w:highlight w:val="none"/>
          <w:lang w:val="en-US" w:eastAsia="zh-CN"/>
        </w:rPr>
        <w:t>（以采购代理机构或采购人查询为准）</w:t>
      </w:r>
    </w:p>
    <w:p>
      <w:pPr>
        <w:pStyle w:val="15"/>
        <w:tabs>
          <w:tab w:val="left" w:pos="5580"/>
        </w:tabs>
        <w:spacing w:line="400" w:lineRule="exact"/>
        <w:ind w:left="1080" w:leftChars="257" w:hanging="540"/>
        <w:rPr>
          <w:rFonts w:hint="eastAsia" w:ascii="宋体" w:hAnsi="宋体" w:eastAsia="宋体" w:cs="宋体"/>
          <w:b/>
          <w:color w:val="auto"/>
          <w:kern w:val="0"/>
          <w:sz w:val="24"/>
          <w:highlight w:val="none"/>
        </w:rPr>
      </w:pPr>
    </w:p>
    <w:p>
      <w:pPr>
        <w:pStyle w:val="15"/>
        <w:tabs>
          <w:tab w:val="left" w:pos="5580"/>
        </w:tabs>
        <w:spacing w:line="400" w:lineRule="exact"/>
        <w:rPr>
          <w:rFonts w:hint="eastAsia" w:ascii="宋体" w:hAnsi="宋体" w:eastAsia="宋体" w:cs="宋体"/>
          <w:b/>
          <w:color w:val="auto"/>
          <w:kern w:val="0"/>
          <w:sz w:val="24"/>
          <w:highlight w:val="none"/>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101" w:name="_Toc24966"/>
      <w:bookmarkStart w:id="1102" w:name="_Toc12315"/>
      <w:r>
        <w:rPr>
          <w:rFonts w:hint="eastAsia" w:ascii="宋体" w:hAnsi="宋体" w:eastAsia="宋体" w:cs="宋体"/>
          <w:color w:val="auto"/>
          <w:sz w:val="28"/>
          <w:szCs w:val="28"/>
          <w:highlight w:val="none"/>
          <w:lang w:val="en-US" w:eastAsia="zh-CN"/>
        </w:rPr>
        <w:t>8.参与政府采购活动前3年内未被列入失信、重大税收违法案件、财政部门禁止参加政府采购活动的承诺书；</w:t>
      </w:r>
      <w:bookmarkEnd w:id="1101"/>
      <w:bookmarkEnd w:id="1102"/>
    </w:p>
    <w:p>
      <w:pPr>
        <w:pStyle w:val="15"/>
        <w:tabs>
          <w:tab w:val="left" w:pos="5580"/>
        </w:tabs>
        <w:spacing w:line="400" w:lineRule="exact"/>
        <w:rPr>
          <w:rFonts w:hint="eastAsia" w:ascii="宋体" w:hAnsi="宋体" w:eastAsia="宋体" w:cs="宋体"/>
          <w:b/>
          <w:color w:val="auto"/>
          <w:kern w:val="0"/>
          <w:sz w:val="24"/>
          <w:highlight w:val="none"/>
        </w:rPr>
      </w:pPr>
    </w:p>
    <w:p>
      <w:pPr>
        <w:pStyle w:val="15"/>
        <w:tabs>
          <w:tab w:val="left" w:pos="5580"/>
        </w:tabs>
        <w:spacing w:line="400" w:lineRule="exact"/>
        <w:rPr>
          <w:rFonts w:hint="eastAsia" w:ascii="宋体" w:hAnsi="宋体" w:eastAsia="宋体" w:cs="宋体"/>
          <w:b/>
          <w:color w:val="auto"/>
          <w:kern w:val="0"/>
          <w:sz w:val="24"/>
          <w:highlight w:val="none"/>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rPr>
      </w:pPr>
      <w:bookmarkStart w:id="1103" w:name="_Toc24704"/>
      <w:bookmarkStart w:id="1104" w:name="_Toc13096"/>
      <w:r>
        <w:rPr>
          <w:rFonts w:hint="eastAsia" w:ascii="宋体" w:hAnsi="宋体" w:eastAsia="宋体" w:cs="宋体"/>
          <w:color w:val="auto"/>
          <w:sz w:val="28"/>
          <w:szCs w:val="28"/>
          <w:highlight w:val="none"/>
          <w:lang w:val="en-US" w:eastAsia="zh-CN"/>
        </w:rPr>
        <w:t>9.提供针对本次项目的《反商业贿赂承诺书》；</w:t>
      </w:r>
      <w:bookmarkEnd w:id="1103"/>
      <w:bookmarkEnd w:id="1104"/>
    </w:p>
    <w:p>
      <w:pPr>
        <w:pStyle w:val="15"/>
        <w:tabs>
          <w:tab w:val="left" w:pos="5580"/>
        </w:tabs>
        <w:spacing w:line="400" w:lineRule="exact"/>
        <w:rPr>
          <w:rFonts w:hint="eastAsia" w:ascii="宋体" w:hAnsi="宋体" w:eastAsia="宋体" w:cs="宋体"/>
          <w:b/>
          <w:color w:val="auto"/>
          <w:kern w:val="0"/>
          <w:sz w:val="24"/>
          <w:highlight w:val="none"/>
        </w:rPr>
      </w:pPr>
    </w:p>
    <w:p>
      <w:pPr>
        <w:pStyle w:val="15"/>
        <w:tabs>
          <w:tab w:val="left" w:pos="5580"/>
        </w:tabs>
        <w:spacing w:line="400" w:lineRule="exact"/>
        <w:rPr>
          <w:rFonts w:hint="eastAsia" w:ascii="宋体" w:hAnsi="宋体" w:eastAsia="宋体" w:cs="宋体"/>
          <w:b/>
          <w:color w:val="auto"/>
          <w:kern w:val="0"/>
          <w:sz w:val="24"/>
          <w:highlight w:val="none"/>
        </w:rPr>
      </w:pPr>
    </w:p>
    <w:p>
      <w:pPr>
        <w:pStyle w:val="15"/>
        <w:tabs>
          <w:tab w:val="left" w:pos="5580"/>
        </w:tabs>
        <w:spacing w:line="400" w:lineRule="exact"/>
        <w:rPr>
          <w:rFonts w:hint="eastAsia" w:ascii="宋体" w:hAnsi="宋体" w:eastAsia="宋体" w:cs="宋体"/>
          <w:b/>
          <w:color w:val="auto"/>
          <w:kern w:val="0"/>
          <w:sz w:val="24"/>
          <w:highlight w:val="none"/>
        </w:rPr>
      </w:pPr>
    </w:p>
    <w:p>
      <w:pPr>
        <w:pStyle w:val="15"/>
        <w:tabs>
          <w:tab w:val="left" w:pos="5580"/>
        </w:tabs>
        <w:spacing w:line="400" w:lineRule="exact"/>
        <w:rPr>
          <w:rFonts w:hint="eastAsia" w:ascii="宋体" w:hAnsi="宋体" w:eastAsia="宋体" w:cs="宋体"/>
          <w:b/>
          <w:color w:val="auto"/>
          <w:kern w:val="0"/>
          <w:sz w:val="24"/>
          <w:highlight w:val="none"/>
        </w:rPr>
      </w:pPr>
    </w:p>
    <w:p>
      <w:pPr>
        <w:pStyle w:val="15"/>
        <w:tabs>
          <w:tab w:val="left" w:pos="5580"/>
        </w:tabs>
        <w:spacing w:line="400" w:lineRule="exact"/>
        <w:rPr>
          <w:rFonts w:hint="eastAsia" w:ascii="宋体" w:hAnsi="宋体" w:eastAsia="宋体" w:cs="宋体"/>
          <w:b/>
          <w:color w:val="auto"/>
          <w:kern w:val="0"/>
          <w:sz w:val="24"/>
          <w:highlight w:val="none"/>
        </w:rPr>
      </w:pPr>
    </w:p>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rPr>
      </w:pPr>
      <w:bookmarkStart w:id="1105" w:name="_Toc32156"/>
      <w:bookmarkStart w:id="1106" w:name="_Toc8586"/>
      <w:r>
        <w:rPr>
          <w:rFonts w:hint="eastAsia" w:ascii="宋体" w:hAnsi="宋体" w:eastAsia="宋体" w:cs="宋体"/>
          <w:color w:val="auto"/>
          <w:sz w:val="28"/>
          <w:szCs w:val="28"/>
          <w:highlight w:val="none"/>
          <w:lang w:val="en-US" w:eastAsia="zh-CN"/>
        </w:rPr>
        <w:t>10.缴纳投标保证金的有效凭证；</w:t>
      </w:r>
      <w:bookmarkEnd w:id="1105"/>
      <w:bookmarkEnd w:id="1106"/>
    </w:p>
    <w:p>
      <w:pPr>
        <w:shd w:val="clear" w:color="auto" w:fill="auto"/>
        <w:snapToGrid w:val="0"/>
        <w:spacing w:before="0" w:beforeAutospacing="0" w:after="0" w:afterAutospacing="0" w:line="360" w:lineRule="exact"/>
        <w:jc w:val="both"/>
        <w:textAlignment w:val="baseline"/>
        <w:rPr>
          <w:rFonts w:hint="eastAsia" w:ascii="宋体" w:hAnsi="宋体" w:eastAsia="宋体" w:cs="宋体"/>
          <w:b/>
          <w:bCs/>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outlineLvl w:val="9"/>
        <w:rPr>
          <w:rFonts w:hint="eastAsia" w:ascii="宋体" w:hAnsi="宋体" w:eastAsia="宋体" w:cs="宋体"/>
          <w:b/>
          <w:bCs/>
          <w:i w:val="0"/>
          <w:caps w:val="0"/>
          <w:color w:val="auto"/>
          <w:spacing w:val="0"/>
          <w:w w:val="100"/>
          <w:sz w:val="24"/>
          <w:highlight w:val="none"/>
        </w:rPr>
      </w:pPr>
      <w:r>
        <w:rPr>
          <w:rFonts w:hint="eastAsia" w:ascii="宋体" w:hAnsi="宋体" w:eastAsia="宋体" w:cs="宋体"/>
          <w:b/>
          <w:bCs/>
          <w:i w:val="0"/>
          <w:caps w:val="0"/>
          <w:color w:val="auto"/>
          <w:spacing w:val="0"/>
          <w:w w:val="100"/>
          <w:sz w:val="24"/>
          <w:highlight w:val="none"/>
        </w:rPr>
        <w:t>（注：</w:t>
      </w:r>
      <w:r>
        <w:rPr>
          <w:rFonts w:hint="eastAsia" w:ascii="宋体" w:hAnsi="宋体" w:cs="宋体"/>
          <w:b/>
          <w:bCs/>
          <w:i w:val="0"/>
          <w:caps w:val="0"/>
          <w:color w:val="auto"/>
          <w:spacing w:val="0"/>
          <w:w w:val="100"/>
          <w:sz w:val="24"/>
          <w:highlight w:val="none"/>
          <w:lang w:val="en-US" w:eastAsia="zh-CN"/>
        </w:rPr>
        <w:t>本项目以</w:t>
      </w:r>
      <w:r>
        <w:rPr>
          <w:rFonts w:hint="eastAsia" w:ascii="宋体" w:hAnsi="宋体" w:eastAsia="宋体" w:cs="宋体"/>
          <w:b/>
          <w:bCs/>
          <w:i w:val="0"/>
          <w:caps w:val="0"/>
          <w:color w:val="auto"/>
          <w:spacing w:val="0"/>
          <w:w w:val="100"/>
          <w:sz w:val="24"/>
          <w:highlight w:val="none"/>
          <w:lang w:val="en-US" w:eastAsia="zh-CN"/>
        </w:rPr>
        <w:t>缴纳投标保证金的有效凭证复印件</w:t>
      </w:r>
      <w:r>
        <w:rPr>
          <w:rFonts w:hint="eastAsia" w:ascii="宋体" w:hAnsi="宋体" w:cs="宋体"/>
          <w:b/>
          <w:bCs/>
          <w:i w:val="0"/>
          <w:caps w:val="0"/>
          <w:color w:val="auto"/>
          <w:spacing w:val="0"/>
          <w:w w:val="100"/>
          <w:sz w:val="24"/>
          <w:highlight w:val="none"/>
          <w:lang w:val="en-US" w:eastAsia="zh-CN"/>
        </w:rPr>
        <w:t>加</w:t>
      </w:r>
      <w:r>
        <w:rPr>
          <w:rFonts w:hint="eastAsia" w:ascii="宋体" w:hAnsi="宋体" w:eastAsia="宋体" w:cs="宋体"/>
          <w:b/>
          <w:bCs/>
          <w:i w:val="0"/>
          <w:caps w:val="0"/>
          <w:color w:val="auto"/>
          <w:spacing w:val="0"/>
          <w:w w:val="100"/>
          <w:sz w:val="24"/>
          <w:highlight w:val="none"/>
          <w:lang w:val="en-US" w:eastAsia="zh-CN"/>
        </w:rPr>
        <w:t>盖公章为准</w:t>
      </w:r>
      <w:r>
        <w:rPr>
          <w:rFonts w:hint="eastAsia" w:ascii="宋体" w:hAnsi="宋体" w:eastAsia="宋体" w:cs="宋体"/>
          <w:b/>
          <w:bCs/>
          <w:i w:val="0"/>
          <w:caps w:val="0"/>
          <w:color w:val="auto"/>
          <w:spacing w:val="0"/>
          <w:w w:val="100"/>
          <w:sz w:val="24"/>
          <w:highlight w:val="none"/>
        </w:rPr>
        <w:t>。）</w:t>
      </w:r>
    </w:p>
    <w:tbl>
      <w:tblPr>
        <w:tblStyle w:val="30"/>
        <w:tblpPr w:leftFromText="180" w:rightFromText="180" w:vertAnchor="text" w:horzAnchor="page" w:tblpX="1967" w:tblpY="235"/>
        <w:tblOverlap w:val="never"/>
        <w:tblW w:w="8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3" w:hRule="atLeast"/>
        </w:trPr>
        <w:tc>
          <w:tcPr>
            <w:tcW w:w="8080" w:type="dxa"/>
          </w:tcPr>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both"/>
              <w:textAlignment w:val="baseline"/>
              <w:rPr>
                <w:rFonts w:hint="eastAsia" w:ascii="宋体" w:hAnsi="宋体" w:eastAsia="宋体" w:cs="宋体"/>
                <w:b w:val="0"/>
                <w:i w:val="0"/>
                <w:caps w:val="0"/>
                <w:color w:val="auto"/>
                <w:spacing w:val="0"/>
                <w:w w:val="100"/>
                <w:sz w:val="24"/>
                <w:highlight w:val="none"/>
              </w:rPr>
            </w:pPr>
          </w:p>
          <w:p>
            <w:pPr>
              <w:shd w:val="clear" w:color="auto" w:fill="auto"/>
              <w:snapToGrid w:val="0"/>
              <w:spacing w:before="0" w:beforeAutospacing="0" w:after="0" w:afterAutospacing="0" w:line="360" w:lineRule="exact"/>
              <w:jc w:val="center"/>
              <w:textAlignment w:val="baseline"/>
              <w:rPr>
                <w:rFonts w:hint="eastAsia" w:ascii="宋体" w:hAnsi="宋体" w:eastAsia="宋体" w:cs="宋体"/>
                <w:b w:val="0"/>
                <w:i w:val="0"/>
                <w:caps w:val="0"/>
                <w:color w:val="auto"/>
                <w:spacing w:val="0"/>
                <w:w w:val="100"/>
                <w:sz w:val="24"/>
                <w:highlight w:val="none"/>
                <w:lang w:eastAsia="zh-CN"/>
              </w:rPr>
            </w:pPr>
            <w:r>
              <w:rPr>
                <w:rFonts w:hint="eastAsia" w:ascii="宋体" w:hAnsi="宋体" w:eastAsia="宋体" w:cs="宋体"/>
                <w:b w:val="0"/>
                <w:i w:val="0"/>
                <w:caps w:val="0"/>
                <w:color w:val="auto"/>
                <w:spacing w:val="0"/>
                <w:w w:val="100"/>
                <w:sz w:val="24"/>
                <w:highlight w:val="none"/>
                <w:lang w:eastAsia="zh-CN"/>
              </w:rPr>
              <w:t>缴纳投标保证金的有效凭证</w:t>
            </w:r>
            <w:r>
              <w:rPr>
                <w:rFonts w:hint="eastAsia" w:ascii="宋体" w:hAnsi="宋体" w:eastAsia="宋体" w:cs="宋体"/>
                <w:b w:val="0"/>
                <w:i w:val="0"/>
                <w:caps w:val="0"/>
                <w:color w:val="auto"/>
                <w:spacing w:val="0"/>
                <w:w w:val="100"/>
                <w:sz w:val="24"/>
                <w:highlight w:val="none"/>
              </w:rPr>
              <w:t>复印件</w:t>
            </w:r>
            <w:r>
              <w:rPr>
                <w:rFonts w:hint="eastAsia" w:ascii="宋体" w:hAnsi="宋体" w:eastAsia="宋体" w:cs="宋体"/>
                <w:b w:val="0"/>
                <w:i w:val="0"/>
                <w:caps w:val="0"/>
                <w:color w:val="auto"/>
                <w:spacing w:val="0"/>
                <w:w w:val="100"/>
                <w:sz w:val="24"/>
                <w:highlight w:val="none"/>
                <w:lang w:eastAsia="zh-CN"/>
              </w:rPr>
              <w:t>（</w:t>
            </w:r>
            <w:r>
              <w:rPr>
                <w:rFonts w:hint="eastAsia" w:ascii="宋体" w:hAnsi="宋体" w:eastAsia="宋体" w:cs="宋体"/>
                <w:b w:val="0"/>
                <w:i w:val="0"/>
                <w:caps w:val="0"/>
                <w:color w:val="auto"/>
                <w:spacing w:val="0"/>
                <w:w w:val="100"/>
                <w:sz w:val="24"/>
                <w:highlight w:val="none"/>
                <w:lang w:val="en-US" w:eastAsia="zh-CN"/>
              </w:rPr>
              <w:t>银行转账回执单或保函</w:t>
            </w:r>
            <w:r>
              <w:rPr>
                <w:rFonts w:hint="eastAsia" w:ascii="宋体" w:hAnsi="宋体" w:cs="宋体"/>
                <w:b w:val="0"/>
                <w:i w:val="0"/>
                <w:caps w:val="0"/>
                <w:color w:val="auto"/>
                <w:spacing w:val="0"/>
                <w:w w:val="100"/>
                <w:sz w:val="24"/>
                <w:highlight w:val="none"/>
                <w:lang w:val="en-US" w:eastAsia="zh-CN"/>
              </w:rPr>
              <w:t>及保函收据</w:t>
            </w:r>
            <w:r>
              <w:rPr>
                <w:rFonts w:hint="eastAsia" w:ascii="宋体" w:hAnsi="宋体" w:eastAsia="宋体" w:cs="宋体"/>
                <w:b w:val="0"/>
                <w:i w:val="0"/>
                <w:caps w:val="0"/>
                <w:color w:val="auto"/>
                <w:spacing w:val="0"/>
                <w:w w:val="100"/>
                <w:sz w:val="24"/>
                <w:highlight w:val="none"/>
                <w:lang w:eastAsia="zh-CN"/>
              </w:rPr>
              <w:t>）</w:t>
            </w:r>
          </w:p>
        </w:tc>
      </w:tr>
    </w:tbl>
    <w:p>
      <w:pPr>
        <w:pStyle w:val="15"/>
        <w:tabs>
          <w:tab w:val="left" w:pos="5580"/>
        </w:tabs>
        <w:spacing w:line="400" w:lineRule="exact"/>
        <w:outlineLvl w:val="9"/>
        <w:rPr>
          <w:rFonts w:hint="eastAsia" w:ascii="宋体" w:hAnsi="宋体" w:eastAsia="宋体" w:cs="宋体"/>
          <w:b/>
          <w:color w:val="auto"/>
          <w:kern w:val="0"/>
          <w:sz w:val="24"/>
          <w:highlight w:val="none"/>
          <w:lang w:eastAsia="zh-CN"/>
        </w:rPr>
      </w:pPr>
    </w:p>
    <w:p>
      <w:pPr>
        <w:pStyle w:val="15"/>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5"/>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5"/>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5"/>
        <w:tabs>
          <w:tab w:val="left" w:pos="5580"/>
        </w:tabs>
        <w:spacing w:line="400" w:lineRule="exact"/>
        <w:ind w:left="540" w:leftChars="257"/>
        <w:outlineLvl w:val="9"/>
        <w:rPr>
          <w:rFonts w:hint="eastAsia" w:ascii="宋体" w:hAnsi="宋体" w:eastAsia="宋体" w:cs="宋体"/>
          <w:b/>
          <w:color w:val="auto"/>
          <w:kern w:val="0"/>
          <w:sz w:val="24"/>
          <w:highlight w:val="none"/>
        </w:rPr>
      </w:pPr>
    </w:p>
    <w:p>
      <w:pPr>
        <w:pStyle w:val="15"/>
        <w:tabs>
          <w:tab w:val="left" w:pos="5580"/>
        </w:tabs>
        <w:spacing w:line="400" w:lineRule="exact"/>
        <w:outlineLvl w:val="9"/>
        <w:rPr>
          <w:rFonts w:hint="eastAsia" w:ascii="宋体" w:hAnsi="宋体" w:eastAsia="宋体" w:cs="宋体"/>
          <w:b/>
          <w:color w:val="auto"/>
          <w:kern w:val="0"/>
          <w:sz w:val="24"/>
          <w:highlight w:val="none"/>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rPr>
      </w:pPr>
      <w:bookmarkStart w:id="1107" w:name="_Toc14384"/>
      <w:bookmarkStart w:id="1108" w:name="_Toc19813"/>
      <w:bookmarkStart w:id="1109" w:name="_Toc18263"/>
      <w:bookmarkStart w:id="1110" w:name="_Toc11180"/>
      <w:bookmarkStart w:id="1111" w:name="_Toc22967"/>
      <w:bookmarkStart w:id="1112" w:name="_Toc515647816"/>
      <w:bookmarkStart w:id="1113" w:name="_Toc30653"/>
      <w:bookmarkStart w:id="1114" w:name="_Toc15346"/>
      <w:r>
        <w:rPr>
          <w:rFonts w:hint="eastAsia" w:ascii="宋体" w:hAnsi="宋体" w:eastAsia="宋体" w:cs="宋体"/>
          <w:color w:val="auto"/>
          <w:sz w:val="28"/>
          <w:szCs w:val="28"/>
          <w:highlight w:val="none"/>
          <w:lang w:val="en-US" w:eastAsia="zh-CN"/>
        </w:rPr>
        <w:t>11.银行开户许可证复印件或银行基本账户信息(包含：银行账号及开户行名称）；</w:t>
      </w:r>
      <w:bookmarkEnd w:id="1107"/>
      <w:bookmarkEnd w:id="1108"/>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23"/>
        <w:bidi w:val="0"/>
        <w:rPr>
          <w:rFonts w:hint="eastAsia"/>
          <w:color w:val="auto"/>
          <w:highlight w:val="none"/>
        </w:rPr>
      </w:pPr>
    </w:p>
    <w:p>
      <w:pPr>
        <w:pStyle w:val="23"/>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lang w:val="en-US" w:eastAsia="zh-CN"/>
        </w:rPr>
      </w:pPr>
      <w:bookmarkStart w:id="1115" w:name="_Toc13729"/>
      <w:bookmarkStart w:id="1116" w:name="_Toc18703"/>
      <w:r>
        <w:rPr>
          <w:rFonts w:hint="eastAsia" w:ascii="宋体" w:hAnsi="宋体" w:eastAsia="宋体" w:cs="宋体"/>
          <w:color w:val="auto"/>
          <w:sz w:val="28"/>
          <w:szCs w:val="28"/>
          <w:highlight w:val="none"/>
          <w:lang w:val="en-US" w:eastAsia="zh-CN"/>
        </w:rPr>
        <w:t>12.供应商可提供有利于投标的其他资格证明材料。</w:t>
      </w:r>
      <w:bookmarkEnd w:id="1115"/>
      <w:bookmarkEnd w:id="1116"/>
    </w:p>
    <w:p>
      <w:pPr>
        <w:rPr>
          <w:rFonts w:hint="eastAsia" w:ascii="宋体" w:hAnsi="宋体" w:eastAsia="宋体" w:cs="宋体"/>
          <w:b/>
          <w:color w:val="auto"/>
          <w:kern w:val="0"/>
          <w:sz w:val="24"/>
          <w:szCs w:val="20"/>
          <w:highlight w:val="none"/>
        </w:rPr>
      </w:pPr>
    </w:p>
    <w:p>
      <w:pPr>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4"/>
        <w:spacing w:before="0" w:line="240" w:lineRule="atLeast"/>
        <w:ind w:left="1080" w:leftChars="257" w:hanging="540"/>
        <w:rPr>
          <w:rFonts w:hint="eastAsia" w:ascii="宋体" w:hAnsi="宋体" w:eastAsia="宋体" w:cs="宋体"/>
          <w:color w:val="auto"/>
          <w:sz w:val="28"/>
          <w:highlight w:val="none"/>
        </w:rPr>
      </w:pPr>
      <w:bookmarkStart w:id="1117" w:name="_Toc27567"/>
      <w:bookmarkStart w:id="1118" w:name="_Toc19728"/>
      <w:r>
        <w:rPr>
          <w:rFonts w:hint="eastAsia" w:ascii="宋体" w:hAnsi="宋体" w:eastAsia="宋体" w:cs="宋体"/>
          <w:color w:val="auto"/>
          <w:sz w:val="28"/>
          <w:highlight w:val="none"/>
        </w:rPr>
        <w:t>第二部分  商务及技术文件</w:t>
      </w:r>
      <w:bookmarkEnd w:id="1117"/>
      <w:bookmarkEnd w:id="1118"/>
    </w:p>
    <w:p>
      <w:pPr>
        <w:keepNext w:val="0"/>
        <w:keepLines w:val="0"/>
        <w:pageBreakBefore w:val="0"/>
        <w:widowControl w:val="0"/>
        <w:tabs>
          <w:tab w:val="left" w:pos="5580"/>
        </w:tabs>
        <w:kinsoku/>
        <w:wordWrap/>
        <w:overflowPunct/>
        <w:topLinePunct w:val="0"/>
        <w:autoSpaceDE/>
        <w:autoSpaceDN/>
        <w:bidi w:val="0"/>
        <w:adjustRightInd/>
        <w:snapToGrid/>
        <w:spacing w:line="360" w:lineRule="exact"/>
        <w:ind w:firstLine="0" w:firstLineChars="0"/>
        <w:textAlignment w:val="auto"/>
        <w:rPr>
          <w:rFonts w:hint="eastAsia" w:ascii="宋体" w:hAnsi="宋体" w:cs="宋体"/>
          <w:color w:val="auto"/>
          <w:kern w:val="0"/>
          <w:sz w:val="24"/>
          <w:szCs w:val="24"/>
          <w:highlight w:val="none"/>
          <w:lang w:val="en-US" w:eastAsia="zh-CN"/>
        </w:rPr>
      </w:pP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bookmarkStart w:id="1119" w:name="_Toc2041"/>
      <w:bookmarkStart w:id="1120" w:name="_Toc14915"/>
      <w:bookmarkStart w:id="1121" w:name="_Toc515647817"/>
      <w:r>
        <w:rPr>
          <w:rFonts w:hint="eastAsia" w:ascii="宋体" w:hAnsi="宋体" w:cs="宋体"/>
          <w:color w:val="auto"/>
          <w:kern w:val="0"/>
          <w:sz w:val="24"/>
          <w:szCs w:val="24"/>
          <w:highlight w:val="none"/>
          <w:lang w:val="en-US" w:eastAsia="zh-CN"/>
        </w:rPr>
        <w:t>1.投标书</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2.投标分项报价表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3.服务说明一览表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4.服务规格偏离表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5.商务条款偏离表</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6-1中小企业声明函</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6-2 残疾人福利性单位声明函</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7.供应商关联单位的说明</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8.供应商可提供有利于投标的其他证明材料</w:t>
      </w:r>
    </w:p>
    <w:p>
      <w:pPr>
        <w:keepNext w:val="0"/>
        <w:keepLines w:val="0"/>
        <w:pageBreakBefore w:val="0"/>
        <w:widowControl w:val="0"/>
        <w:tabs>
          <w:tab w:val="left" w:pos="5580"/>
        </w:tabs>
        <w:kinsoku/>
        <w:wordWrap/>
        <w:overflowPunct/>
        <w:topLinePunct w:val="0"/>
        <w:autoSpaceDE/>
        <w:autoSpaceDN/>
        <w:bidi w:val="0"/>
        <w:adjustRightInd/>
        <w:snapToGrid/>
        <w:spacing w:line="480" w:lineRule="exact"/>
        <w:ind w:firstLine="0" w:firstLineChars="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9.投标文件格式范本</w:t>
      </w:r>
    </w:p>
    <w:p>
      <w:pPr>
        <w:spacing w:line="360" w:lineRule="auto"/>
        <w:rPr>
          <w:rFonts w:hint="eastAsia" w:ascii="宋体" w:hAnsi="宋体" w:eastAsia="宋体" w:cs="宋体"/>
          <w:b/>
          <w:bCs/>
          <w:color w:val="auto"/>
          <w:highlight w:val="none"/>
        </w:rPr>
      </w:pPr>
    </w:p>
    <w:p>
      <w:pPr>
        <w:pStyle w:val="7"/>
        <w:rPr>
          <w:rFonts w:hint="eastAsia" w:ascii="宋体" w:hAnsi="宋体" w:eastAsia="宋体" w:cs="宋体"/>
          <w:b/>
          <w:bCs/>
          <w:color w:val="auto"/>
          <w:highlight w:val="none"/>
        </w:rPr>
      </w:pPr>
    </w:p>
    <w:p>
      <w:pPr>
        <w:pStyle w:val="7"/>
        <w:rPr>
          <w:rFonts w:hint="eastAsia" w:ascii="宋体" w:hAnsi="宋体" w:eastAsia="宋体" w:cs="宋体"/>
          <w:b/>
          <w:bCs/>
          <w:color w:val="auto"/>
          <w:highlight w:val="none"/>
        </w:rPr>
      </w:pPr>
    </w:p>
    <w:p>
      <w:pPr>
        <w:pStyle w:val="7"/>
        <w:rPr>
          <w:rFonts w:hint="eastAsia" w:ascii="宋体" w:hAnsi="宋体" w:eastAsia="宋体" w:cs="宋体"/>
          <w:b/>
          <w:bCs/>
          <w:color w:val="auto"/>
          <w:highlight w:val="none"/>
        </w:rPr>
      </w:pPr>
    </w:p>
    <w:p>
      <w:pPr>
        <w:pStyle w:val="7"/>
        <w:rPr>
          <w:rFonts w:hint="eastAsia" w:ascii="宋体" w:hAnsi="宋体" w:eastAsia="宋体" w:cs="宋体"/>
          <w:b/>
          <w:bCs/>
          <w:color w:val="auto"/>
          <w:highlight w:val="none"/>
        </w:rPr>
      </w:pPr>
    </w:p>
    <w:p>
      <w:pPr>
        <w:pStyle w:val="7"/>
        <w:rPr>
          <w:rFonts w:hint="eastAsia" w:ascii="宋体" w:hAnsi="宋体" w:eastAsia="宋体" w:cs="宋体"/>
          <w:b/>
          <w:bCs/>
          <w:color w:val="auto"/>
          <w:highlight w:val="none"/>
        </w:rPr>
      </w:pPr>
    </w:p>
    <w:p>
      <w:pPr>
        <w:pStyle w:val="7"/>
        <w:rPr>
          <w:rFonts w:hint="eastAsia" w:ascii="宋体" w:hAnsi="宋体" w:eastAsia="宋体" w:cs="宋体"/>
          <w:b/>
          <w:bCs/>
          <w:color w:val="auto"/>
          <w:highlight w:val="none"/>
        </w:rPr>
      </w:pPr>
    </w:p>
    <w:p>
      <w:pPr>
        <w:spacing w:line="360" w:lineRule="auto"/>
        <w:rPr>
          <w:rFonts w:hint="eastAsia" w:ascii="宋体" w:hAnsi="宋体" w:eastAsia="宋体" w:cs="宋体"/>
          <w:color w:val="auto"/>
          <w:sz w:val="24"/>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pStyle w:val="15"/>
        <w:tabs>
          <w:tab w:val="left" w:pos="5580"/>
        </w:tabs>
        <w:spacing w:line="240" w:lineRule="atLeast"/>
        <w:rPr>
          <w:rFonts w:hint="eastAsia" w:ascii="宋体" w:hAnsi="宋体" w:eastAsia="宋体" w:cs="宋体"/>
          <w:color w:val="auto"/>
          <w:szCs w:val="21"/>
          <w:highlight w:val="none"/>
        </w:rPr>
      </w:pPr>
    </w:p>
    <w:p>
      <w:pPr>
        <w:rPr>
          <w:rFonts w:hint="eastAsia" w:ascii="宋体" w:hAnsi="宋体" w:eastAsia="宋体" w:cs="宋体"/>
          <w:b/>
          <w:bCs/>
          <w:color w:val="auto"/>
          <w:sz w:val="24"/>
          <w:szCs w:val="24"/>
          <w:highlight w:val="none"/>
        </w:rPr>
      </w:pPr>
      <w:bookmarkStart w:id="1122" w:name="_Toc30408"/>
      <w:bookmarkStart w:id="1123" w:name="_Toc25918"/>
      <w:bookmarkStart w:id="1124" w:name="_Toc21772"/>
      <w:bookmarkStart w:id="1125" w:name="_Toc29625"/>
      <w:r>
        <w:rPr>
          <w:rFonts w:hint="eastAsia" w:ascii="宋体" w:hAnsi="宋体" w:eastAsia="宋体" w:cs="宋体"/>
          <w:b/>
          <w:bCs/>
          <w:color w:val="auto"/>
          <w:sz w:val="24"/>
          <w:szCs w:val="24"/>
          <w:highlight w:val="none"/>
        </w:rPr>
        <w:br w:type="page"/>
      </w:r>
    </w:p>
    <w:bookmarkEnd w:id="1119"/>
    <w:bookmarkEnd w:id="1120"/>
    <w:bookmarkEnd w:id="1121"/>
    <w:bookmarkEnd w:id="1122"/>
    <w:bookmarkEnd w:id="1123"/>
    <w:bookmarkEnd w:id="1124"/>
    <w:bookmarkEnd w:id="1125"/>
    <w:p>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126" w:name="_Toc32484"/>
      <w:bookmarkStart w:id="1127" w:name="_Toc7083"/>
      <w:r>
        <w:rPr>
          <w:rFonts w:hint="eastAsia" w:ascii="宋体" w:hAnsi="宋体" w:eastAsia="宋体" w:cs="宋体"/>
          <w:color w:val="auto"/>
          <w:sz w:val="28"/>
          <w:szCs w:val="28"/>
          <w:highlight w:val="none"/>
          <w:lang w:val="en-US" w:eastAsia="zh-CN"/>
        </w:rPr>
        <w:t>1.投标书</w:t>
      </w:r>
      <w:bookmarkEnd w:id="1126"/>
      <w:bookmarkEnd w:id="1127"/>
    </w:p>
    <w:p>
      <w:pPr>
        <w:tabs>
          <w:tab w:val="left" w:pos="5580"/>
        </w:tabs>
        <w:spacing w:line="400" w:lineRule="exact"/>
        <w:ind w:left="1080" w:hanging="108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p>
    <w:p>
      <w:pPr>
        <w:pStyle w:val="15"/>
        <w:tabs>
          <w:tab w:val="left" w:pos="5580"/>
        </w:tabs>
        <w:spacing w:line="4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)项目的投标邀请(</w:t>
      </w:r>
      <w:r>
        <w:rPr>
          <w:rFonts w:hint="eastAsia" w:ascii="宋体" w:hAnsi="宋体" w:eastAsia="宋体" w:cs="宋体"/>
          <w:i/>
          <w:color w:val="auto"/>
          <w:sz w:val="24"/>
          <w:szCs w:val="24"/>
          <w:highlight w:val="none"/>
          <w:u w:val="single"/>
        </w:rPr>
        <w:t>项目编号</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)经正式授权并代表供应商（</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上传投标</w:t>
      </w:r>
      <w:r>
        <w:rPr>
          <w:rFonts w:hint="eastAsia" w:ascii="宋体" w:hAnsi="宋体" w:eastAsia="宋体" w:cs="宋体"/>
          <w:color w:val="auto"/>
          <w:sz w:val="24"/>
          <w:szCs w:val="24"/>
          <w:highlight w:val="none"/>
        </w:rPr>
        <w:t>文件，并以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元的投标保证金。</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pPr>
        <w:pStyle w:val="15"/>
        <w:tabs>
          <w:tab w:val="left" w:pos="720"/>
          <w:tab w:val="left" w:pos="900"/>
        </w:tabs>
        <w:spacing w:line="400" w:lineRule="exact"/>
        <w:ind w:left="769" w:leftChars="257" w:hanging="22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（1）附投标价格表中规定的应提供</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的投标总价详见开标一览表，</w:t>
      </w:r>
      <w:r>
        <w:rPr>
          <w:rFonts w:hint="eastAsia" w:ascii="宋体" w:hAnsi="宋体" w:eastAsia="宋体" w:cs="宋体"/>
          <w:color w:val="auto"/>
          <w:sz w:val="24"/>
          <w:szCs w:val="24"/>
          <w:highlight w:val="none"/>
          <w:u w:val="single"/>
        </w:rPr>
        <w:t>其中由小型和</w:t>
      </w:r>
      <w:r>
        <w:rPr>
          <w:rFonts w:hint="eastAsia" w:ascii="宋体" w:hAnsi="宋体" w:eastAsia="宋体" w:cs="宋体"/>
          <w:color w:val="auto"/>
          <w:sz w:val="24"/>
          <w:szCs w:val="24"/>
          <w:highlight w:val="none"/>
        </w:rPr>
        <w:t>微型企业制造产品的价格为</w:t>
      </w:r>
      <w:r>
        <w:rPr>
          <w:rFonts w:hint="eastAsia" w:ascii="宋体" w:hAnsi="宋体" w:eastAsia="宋体" w:cs="宋体"/>
          <w:color w:val="auto"/>
          <w:sz w:val="24"/>
          <w:szCs w:val="24"/>
          <w:highlight w:val="none"/>
          <w:u w:val="single"/>
        </w:rPr>
        <w:t>　　  （用文字和数字表示），占投标总价   %</w:t>
      </w:r>
      <w:r>
        <w:rPr>
          <w:rFonts w:hint="eastAsia" w:ascii="宋体" w:hAnsi="宋体" w:eastAsia="宋体" w:cs="宋体"/>
          <w:color w:val="auto"/>
          <w:sz w:val="24"/>
          <w:szCs w:val="24"/>
          <w:highlight w:val="none"/>
        </w:rPr>
        <w:t>。</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（2）本投标有效期为自投标截止之日起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（3）联合体中的大中型企业和其他自然人、法人或者非法人组织，与联合体中的小型、微型企业之间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（4）已详细审查全部招标文件，包括所有补充通知（如果有的话），完全理解并同意放弃对这方面有不明、误解和质疑的权力。</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（5）在规定的开标时间后，遵守招标文件中有关保证金的规定。</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的供应商，我方不是采购代理机构的附属机构。</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（7）在领取中标通知书的同时按招标文件规定的形式，向贵方一次性支付中标服务费。</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（9）按照招标文件的规定履行合同责任和义务。</w:t>
      </w:r>
    </w:p>
    <w:p>
      <w:pPr>
        <w:pStyle w:val="15"/>
        <w:tabs>
          <w:tab w:val="left" w:pos="5580"/>
        </w:tabs>
        <w:spacing w:line="400" w:lineRule="exact"/>
        <w:ind w:left="359"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法定代表人或其委托代理人（签/章）</w:t>
      </w:r>
      <w:r>
        <w:rPr>
          <w:rFonts w:hint="eastAsia" w:ascii="宋体" w:hAnsi="宋体" w:eastAsia="宋体" w:cs="宋体"/>
          <w:color w:val="auto"/>
          <w:sz w:val="24"/>
          <w:szCs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eastAsia="zh-CN"/>
        </w:rPr>
        <w:t>名称</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供应商开户银行（全称）</w:t>
      </w:r>
      <w:r>
        <w:rPr>
          <w:rFonts w:hint="eastAsia" w:ascii="宋体" w:hAnsi="宋体" w:eastAsia="宋体" w:cs="宋体"/>
          <w:color w:val="auto"/>
          <w:sz w:val="24"/>
          <w:szCs w:val="24"/>
          <w:highlight w:val="none"/>
          <w:u w:val="single"/>
        </w:rPr>
        <w:t xml:space="preserve">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供应商银行帐号</w:t>
      </w:r>
      <w:r>
        <w:rPr>
          <w:rFonts w:hint="eastAsia" w:ascii="宋体" w:hAnsi="宋体" w:eastAsia="宋体" w:cs="宋体"/>
          <w:color w:val="auto"/>
          <w:sz w:val="24"/>
          <w:szCs w:val="24"/>
          <w:highlight w:val="none"/>
          <w:u w:val="single"/>
        </w:rPr>
        <w:t>　　　　　　　　 　　</w:t>
      </w:r>
    </w:p>
    <w:p>
      <w:pPr>
        <w:pStyle w:val="15"/>
        <w:tabs>
          <w:tab w:val="left" w:pos="558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w:t>
      </w:r>
      <w:r>
        <w:rPr>
          <w:rFonts w:hint="eastAsia" w:ascii="宋体" w:hAnsi="宋体" w:eastAsia="宋体" w:cs="宋体"/>
          <w:color w:val="auto"/>
          <w:sz w:val="24"/>
          <w:szCs w:val="24"/>
          <w:highlight w:val="none"/>
          <w:u w:val="single"/>
        </w:rPr>
        <w:t xml:space="preserve">                </w:t>
      </w:r>
      <w:bookmarkStart w:id="1128" w:name="_Toc30947"/>
      <w:bookmarkStart w:id="1129" w:name="_Toc19819"/>
      <w:bookmarkStart w:id="1130" w:name="_Toc14219"/>
      <w:bookmarkStart w:id="1131" w:name="_Toc1266"/>
      <w:bookmarkStart w:id="1132" w:name="_Toc23473"/>
      <w:bookmarkStart w:id="1133" w:name="_Toc6738"/>
    </w:p>
    <w:p>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br w:type="page"/>
      </w:r>
    </w:p>
    <w:bookmarkEnd w:id="1128"/>
    <w:bookmarkEnd w:id="1129"/>
    <w:bookmarkEnd w:id="1130"/>
    <w:bookmarkEnd w:id="1131"/>
    <w:bookmarkEnd w:id="1132"/>
    <w:bookmarkEnd w:id="1133"/>
    <w:p>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134" w:name="_Toc24631"/>
      <w:bookmarkStart w:id="1135" w:name="_Toc25752"/>
      <w:bookmarkStart w:id="1136" w:name="_Toc28959"/>
      <w:bookmarkStart w:id="1137" w:name="_Toc22563"/>
      <w:bookmarkStart w:id="1138" w:name="_Toc515647820"/>
      <w:bookmarkStart w:id="1139" w:name="_Toc216582817"/>
      <w:r>
        <w:rPr>
          <w:rFonts w:hint="eastAsia" w:ascii="宋体" w:hAnsi="宋体" w:eastAsia="宋体" w:cs="宋体"/>
          <w:color w:val="auto"/>
          <w:sz w:val="28"/>
          <w:szCs w:val="28"/>
          <w:highlight w:val="none"/>
          <w:lang w:val="en-US" w:eastAsia="zh-CN"/>
        </w:rPr>
        <w:t>2.投标分项报价表</w:t>
      </w:r>
      <w:bookmarkEnd w:id="1134"/>
      <w:bookmarkEnd w:id="1135"/>
    </w:p>
    <w:p>
      <w:pPr>
        <w:pStyle w:val="15"/>
        <w:keepNext w:val="0"/>
        <w:keepLines w:val="0"/>
        <w:pageBreakBefore w:val="0"/>
        <w:widowControl w:val="0"/>
        <w:kinsoku/>
        <w:wordWrap/>
        <w:overflowPunct/>
        <w:topLinePunct w:val="0"/>
        <w:autoSpaceDE/>
        <w:autoSpaceDN/>
        <w:bidi w:val="0"/>
        <w:adjustRightInd/>
        <w:snapToGrid/>
        <w:spacing w:line="400" w:lineRule="exact"/>
        <w:ind w:left="540" w:leftChars="257" w:firstLine="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项目名称:                      项目编号:                       　 　          报价单位：人民币</w:t>
      </w:r>
      <w:r>
        <w:rPr>
          <w:rFonts w:hint="eastAsia" w:ascii="宋体" w:hAnsi="宋体" w:eastAsia="宋体" w:cs="宋体"/>
          <w:color w:val="auto"/>
          <w:sz w:val="24"/>
          <w:szCs w:val="24"/>
          <w:highlight w:val="none"/>
          <w:lang w:val="en-US" w:eastAsia="zh-CN"/>
        </w:rPr>
        <w:t xml:space="preserve"> </w:t>
      </w:r>
      <w:r>
        <w:rPr>
          <w:rFonts w:hint="eastAsia" w:hAnsi="宋体" w:cs="宋体"/>
          <w:color w:val="auto"/>
          <w:sz w:val="24"/>
          <w:szCs w:val="24"/>
          <w:highlight w:val="none"/>
          <w:lang w:val="en-US" w:eastAsia="zh-CN"/>
        </w:rPr>
        <w:t xml:space="preserve">          元/年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包号：</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2992"/>
        <w:gridCol w:w="1908"/>
        <w:gridCol w:w="2004"/>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86" w:type="dxa"/>
            <w:noWrap w:val="0"/>
            <w:vAlign w:val="center"/>
          </w:tcPr>
          <w:p>
            <w:pPr>
              <w:pStyle w:val="15"/>
              <w:spacing w:line="240" w:lineRule="atLeast"/>
              <w:ind w:left="269" w:leftChars="128"/>
              <w:jc w:val="center"/>
              <w:rPr>
                <w:rFonts w:ascii="仿宋_GB2312" w:eastAsia="仿宋_GB2312"/>
                <w:color w:val="000000"/>
                <w:sz w:val="24"/>
                <w:lang w:val="en-US" w:eastAsia="zh-CN"/>
              </w:rPr>
            </w:pPr>
            <w:r>
              <w:rPr>
                <w:rFonts w:hint="eastAsia" w:ascii="仿宋_GB2312" w:eastAsia="仿宋_GB2312"/>
                <w:color w:val="000000"/>
                <w:sz w:val="24"/>
                <w:lang w:val="en-US" w:eastAsia="zh-CN"/>
              </w:rPr>
              <w:t>序号</w:t>
            </w:r>
          </w:p>
        </w:tc>
        <w:tc>
          <w:tcPr>
            <w:tcW w:w="2992" w:type="dxa"/>
            <w:noWrap w:val="0"/>
            <w:vAlign w:val="center"/>
          </w:tcPr>
          <w:p>
            <w:pPr>
              <w:pStyle w:val="15"/>
              <w:spacing w:line="240" w:lineRule="atLeast"/>
              <w:jc w:val="center"/>
              <w:rPr>
                <w:rFonts w:ascii="仿宋_GB2312" w:eastAsia="仿宋_GB2312"/>
                <w:color w:val="000000"/>
                <w:sz w:val="24"/>
                <w:lang w:val="en-US" w:eastAsia="zh-CN"/>
              </w:rPr>
            </w:pPr>
            <w:r>
              <w:rPr>
                <w:rFonts w:hint="eastAsia" w:ascii="仿宋_GB2312" w:eastAsia="仿宋_GB2312"/>
                <w:color w:val="000000"/>
                <w:sz w:val="24"/>
                <w:lang w:val="en-US" w:eastAsia="zh-CN"/>
              </w:rPr>
              <w:t>服务内容</w:t>
            </w:r>
          </w:p>
        </w:tc>
        <w:tc>
          <w:tcPr>
            <w:tcW w:w="1908" w:type="dxa"/>
            <w:noWrap w:val="0"/>
            <w:vAlign w:val="center"/>
          </w:tcPr>
          <w:p>
            <w:pPr>
              <w:pStyle w:val="15"/>
              <w:spacing w:line="240" w:lineRule="atLeast"/>
              <w:jc w:val="center"/>
              <w:rPr>
                <w:rFonts w:ascii="仿宋_GB2312" w:eastAsia="仿宋_GB2312"/>
                <w:color w:val="000000"/>
                <w:sz w:val="24"/>
                <w:lang w:val="en-US" w:eastAsia="zh-CN"/>
              </w:rPr>
            </w:pPr>
            <w:r>
              <w:rPr>
                <w:rFonts w:hint="eastAsia" w:ascii="仿宋_GB2312" w:eastAsia="仿宋_GB2312"/>
                <w:color w:val="000000"/>
                <w:sz w:val="24"/>
                <w:lang w:val="en-US" w:eastAsia="zh-CN"/>
              </w:rPr>
              <w:t>单价</w:t>
            </w:r>
          </w:p>
        </w:tc>
        <w:tc>
          <w:tcPr>
            <w:tcW w:w="2004" w:type="dxa"/>
            <w:noWrap w:val="0"/>
            <w:vAlign w:val="center"/>
          </w:tcPr>
          <w:p>
            <w:pPr>
              <w:pStyle w:val="15"/>
              <w:spacing w:line="240" w:lineRule="atLeast"/>
              <w:jc w:val="center"/>
              <w:rPr>
                <w:rFonts w:ascii="仿宋_GB2312" w:eastAsia="仿宋_GB2312"/>
                <w:color w:val="000000"/>
                <w:sz w:val="24"/>
                <w:lang w:val="en-US" w:eastAsia="zh-CN"/>
              </w:rPr>
            </w:pPr>
            <w:r>
              <w:rPr>
                <w:rFonts w:hint="eastAsia" w:ascii="仿宋_GB2312" w:eastAsia="仿宋_GB2312"/>
                <w:color w:val="000000"/>
                <w:sz w:val="24"/>
                <w:lang w:val="en-US" w:eastAsia="zh-CN"/>
              </w:rPr>
              <w:t>总价</w:t>
            </w:r>
          </w:p>
        </w:tc>
        <w:tc>
          <w:tcPr>
            <w:tcW w:w="2114" w:type="dxa"/>
            <w:noWrap w:val="0"/>
            <w:vAlign w:val="center"/>
          </w:tcPr>
          <w:p>
            <w:pPr>
              <w:pStyle w:val="15"/>
              <w:spacing w:line="240" w:lineRule="atLeast"/>
              <w:jc w:val="center"/>
              <w:rPr>
                <w:rFonts w:ascii="仿宋_GB2312" w:eastAsia="仿宋_GB2312"/>
                <w:color w:val="000000"/>
                <w:sz w:val="24"/>
                <w:lang w:val="en-US" w:eastAsia="zh-CN"/>
              </w:rPr>
            </w:pPr>
            <w:r>
              <w:rPr>
                <w:rFonts w:hint="eastAsia" w:ascii="仿宋_GB2312" w:eastAsia="仿宋_GB2312"/>
                <w:color w:val="000000"/>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786" w:type="dxa"/>
            <w:noWrap w:val="0"/>
            <w:vAlign w:val="center"/>
          </w:tcPr>
          <w:p>
            <w:pPr>
              <w:pStyle w:val="15"/>
              <w:spacing w:line="240" w:lineRule="atLeast"/>
              <w:ind w:left="269" w:leftChars="128"/>
              <w:jc w:val="center"/>
              <w:rPr>
                <w:rFonts w:ascii="仿宋_GB2312" w:eastAsia="仿宋_GB2312"/>
                <w:color w:val="000000"/>
                <w:sz w:val="24"/>
                <w:lang w:val="en-US" w:eastAsia="zh-CN"/>
              </w:rPr>
            </w:pPr>
            <w:r>
              <w:rPr>
                <w:rFonts w:hint="eastAsia" w:ascii="仿宋_GB2312" w:eastAsia="仿宋_GB2312"/>
                <w:color w:val="000000"/>
                <w:sz w:val="24"/>
                <w:lang w:val="en-US" w:eastAsia="zh-CN"/>
              </w:rPr>
              <w:t>1.</w:t>
            </w:r>
          </w:p>
        </w:tc>
        <w:tc>
          <w:tcPr>
            <w:tcW w:w="2992" w:type="dxa"/>
            <w:noWrap w:val="0"/>
            <w:vAlign w:val="center"/>
          </w:tcPr>
          <w:p>
            <w:pPr>
              <w:pStyle w:val="15"/>
              <w:spacing w:line="240" w:lineRule="atLeast"/>
              <w:jc w:val="center"/>
              <w:rPr>
                <w:rFonts w:ascii="仿宋_GB2312" w:eastAsia="仿宋_GB2312"/>
                <w:color w:val="000000"/>
                <w:sz w:val="24"/>
                <w:lang w:val="en-US" w:eastAsia="zh-CN"/>
              </w:rPr>
            </w:pPr>
          </w:p>
        </w:tc>
        <w:tc>
          <w:tcPr>
            <w:tcW w:w="1908"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c>
          <w:tcPr>
            <w:tcW w:w="2004"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c>
          <w:tcPr>
            <w:tcW w:w="2114"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6" w:type="dxa"/>
            <w:noWrap w:val="0"/>
            <w:vAlign w:val="center"/>
          </w:tcPr>
          <w:p>
            <w:pPr>
              <w:pStyle w:val="15"/>
              <w:spacing w:line="240" w:lineRule="atLeast"/>
              <w:ind w:left="269" w:leftChars="128"/>
              <w:jc w:val="center"/>
              <w:rPr>
                <w:rFonts w:ascii="仿宋_GB2312" w:eastAsia="仿宋_GB2312"/>
                <w:color w:val="000000"/>
                <w:sz w:val="24"/>
                <w:lang w:val="en-US" w:eastAsia="zh-CN"/>
              </w:rPr>
            </w:pPr>
            <w:r>
              <w:rPr>
                <w:rFonts w:hint="eastAsia" w:ascii="仿宋_GB2312" w:eastAsia="仿宋_GB2312"/>
                <w:color w:val="000000"/>
                <w:sz w:val="24"/>
                <w:lang w:val="en-US" w:eastAsia="zh-CN"/>
              </w:rPr>
              <w:t>2.</w:t>
            </w:r>
          </w:p>
        </w:tc>
        <w:tc>
          <w:tcPr>
            <w:tcW w:w="2992" w:type="dxa"/>
            <w:noWrap w:val="0"/>
            <w:vAlign w:val="center"/>
          </w:tcPr>
          <w:p>
            <w:pPr>
              <w:pStyle w:val="15"/>
              <w:spacing w:line="240" w:lineRule="atLeast"/>
              <w:jc w:val="center"/>
              <w:rPr>
                <w:rFonts w:ascii="仿宋_GB2312" w:eastAsia="仿宋_GB2312"/>
                <w:color w:val="000000"/>
                <w:sz w:val="24"/>
                <w:lang w:val="en-US" w:eastAsia="zh-CN"/>
              </w:rPr>
            </w:pPr>
          </w:p>
        </w:tc>
        <w:tc>
          <w:tcPr>
            <w:tcW w:w="1908"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c>
          <w:tcPr>
            <w:tcW w:w="2004"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c>
          <w:tcPr>
            <w:tcW w:w="2114"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6" w:type="dxa"/>
            <w:noWrap w:val="0"/>
            <w:vAlign w:val="center"/>
          </w:tcPr>
          <w:p>
            <w:pPr>
              <w:pStyle w:val="15"/>
              <w:spacing w:line="240" w:lineRule="atLeast"/>
              <w:ind w:left="269" w:leftChars="128"/>
              <w:jc w:val="center"/>
              <w:rPr>
                <w:rFonts w:ascii="仿宋_GB2312" w:eastAsia="仿宋_GB2312"/>
                <w:color w:val="000000"/>
                <w:sz w:val="24"/>
                <w:lang w:val="en-US" w:eastAsia="zh-CN"/>
              </w:rPr>
            </w:pPr>
            <w:r>
              <w:rPr>
                <w:rFonts w:hint="eastAsia" w:ascii="仿宋_GB2312" w:eastAsia="仿宋_GB2312"/>
                <w:color w:val="000000"/>
                <w:sz w:val="24"/>
                <w:lang w:val="en-US" w:eastAsia="zh-CN"/>
              </w:rPr>
              <w:t>3.</w:t>
            </w:r>
          </w:p>
        </w:tc>
        <w:tc>
          <w:tcPr>
            <w:tcW w:w="2992" w:type="dxa"/>
            <w:noWrap w:val="0"/>
            <w:vAlign w:val="center"/>
          </w:tcPr>
          <w:p>
            <w:pPr>
              <w:pStyle w:val="15"/>
              <w:spacing w:line="240" w:lineRule="atLeast"/>
              <w:jc w:val="center"/>
              <w:rPr>
                <w:rFonts w:ascii="仿宋_GB2312" w:eastAsia="仿宋_GB2312"/>
                <w:color w:val="000000"/>
                <w:sz w:val="24"/>
                <w:lang w:val="en-US" w:eastAsia="zh-CN"/>
              </w:rPr>
            </w:pPr>
          </w:p>
        </w:tc>
        <w:tc>
          <w:tcPr>
            <w:tcW w:w="1908"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c>
          <w:tcPr>
            <w:tcW w:w="2004"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c>
          <w:tcPr>
            <w:tcW w:w="2114"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6" w:type="dxa"/>
            <w:noWrap w:val="0"/>
            <w:vAlign w:val="center"/>
          </w:tcPr>
          <w:p>
            <w:pPr>
              <w:pStyle w:val="15"/>
              <w:spacing w:line="240" w:lineRule="atLeast"/>
              <w:ind w:left="269" w:leftChars="128"/>
              <w:jc w:val="center"/>
              <w:rPr>
                <w:rFonts w:ascii="仿宋_GB2312" w:eastAsia="仿宋_GB2312"/>
                <w:color w:val="000000"/>
                <w:sz w:val="24"/>
                <w:lang w:val="en-US" w:eastAsia="zh-CN"/>
              </w:rPr>
            </w:pPr>
            <w:r>
              <w:rPr>
                <w:rFonts w:hint="eastAsia" w:ascii="仿宋_GB2312" w:eastAsia="仿宋_GB2312"/>
                <w:color w:val="000000"/>
                <w:sz w:val="24"/>
                <w:lang w:val="en-US" w:eastAsia="zh-CN"/>
              </w:rPr>
              <w:t>4.</w:t>
            </w:r>
          </w:p>
        </w:tc>
        <w:tc>
          <w:tcPr>
            <w:tcW w:w="2992" w:type="dxa"/>
            <w:noWrap w:val="0"/>
            <w:vAlign w:val="center"/>
          </w:tcPr>
          <w:p>
            <w:pPr>
              <w:pStyle w:val="15"/>
              <w:spacing w:line="240" w:lineRule="atLeast"/>
              <w:jc w:val="center"/>
              <w:rPr>
                <w:rFonts w:ascii="仿宋_GB2312" w:eastAsia="仿宋_GB2312"/>
                <w:color w:val="000000"/>
                <w:sz w:val="24"/>
                <w:lang w:val="en-US" w:eastAsia="zh-CN"/>
              </w:rPr>
            </w:pPr>
          </w:p>
        </w:tc>
        <w:tc>
          <w:tcPr>
            <w:tcW w:w="1908"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c>
          <w:tcPr>
            <w:tcW w:w="2004"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c>
          <w:tcPr>
            <w:tcW w:w="2114"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86" w:type="dxa"/>
            <w:noWrap w:val="0"/>
            <w:vAlign w:val="center"/>
          </w:tcPr>
          <w:p>
            <w:pPr>
              <w:pStyle w:val="15"/>
              <w:spacing w:line="240" w:lineRule="atLeast"/>
              <w:ind w:left="269" w:leftChars="128"/>
              <w:jc w:val="center"/>
              <w:rPr>
                <w:rFonts w:ascii="仿宋_GB2312" w:eastAsia="仿宋_GB2312"/>
                <w:color w:val="000000"/>
                <w:sz w:val="24"/>
                <w:lang w:val="en-US" w:eastAsia="zh-CN"/>
              </w:rPr>
            </w:pPr>
            <w:r>
              <w:rPr>
                <w:rFonts w:hint="eastAsia" w:ascii="仿宋_GB2312" w:eastAsia="仿宋_GB2312"/>
                <w:color w:val="000000"/>
                <w:sz w:val="24"/>
                <w:lang w:val="en-US" w:eastAsia="zh-CN"/>
              </w:rPr>
              <w:t>5.</w:t>
            </w:r>
          </w:p>
        </w:tc>
        <w:tc>
          <w:tcPr>
            <w:tcW w:w="2992" w:type="dxa"/>
            <w:noWrap w:val="0"/>
            <w:vAlign w:val="center"/>
          </w:tcPr>
          <w:p>
            <w:pPr>
              <w:pStyle w:val="15"/>
              <w:spacing w:line="240" w:lineRule="atLeast"/>
              <w:jc w:val="center"/>
              <w:rPr>
                <w:rFonts w:ascii="仿宋_GB2312" w:eastAsia="仿宋_GB2312"/>
                <w:color w:val="000000"/>
                <w:sz w:val="24"/>
                <w:lang w:val="en-US" w:eastAsia="zh-CN"/>
              </w:rPr>
            </w:pPr>
          </w:p>
        </w:tc>
        <w:tc>
          <w:tcPr>
            <w:tcW w:w="1908"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c>
          <w:tcPr>
            <w:tcW w:w="2004"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c>
          <w:tcPr>
            <w:tcW w:w="2114"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6" w:type="dxa"/>
            <w:noWrap w:val="0"/>
            <w:vAlign w:val="center"/>
          </w:tcPr>
          <w:p>
            <w:pPr>
              <w:pStyle w:val="15"/>
              <w:spacing w:line="240" w:lineRule="atLeast"/>
              <w:ind w:left="269" w:leftChars="128"/>
              <w:jc w:val="center"/>
              <w:rPr>
                <w:rFonts w:ascii="仿宋_GB2312" w:eastAsia="仿宋_GB2312"/>
                <w:color w:val="000000"/>
                <w:sz w:val="24"/>
                <w:lang w:val="en-US" w:eastAsia="zh-CN"/>
              </w:rPr>
            </w:pPr>
            <w:r>
              <w:rPr>
                <w:rFonts w:hint="eastAsia" w:ascii="仿宋_GB2312" w:eastAsia="仿宋_GB2312"/>
                <w:color w:val="000000"/>
                <w:sz w:val="24"/>
                <w:lang w:val="en-US" w:eastAsia="zh-CN"/>
              </w:rPr>
              <w:t>6.</w:t>
            </w:r>
          </w:p>
        </w:tc>
        <w:tc>
          <w:tcPr>
            <w:tcW w:w="2992" w:type="dxa"/>
            <w:noWrap w:val="0"/>
            <w:vAlign w:val="center"/>
          </w:tcPr>
          <w:p>
            <w:pPr>
              <w:pStyle w:val="15"/>
              <w:spacing w:line="240" w:lineRule="atLeast"/>
              <w:jc w:val="center"/>
              <w:rPr>
                <w:rFonts w:ascii="仿宋_GB2312" w:eastAsia="仿宋_GB2312"/>
                <w:color w:val="000000"/>
                <w:sz w:val="24"/>
                <w:lang w:val="en-US" w:eastAsia="zh-CN"/>
              </w:rPr>
            </w:pPr>
          </w:p>
        </w:tc>
        <w:tc>
          <w:tcPr>
            <w:tcW w:w="1908"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c>
          <w:tcPr>
            <w:tcW w:w="2004"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c>
          <w:tcPr>
            <w:tcW w:w="2114"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786" w:type="dxa"/>
            <w:noWrap w:val="0"/>
            <w:vAlign w:val="center"/>
          </w:tcPr>
          <w:p>
            <w:pPr>
              <w:pStyle w:val="15"/>
              <w:spacing w:line="240" w:lineRule="atLeast"/>
              <w:jc w:val="both"/>
              <w:rPr>
                <w:rFonts w:hint="default" w:ascii="仿宋_GB2312" w:eastAsia="仿宋_GB2312"/>
                <w:color w:val="000000"/>
                <w:sz w:val="24"/>
                <w:lang w:val="en-US" w:eastAsia="zh-CN"/>
              </w:rPr>
            </w:pPr>
            <w:r>
              <w:rPr>
                <w:rFonts w:hint="eastAsia" w:ascii="仿宋_GB2312" w:eastAsia="仿宋_GB2312"/>
                <w:color w:val="000000"/>
                <w:sz w:val="24"/>
                <w:lang w:val="en-US" w:eastAsia="zh-CN"/>
              </w:rPr>
              <w:t>...</w:t>
            </w:r>
          </w:p>
        </w:tc>
        <w:tc>
          <w:tcPr>
            <w:tcW w:w="2992" w:type="dxa"/>
            <w:noWrap w:val="0"/>
            <w:vAlign w:val="center"/>
          </w:tcPr>
          <w:p>
            <w:pPr>
              <w:pStyle w:val="15"/>
              <w:spacing w:line="240" w:lineRule="atLeast"/>
              <w:jc w:val="center"/>
              <w:rPr>
                <w:rFonts w:ascii="仿宋_GB2312" w:eastAsia="仿宋_GB2312"/>
                <w:color w:val="000000"/>
                <w:sz w:val="24"/>
                <w:lang w:val="en-US" w:eastAsia="zh-CN"/>
              </w:rPr>
            </w:pPr>
          </w:p>
        </w:tc>
        <w:tc>
          <w:tcPr>
            <w:tcW w:w="1908"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c>
          <w:tcPr>
            <w:tcW w:w="2004"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c>
          <w:tcPr>
            <w:tcW w:w="2114" w:type="dxa"/>
            <w:noWrap w:val="0"/>
            <w:vAlign w:val="center"/>
          </w:tcPr>
          <w:p>
            <w:pPr>
              <w:pStyle w:val="15"/>
              <w:spacing w:line="240" w:lineRule="atLeast"/>
              <w:ind w:left="1080" w:leftChars="257" w:hanging="540"/>
              <w:jc w:val="center"/>
              <w:rPr>
                <w:rFonts w:ascii="仿宋_GB2312" w:eastAsia="仿宋_GB2312"/>
                <w:color w:val="000000"/>
                <w:sz w:val="24"/>
                <w:lang w:val="en-US" w:eastAsia="zh-CN"/>
              </w:rPr>
            </w:pPr>
          </w:p>
        </w:tc>
      </w:tr>
    </w:tbl>
    <w:p>
      <w:pPr>
        <w:pStyle w:val="15"/>
        <w:spacing w:line="400" w:lineRule="exact"/>
        <w:ind w:left="1080" w:leftChars="257" w:hanging="540"/>
        <w:rPr>
          <w:rFonts w:hint="eastAsia" w:ascii="宋体" w:hAnsi="宋体" w:eastAsia="宋体" w:cs="宋体"/>
          <w:color w:val="auto"/>
          <w:sz w:val="24"/>
          <w:szCs w:val="24"/>
          <w:highlight w:val="none"/>
        </w:rPr>
      </w:pPr>
    </w:p>
    <w:p>
      <w:pPr>
        <w:pStyle w:val="7"/>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7"/>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7"/>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注:1.如果供应商认为需要，每种</w:t>
      </w:r>
      <w:r>
        <w:rPr>
          <w:rFonts w:hint="eastAsia" w:hAnsi="宋体" w:cs="宋体"/>
          <w:color w:val="auto"/>
          <w:sz w:val="24"/>
          <w:szCs w:val="24"/>
          <w:highlight w:val="none"/>
          <w:lang w:eastAsia="zh-CN"/>
        </w:rPr>
        <w:t>服务</w:t>
      </w:r>
      <w:r>
        <w:rPr>
          <w:rFonts w:hint="eastAsia" w:ascii="宋体" w:hAnsi="宋体" w:eastAsia="宋体" w:cs="宋体"/>
          <w:color w:val="auto"/>
          <w:sz w:val="24"/>
          <w:szCs w:val="24"/>
          <w:highlight w:val="none"/>
        </w:rPr>
        <w:t>填写一份该表。</w:t>
      </w:r>
    </w:p>
    <w:p>
      <w:pPr>
        <w:pStyle w:val="15"/>
        <w:spacing w:line="400" w:lineRule="exact"/>
        <w:ind w:left="1079" w:leftChars="428" w:hanging="180" w:hangingChars="7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2.如果按单价计算的结果与总价不一致,以单价为准修正总价。</w:t>
      </w: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3.如果不提供详细分项报价将视为没有实质性响应招标文件。</w:t>
      </w:r>
    </w:p>
    <w:p>
      <w:pPr>
        <w:pStyle w:val="15"/>
        <w:spacing w:line="400" w:lineRule="exact"/>
        <w:ind w:left="1080" w:leftChars="257" w:hanging="54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4.上述各项的详细分项报价，应另页描述。</w:t>
      </w:r>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5.如果开标一览表（报价表）内容与投标文件中明细表内容不一致的，以开标一览表（报价表）内容为准。</w:t>
      </w:r>
    </w:p>
    <w:p>
      <w:pPr>
        <w:rPr>
          <w:rFonts w:hint="eastAsia" w:ascii="宋体" w:hAnsi="宋体" w:eastAsia="宋体" w:cs="宋体"/>
          <w:color w:val="auto"/>
          <w:sz w:val="28"/>
          <w:szCs w:val="28"/>
          <w:highlight w:val="none"/>
          <w:lang w:val="en-US" w:eastAsia="zh-CN"/>
        </w:rPr>
      </w:pPr>
      <w:bookmarkStart w:id="1140" w:name="_Toc30209"/>
      <w:bookmarkStart w:id="1141" w:name="_Toc28199"/>
      <w:bookmarkStart w:id="1142" w:name="_Toc27721"/>
      <w:bookmarkStart w:id="1143" w:name="_Toc13950"/>
      <w:bookmarkStart w:id="1144" w:name="_Toc27975"/>
      <w:bookmarkStart w:id="1145" w:name="_Toc10486"/>
      <w:bookmarkStart w:id="1146" w:name="_Toc16798"/>
      <w:bookmarkStart w:id="1147" w:name="_Toc26185"/>
      <w:bookmarkStart w:id="1148" w:name="_Toc29174"/>
      <w:bookmarkStart w:id="1149" w:name="_Toc6480"/>
      <w:bookmarkStart w:id="1150" w:name="_Toc3096"/>
      <w:bookmarkStart w:id="1151" w:name="_Toc32439"/>
      <w:r>
        <w:rPr>
          <w:rFonts w:hint="eastAsia" w:ascii="宋体" w:hAnsi="宋体" w:eastAsia="宋体" w:cs="宋体"/>
          <w:color w:val="auto"/>
          <w:sz w:val="28"/>
          <w:szCs w:val="28"/>
          <w:highlight w:val="none"/>
          <w:lang w:val="en-US" w:eastAsia="zh-CN"/>
        </w:rPr>
        <w:br w:type="page"/>
      </w:r>
    </w:p>
    <w:bookmarkEnd w:id="1140"/>
    <w:bookmarkEnd w:id="1141"/>
    <w:bookmarkEnd w:id="1142"/>
    <w:bookmarkEnd w:id="1143"/>
    <w:bookmarkEnd w:id="1144"/>
    <w:bookmarkEnd w:id="1145"/>
    <w:bookmarkEnd w:id="1146"/>
    <w:bookmarkEnd w:id="1147"/>
    <w:bookmarkEnd w:id="1148"/>
    <w:bookmarkEnd w:id="1149"/>
    <w:bookmarkEnd w:id="1150"/>
    <w:bookmarkEnd w:id="1151"/>
    <w:p>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152" w:name="_Toc1758"/>
      <w:bookmarkStart w:id="1153" w:name="_Toc17348"/>
      <w:r>
        <w:rPr>
          <w:rFonts w:hint="eastAsia" w:ascii="宋体" w:hAnsi="宋体" w:eastAsia="宋体" w:cs="宋体"/>
          <w:color w:val="auto"/>
          <w:sz w:val="28"/>
          <w:szCs w:val="28"/>
          <w:highlight w:val="none"/>
          <w:lang w:val="en-US" w:eastAsia="zh-CN"/>
        </w:rPr>
        <w:t>3.服务说明一览表</w:t>
      </w:r>
      <w:bookmarkEnd w:id="1152"/>
      <w:bookmarkEnd w:id="1153"/>
    </w:p>
    <w:p>
      <w:pPr>
        <w:pStyle w:val="15"/>
        <w:spacing w:line="360" w:lineRule="exact"/>
        <w:ind w:left="1080" w:leftChars="257" w:hanging="54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r>
        <w:rPr>
          <w:rFonts w:hint="eastAsia" w:ascii="宋体" w:hAnsi="宋体" w:eastAsia="宋体" w:cs="宋体"/>
          <w:color w:val="auto"/>
          <w:sz w:val="24"/>
          <w:highlight w:val="none"/>
          <w:lang w:eastAsia="zh-CN"/>
        </w:rPr>
        <w:t>项目编号</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包号：</w:t>
      </w:r>
      <w:r>
        <w:rPr>
          <w:rFonts w:hint="eastAsia" w:ascii="宋体" w:hAnsi="宋体" w:eastAsia="宋体" w:cs="宋体"/>
          <w:color w:val="auto"/>
          <w:sz w:val="24"/>
          <w:highlight w:val="none"/>
        </w:rPr>
        <w:t xml:space="preserve">                                  </w:t>
      </w:r>
    </w:p>
    <w:tbl>
      <w:tblPr>
        <w:tblStyle w:val="30"/>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707"/>
        <w:gridCol w:w="1552"/>
        <w:gridCol w:w="1863"/>
        <w:gridCol w:w="1707"/>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序号</w:t>
            </w:r>
          </w:p>
        </w:tc>
        <w:tc>
          <w:tcPr>
            <w:tcW w:w="1707" w:type="dxa"/>
            <w:noWrap w:val="0"/>
            <w:vAlign w:val="top"/>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服务内容</w:t>
            </w:r>
          </w:p>
        </w:tc>
        <w:tc>
          <w:tcPr>
            <w:tcW w:w="1552" w:type="dxa"/>
            <w:noWrap w:val="0"/>
            <w:vAlign w:val="top"/>
          </w:tcPr>
          <w:p>
            <w:pPr>
              <w:pStyle w:val="15"/>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完成期限</w:t>
            </w:r>
          </w:p>
        </w:tc>
        <w:tc>
          <w:tcPr>
            <w:tcW w:w="1863" w:type="dxa"/>
            <w:noWrap w:val="0"/>
            <w:vAlign w:val="top"/>
          </w:tcPr>
          <w:p>
            <w:pPr>
              <w:pStyle w:val="15"/>
              <w:spacing w:line="240" w:lineRule="atLeast"/>
              <w:ind w:left="1080" w:leftChars="257" w:hanging="54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服务地点</w:t>
            </w:r>
          </w:p>
        </w:tc>
        <w:tc>
          <w:tcPr>
            <w:tcW w:w="1707" w:type="dxa"/>
            <w:noWrap w:val="0"/>
            <w:vAlign w:val="top"/>
          </w:tcPr>
          <w:p>
            <w:pPr>
              <w:pStyle w:val="15"/>
              <w:spacing w:line="240" w:lineRule="atLeast"/>
              <w:ind w:left="1080" w:leftChars="257" w:hanging="54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数量</w:t>
            </w:r>
          </w:p>
        </w:tc>
        <w:tc>
          <w:tcPr>
            <w:tcW w:w="1707" w:type="dxa"/>
            <w:noWrap w:val="0"/>
            <w:vAlign w:val="top"/>
          </w:tcPr>
          <w:p>
            <w:pPr>
              <w:pStyle w:val="15"/>
              <w:spacing w:line="240" w:lineRule="atLeast"/>
              <w:ind w:left="1080" w:leftChars="257" w:hanging="540" w:firstLineChars="0"/>
              <w:jc w:val="center"/>
              <w:rPr>
                <w:rFonts w:hint="eastAsia" w:ascii="仿宋" w:hAnsi="仿宋" w:eastAsia="仿宋" w:cs="仿宋"/>
                <w:sz w:val="24"/>
                <w:lang w:val="en-US" w:eastAsia="zh-CN"/>
              </w:rPr>
            </w:pPr>
            <w:r>
              <w:rPr>
                <w:rFonts w:hint="eastAsia" w:ascii="仿宋" w:hAnsi="仿宋" w:eastAsia="仿宋" w:cs="仿宋"/>
                <w:sz w:val="24"/>
                <w:lang w:val="en-US" w:eastAsia="zh-CN"/>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jc w:val="center"/>
              <w:rPr>
                <w:rFonts w:hint="eastAsia" w:ascii="仿宋" w:hAnsi="仿宋" w:eastAsia="仿宋" w:cs="仿宋"/>
                <w:color w:val="FF0000"/>
                <w:sz w:val="24"/>
                <w:lang w:val="en-US" w:eastAsia="zh-CN"/>
              </w:rPr>
            </w:pPr>
          </w:p>
        </w:tc>
        <w:tc>
          <w:tcPr>
            <w:tcW w:w="1552"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jc w:val="center"/>
              <w:rPr>
                <w:rFonts w:hint="eastAsia" w:ascii="仿宋" w:hAnsi="仿宋" w:eastAsia="仿宋" w:cs="仿宋"/>
                <w:color w:val="FF0000"/>
                <w:sz w:val="24"/>
                <w:lang w:val="en-US" w:eastAsia="zh-CN"/>
              </w:rPr>
            </w:pPr>
          </w:p>
        </w:tc>
        <w:tc>
          <w:tcPr>
            <w:tcW w:w="1552"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default"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jc w:val="center"/>
              <w:rPr>
                <w:rFonts w:hint="default" w:ascii="仿宋" w:hAnsi="仿宋" w:eastAsia="仿宋" w:cs="仿宋"/>
                <w:color w:val="FF0000"/>
                <w:sz w:val="24"/>
                <w:lang w:val="en-US" w:eastAsia="zh-CN"/>
              </w:rPr>
            </w:pPr>
          </w:p>
        </w:tc>
        <w:tc>
          <w:tcPr>
            <w:tcW w:w="1552"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jc w:val="center"/>
              <w:rPr>
                <w:rFonts w:hint="default" w:ascii="仿宋" w:hAnsi="仿宋" w:eastAsia="仿宋" w:cs="仿宋"/>
                <w:color w:val="FF0000"/>
                <w:sz w:val="24"/>
                <w:lang w:val="en-US" w:eastAsia="zh-CN"/>
              </w:rPr>
            </w:pPr>
          </w:p>
        </w:tc>
        <w:tc>
          <w:tcPr>
            <w:tcW w:w="1552"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552"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552"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241"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552"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41"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552"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863"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c>
          <w:tcPr>
            <w:tcW w:w="1707" w:type="dxa"/>
            <w:noWrap w:val="0"/>
            <w:vAlign w:val="top"/>
          </w:tcPr>
          <w:p>
            <w:pPr>
              <w:pStyle w:val="15"/>
              <w:spacing w:line="240" w:lineRule="atLeast"/>
              <w:ind w:left="1080" w:leftChars="257" w:hanging="540"/>
              <w:rPr>
                <w:rFonts w:hint="eastAsia" w:ascii="仿宋" w:hAnsi="仿宋" w:eastAsia="仿宋" w:cs="仿宋"/>
                <w:sz w:val="24"/>
                <w:lang w:val="en-US" w:eastAsia="zh-CN"/>
              </w:rPr>
            </w:pPr>
          </w:p>
        </w:tc>
      </w:tr>
    </w:tbl>
    <w:p>
      <w:pPr>
        <w:pStyle w:val="15"/>
        <w:spacing w:line="360" w:lineRule="exact"/>
        <w:ind w:left="1080" w:leftChars="257" w:hanging="540"/>
        <w:rPr>
          <w:rFonts w:hint="eastAsia" w:ascii="宋体" w:hAnsi="宋体" w:eastAsia="宋体" w:cs="宋体"/>
          <w:color w:val="auto"/>
          <w:sz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p>
      <w:pPr>
        <w:pStyle w:val="7"/>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7"/>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7"/>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5"/>
        <w:spacing w:line="400" w:lineRule="exact"/>
        <w:ind w:left="1080" w:leftChars="257" w:hanging="540"/>
        <w:rPr>
          <w:rFonts w:hint="eastAsia" w:ascii="宋体" w:hAnsi="宋体" w:eastAsia="宋体" w:cs="宋体"/>
          <w:b/>
          <w:bCs/>
          <w:color w:val="auto"/>
          <w:sz w:val="22"/>
          <w:szCs w:val="22"/>
          <w:highlight w:val="none"/>
          <w:lang w:eastAsia="zh-CN"/>
        </w:rPr>
      </w:pPr>
      <w:r>
        <w:rPr>
          <w:rFonts w:hint="eastAsia" w:ascii="宋体" w:hAnsi="宋体" w:eastAsia="宋体" w:cs="宋体"/>
          <w:color w:val="auto"/>
          <w:sz w:val="24"/>
          <w:szCs w:val="24"/>
          <w:highlight w:val="none"/>
        </w:rPr>
        <w:t>注: 各项</w:t>
      </w:r>
      <w:r>
        <w:rPr>
          <w:rFonts w:hint="eastAsia"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详细技术性能应另页描述</w:t>
      </w:r>
      <w:r>
        <w:rPr>
          <w:rFonts w:hint="eastAsia" w:ascii="宋体" w:hAnsi="宋体" w:eastAsia="宋体" w:cs="宋体"/>
          <w:color w:val="auto"/>
          <w:sz w:val="24"/>
          <w:szCs w:val="24"/>
          <w:highlight w:val="none"/>
          <w:lang w:eastAsia="zh-CN"/>
        </w:rPr>
        <w:t>。</w:t>
      </w: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pStyle w:val="15"/>
        <w:spacing w:line="240" w:lineRule="atLeast"/>
        <w:rPr>
          <w:rFonts w:hint="eastAsia" w:ascii="宋体" w:hAnsi="宋体" w:eastAsia="宋体" w:cs="宋体"/>
          <w:b/>
          <w:bCs/>
          <w:color w:val="auto"/>
          <w:sz w:val="22"/>
          <w:szCs w:val="22"/>
          <w:highlight w:val="none"/>
        </w:rPr>
      </w:pP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154" w:name="_Toc21982"/>
      <w:bookmarkStart w:id="1155" w:name="_Toc8378"/>
      <w:r>
        <w:rPr>
          <w:rFonts w:hint="eastAsia" w:ascii="宋体" w:hAnsi="宋体" w:eastAsia="宋体" w:cs="宋体"/>
          <w:color w:val="auto"/>
          <w:sz w:val="28"/>
          <w:szCs w:val="28"/>
          <w:highlight w:val="none"/>
          <w:lang w:val="en-US" w:eastAsia="zh-CN"/>
        </w:rPr>
        <w:t>4.服务规格偏离表</w:t>
      </w:r>
      <w:bookmarkEnd w:id="1154"/>
      <w:bookmarkEnd w:id="1155"/>
    </w:p>
    <w:p>
      <w:pPr>
        <w:pStyle w:val="15"/>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val="en-US" w:eastAsia="zh-CN"/>
        </w:rPr>
        <w:t xml:space="preserve">   包号：</w:t>
      </w:r>
      <w:r>
        <w:rPr>
          <w:rFonts w:hint="eastAsia" w:ascii="宋体" w:hAnsi="宋体" w:eastAsia="宋体" w:cs="宋体"/>
          <w:color w:val="auto"/>
          <w:sz w:val="24"/>
          <w:szCs w:val="24"/>
          <w:highlight w:val="none"/>
        </w:rPr>
        <w:t xml:space="preserve">          </w:t>
      </w:r>
    </w:p>
    <w:tbl>
      <w:tblPr>
        <w:tblStyle w:val="94"/>
        <w:tblW w:w="87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2339"/>
        <w:gridCol w:w="1259"/>
        <w:gridCol w:w="1259"/>
        <w:gridCol w:w="900"/>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2" w:type="dxa"/>
            <w:vAlign w:val="top"/>
          </w:tcPr>
          <w:p>
            <w:pPr>
              <w:spacing w:before="145" w:line="231" w:lineRule="auto"/>
              <w:ind w:left="188"/>
              <w:rPr>
                <w:rFonts w:ascii="仿宋" w:hAnsi="仿宋" w:eastAsia="仿宋" w:cs="仿宋"/>
                <w:sz w:val="23"/>
                <w:szCs w:val="23"/>
              </w:rPr>
            </w:pPr>
            <w:r>
              <w:rPr>
                <w:rFonts w:ascii="仿宋" w:hAnsi="仿宋" w:eastAsia="仿宋" w:cs="仿宋"/>
                <w:spacing w:val="2"/>
                <w:sz w:val="23"/>
                <w:szCs w:val="23"/>
              </w:rPr>
              <w:t>序号</w:t>
            </w:r>
          </w:p>
        </w:tc>
        <w:tc>
          <w:tcPr>
            <w:tcW w:w="1259" w:type="dxa"/>
            <w:vAlign w:val="top"/>
          </w:tcPr>
          <w:p>
            <w:pPr>
              <w:spacing w:before="145" w:line="229" w:lineRule="auto"/>
              <w:ind w:left="165"/>
              <w:rPr>
                <w:rFonts w:ascii="仿宋" w:hAnsi="仿宋" w:eastAsia="仿宋" w:cs="仿宋"/>
                <w:sz w:val="23"/>
                <w:szCs w:val="23"/>
              </w:rPr>
            </w:pPr>
            <w:r>
              <w:rPr>
                <w:rFonts w:hint="eastAsia" w:ascii="仿宋" w:hAnsi="仿宋" w:eastAsia="仿宋" w:cs="仿宋"/>
                <w:spacing w:val="5"/>
                <w:sz w:val="23"/>
                <w:szCs w:val="23"/>
                <w:lang w:eastAsia="zh-CN"/>
              </w:rPr>
              <w:t>服务</w:t>
            </w:r>
            <w:r>
              <w:rPr>
                <w:rFonts w:ascii="仿宋" w:hAnsi="仿宋" w:eastAsia="仿宋" w:cs="仿宋"/>
                <w:spacing w:val="5"/>
                <w:sz w:val="23"/>
                <w:szCs w:val="23"/>
              </w:rPr>
              <w:t>名</w:t>
            </w:r>
            <w:r>
              <w:rPr>
                <w:rFonts w:ascii="仿宋" w:hAnsi="仿宋" w:eastAsia="仿宋" w:cs="仿宋"/>
                <w:spacing w:val="4"/>
                <w:sz w:val="23"/>
                <w:szCs w:val="23"/>
              </w:rPr>
              <w:t>称</w:t>
            </w:r>
          </w:p>
        </w:tc>
        <w:tc>
          <w:tcPr>
            <w:tcW w:w="2339" w:type="dxa"/>
            <w:vAlign w:val="top"/>
          </w:tcPr>
          <w:p>
            <w:pPr>
              <w:spacing w:before="145" w:line="231" w:lineRule="auto"/>
              <w:ind w:left="475"/>
              <w:rPr>
                <w:rFonts w:ascii="仿宋" w:hAnsi="仿宋" w:eastAsia="仿宋" w:cs="仿宋"/>
                <w:sz w:val="23"/>
                <w:szCs w:val="23"/>
              </w:rPr>
            </w:pPr>
            <w:r>
              <w:rPr>
                <w:rFonts w:ascii="仿宋" w:hAnsi="仿宋" w:eastAsia="仿宋" w:cs="仿宋"/>
                <w:spacing w:val="8"/>
                <w:sz w:val="23"/>
                <w:szCs w:val="23"/>
              </w:rPr>
              <w:t>磋商文件条款</w:t>
            </w:r>
            <w:r>
              <w:rPr>
                <w:rFonts w:ascii="仿宋" w:hAnsi="仿宋" w:eastAsia="仿宋" w:cs="仿宋"/>
                <w:spacing w:val="6"/>
                <w:sz w:val="23"/>
                <w:szCs w:val="23"/>
              </w:rPr>
              <w:t>号</w:t>
            </w:r>
          </w:p>
        </w:tc>
        <w:tc>
          <w:tcPr>
            <w:tcW w:w="1259" w:type="dxa"/>
            <w:vAlign w:val="top"/>
          </w:tcPr>
          <w:p>
            <w:pPr>
              <w:spacing w:before="145" w:line="231" w:lineRule="auto"/>
              <w:ind w:left="161"/>
              <w:rPr>
                <w:rFonts w:ascii="仿宋" w:hAnsi="仿宋" w:eastAsia="仿宋" w:cs="仿宋"/>
                <w:sz w:val="23"/>
                <w:szCs w:val="23"/>
              </w:rPr>
            </w:pPr>
            <w:r>
              <w:rPr>
                <w:rFonts w:ascii="仿宋" w:hAnsi="仿宋" w:eastAsia="仿宋" w:cs="仿宋"/>
                <w:spacing w:val="6"/>
                <w:sz w:val="23"/>
                <w:szCs w:val="23"/>
              </w:rPr>
              <w:t>招标规格</w:t>
            </w:r>
          </w:p>
        </w:tc>
        <w:tc>
          <w:tcPr>
            <w:tcW w:w="1259" w:type="dxa"/>
            <w:vAlign w:val="top"/>
          </w:tcPr>
          <w:p>
            <w:pPr>
              <w:spacing w:before="145" w:line="231" w:lineRule="auto"/>
              <w:ind w:left="162"/>
              <w:rPr>
                <w:rFonts w:ascii="仿宋" w:hAnsi="仿宋" w:eastAsia="仿宋" w:cs="仿宋"/>
                <w:sz w:val="23"/>
                <w:szCs w:val="23"/>
              </w:rPr>
            </w:pPr>
            <w:r>
              <w:rPr>
                <w:rFonts w:ascii="仿宋" w:hAnsi="仿宋" w:eastAsia="仿宋" w:cs="仿宋"/>
                <w:spacing w:val="6"/>
                <w:sz w:val="23"/>
                <w:szCs w:val="23"/>
              </w:rPr>
              <w:t>投标规格</w:t>
            </w:r>
          </w:p>
        </w:tc>
        <w:tc>
          <w:tcPr>
            <w:tcW w:w="900" w:type="dxa"/>
            <w:vAlign w:val="top"/>
          </w:tcPr>
          <w:p>
            <w:pPr>
              <w:spacing w:before="145" w:line="231" w:lineRule="auto"/>
              <w:ind w:left="225"/>
              <w:rPr>
                <w:rFonts w:ascii="仿宋" w:hAnsi="仿宋" w:eastAsia="仿宋" w:cs="仿宋"/>
                <w:sz w:val="23"/>
                <w:szCs w:val="23"/>
              </w:rPr>
            </w:pPr>
            <w:r>
              <w:rPr>
                <w:rFonts w:ascii="仿宋" w:hAnsi="仿宋" w:eastAsia="仿宋" w:cs="仿宋"/>
                <w:spacing w:val="2"/>
                <w:sz w:val="23"/>
                <w:szCs w:val="23"/>
              </w:rPr>
              <w:t>偏</w:t>
            </w:r>
            <w:r>
              <w:rPr>
                <w:rFonts w:ascii="仿宋" w:hAnsi="仿宋" w:eastAsia="仿宋" w:cs="仿宋"/>
                <w:spacing w:val="1"/>
                <w:sz w:val="23"/>
                <w:szCs w:val="23"/>
              </w:rPr>
              <w:t>离</w:t>
            </w:r>
          </w:p>
        </w:tc>
        <w:tc>
          <w:tcPr>
            <w:tcW w:w="904" w:type="dxa"/>
            <w:vAlign w:val="top"/>
          </w:tcPr>
          <w:p>
            <w:pPr>
              <w:spacing w:before="145" w:line="232" w:lineRule="auto"/>
              <w:ind w:left="225"/>
              <w:rPr>
                <w:rFonts w:ascii="仿宋" w:hAnsi="仿宋" w:eastAsia="仿宋" w:cs="仿宋"/>
                <w:sz w:val="23"/>
                <w:szCs w:val="23"/>
              </w:rPr>
            </w:pPr>
            <w:r>
              <w:rPr>
                <w:rFonts w:ascii="仿宋" w:hAnsi="仿宋" w:eastAsia="仿宋" w:cs="仿宋"/>
                <w:spacing w:val="2"/>
                <w:sz w:val="23"/>
                <w:szCs w:val="23"/>
              </w:rPr>
              <w:t>说</w:t>
            </w:r>
            <w:r>
              <w:rPr>
                <w:rFonts w:ascii="仿宋" w:hAnsi="仿宋" w:eastAsia="仿宋" w:cs="仿宋"/>
                <w:spacing w:val="1"/>
                <w:sz w:val="23"/>
                <w:szCs w:val="23"/>
              </w:rPr>
              <w:t>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832" w:type="dxa"/>
            <w:vAlign w:val="top"/>
          </w:tcPr>
          <w:p>
            <w:pPr>
              <w:rPr>
                <w:rFonts w:ascii="Arial"/>
                <w:sz w:val="21"/>
              </w:rPr>
            </w:pPr>
          </w:p>
        </w:tc>
        <w:tc>
          <w:tcPr>
            <w:tcW w:w="1259" w:type="dxa"/>
            <w:vAlign w:val="top"/>
          </w:tcPr>
          <w:p>
            <w:pPr>
              <w:rPr>
                <w:rFonts w:ascii="Arial"/>
                <w:sz w:val="21"/>
              </w:rPr>
            </w:pPr>
          </w:p>
        </w:tc>
        <w:tc>
          <w:tcPr>
            <w:tcW w:w="2339"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900" w:type="dxa"/>
            <w:vAlign w:val="top"/>
          </w:tcPr>
          <w:p>
            <w:pPr>
              <w:rPr>
                <w:rFonts w:ascii="Arial"/>
                <w:sz w:val="21"/>
              </w:rPr>
            </w:pPr>
          </w:p>
        </w:tc>
        <w:tc>
          <w:tcPr>
            <w:tcW w:w="904" w:type="dxa"/>
            <w:vAlign w:val="top"/>
          </w:tcPr>
          <w:p>
            <w:pPr>
              <w:rPr>
                <w:rFonts w:ascii="Arial"/>
                <w:sz w:val="21"/>
              </w:rPr>
            </w:pPr>
          </w:p>
        </w:tc>
      </w:tr>
    </w:tbl>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bookmarkEnd w:id="1136"/>
    <w:bookmarkEnd w:id="1137"/>
    <w:bookmarkEnd w:id="1138"/>
    <w:bookmarkEnd w:id="1139"/>
    <w:p>
      <w:pPr>
        <w:pStyle w:val="7"/>
        <w:spacing w:line="360" w:lineRule="exact"/>
        <w:ind w:firstLine="0"/>
        <w:rPr>
          <w:rFonts w:hint="eastAsia" w:ascii="宋体" w:hAnsi="宋体" w:eastAsia="宋体" w:cs="宋体"/>
          <w:color w:val="auto"/>
          <w:kern w:val="2"/>
          <w:sz w:val="24"/>
          <w:szCs w:val="24"/>
          <w:highlight w:val="none"/>
          <w:u w:val="single"/>
        </w:rPr>
      </w:pPr>
      <w:bookmarkStart w:id="1156" w:name="_Toc1980"/>
      <w:bookmarkStart w:id="1157" w:name="_Toc216582818"/>
      <w:bookmarkStart w:id="1158" w:name="_Toc23"/>
      <w:bookmarkStart w:id="1159" w:name="_Toc31439"/>
      <w:bookmarkStart w:id="1160" w:name="_Toc515647821"/>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7"/>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7"/>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rPr>
          <w:rFonts w:hint="eastAsia" w:ascii="宋体" w:hAnsi="宋体" w:eastAsia="宋体" w:cs="宋体"/>
          <w:color w:val="auto"/>
          <w:sz w:val="28"/>
          <w:szCs w:val="28"/>
          <w:highlight w:val="none"/>
        </w:rPr>
      </w:pPr>
      <w:bookmarkStart w:id="1161" w:name="_Toc14887"/>
      <w:bookmarkStart w:id="1162" w:name="_Toc12914"/>
      <w:bookmarkStart w:id="1163" w:name="_Toc22109"/>
    </w:p>
    <w:bookmarkEnd w:id="1156"/>
    <w:bookmarkEnd w:id="1157"/>
    <w:bookmarkEnd w:id="1158"/>
    <w:bookmarkEnd w:id="1159"/>
    <w:bookmarkEnd w:id="1160"/>
    <w:bookmarkEnd w:id="1161"/>
    <w:bookmarkEnd w:id="1162"/>
    <w:bookmarkEnd w:id="1163"/>
    <w:p>
      <w:pPr>
        <w:pStyle w:val="4"/>
        <w:keepNext/>
        <w:keepLines/>
        <w:pageBreakBefore w:val="0"/>
        <w:widowControl w:val="0"/>
        <w:kinsoku/>
        <w:wordWrap/>
        <w:overflowPunct/>
        <w:topLinePunct w:val="0"/>
        <w:autoSpaceDE w:val="0"/>
        <w:autoSpaceDN w:val="0"/>
        <w:bidi w:val="0"/>
        <w:adjustRightInd w:val="0"/>
        <w:snapToGrid/>
        <w:spacing w:before="0" w:line="440" w:lineRule="exact"/>
        <w:jc w:val="center"/>
        <w:textAlignment w:val="auto"/>
        <w:outlineLvl w:val="1"/>
        <w:rPr>
          <w:rFonts w:hint="eastAsia" w:ascii="宋体" w:hAnsi="宋体" w:eastAsia="宋体" w:cs="宋体"/>
          <w:color w:val="auto"/>
          <w:sz w:val="28"/>
          <w:szCs w:val="28"/>
          <w:highlight w:val="none"/>
          <w:lang w:val="en-US" w:eastAsia="zh-CN"/>
        </w:rPr>
      </w:pPr>
      <w:bookmarkStart w:id="1164" w:name="_Toc26961"/>
      <w:bookmarkStart w:id="1165" w:name="_Toc8354"/>
      <w:r>
        <w:rPr>
          <w:rFonts w:hint="eastAsia" w:ascii="宋体" w:hAnsi="宋体" w:eastAsia="宋体" w:cs="宋体"/>
          <w:color w:val="auto"/>
          <w:sz w:val="28"/>
          <w:szCs w:val="28"/>
          <w:highlight w:val="none"/>
          <w:lang w:val="en-US" w:eastAsia="zh-CN"/>
        </w:rPr>
        <w:t>5.商务条款偏离表</w:t>
      </w:r>
      <w:bookmarkEnd w:id="1164"/>
      <w:bookmarkEnd w:id="1165"/>
    </w:p>
    <w:p>
      <w:pPr>
        <w:pStyle w:val="15"/>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ascii="宋体" w:hAnsi="宋体" w:eastAsia="宋体" w:cs="宋体"/>
          <w:color w:val="auto"/>
          <w:sz w:val="24"/>
          <w:szCs w:val="24"/>
          <w:highlight w:val="none"/>
          <w:lang w:eastAsia="zh-CN"/>
        </w:rPr>
        <w:t>包号：</w:t>
      </w:r>
      <w:r>
        <w:rPr>
          <w:rFonts w:hint="eastAsia" w:ascii="宋体" w:hAnsi="宋体" w:eastAsia="宋体" w:cs="宋体"/>
          <w:color w:val="auto"/>
          <w:sz w:val="24"/>
          <w:szCs w:val="24"/>
          <w:highlight w:val="none"/>
        </w:rPr>
        <w:t xml:space="preserve">    </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2435"/>
        <w:gridCol w:w="3050"/>
        <w:gridCol w:w="3050"/>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432" w:type="pct"/>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79" w:type="pct"/>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招标文件条款号</w:t>
            </w:r>
          </w:p>
        </w:tc>
        <w:tc>
          <w:tcPr>
            <w:tcW w:w="1477" w:type="pct"/>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招标文件的商务条款</w:t>
            </w:r>
          </w:p>
        </w:tc>
        <w:tc>
          <w:tcPr>
            <w:tcW w:w="1477" w:type="pct"/>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432" w:type="pct"/>
          </w:tcPr>
          <w:p>
            <w:pPr>
              <w:pStyle w:val="15"/>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jc w:val="center"/>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jc w:val="center"/>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179"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1477" w:type="pct"/>
          </w:tcPr>
          <w:p>
            <w:pPr>
              <w:pStyle w:val="15"/>
              <w:spacing w:line="400" w:lineRule="exact"/>
              <w:ind w:left="1080" w:leftChars="257" w:hanging="540"/>
              <w:rPr>
                <w:rFonts w:hint="eastAsia" w:ascii="宋体" w:hAnsi="宋体" w:eastAsia="宋体" w:cs="宋体"/>
                <w:color w:val="auto"/>
                <w:sz w:val="24"/>
                <w:szCs w:val="24"/>
                <w:highlight w:val="none"/>
              </w:rPr>
            </w:pPr>
          </w:p>
        </w:tc>
        <w:tc>
          <w:tcPr>
            <w:tcW w:w="432" w:type="pct"/>
          </w:tcPr>
          <w:p>
            <w:pPr>
              <w:pStyle w:val="15"/>
              <w:spacing w:line="400" w:lineRule="exact"/>
              <w:ind w:left="1080" w:leftChars="257" w:hanging="540"/>
              <w:rPr>
                <w:rFonts w:hint="eastAsia" w:ascii="宋体" w:hAnsi="宋体" w:eastAsia="宋体" w:cs="宋体"/>
                <w:color w:val="auto"/>
                <w:sz w:val="24"/>
                <w:szCs w:val="24"/>
                <w:highlight w:val="none"/>
              </w:rPr>
            </w:pPr>
          </w:p>
        </w:tc>
      </w:tr>
    </w:tbl>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p>
      <w:pPr>
        <w:pStyle w:val="15"/>
        <w:spacing w:line="400" w:lineRule="exact"/>
        <w:ind w:left="1080" w:leftChars="257" w:hanging="540"/>
        <w:rPr>
          <w:rFonts w:hint="eastAsia" w:ascii="宋体" w:hAnsi="宋体" w:eastAsia="宋体" w:cs="宋体"/>
          <w:color w:val="auto"/>
          <w:sz w:val="24"/>
          <w:szCs w:val="24"/>
          <w:highlight w:val="none"/>
        </w:rPr>
      </w:pPr>
    </w:p>
    <w:p>
      <w:pPr>
        <w:pStyle w:val="7"/>
        <w:spacing w:line="36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lang w:eastAsia="zh-CN"/>
        </w:rPr>
        <w:t>供应商</w:t>
      </w:r>
      <w:r>
        <w:rPr>
          <w:rFonts w:hint="eastAsia" w:ascii="宋体" w:hAnsi="宋体" w:eastAsia="宋体" w:cs="宋体"/>
          <w:color w:val="auto"/>
          <w:kern w:val="2"/>
          <w:sz w:val="24"/>
          <w:szCs w:val="24"/>
          <w:highlight w:val="none"/>
        </w:rPr>
        <w:t>名称（</w:t>
      </w:r>
      <w:r>
        <w:rPr>
          <w:rFonts w:hint="eastAsia" w:ascii="宋体" w:hAnsi="宋体" w:eastAsia="宋体" w:cs="宋体"/>
          <w:color w:val="auto"/>
          <w:kern w:val="2"/>
          <w:sz w:val="24"/>
          <w:szCs w:val="24"/>
          <w:highlight w:val="none"/>
          <w:lang w:eastAsia="zh-CN"/>
        </w:rPr>
        <w:t>公章</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u w:val="single"/>
        </w:rPr>
        <w:t xml:space="preserve">                       </w:t>
      </w:r>
    </w:p>
    <w:p>
      <w:pPr>
        <w:pStyle w:val="7"/>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法定代表人或委托代理</w:t>
      </w:r>
      <w:r>
        <w:rPr>
          <w:rFonts w:hint="eastAsia" w:ascii="宋体" w:hAnsi="宋体" w:eastAsia="宋体" w:cs="宋体"/>
          <w:color w:val="auto"/>
          <w:kern w:val="2"/>
          <w:sz w:val="24"/>
          <w:szCs w:val="24"/>
          <w:highlight w:val="none"/>
          <w:lang w:val="en-US" w:eastAsia="zh-CN"/>
        </w:rPr>
        <w:t>人</w:t>
      </w:r>
      <w:r>
        <w:rPr>
          <w:rFonts w:hint="eastAsia" w:ascii="宋体" w:hAnsi="宋体" w:eastAsia="宋体" w:cs="宋体"/>
          <w:color w:val="auto"/>
          <w:kern w:val="2"/>
          <w:sz w:val="24"/>
          <w:szCs w:val="24"/>
          <w:highlight w:val="none"/>
        </w:rPr>
        <w:t>(签/章):</w:t>
      </w:r>
      <w:r>
        <w:rPr>
          <w:rFonts w:hint="eastAsia" w:ascii="宋体" w:hAnsi="宋体" w:eastAsia="宋体" w:cs="宋体"/>
          <w:color w:val="auto"/>
          <w:kern w:val="2"/>
          <w:sz w:val="24"/>
          <w:szCs w:val="24"/>
          <w:highlight w:val="none"/>
          <w:u w:val="single"/>
        </w:rPr>
        <w:tab/>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 xml:space="preserve">                 </w:t>
      </w:r>
    </w:p>
    <w:p>
      <w:pPr>
        <w:pStyle w:val="7"/>
        <w:spacing w:line="360" w:lineRule="exact"/>
        <w:ind w:firstLine="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w:t>
      </w: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pStyle w:val="15"/>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pPr>
        <w:rPr>
          <w:rFonts w:hint="eastAsia" w:ascii="宋体" w:hAnsi="宋体" w:eastAsia="宋体" w:cs="宋体"/>
          <w:color w:val="auto"/>
          <w:sz w:val="24"/>
          <w:szCs w:val="24"/>
          <w:highlight w:val="none"/>
        </w:rPr>
      </w:pPr>
      <w:bookmarkStart w:id="1166" w:name="_Toc21312"/>
      <w:bookmarkStart w:id="1167" w:name="_Toc17820"/>
      <w:bookmarkStart w:id="1168" w:name="_Toc31694"/>
      <w:bookmarkStart w:id="1169" w:name="_Toc515647823"/>
      <w:bookmarkStart w:id="1170" w:name="_Toc27043"/>
      <w:bookmarkStart w:id="1171" w:name="_Toc25797"/>
      <w:bookmarkStart w:id="1172" w:name="_Toc10725"/>
      <w:r>
        <w:rPr>
          <w:rFonts w:hint="eastAsia" w:ascii="宋体" w:hAnsi="宋体" w:eastAsia="宋体" w:cs="宋体"/>
          <w:color w:val="auto"/>
          <w:sz w:val="24"/>
          <w:szCs w:val="24"/>
          <w:highlight w:val="none"/>
        </w:rPr>
        <w:br w:type="page"/>
      </w:r>
    </w:p>
    <w:bookmarkEnd w:id="1166"/>
    <w:bookmarkEnd w:id="1167"/>
    <w:bookmarkEnd w:id="1168"/>
    <w:bookmarkEnd w:id="1169"/>
    <w:bookmarkEnd w:id="1170"/>
    <w:bookmarkEnd w:id="1171"/>
    <w:bookmarkEnd w:id="1172"/>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lang w:val="en-US" w:eastAsia="zh-CN"/>
        </w:rPr>
      </w:pPr>
      <w:bookmarkStart w:id="1173" w:name="_Toc5026"/>
      <w:bookmarkStart w:id="1174" w:name="_Toc32351"/>
      <w:bookmarkStart w:id="1175" w:name="_Toc515647824"/>
      <w:bookmarkStart w:id="1176" w:name="_Toc21610"/>
      <w:bookmarkStart w:id="1177" w:name="_Toc11343"/>
      <w:bookmarkStart w:id="1178" w:name="_Toc11803"/>
      <w:bookmarkStart w:id="1179" w:name="_Toc9687"/>
      <w:bookmarkStart w:id="1180" w:name="_Toc10977"/>
      <w:bookmarkStart w:id="1181" w:name="_Toc2709"/>
      <w:r>
        <w:rPr>
          <w:rFonts w:hint="eastAsia" w:ascii="宋体" w:hAnsi="宋体" w:eastAsia="宋体" w:cs="宋体"/>
          <w:color w:val="auto"/>
          <w:sz w:val="28"/>
          <w:szCs w:val="28"/>
          <w:highlight w:val="none"/>
          <w:lang w:val="en-US" w:eastAsia="zh-CN"/>
        </w:rPr>
        <w:t>6-1中小企业声明函</w:t>
      </w:r>
      <w:bookmarkEnd w:id="1173"/>
      <w:bookmarkEnd w:id="1174"/>
    </w:p>
    <w:p>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spacing w:val="5"/>
          <w:w w:val="95"/>
          <w:sz w:val="24"/>
          <w:szCs w:val="24"/>
          <w:highlight w:val="none"/>
          <w:u w:val="none"/>
          <w:lang w:val="en-US" w:eastAsia="zh-CN" w:bidi="zh-CN"/>
        </w:rPr>
      </w:pPr>
      <w:r>
        <w:rPr>
          <w:rFonts w:hint="eastAsia" w:ascii="微软雅黑" w:hAnsi="微软雅黑" w:eastAsia="微软雅黑" w:cs="微软雅黑"/>
          <w:spacing w:val="5"/>
          <w:w w:val="95"/>
          <w:sz w:val="24"/>
          <w:szCs w:val="24"/>
          <w:highlight w:val="none"/>
          <w:u w:val="none"/>
          <w:lang w:val="en-US" w:eastAsia="zh-CN" w:bidi="zh-CN"/>
        </w:rPr>
        <w:t>本公司（联合体）郑重声明，根据《政府采购促进中小企业发展管理办法》（财库﹝2020﹞46号）的规定，本公司（联合体）参加</w:t>
      </w:r>
      <w:r>
        <w:rPr>
          <w:rFonts w:hint="eastAsia" w:ascii="微软雅黑" w:hAnsi="微软雅黑" w:eastAsia="微软雅黑" w:cs="微软雅黑"/>
          <w:spacing w:val="5"/>
          <w:w w:val="95"/>
          <w:sz w:val="24"/>
          <w:szCs w:val="24"/>
          <w:highlight w:val="none"/>
          <w:u w:val="single"/>
          <w:lang w:val="zh-CN" w:eastAsia="zh-CN" w:bidi="zh-CN"/>
        </w:rPr>
        <w:t>（单位名称）</w:t>
      </w:r>
      <w:r>
        <w:rPr>
          <w:rFonts w:hint="eastAsia" w:ascii="微软雅黑" w:hAnsi="微软雅黑" w:eastAsia="微软雅黑" w:cs="微软雅黑"/>
          <w:spacing w:val="5"/>
          <w:w w:val="95"/>
          <w:sz w:val="24"/>
          <w:szCs w:val="24"/>
          <w:highlight w:val="none"/>
          <w:u w:val="none"/>
          <w:lang w:val="en-US" w:eastAsia="zh-CN" w:bidi="zh-CN"/>
        </w:rPr>
        <w:t>的</w:t>
      </w:r>
      <w:r>
        <w:rPr>
          <w:rFonts w:hint="eastAsia" w:ascii="微软雅黑" w:hAnsi="微软雅黑" w:eastAsia="微软雅黑" w:cs="微软雅黑"/>
          <w:spacing w:val="5"/>
          <w:w w:val="95"/>
          <w:sz w:val="24"/>
          <w:szCs w:val="24"/>
          <w:highlight w:val="none"/>
          <w:u w:val="single"/>
          <w:lang w:val="zh-CN" w:eastAsia="zh-CN" w:bidi="zh-CN"/>
        </w:rPr>
        <w:t>（项目名称）</w:t>
      </w:r>
      <w:r>
        <w:rPr>
          <w:rFonts w:hint="eastAsia" w:ascii="微软雅黑" w:hAnsi="微软雅黑" w:eastAsia="微软雅黑" w:cs="微软雅黑"/>
          <w:spacing w:val="5"/>
          <w:w w:val="95"/>
          <w:sz w:val="24"/>
          <w:szCs w:val="24"/>
          <w:highlight w:val="none"/>
          <w:u w:val="none"/>
          <w:lang w:val="en-US" w:eastAsia="zh-CN" w:bidi="zh-CN"/>
        </w:rPr>
        <w:t>采购活动，服务全部由符合政策要求的中小企业承接。相关企业（含联合体中的中小企业、签订分包意向协议的中小企业）的具体情况如下：</w:t>
      </w:r>
    </w:p>
    <w:p>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sz w:val="24"/>
          <w:szCs w:val="24"/>
          <w:highlight w:val="none"/>
          <w:u w:val="none"/>
        </w:rPr>
      </w:pPr>
      <w:r>
        <w:rPr>
          <w:rFonts w:hint="eastAsia" w:ascii="微软雅黑" w:hAnsi="微软雅黑" w:eastAsia="微软雅黑" w:cs="微软雅黑"/>
          <w:spacing w:val="5"/>
          <w:w w:val="95"/>
          <w:sz w:val="24"/>
          <w:szCs w:val="24"/>
          <w:highlight w:val="none"/>
          <w:u w:val="none"/>
          <w:lang w:val="en-US" w:eastAsia="zh-CN" w:bidi="zh-CN"/>
        </w:rPr>
        <w:t>1.</w:t>
      </w:r>
      <w:r>
        <w:rPr>
          <w:rFonts w:hint="eastAsia" w:ascii="微软雅黑" w:hAnsi="微软雅黑" w:eastAsia="微软雅黑" w:cs="微软雅黑"/>
          <w:spacing w:val="5"/>
          <w:w w:val="95"/>
          <w:sz w:val="24"/>
          <w:szCs w:val="24"/>
          <w:highlight w:val="none"/>
          <w:u w:val="single"/>
          <w:lang w:val="zh-CN" w:eastAsia="zh-CN" w:bidi="zh-CN"/>
        </w:rPr>
        <w:t>（标的名称）</w:t>
      </w:r>
      <w:r>
        <w:rPr>
          <w:rFonts w:hint="eastAsia" w:ascii="微软雅黑" w:hAnsi="微软雅黑" w:eastAsia="微软雅黑" w:cs="微软雅黑"/>
          <w:i/>
          <w:sz w:val="24"/>
          <w:szCs w:val="24"/>
          <w:highlight w:val="none"/>
          <w:u w:val="none"/>
        </w:rPr>
        <w:t xml:space="preserve"> </w:t>
      </w:r>
      <w:r>
        <w:rPr>
          <w:rFonts w:hint="eastAsia" w:ascii="微软雅黑" w:hAnsi="微软雅黑" w:eastAsia="微软雅黑" w:cs="微软雅黑"/>
          <w:spacing w:val="-43"/>
          <w:sz w:val="24"/>
          <w:szCs w:val="24"/>
          <w:highlight w:val="none"/>
          <w:u w:val="none"/>
        </w:rPr>
        <w:t xml:space="preserve">， </w:t>
      </w:r>
      <w:r>
        <w:rPr>
          <w:rFonts w:hint="eastAsia" w:ascii="微软雅黑" w:hAnsi="微软雅黑" w:eastAsia="微软雅黑" w:cs="微软雅黑"/>
          <w:spacing w:val="7"/>
          <w:w w:val="99"/>
          <w:sz w:val="24"/>
          <w:szCs w:val="24"/>
          <w:highlight w:val="none"/>
          <w:u w:val="none"/>
          <w:lang w:val="zh-CN" w:eastAsia="zh-CN"/>
        </w:rPr>
        <w:t>属于</w:t>
      </w:r>
      <w:r>
        <w:rPr>
          <w:rFonts w:hint="eastAsia" w:ascii="微软雅黑" w:hAnsi="微软雅黑" w:eastAsia="微软雅黑" w:cs="微软雅黑"/>
          <w:spacing w:val="5"/>
          <w:w w:val="95"/>
          <w:sz w:val="24"/>
          <w:szCs w:val="24"/>
          <w:highlight w:val="none"/>
          <w:u w:val="single"/>
          <w:lang w:val="zh-CN" w:eastAsia="zh-CN" w:bidi="zh-CN"/>
        </w:rPr>
        <w:t>（采购文件中明确的所属行业）行业</w:t>
      </w:r>
      <w:r>
        <w:rPr>
          <w:rFonts w:hint="eastAsia" w:ascii="微软雅黑" w:hAnsi="微软雅黑" w:eastAsia="微软雅黑" w:cs="微软雅黑"/>
          <w:spacing w:val="7"/>
          <w:w w:val="99"/>
          <w:sz w:val="24"/>
          <w:szCs w:val="24"/>
          <w:highlight w:val="none"/>
          <w:u w:val="none"/>
        </w:rPr>
        <w:t>；</w:t>
      </w:r>
      <w:r>
        <w:rPr>
          <w:rFonts w:hint="eastAsia" w:ascii="微软雅黑" w:hAnsi="微软雅黑" w:eastAsia="微软雅黑" w:cs="微软雅黑"/>
          <w:spacing w:val="5"/>
          <w:w w:val="99"/>
          <w:sz w:val="24"/>
          <w:szCs w:val="24"/>
          <w:highlight w:val="none"/>
          <w:u w:val="none"/>
          <w:lang w:val="en-US" w:eastAsia="zh-CN"/>
        </w:rPr>
        <w:t>承接企业</w:t>
      </w:r>
      <w:r>
        <w:rPr>
          <w:rFonts w:hint="eastAsia" w:ascii="微软雅黑" w:hAnsi="微软雅黑" w:eastAsia="微软雅黑" w:cs="微软雅黑"/>
          <w:spacing w:val="-10"/>
          <w:w w:val="99"/>
          <w:sz w:val="24"/>
          <w:szCs w:val="24"/>
          <w:highlight w:val="none"/>
          <w:u w:val="none"/>
        </w:rPr>
        <w:t>为</w:t>
      </w:r>
      <w:r>
        <w:rPr>
          <w:rFonts w:hint="eastAsia" w:ascii="微软雅黑" w:hAnsi="微软雅黑" w:eastAsia="微软雅黑" w:cs="微软雅黑"/>
          <w:spacing w:val="5"/>
          <w:w w:val="95"/>
          <w:sz w:val="24"/>
          <w:szCs w:val="24"/>
          <w:highlight w:val="none"/>
          <w:u w:val="single"/>
          <w:lang w:val="zh-CN" w:eastAsia="zh-CN" w:bidi="zh-CN"/>
        </w:rPr>
        <w:t>（企业名称）</w:t>
      </w:r>
      <w:r>
        <w:rPr>
          <w:rFonts w:hint="eastAsia" w:ascii="微软雅黑" w:hAnsi="微软雅黑" w:eastAsia="微软雅黑" w:cs="微软雅黑"/>
          <w:spacing w:val="5"/>
          <w:w w:val="95"/>
          <w:sz w:val="24"/>
          <w:szCs w:val="24"/>
          <w:highlight w:val="none"/>
          <w:u w:val="none" w:color="auto"/>
          <w:lang w:val="zh-CN" w:eastAsia="zh-CN" w:bidi="zh-CN"/>
        </w:rPr>
        <w:t>，</w:t>
      </w:r>
      <w:r>
        <w:rPr>
          <w:rFonts w:hint="eastAsia" w:ascii="微软雅黑" w:hAnsi="微软雅黑" w:eastAsia="微软雅黑" w:cs="微软雅黑"/>
          <w:spacing w:val="5"/>
          <w:w w:val="99"/>
          <w:sz w:val="24"/>
          <w:szCs w:val="24"/>
          <w:highlight w:val="none"/>
          <w:u w:val="none"/>
        </w:rPr>
        <w:t>从</w:t>
      </w:r>
      <w:r>
        <w:rPr>
          <w:rFonts w:hint="eastAsia" w:ascii="微软雅黑" w:hAnsi="微软雅黑" w:eastAsia="微软雅黑" w:cs="微软雅黑"/>
          <w:spacing w:val="7"/>
          <w:w w:val="99"/>
          <w:sz w:val="24"/>
          <w:szCs w:val="24"/>
          <w:highlight w:val="none"/>
          <w:u w:val="none"/>
        </w:rPr>
        <w:t>业</w:t>
      </w:r>
      <w:r>
        <w:rPr>
          <w:rFonts w:hint="eastAsia" w:ascii="微软雅黑" w:hAnsi="微软雅黑" w:eastAsia="微软雅黑" w:cs="微软雅黑"/>
          <w:spacing w:val="5"/>
          <w:w w:val="99"/>
          <w:sz w:val="24"/>
          <w:szCs w:val="24"/>
          <w:highlight w:val="none"/>
          <w:u w:val="none"/>
        </w:rPr>
        <w:t>人</w:t>
      </w:r>
      <w:r>
        <w:rPr>
          <w:rFonts w:hint="eastAsia" w:ascii="微软雅黑" w:hAnsi="微软雅黑" w:eastAsia="微软雅黑" w:cs="微软雅黑"/>
          <w:spacing w:val="4"/>
          <w:w w:val="99"/>
          <w:sz w:val="24"/>
          <w:szCs w:val="24"/>
          <w:highlight w:val="none"/>
          <w:u w:val="none"/>
        </w:rPr>
        <w:t>员</w:t>
      </w:r>
      <w:r>
        <w:rPr>
          <w:rFonts w:hint="eastAsia" w:ascii="微软雅黑" w:hAnsi="微软雅黑" w:eastAsia="微软雅黑" w:cs="微软雅黑"/>
          <w:spacing w:val="4"/>
          <w:w w:val="99"/>
          <w:sz w:val="24"/>
          <w:szCs w:val="24"/>
          <w:highlight w:val="none"/>
          <w:u w:val="single"/>
          <w:lang w:val="en-US" w:eastAsia="zh-CN"/>
        </w:rPr>
        <w:t xml:space="preserve">      </w:t>
      </w:r>
      <w:r>
        <w:rPr>
          <w:rFonts w:hint="eastAsia" w:ascii="微软雅黑" w:hAnsi="微软雅黑" w:eastAsia="微软雅黑" w:cs="微软雅黑"/>
          <w:spacing w:val="7"/>
          <w:w w:val="99"/>
          <w:sz w:val="24"/>
          <w:szCs w:val="24"/>
          <w:highlight w:val="none"/>
          <w:u w:val="none"/>
        </w:rPr>
        <w:t>人</w:t>
      </w:r>
      <w:r>
        <w:rPr>
          <w:rFonts w:hint="eastAsia" w:ascii="微软雅黑" w:hAnsi="微软雅黑" w:eastAsia="微软雅黑" w:cs="微软雅黑"/>
          <w:spacing w:val="5"/>
          <w:w w:val="99"/>
          <w:sz w:val="24"/>
          <w:szCs w:val="24"/>
          <w:highlight w:val="none"/>
          <w:u w:val="none"/>
        </w:rPr>
        <w:t>，</w:t>
      </w:r>
      <w:r>
        <w:rPr>
          <w:rFonts w:hint="eastAsia" w:ascii="微软雅黑" w:hAnsi="微软雅黑" w:eastAsia="微软雅黑" w:cs="微软雅黑"/>
          <w:spacing w:val="7"/>
          <w:w w:val="99"/>
          <w:sz w:val="24"/>
          <w:szCs w:val="24"/>
          <w:highlight w:val="none"/>
          <w:u w:val="none"/>
        </w:rPr>
        <w:t>营</w:t>
      </w:r>
      <w:r>
        <w:rPr>
          <w:rFonts w:hint="eastAsia" w:ascii="微软雅黑" w:hAnsi="微软雅黑" w:eastAsia="微软雅黑" w:cs="微软雅黑"/>
          <w:spacing w:val="5"/>
          <w:w w:val="99"/>
          <w:sz w:val="24"/>
          <w:szCs w:val="24"/>
          <w:highlight w:val="none"/>
          <w:u w:val="none"/>
        </w:rPr>
        <w:t>业</w:t>
      </w:r>
      <w:r>
        <w:rPr>
          <w:rFonts w:hint="eastAsia" w:ascii="微软雅黑" w:hAnsi="微软雅黑" w:eastAsia="微软雅黑" w:cs="微软雅黑"/>
          <w:spacing w:val="7"/>
          <w:w w:val="99"/>
          <w:sz w:val="24"/>
          <w:szCs w:val="24"/>
          <w:highlight w:val="none"/>
          <w:u w:val="none"/>
        </w:rPr>
        <w:t>收入为</w:t>
      </w:r>
      <w:r>
        <w:rPr>
          <w:rFonts w:hint="eastAsia" w:ascii="微软雅黑" w:hAnsi="微软雅黑" w:eastAsia="微软雅黑" w:cs="微软雅黑"/>
          <w:spacing w:val="4"/>
          <w:w w:val="99"/>
          <w:sz w:val="24"/>
          <w:szCs w:val="24"/>
          <w:highlight w:val="none"/>
          <w:u w:val="single"/>
          <w:lang w:val="en-US" w:eastAsia="zh-CN"/>
        </w:rPr>
        <w:t xml:space="preserve">      </w:t>
      </w:r>
      <w:r>
        <w:rPr>
          <w:rFonts w:hint="eastAsia" w:ascii="微软雅黑" w:hAnsi="微软雅黑" w:eastAsia="微软雅黑" w:cs="微软雅黑"/>
          <w:sz w:val="24"/>
          <w:szCs w:val="24"/>
          <w:highlight w:val="none"/>
          <w:u w:val="none"/>
        </w:rPr>
        <w:t>万元</w:t>
      </w:r>
      <w:r>
        <w:rPr>
          <w:rFonts w:hint="eastAsia" w:ascii="微软雅黑" w:hAnsi="微软雅黑" w:eastAsia="微软雅黑" w:cs="微软雅黑"/>
          <w:spacing w:val="-22"/>
          <w:sz w:val="24"/>
          <w:szCs w:val="24"/>
          <w:highlight w:val="none"/>
          <w:u w:val="none"/>
        </w:rPr>
        <w:t>，</w:t>
      </w:r>
      <w:r>
        <w:rPr>
          <w:rFonts w:hint="eastAsia" w:ascii="微软雅黑" w:hAnsi="微软雅黑" w:eastAsia="微软雅黑" w:cs="微软雅黑"/>
          <w:sz w:val="24"/>
          <w:szCs w:val="24"/>
          <w:highlight w:val="none"/>
          <w:u w:val="none"/>
        </w:rPr>
        <w:t>资产总额为</w:t>
      </w:r>
      <w:r>
        <w:rPr>
          <w:rFonts w:hint="eastAsia" w:ascii="微软雅黑" w:hAnsi="微软雅黑" w:eastAsia="微软雅黑" w:cs="微软雅黑"/>
          <w:spacing w:val="4"/>
          <w:w w:val="99"/>
          <w:sz w:val="24"/>
          <w:szCs w:val="24"/>
          <w:highlight w:val="none"/>
          <w:u w:val="single"/>
          <w:lang w:val="en-US" w:eastAsia="zh-CN"/>
        </w:rPr>
        <w:t xml:space="preserve">      </w:t>
      </w:r>
      <w:r>
        <w:rPr>
          <w:rFonts w:hint="eastAsia" w:ascii="微软雅黑" w:hAnsi="微软雅黑" w:eastAsia="微软雅黑" w:cs="微软雅黑"/>
          <w:w w:val="95"/>
          <w:sz w:val="24"/>
          <w:szCs w:val="24"/>
          <w:highlight w:val="none"/>
          <w:u w:val="none"/>
        </w:rPr>
        <w:t>万元</w:t>
      </w:r>
      <w:r>
        <w:rPr>
          <w:rFonts w:hint="eastAsia" w:ascii="微软雅黑" w:hAnsi="微软雅黑" w:eastAsia="微软雅黑" w:cs="微软雅黑"/>
          <w:spacing w:val="-12"/>
          <w:w w:val="95"/>
          <w:sz w:val="24"/>
          <w:szCs w:val="24"/>
          <w:highlight w:val="none"/>
          <w:u w:val="none"/>
        </w:rPr>
        <w:t>，</w:t>
      </w:r>
      <w:r>
        <w:rPr>
          <w:rFonts w:hint="eastAsia" w:ascii="微软雅黑" w:hAnsi="微软雅黑" w:eastAsia="微软雅黑" w:cs="微软雅黑"/>
          <w:spacing w:val="5"/>
          <w:w w:val="95"/>
          <w:sz w:val="24"/>
          <w:szCs w:val="24"/>
          <w:highlight w:val="none"/>
          <w:u w:val="none"/>
          <w:lang w:val="zh-CN" w:eastAsia="zh-CN" w:bidi="zh-CN"/>
        </w:rPr>
        <w:t>属于</w:t>
      </w:r>
      <w:r>
        <w:rPr>
          <w:rFonts w:hint="eastAsia" w:ascii="微软雅黑" w:hAnsi="微软雅黑" w:eastAsia="微软雅黑" w:cs="微软雅黑"/>
          <w:spacing w:val="5"/>
          <w:w w:val="95"/>
          <w:sz w:val="24"/>
          <w:szCs w:val="24"/>
          <w:highlight w:val="none"/>
          <w:u w:val="single"/>
          <w:lang w:val="zh-CN" w:eastAsia="zh-CN" w:bidi="zh-CN"/>
        </w:rPr>
        <w:t>（中型企业、小型企业、微型企业）</w:t>
      </w:r>
      <w:r>
        <w:rPr>
          <w:rFonts w:hint="eastAsia" w:ascii="微软雅黑" w:hAnsi="微软雅黑" w:eastAsia="微软雅黑" w:cs="微软雅黑"/>
          <w:spacing w:val="5"/>
          <w:w w:val="95"/>
          <w:sz w:val="24"/>
          <w:szCs w:val="24"/>
          <w:highlight w:val="none"/>
          <w:u w:val="none" w:color="auto"/>
          <w:lang w:val="zh-CN" w:eastAsia="zh-CN" w:bidi="zh-CN"/>
        </w:rPr>
        <w:t>；</w:t>
      </w:r>
    </w:p>
    <w:p>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spacing w:val="5"/>
          <w:w w:val="95"/>
          <w:sz w:val="24"/>
          <w:szCs w:val="24"/>
          <w:highlight w:val="none"/>
          <w:u w:val="none"/>
          <w:lang w:val="en-US" w:eastAsia="zh-CN" w:bidi="zh-CN"/>
        </w:rPr>
      </w:pPr>
      <w:r>
        <w:rPr>
          <w:rFonts w:hint="eastAsia" w:ascii="微软雅黑" w:hAnsi="微软雅黑" w:eastAsia="微软雅黑" w:cs="微软雅黑"/>
          <w:spacing w:val="5"/>
          <w:w w:val="95"/>
          <w:sz w:val="24"/>
          <w:szCs w:val="24"/>
          <w:highlight w:val="none"/>
          <w:u w:val="none"/>
          <w:lang w:val="en-US" w:eastAsia="zh-CN" w:bidi="zh-CN"/>
        </w:rPr>
        <w:t>2.</w:t>
      </w:r>
      <w:r>
        <w:rPr>
          <w:rFonts w:hint="eastAsia" w:ascii="微软雅黑" w:hAnsi="微软雅黑" w:eastAsia="微软雅黑" w:cs="微软雅黑"/>
          <w:spacing w:val="5"/>
          <w:w w:val="95"/>
          <w:sz w:val="24"/>
          <w:szCs w:val="24"/>
          <w:highlight w:val="none"/>
          <w:u w:val="none"/>
          <w:lang w:val="zh-CN" w:eastAsia="zh-CN" w:bidi="zh-CN"/>
        </w:rPr>
        <w:t xml:space="preserve"> </w:t>
      </w:r>
      <w:r>
        <w:rPr>
          <w:rFonts w:hint="eastAsia" w:ascii="微软雅黑" w:hAnsi="微软雅黑" w:eastAsia="微软雅黑" w:cs="微软雅黑"/>
          <w:spacing w:val="5"/>
          <w:w w:val="95"/>
          <w:sz w:val="24"/>
          <w:szCs w:val="24"/>
          <w:highlight w:val="none"/>
          <w:u w:val="single"/>
          <w:lang w:val="zh-CN" w:eastAsia="zh-CN" w:bidi="zh-CN"/>
        </w:rPr>
        <w:t>（标的名称）</w:t>
      </w:r>
      <w:r>
        <w:rPr>
          <w:rFonts w:hint="eastAsia" w:ascii="微软雅黑" w:hAnsi="微软雅黑" w:eastAsia="微软雅黑" w:cs="微软雅黑"/>
          <w:i/>
          <w:sz w:val="24"/>
          <w:szCs w:val="24"/>
          <w:highlight w:val="none"/>
          <w:u w:val="none"/>
        </w:rPr>
        <w:t xml:space="preserve"> </w:t>
      </w:r>
      <w:r>
        <w:rPr>
          <w:rFonts w:hint="eastAsia" w:ascii="微软雅黑" w:hAnsi="微软雅黑" w:eastAsia="微软雅黑" w:cs="微软雅黑"/>
          <w:spacing w:val="-43"/>
          <w:sz w:val="24"/>
          <w:szCs w:val="24"/>
          <w:highlight w:val="none"/>
          <w:u w:val="none"/>
        </w:rPr>
        <w:t xml:space="preserve">， </w:t>
      </w:r>
      <w:r>
        <w:rPr>
          <w:rFonts w:hint="eastAsia" w:ascii="微软雅黑" w:hAnsi="微软雅黑" w:eastAsia="微软雅黑" w:cs="微软雅黑"/>
          <w:spacing w:val="7"/>
          <w:w w:val="99"/>
          <w:sz w:val="24"/>
          <w:szCs w:val="24"/>
          <w:highlight w:val="none"/>
          <w:u w:val="none"/>
          <w:lang w:val="zh-CN" w:eastAsia="zh-CN"/>
        </w:rPr>
        <w:t>属于</w:t>
      </w:r>
      <w:r>
        <w:rPr>
          <w:rFonts w:hint="eastAsia" w:ascii="微软雅黑" w:hAnsi="微软雅黑" w:eastAsia="微软雅黑" w:cs="微软雅黑"/>
          <w:spacing w:val="5"/>
          <w:w w:val="95"/>
          <w:sz w:val="24"/>
          <w:szCs w:val="24"/>
          <w:highlight w:val="none"/>
          <w:u w:val="single"/>
          <w:lang w:val="zh-CN" w:eastAsia="zh-CN" w:bidi="zh-CN"/>
        </w:rPr>
        <w:t>（采购文件中明确的所属行业）行业</w:t>
      </w:r>
      <w:r>
        <w:rPr>
          <w:rFonts w:hint="eastAsia" w:ascii="微软雅黑" w:hAnsi="微软雅黑" w:eastAsia="微软雅黑" w:cs="微软雅黑"/>
          <w:spacing w:val="7"/>
          <w:w w:val="99"/>
          <w:sz w:val="24"/>
          <w:szCs w:val="24"/>
          <w:highlight w:val="none"/>
          <w:u w:val="none"/>
        </w:rPr>
        <w:t>；</w:t>
      </w:r>
      <w:r>
        <w:rPr>
          <w:rFonts w:hint="eastAsia" w:ascii="微软雅黑" w:hAnsi="微软雅黑" w:eastAsia="微软雅黑" w:cs="微软雅黑"/>
          <w:spacing w:val="5"/>
          <w:w w:val="99"/>
          <w:sz w:val="24"/>
          <w:szCs w:val="24"/>
          <w:highlight w:val="none"/>
          <w:u w:val="none"/>
          <w:lang w:val="en-US" w:eastAsia="zh-CN"/>
        </w:rPr>
        <w:t>承接企业</w:t>
      </w:r>
      <w:r>
        <w:rPr>
          <w:rFonts w:hint="eastAsia" w:ascii="微软雅黑" w:hAnsi="微软雅黑" w:eastAsia="微软雅黑" w:cs="微软雅黑"/>
          <w:spacing w:val="-10"/>
          <w:w w:val="99"/>
          <w:sz w:val="24"/>
          <w:szCs w:val="24"/>
          <w:highlight w:val="none"/>
          <w:u w:val="none"/>
        </w:rPr>
        <w:t>为</w:t>
      </w:r>
      <w:r>
        <w:rPr>
          <w:rFonts w:hint="eastAsia" w:ascii="微软雅黑" w:hAnsi="微软雅黑" w:eastAsia="微软雅黑" w:cs="微软雅黑"/>
          <w:spacing w:val="5"/>
          <w:w w:val="95"/>
          <w:sz w:val="24"/>
          <w:szCs w:val="24"/>
          <w:highlight w:val="none"/>
          <w:u w:val="single"/>
          <w:lang w:val="zh-CN" w:eastAsia="zh-CN" w:bidi="zh-CN"/>
        </w:rPr>
        <w:t>（企业名称）</w:t>
      </w:r>
      <w:r>
        <w:rPr>
          <w:rFonts w:hint="eastAsia" w:ascii="微软雅黑" w:hAnsi="微软雅黑" w:eastAsia="微软雅黑" w:cs="微软雅黑"/>
          <w:spacing w:val="5"/>
          <w:w w:val="95"/>
          <w:sz w:val="24"/>
          <w:szCs w:val="24"/>
          <w:highlight w:val="none"/>
          <w:u w:val="none" w:color="auto"/>
          <w:lang w:val="zh-CN" w:eastAsia="zh-CN" w:bidi="zh-CN"/>
        </w:rPr>
        <w:t>，</w:t>
      </w:r>
      <w:r>
        <w:rPr>
          <w:rFonts w:hint="eastAsia" w:ascii="微软雅黑" w:hAnsi="微软雅黑" w:eastAsia="微软雅黑" w:cs="微软雅黑"/>
          <w:spacing w:val="5"/>
          <w:w w:val="99"/>
          <w:sz w:val="24"/>
          <w:szCs w:val="24"/>
          <w:highlight w:val="none"/>
          <w:u w:val="none"/>
        </w:rPr>
        <w:t>从</w:t>
      </w:r>
      <w:r>
        <w:rPr>
          <w:rFonts w:hint="eastAsia" w:ascii="微软雅黑" w:hAnsi="微软雅黑" w:eastAsia="微软雅黑" w:cs="微软雅黑"/>
          <w:spacing w:val="7"/>
          <w:w w:val="99"/>
          <w:sz w:val="24"/>
          <w:szCs w:val="24"/>
          <w:highlight w:val="none"/>
          <w:u w:val="none"/>
        </w:rPr>
        <w:t>业</w:t>
      </w:r>
      <w:r>
        <w:rPr>
          <w:rFonts w:hint="eastAsia" w:ascii="微软雅黑" w:hAnsi="微软雅黑" w:eastAsia="微软雅黑" w:cs="微软雅黑"/>
          <w:spacing w:val="5"/>
          <w:w w:val="99"/>
          <w:sz w:val="24"/>
          <w:szCs w:val="24"/>
          <w:highlight w:val="none"/>
          <w:u w:val="none"/>
        </w:rPr>
        <w:t>人</w:t>
      </w:r>
      <w:r>
        <w:rPr>
          <w:rFonts w:hint="eastAsia" w:ascii="微软雅黑" w:hAnsi="微软雅黑" w:eastAsia="微软雅黑" w:cs="微软雅黑"/>
          <w:spacing w:val="4"/>
          <w:w w:val="99"/>
          <w:sz w:val="24"/>
          <w:szCs w:val="24"/>
          <w:highlight w:val="none"/>
          <w:u w:val="none"/>
        </w:rPr>
        <w:t>员</w:t>
      </w:r>
      <w:r>
        <w:rPr>
          <w:rFonts w:hint="eastAsia" w:ascii="微软雅黑" w:hAnsi="微软雅黑" w:eastAsia="微软雅黑" w:cs="微软雅黑"/>
          <w:spacing w:val="4"/>
          <w:w w:val="99"/>
          <w:sz w:val="24"/>
          <w:szCs w:val="24"/>
          <w:highlight w:val="none"/>
          <w:u w:val="single"/>
          <w:lang w:val="en-US" w:eastAsia="zh-CN"/>
        </w:rPr>
        <w:t xml:space="preserve">      </w:t>
      </w:r>
      <w:r>
        <w:rPr>
          <w:rFonts w:hint="eastAsia" w:ascii="微软雅黑" w:hAnsi="微软雅黑" w:eastAsia="微软雅黑" w:cs="微软雅黑"/>
          <w:spacing w:val="7"/>
          <w:w w:val="99"/>
          <w:sz w:val="24"/>
          <w:szCs w:val="24"/>
          <w:highlight w:val="none"/>
          <w:u w:val="none"/>
        </w:rPr>
        <w:t>人</w:t>
      </w:r>
      <w:r>
        <w:rPr>
          <w:rFonts w:hint="eastAsia" w:ascii="微软雅黑" w:hAnsi="微软雅黑" w:eastAsia="微软雅黑" w:cs="微软雅黑"/>
          <w:spacing w:val="5"/>
          <w:w w:val="99"/>
          <w:sz w:val="24"/>
          <w:szCs w:val="24"/>
          <w:highlight w:val="none"/>
          <w:u w:val="none"/>
        </w:rPr>
        <w:t>，</w:t>
      </w:r>
      <w:r>
        <w:rPr>
          <w:rFonts w:hint="eastAsia" w:ascii="微软雅黑" w:hAnsi="微软雅黑" w:eastAsia="微软雅黑" w:cs="微软雅黑"/>
          <w:spacing w:val="7"/>
          <w:w w:val="99"/>
          <w:sz w:val="24"/>
          <w:szCs w:val="24"/>
          <w:highlight w:val="none"/>
          <w:u w:val="none"/>
        </w:rPr>
        <w:t>营</w:t>
      </w:r>
      <w:r>
        <w:rPr>
          <w:rFonts w:hint="eastAsia" w:ascii="微软雅黑" w:hAnsi="微软雅黑" w:eastAsia="微软雅黑" w:cs="微软雅黑"/>
          <w:spacing w:val="5"/>
          <w:w w:val="99"/>
          <w:sz w:val="24"/>
          <w:szCs w:val="24"/>
          <w:highlight w:val="none"/>
          <w:u w:val="none"/>
        </w:rPr>
        <w:t>业</w:t>
      </w:r>
      <w:r>
        <w:rPr>
          <w:rFonts w:hint="eastAsia" w:ascii="微软雅黑" w:hAnsi="微软雅黑" w:eastAsia="微软雅黑" w:cs="微软雅黑"/>
          <w:spacing w:val="7"/>
          <w:w w:val="99"/>
          <w:sz w:val="24"/>
          <w:szCs w:val="24"/>
          <w:highlight w:val="none"/>
          <w:u w:val="none"/>
        </w:rPr>
        <w:t>收入为</w:t>
      </w:r>
      <w:r>
        <w:rPr>
          <w:rFonts w:hint="eastAsia" w:ascii="微软雅黑" w:hAnsi="微软雅黑" w:eastAsia="微软雅黑" w:cs="微软雅黑"/>
          <w:spacing w:val="4"/>
          <w:w w:val="99"/>
          <w:sz w:val="24"/>
          <w:szCs w:val="24"/>
          <w:highlight w:val="none"/>
          <w:u w:val="single"/>
          <w:lang w:val="en-US" w:eastAsia="zh-CN"/>
        </w:rPr>
        <w:t xml:space="preserve">      </w:t>
      </w:r>
      <w:r>
        <w:rPr>
          <w:rFonts w:hint="eastAsia" w:ascii="微软雅黑" w:hAnsi="微软雅黑" w:eastAsia="微软雅黑" w:cs="微软雅黑"/>
          <w:sz w:val="24"/>
          <w:szCs w:val="24"/>
          <w:highlight w:val="none"/>
          <w:u w:val="none"/>
        </w:rPr>
        <w:t>万元</w:t>
      </w:r>
      <w:r>
        <w:rPr>
          <w:rFonts w:hint="eastAsia" w:ascii="微软雅黑" w:hAnsi="微软雅黑" w:eastAsia="微软雅黑" w:cs="微软雅黑"/>
          <w:spacing w:val="-22"/>
          <w:sz w:val="24"/>
          <w:szCs w:val="24"/>
          <w:highlight w:val="none"/>
          <w:u w:val="none"/>
        </w:rPr>
        <w:t>，</w:t>
      </w:r>
      <w:r>
        <w:rPr>
          <w:rFonts w:hint="eastAsia" w:ascii="微软雅黑" w:hAnsi="微软雅黑" w:eastAsia="微软雅黑" w:cs="微软雅黑"/>
          <w:sz w:val="24"/>
          <w:szCs w:val="24"/>
          <w:highlight w:val="none"/>
          <w:u w:val="none"/>
        </w:rPr>
        <w:t>资产总额为</w:t>
      </w:r>
      <w:r>
        <w:rPr>
          <w:rFonts w:hint="eastAsia" w:ascii="微软雅黑" w:hAnsi="微软雅黑" w:eastAsia="微软雅黑" w:cs="微软雅黑"/>
          <w:spacing w:val="4"/>
          <w:w w:val="99"/>
          <w:sz w:val="24"/>
          <w:szCs w:val="24"/>
          <w:highlight w:val="none"/>
          <w:u w:val="single"/>
          <w:lang w:val="en-US" w:eastAsia="zh-CN"/>
        </w:rPr>
        <w:t xml:space="preserve">      </w:t>
      </w:r>
      <w:r>
        <w:rPr>
          <w:rFonts w:hint="eastAsia" w:ascii="微软雅黑" w:hAnsi="微软雅黑" w:eastAsia="微软雅黑" w:cs="微软雅黑"/>
          <w:w w:val="95"/>
          <w:sz w:val="24"/>
          <w:szCs w:val="24"/>
          <w:highlight w:val="none"/>
          <w:u w:val="none"/>
        </w:rPr>
        <w:t>万元</w:t>
      </w:r>
      <w:r>
        <w:rPr>
          <w:rFonts w:hint="eastAsia" w:ascii="微软雅黑" w:hAnsi="微软雅黑" w:eastAsia="微软雅黑" w:cs="微软雅黑"/>
          <w:spacing w:val="-12"/>
          <w:w w:val="95"/>
          <w:sz w:val="24"/>
          <w:szCs w:val="24"/>
          <w:highlight w:val="none"/>
          <w:u w:val="none"/>
        </w:rPr>
        <w:t>，</w:t>
      </w:r>
      <w:r>
        <w:rPr>
          <w:rFonts w:hint="eastAsia" w:ascii="微软雅黑" w:hAnsi="微软雅黑" w:eastAsia="微软雅黑" w:cs="微软雅黑"/>
          <w:spacing w:val="5"/>
          <w:w w:val="95"/>
          <w:sz w:val="24"/>
          <w:szCs w:val="24"/>
          <w:highlight w:val="none"/>
          <w:u w:val="none"/>
          <w:lang w:val="zh-CN" w:eastAsia="zh-CN" w:bidi="zh-CN"/>
        </w:rPr>
        <w:t>属于</w:t>
      </w:r>
      <w:r>
        <w:rPr>
          <w:rFonts w:hint="eastAsia" w:ascii="微软雅黑" w:hAnsi="微软雅黑" w:eastAsia="微软雅黑" w:cs="微软雅黑"/>
          <w:spacing w:val="5"/>
          <w:w w:val="95"/>
          <w:sz w:val="24"/>
          <w:szCs w:val="24"/>
          <w:highlight w:val="none"/>
          <w:u w:val="single"/>
          <w:lang w:val="zh-CN" w:eastAsia="zh-CN" w:bidi="zh-CN"/>
        </w:rPr>
        <w:t>（中型企业、小型企业、微型企业）</w:t>
      </w:r>
      <w:r>
        <w:rPr>
          <w:rFonts w:hint="eastAsia" w:ascii="微软雅黑" w:hAnsi="微软雅黑" w:eastAsia="微软雅黑" w:cs="微软雅黑"/>
          <w:spacing w:val="5"/>
          <w:w w:val="95"/>
          <w:sz w:val="24"/>
          <w:szCs w:val="24"/>
          <w:highlight w:val="none"/>
          <w:u w:val="none"/>
          <w:lang w:val="zh-CN" w:eastAsia="zh-CN" w:bidi="zh-CN"/>
        </w:rPr>
        <w:t>；</w:t>
      </w:r>
    </w:p>
    <w:p>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spacing w:val="5"/>
          <w:w w:val="95"/>
          <w:sz w:val="24"/>
          <w:szCs w:val="24"/>
          <w:highlight w:val="none"/>
          <w:u w:val="none"/>
          <w:lang w:val="en-US" w:eastAsia="zh-CN" w:bidi="zh-CN"/>
        </w:rPr>
      </w:pPr>
      <w:r>
        <w:rPr>
          <w:rFonts w:hint="eastAsia" w:ascii="微软雅黑" w:hAnsi="微软雅黑" w:eastAsia="微软雅黑" w:cs="微软雅黑"/>
          <w:spacing w:val="5"/>
          <w:w w:val="95"/>
          <w:sz w:val="24"/>
          <w:szCs w:val="24"/>
          <w:highlight w:val="none"/>
          <w:u w:val="none"/>
          <w:lang w:val="en-US" w:eastAsia="zh-CN" w:bidi="zh-CN"/>
        </w:rPr>
        <w:t>……</w:t>
      </w:r>
    </w:p>
    <w:p>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spacing w:val="5"/>
          <w:w w:val="95"/>
          <w:sz w:val="24"/>
          <w:szCs w:val="24"/>
          <w:highlight w:val="none"/>
          <w:u w:val="none"/>
          <w:lang w:val="en-US" w:eastAsia="zh-CN" w:bidi="zh-CN"/>
        </w:rPr>
      </w:pPr>
      <w:r>
        <w:rPr>
          <w:rFonts w:hint="eastAsia" w:ascii="微软雅黑" w:hAnsi="微软雅黑" w:eastAsia="微软雅黑" w:cs="微软雅黑"/>
          <w:spacing w:val="5"/>
          <w:w w:val="95"/>
          <w:sz w:val="24"/>
          <w:szCs w:val="24"/>
          <w:highlight w:val="none"/>
          <w:u w:val="none"/>
          <w:lang w:val="en-US" w:eastAsia="zh-CN" w:bidi="zh-CN"/>
        </w:rPr>
        <w:t>以上企业，不属于大企业的分支机构，不存在控股股东为大企业的情形，也不存在与大企业的负责人为同一人的情形。</w:t>
      </w:r>
    </w:p>
    <w:p>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spacing w:val="5"/>
          <w:w w:val="95"/>
          <w:sz w:val="24"/>
          <w:szCs w:val="24"/>
          <w:highlight w:val="none"/>
          <w:u w:val="none"/>
          <w:lang w:val="en-US" w:eastAsia="zh-CN" w:bidi="zh-CN"/>
        </w:rPr>
      </w:pPr>
      <w:r>
        <w:rPr>
          <w:rFonts w:hint="eastAsia" w:ascii="微软雅黑" w:hAnsi="微软雅黑" w:eastAsia="微软雅黑" w:cs="微软雅黑"/>
          <w:spacing w:val="5"/>
          <w:w w:val="95"/>
          <w:sz w:val="24"/>
          <w:szCs w:val="24"/>
          <w:highlight w:val="none"/>
          <w:u w:val="none"/>
          <w:lang w:val="en-US" w:eastAsia="zh-CN" w:bidi="zh-CN"/>
        </w:rPr>
        <w:t>本企业对上述声明内容的真实性负责。如有虚假，将依法承担相应责任。</w:t>
      </w:r>
    </w:p>
    <w:p>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spacing w:val="5"/>
          <w:w w:val="95"/>
          <w:sz w:val="24"/>
          <w:szCs w:val="24"/>
          <w:highlight w:val="none"/>
          <w:u w:val="none"/>
          <w:lang w:val="en-US" w:eastAsia="zh-CN" w:bidi="zh-CN"/>
        </w:rPr>
      </w:pPr>
    </w:p>
    <w:p>
      <w:pPr>
        <w:pStyle w:val="85"/>
        <w:keepNext w:val="0"/>
        <w:keepLines w:val="0"/>
        <w:pageBreakBefore w:val="0"/>
        <w:widowControl w:val="0"/>
        <w:numPr>
          <w:ilvl w:val="0"/>
          <w:numId w:val="0"/>
        </w:numPr>
        <w:tabs>
          <w:tab w:val="left" w:pos="1183"/>
          <w:tab w:val="left" w:pos="1484"/>
          <w:tab w:val="left" w:pos="4662"/>
          <w:tab w:val="left" w:pos="6903"/>
        </w:tabs>
        <w:kinsoku/>
        <w:wordWrap/>
        <w:overflowPunct/>
        <w:topLinePunct w:val="0"/>
        <w:autoSpaceDE/>
        <w:autoSpaceDN/>
        <w:bidi w:val="0"/>
        <w:adjustRightInd/>
        <w:snapToGrid/>
        <w:spacing w:before="0" w:after="0" w:line="480" w:lineRule="exact"/>
        <w:ind w:leftChars="0" w:right="0" w:rightChars="0" w:firstLine="476" w:firstLineChars="200"/>
        <w:jc w:val="left"/>
        <w:textAlignment w:val="auto"/>
        <w:rPr>
          <w:rFonts w:hint="eastAsia" w:ascii="微软雅黑" w:hAnsi="微软雅黑" w:eastAsia="微软雅黑" w:cs="微软雅黑"/>
          <w:spacing w:val="5"/>
          <w:w w:val="95"/>
          <w:sz w:val="24"/>
          <w:szCs w:val="24"/>
          <w:highlight w:val="none"/>
          <w:u w:val="none"/>
          <w:lang w:val="en-US" w:eastAsia="zh-CN" w:bidi="zh-CN"/>
        </w:rPr>
      </w:pPr>
    </w:p>
    <w:p>
      <w:pPr>
        <w:pStyle w:val="85"/>
        <w:keepNext w:val="0"/>
        <w:keepLines w:val="0"/>
        <w:pageBreakBefore w:val="0"/>
        <w:widowControl w:val="0"/>
        <w:numPr>
          <w:ilvl w:val="0"/>
          <w:numId w:val="0"/>
        </w:numPr>
        <w:tabs>
          <w:tab w:val="left" w:pos="1183"/>
          <w:tab w:val="left" w:pos="1484"/>
          <w:tab w:val="left" w:pos="4662"/>
          <w:tab w:val="left" w:pos="6903"/>
        </w:tabs>
        <w:kinsoku/>
        <w:wordWrap w:val="0"/>
        <w:overflowPunct/>
        <w:topLinePunct w:val="0"/>
        <w:autoSpaceDE/>
        <w:autoSpaceDN/>
        <w:bidi w:val="0"/>
        <w:adjustRightInd/>
        <w:snapToGrid/>
        <w:spacing w:before="0" w:after="0" w:line="480" w:lineRule="exact"/>
        <w:ind w:leftChars="0" w:right="0" w:rightChars="0" w:firstLine="476" w:firstLineChars="200"/>
        <w:jc w:val="right"/>
        <w:textAlignment w:val="auto"/>
        <w:rPr>
          <w:rFonts w:hint="default" w:ascii="宋体" w:hAnsi="宋体" w:eastAsia="宋体" w:cs="宋体"/>
          <w:spacing w:val="5"/>
          <w:w w:val="95"/>
          <w:sz w:val="24"/>
          <w:szCs w:val="24"/>
          <w:highlight w:val="none"/>
          <w:u w:val="none"/>
          <w:lang w:val="en-US" w:eastAsia="zh-CN" w:bidi="zh-CN"/>
        </w:rPr>
      </w:pPr>
      <w:r>
        <w:rPr>
          <w:rFonts w:hint="eastAsia" w:ascii="微软雅黑" w:hAnsi="微软雅黑" w:eastAsia="微软雅黑" w:cs="微软雅黑"/>
          <w:spacing w:val="5"/>
          <w:w w:val="95"/>
          <w:sz w:val="24"/>
          <w:szCs w:val="24"/>
          <w:highlight w:val="none"/>
          <w:u w:val="none"/>
          <w:lang w:val="en-US" w:eastAsia="zh-CN" w:bidi="zh-CN"/>
        </w:rPr>
        <w:t xml:space="preserve">企业名称（盖章）：   </w:t>
      </w:r>
      <w:r>
        <w:rPr>
          <w:rFonts w:hint="eastAsia" w:ascii="宋体" w:hAnsi="宋体" w:cs="宋体"/>
          <w:spacing w:val="5"/>
          <w:w w:val="95"/>
          <w:sz w:val="24"/>
          <w:szCs w:val="24"/>
          <w:highlight w:val="none"/>
          <w:u w:val="none"/>
          <w:lang w:val="en-US" w:eastAsia="zh-CN" w:bidi="zh-CN"/>
        </w:rPr>
        <w:t xml:space="preserve">     </w:t>
      </w:r>
    </w:p>
    <w:p>
      <w:pPr>
        <w:pStyle w:val="23"/>
        <w:spacing w:line="500" w:lineRule="exact"/>
        <w:jc w:val="center"/>
        <w:rPr>
          <w:rFonts w:ascii="微软雅黑" w:hAnsi="微软雅黑" w:eastAsia="微软雅黑" w:cs="微软雅黑"/>
          <w:color w:val="auto"/>
          <w:sz w:val="24"/>
          <w:highlight w:val="none"/>
        </w:rPr>
      </w:pPr>
      <w:r>
        <w:rPr>
          <w:rFonts w:hint="eastAsia" w:ascii="宋体" w:hAnsi="宋体" w:eastAsia="宋体" w:cs="宋体"/>
          <w:spacing w:val="5"/>
          <w:w w:val="95"/>
          <w:sz w:val="24"/>
          <w:szCs w:val="24"/>
          <w:highlight w:val="none"/>
          <w:u w:val="none"/>
          <w:lang w:val="en-US" w:eastAsia="zh-CN" w:bidi="zh-CN"/>
        </w:rPr>
        <w:t xml:space="preserve">                      日期：</w:t>
      </w:r>
      <w:r>
        <w:rPr>
          <w:rFonts w:hint="eastAsia" w:ascii="宋体" w:hAnsi="宋体" w:cs="宋体"/>
          <w:spacing w:val="5"/>
          <w:w w:val="95"/>
          <w:sz w:val="24"/>
          <w:szCs w:val="24"/>
          <w:highlight w:val="none"/>
          <w:u w:val="none"/>
          <w:lang w:val="en-US" w:eastAsia="zh-CN" w:bidi="zh-CN"/>
        </w:rPr>
        <w:t xml:space="preserve">      </w:t>
      </w:r>
    </w:p>
    <w:p>
      <w:pPr>
        <w:rPr>
          <w:rFonts w:hint="eastAsia" w:ascii="微软雅黑" w:hAnsi="微软雅黑" w:eastAsia="微软雅黑" w:cs="微软雅黑"/>
          <w:b/>
          <w:bCs/>
          <w:color w:val="auto"/>
          <w:sz w:val="24"/>
          <w:highlight w:val="none"/>
          <w:lang w:eastAsia="zh-CN"/>
        </w:rPr>
      </w:pPr>
      <w:r>
        <w:rPr>
          <w:rFonts w:hint="eastAsia" w:ascii="微软雅黑" w:hAnsi="微软雅黑" w:eastAsia="微软雅黑" w:cs="微软雅黑"/>
          <w:b/>
          <w:bCs/>
          <w:color w:val="auto"/>
          <w:sz w:val="24"/>
          <w:highlight w:val="none"/>
        </w:rPr>
        <w:t>注：</w:t>
      </w:r>
    </w:p>
    <w:p>
      <w:pPr>
        <w:rPr>
          <w:rFonts w:ascii="微软雅黑" w:hAnsi="微软雅黑" w:eastAsia="微软雅黑" w:cs="微软雅黑"/>
          <w:b/>
          <w:bCs/>
          <w:color w:val="auto"/>
          <w:kern w:val="0"/>
          <w:sz w:val="24"/>
          <w:highlight w:val="none"/>
        </w:rPr>
      </w:pPr>
      <w:r>
        <w:rPr>
          <w:rFonts w:hint="eastAsia" w:ascii="微软雅黑" w:hAnsi="微软雅黑" w:eastAsia="微软雅黑" w:cs="微软雅黑"/>
          <w:b/>
          <w:bCs/>
          <w:color w:val="auto"/>
          <w:sz w:val="24"/>
          <w:highlight w:val="none"/>
        </w:rPr>
        <w:t>潜在投标企业属于中小微企业的，请在投标文件中提供“中小企业声明函”，如果未提供或提供虚假的“中小企业声明函”，投标企业将承担由此造成的一切不利后果。</w:t>
      </w:r>
    </w:p>
    <w:p>
      <w:pPr>
        <w:pStyle w:val="23"/>
        <w:rPr>
          <w:rFonts w:hint="eastAsia" w:ascii="宋体" w:hAnsi="宋体" w:eastAsia="宋体" w:cs="宋体"/>
          <w:b/>
          <w:bCs/>
          <w:color w:val="auto"/>
          <w:kern w:val="0"/>
          <w:sz w:val="21"/>
          <w:szCs w:val="21"/>
          <w:highlight w:val="none"/>
          <w:lang w:val="en-US" w:eastAsia="zh-CN"/>
        </w:rPr>
      </w:pPr>
    </w:p>
    <w:p>
      <w:pPr>
        <w:rPr>
          <w:rFonts w:hint="eastAsia" w:ascii="微软雅黑" w:hAnsi="微软雅黑" w:eastAsia="微软雅黑" w:cs="微软雅黑"/>
          <w:b/>
          <w:bCs/>
          <w:color w:val="auto"/>
          <w:kern w:val="0"/>
          <w:sz w:val="24"/>
          <w:szCs w:val="24"/>
          <w:highlight w:val="none"/>
        </w:rPr>
      </w:pPr>
      <w:r>
        <w:rPr>
          <w:rFonts w:hint="eastAsia" w:ascii="微软雅黑" w:hAnsi="微软雅黑" w:eastAsia="微软雅黑" w:cs="微软雅黑"/>
          <w:b/>
          <w:bCs/>
          <w:color w:val="auto"/>
          <w:kern w:val="0"/>
          <w:sz w:val="24"/>
          <w:szCs w:val="24"/>
          <w:highlight w:val="none"/>
        </w:rPr>
        <w:br w:type="page"/>
      </w:r>
    </w:p>
    <w:p>
      <w:pPr>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附：</w:t>
      </w:r>
    </w:p>
    <w:p>
      <w:pP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中小微企业划型标准</w:t>
      </w:r>
    </w:p>
    <w:tbl>
      <w:tblPr>
        <w:tblStyle w:val="30"/>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45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692"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08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100≤X＜2000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Y＜100</w:t>
            </w:r>
          </w:p>
        </w:tc>
      </w:tr>
      <w:tr>
        <w:tblPrEx>
          <w:tblCellMar>
            <w:top w:w="0" w:type="dxa"/>
            <w:left w:w="108" w:type="dxa"/>
            <w:bottom w:w="0" w:type="dxa"/>
            <w:right w:w="108" w:type="dxa"/>
          </w:tblCellMar>
        </w:tblPrEx>
        <w:trPr>
          <w:trHeight w:val="394"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X＜10</w:t>
            </w:r>
          </w:p>
        </w:tc>
      </w:tr>
      <w:tr>
        <w:tblPrEx>
          <w:tblCellMar>
            <w:top w:w="0" w:type="dxa"/>
            <w:left w:w="108" w:type="dxa"/>
            <w:bottom w:w="0" w:type="dxa"/>
            <w:right w:w="108" w:type="dxa"/>
          </w:tblCellMar>
        </w:tblPrEx>
        <w:trPr>
          <w:trHeight w:val="377"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50≤Y＜1000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tblPrEx>
          <w:tblCellMar>
            <w:top w:w="0" w:type="dxa"/>
            <w:left w:w="108" w:type="dxa"/>
            <w:bottom w:w="0" w:type="dxa"/>
            <w:right w:w="108" w:type="dxa"/>
          </w:tblCellMar>
        </w:tblPrEx>
        <w:trPr>
          <w:trHeight w:val="90"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pPr>
        <w:spacing w:line="360" w:lineRule="auto"/>
        <w:rPr>
          <w:rFonts w:hint="eastAsia" w:ascii="宋体" w:hAnsi="宋体" w:eastAsia="宋体" w:cs="宋体"/>
          <w:color w:val="auto"/>
          <w:sz w:val="24"/>
          <w:szCs w:val="24"/>
          <w:highlight w:val="none"/>
        </w:rPr>
      </w:pPr>
    </w:p>
    <w:p>
      <w:pPr>
        <w:snapToGrid w:val="0"/>
        <w:spacing w:line="336" w:lineRule="auto"/>
        <w:ind w:firstLine="482"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说明：</w:t>
      </w:r>
      <w:r>
        <w:rPr>
          <w:rFonts w:hint="eastAsia" w:ascii="宋体" w:hAnsi="宋体" w:eastAsia="宋体" w:cs="宋体"/>
          <w:color w:val="auto"/>
          <w:sz w:val="24"/>
          <w:szCs w:val="24"/>
          <w:highlight w:val="none"/>
        </w:rPr>
        <w:t>上述标准参照《关于印发中小企业划型标准规定的通知》（工信部联企业[2011]300号），大型、中型和小型企业须同时满足所列指标的下限，否则下划一档；微型企业只须满足所列指标中的一项即可。</w:t>
      </w:r>
    </w:p>
    <w:p>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所称中小企业，是指在中华人民共和国境内依法设立，依据国务院批准的</w:t>
      </w:r>
    </w:p>
    <w:p>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w:t>
      </w:r>
    </w:p>
    <w:p>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（1）在货物采购项目中，货物由中小企业制造，即货物由中小企业生产且使用该中小企业商号或者注册商标，不对其中涉及的工程承建商和服务的承接商作出要求；</w:t>
      </w:r>
    </w:p>
    <w:p>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（2）在工程采购项目中，工程由中小企业承建，即工程施工单位为中小企业，不对其中涉及的货物的制造商和服务的承接商作出要求；</w:t>
      </w:r>
    </w:p>
    <w:p>
      <w:pPr>
        <w:snapToGrid w:val="0"/>
        <w:spacing w:line="336"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（3）在服务采购项目中，服务由中小企业承接，即提供服务的人员为中小企业依照《中华人民共和国劳动合同法》订立劳动合同的从业人员，不对其中涉及的货物的制造商和工程承建商作出要求。</w:t>
      </w:r>
    </w:p>
    <w:p>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在货物采购项目中，供应商提供的货物既有中小企业制造货物，也有大型企业制造货物的，不享受本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规定的中小企业扶持政策。以联合体形式参加政府采购活动，联合体各方均为中小企业的，联合体视同中小企业。其中，联合体各方均为小微企业的，联合体视同小微企业。</w:t>
      </w:r>
    </w:p>
    <w:p>
      <w:pPr>
        <w:snapToGrid w:val="0"/>
        <w:spacing w:line="336" w:lineRule="auto"/>
        <w:ind w:firstLine="480" w:firstLineChars="200"/>
        <w:contextualSpacing/>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依据本</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规定享受扶持政策获得政府采购合同的，小微企业不得将合同分包给大中型企业，中型企业不得将合同分包给大型企业。</w:t>
      </w:r>
    </w:p>
    <w:p>
      <w:pPr>
        <w:pStyle w:val="23"/>
        <w:rPr>
          <w:rFonts w:hint="eastAsia" w:ascii="宋体" w:hAnsi="宋体" w:eastAsia="宋体" w:cs="宋体"/>
          <w:b/>
          <w:bCs/>
          <w:color w:val="auto"/>
          <w:kern w:val="0"/>
          <w:sz w:val="21"/>
          <w:szCs w:val="21"/>
          <w:highlight w:val="none"/>
          <w:lang w:val="en-US" w:eastAsia="zh-CN"/>
        </w:rPr>
      </w:pPr>
    </w:p>
    <w:bookmarkEnd w:id="1175"/>
    <w:bookmarkEnd w:id="1176"/>
    <w:bookmarkEnd w:id="1177"/>
    <w:bookmarkEnd w:id="1178"/>
    <w:bookmarkEnd w:id="1179"/>
    <w:bookmarkEnd w:id="1180"/>
    <w:bookmarkEnd w:id="1181"/>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rPr>
          <w:rFonts w:hint="eastAsia" w:ascii="宋体" w:hAnsi="宋体" w:eastAsia="宋体" w:cs="宋体"/>
          <w:color w:val="auto"/>
          <w:sz w:val="28"/>
          <w:szCs w:val="28"/>
          <w:highlight w:val="none"/>
          <w:lang w:val="en-US" w:eastAsia="zh-CN"/>
        </w:rPr>
      </w:pPr>
      <w:bookmarkStart w:id="1182" w:name="_Toc2805"/>
      <w:bookmarkStart w:id="1183" w:name="_Toc4327"/>
      <w:r>
        <w:rPr>
          <w:rFonts w:hint="eastAsia" w:ascii="宋体" w:hAnsi="宋体" w:eastAsia="宋体" w:cs="宋体"/>
          <w:color w:val="auto"/>
          <w:sz w:val="28"/>
          <w:szCs w:val="28"/>
          <w:highlight w:val="none"/>
          <w:lang w:val="en-US" w:eastAsia="zh-CN"/>
        </w:rPr>
        <w:t>6-2 残疾人福利性单位声明函</w:t>
      </w:r>
      <w:bookmarkEnd w:id="1182"/>
      <w:bookmarkEnd w:id="1183"/>
    </w:p>
    <w:p>
      <w:pPr>
        <w:spacing w:line="400" w:lineRule="exact"/>
        <w:ind w:left="1080" w:leftChars="257" w:hanging="540"/>
        <w:jc w:val="center"/>
        <w:rPr>
          <w:rFonts w:hint="eastAsia" w:ascii="宋体" w:hAnsi="宋体" w:eastAsia="宋体" w:cs="宋体"/>
          <w:color w:val="auto"/>
          <w:kern w:val="0"/>
          <w:sz w:val="24"/>
          <w:highlight w:val="none"/>
        </w:rPr>
      </w:pPr>
    </w:p>
    <w:p>
      <w:pPr>
        <w:spacing w:line="400" w:lineRule="exact"/>
        <w:ind w:firstLine="567"/>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，或者提供其他残疾人福利性单位制造的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（不包括使用非残疾人福利性单位注册商标的</w:t>
      </w:r>
      <w:r>
        <w:rPr>
          <w:rFonts w:hint="eastAsia" w:ascii="宋体" w:hAnsi="宋体" w:eastAsia="宋体" w:cs="宋体"/>
          <w:color w:val="auto"/>
          <w:kern w:val="0"/>
          <w:sz w:val="24"/>
          <w:highlight w:val="none"/>
          <w:lang w:val="en-US" w:eastAsia="zh-CN"/>
        </w:rPr>
        <w:t>货物</w:t>
      </w:r>
      <w:r>
        <w:rPr>
          <w:rFonts w:hint="eastAsia" w:ascii="宋体" w:hAnsi="宋体" w:eastAsia="宋体" w:cs="宋体"/>
          <w:color w:val="auto"/>
          <w:kern w:val="0"/>
          <w:sz w:val="24"/>
          <w:highlight w:val="none"/>
        </w:rPr>
        <w:t>）。</w:t>
      </w:r>
    </w:p>
    <w:p>
      <w:pPr>
        <w:spacing w:line="400" w:lineRule="exact"/>
        <w:ind w:left="1080" w:leftChars="257" w:hanging="54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本单位对上述声明的真实性负责。如有虚假，将依法承担相应责任。</w:t>
      </w:r>
    </w:p>
    <w:p>
      <w:pPr>
        <w:spacing w:line="400" w:lineRule="exact"/>
        <w:ind w:left="1080" w:leftChars="257" w:hanging="54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残疾人福利性单位名称（公章）：______________</w:t>
      </w:r>
    </w:p>
    <w:p>
      <w:pPr>
        <w:spacing w:line="400" w:lineRule="exact"/>
        <w:ind w:left="1080" w:leftChars="257" w:hanging="540"/>
        <w:jc w:val="center"/>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color="FFFFFF"/>
        </w:rPr>
        <w:t xml:space="preserve">       </w:t>
      </w:r>
      <w:r>
        <w:rPr>
          <w:rFonts w:hint="eastAsia" w:ascii="宋体" w:hAnsi="宋体" w:eastAsia="宋体" w:cs="宋体"/>
          <w:color w:val="auto"/>
          <w:kern w:val="0"/>
          <w:sz w:val="24"/>
          <w:highlight w:val="none"/>
        </w:rPr>
        <w:t>日  期：_____________________________________________</w:t>
      </w:r>
    </w:p>
    <w:p>
      <w:pPr>
        <w:pStyle w:val="12"/>
        <w:spacing w:line="400" w:lineRule="exact"/>
        <w:ind w:firstLine="480"/>
        <w:rPr>
          <w:rFonts w:hint="eastAsia" w:ascii="宋体" w:hAnsi="宋体" w:eastAsia="宋体" w:cs="宋体"/>
          <w:color w:val="auto"/>
          <w:highlight w:val="none"/>
        </w:rPr>
      </w:pPr>
    </w:p>
    <w:p>
      <w:pPr>
        <w:pStyle w:val="12"/>
        <w:spacing w:line="400" w:lineRule="exact"/>
        <w:ind w:firstLine="480"/>
        <w:rPr>
          <w:rFonts w:hint="eastAsia" w:ascii="宋体" w:hAnsi="宋体" w:eastAsia="宋体" w:cs="宋体"/>
          <w:color w:val="auto"/>
          <w:highlight w:val="none"/>
        </w:rPr>
      </w:pPr>
    </w:p>
    <w:p>
      <w:pPr>
        <w:pStyle w:val="7"/>
        <w:rPr>
          <w:rFonts w:hint="eastAsia" w:ascii="宋体" w:hAnsi="宋体" w:eastAsia="宋体" w:cs="宋体"/>
          <w:color w:val="auto"/>
          <w:highlight w:val="none"/>
        </w:rPr>
      </w:pPr>
    </w:p>
    <w:p>
      <w:pPr>
        <w:pStyle w:val="8"/>
        <w:rPr>
          <w:rFonts w:hint="eastAsia" w:ascii="宋体" w:hAnsi="宋体" w:eastAsia="宋体" w:cs="宋体"/>
          <w:color w:val="auto"/>
          <w:highlight w:val="none"/>
        </w:rPr>
      </w:pPr>
    </w:p>
    <w:p>
      <w:pPr>
        <w:rPr>
          <w:rFonts w:hint="eastAsia"/>
          <w:color w:val="auto"/>
          <w:highlight w:val="none"/>
        </w:rPr>
      </w:pPr>
    </w:p>
    <w:p>
      <w:pPr>
        <w:pStyle w:val="8"/>
        <w:rPr>
          <w:rFonts w:hint="eastAsia" w:ascii="宋体" w:hAnsi="宋体" w:eastAsia="宋体" w:cs="宋体"/>
          <w:color w:val="auto"/>
          <w:highlight w:val="none"/>
        </w:rPr>
      </w:pPr>
    </w:p>
    <w:p>
      <w:pPr>
        <w:rPr>
          <w:rFonts w:hint="eastAsia"/>
          <w:color w:val="auto"/>
          <w:highlight w:val="none"/>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lang w:val="en-US" w:eastAsia="zh-CN"/>
        </w:rPr>
      </w:pPr>
      <w:bookmarkStart w:id="1184" w:name="_Toc19192"/>
      <w:bookmarkStart w:id="1185" w:name="_Toc5157"/>
      <w:r>
        <w:rPr>
          <w:rFonts w:hint="eastAsia" w:ascii="宋体" w:hAnsi="宋体" w:eastAsia="宋体" w:cs="宋体"/>
          <w:color w:val="auto"/>
          <w:sz w:val="28"/>
          <w:szCs w:val="28"/>
          <w:highlight w:val="none"/>
          <w:lang w:val="en-US" w:eastAsia="zh-CN"/>
        </w:rPr>
        <w:t>7.供应商关联单位的说明（格式自拟）</w:t>
      </w:r>
      <w:bookmarkEnd w:id="1184"/>
      <w:bookmarkEnd w:id="1185"/>
    </w:p>
    <w:p>
      <w:pPr>
        <w:pStyle w:val="7"/>
        <w:spacing w:line="400" w:lineRule="exact"/>
        <w:jc w:val="center"/>
        <w:rPr>
          <w:rFonts w:hint="eastAsia" w:ascii="宋体" w:hAnsi="宋体" w:eastAsia="宋体" w:cs="宋体"/>
          <w:color w:val="auto"/>
          <w:szCs w:val="24"/>
          <w:highlight w:val="none"/>
        </w:rPr>
      </w:pPr>
    </w:p>
    <w:p>
      <w:pPr>
        <w:pStyle w:val="7"/>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pPr>
        <w:pStyle w:val="7"/>
        <w:spacing w:line="400" w:lineRule="exact"/>
        <w:ind w:firstLine="960" w:firstLineChars="400"/>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（1）与供应商单位负责人为同一人的其他单位；</w:t>
      </w:r>
    </w:p>
    <w:p>
      <w:pPr>
        <w:pStyle w:val="7"/>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（2）与供应商存在直接控股、管理关系的其他单位。</w:t>
      </w:r>
    </w:p>
    <w:p>
      <w:pPr>
        <w:pStyle w:val="8"/>
        <w:rPr>
          <w:rFonts w:hint="eastAsia" w:ascii="宋体" w:hAnsi="宋体" w:eastAsia="宋体" w:cs="宋体"/>
          <w:color w:val="auto"/>
          <w:highlight w:val="none"/>
        </w:rPr>
      </w:pPr>
    </w:p>
    <w:p>
      <w:pPr>
        <w:pStyle w:val="23"/>
        <w:rPr>
          <w:rFonts w:hint="eastAsia" w:ascii="宋体" w:hAnsi="宋体" w:eastAsia="宋体" w:cs="宋体"/>
          <w:b/>
          <w:color w:val="auto"/>
          <w:kern w:val="0"/>
          <w:sz w:val="24"/>
          <w:highlight w:val="none"/>
        </w:rPr>
      </w:pPr>
    </w:p>
    <w:p>
      <w:pPr>
        <w:pStyle w:val="23"/>
        <w:rPr>
          <w:rFonts w:hint="eastAsia" w:ascii="宋体" w:hAnsi="宋体" w:eastAsia="宋体" w:cs="宋体"/>
          <w:b/>
          <w:color w:val="auto"/>
          <w:kern w:val="0"/>
          <w:sz w:val="24"/>
          <w:highlight w:val="none"/>
        </w:rPr>
      </w:pPr>
    </w:p>
    <w:p>
      <w:pPr>
        <w:pStyle w:val="23"/>
        <w:rPr>
          <w:rFonts w:hint="eastAsia" w:ascii="宋体" w:hAnsi="宋体" w:eastAsia="宋体" w:cs="宋体"/>
          <w:b/>
          <w:color w:val="auto"/>
          <w:kern w:val="0"/>
          <w:sz w:val="24"/>
          <w:highlight w:val="none"/>
        </w:rPr>
      </w:pPr>
    </w:p>
    <w:p>
      <w:pPr>
        <w:pStyle w:val="23"/>
        <w:rPr>
          <w:rFonts w:hint="eastAsia" w:ascii="宋体" w:hAnsi="宋体" w:eastAsia="宋体" w:cs="宋体"/>
          <w:b/>
          <w:color w:val="auto"/>
          <w:kern w:val="0"/>
          <w:sz w:val="24"/>
          <w:highlight w:val="none"/>
        </w:rPr>
      </w:pPr>
    </w:p>
    <w:p>
      <w:pPr>
        <w:pStyle w:val="23"/>
        <w:rPr>
          <w:rFonts w:hint="eastAsia" w:ascii="宋体" w:hAnsi="宋体" w:eastAsia="宋体" w:cs="宋体"/>
          <w:b/>
          <w:color w:val="auto"/>
          <w:kern w:val="0"/>
          <w:sz w:val="24"/>
          <w:highlight w:val="none"/>
        </w:rPr>
      </w:pPr>
    </w:p>
    <w:p>
      <w:pPr>
        <w:pStyle w:val="23"/>
        <w:rPr>
          <w:rFonts w:hint="eastAsia" w:ascii="宋体" w:hAnsi="宋体" w:eastAsia="宋体" w:cs="宋体"/>
          <w:b/>
          <w:color w:val="auto"/>
          <w:kern w:val="0"/>
          <w:sz w:val="24"/>
          <w:highlight w:val="none"/>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lang w:val="en-US" w:eastAsia="zh-CN"/>
        </w:rPr>
      </w:pPr>
      <w:bookmarkStart w:id="1186" w:name="_Toc10519"/>
      <w:bookmarkStart w:id="1187" w:name="_Toc29994"/>
      <w:r>
        <w:rPr>
          <w:rFonts w:hint="eastAsia" w:ascii="宋体" w:hAnsi="宋体" w:eastAsia="宋体" w:cs="宋体"/>
          <w:color w:val="auto"/>
          <w:sz w:val="28"/>
          <w:szCs w:val="28"/>
          <w:highlight w:val="none"/>
          <w:lang w:val="en-US" w:eastAsia="zh-CN"/>
        </w:rPr>
        <w:t>8.供应商可提供有利于投标的其他证明材料</w:t>
      </w:r>
      <w:bookmarkEnd w:id="1186"/>
      <w:bookmarkEnd w:id="1187"/>
    </w:p>
    <w:p>
      <w:pPr>
        <w:pStyle w:val="7"/>
        <w:ind w:left="0" w:leftChars="0" w:firstLine="0" w:firstLineChars="0"/>
        <w:rPr>
          <w:rFonts w:hint="eastAsia" w:ascii="宋体" w:hAnsi="宋体" w:eastAsia="宋体" w:cs="宋体"/>
          <w:color w:val="auto"/>
          <w:sz w:val="24"/>
          <w:highlight w:val="none"/>
        </w:rPr>
      </w:pPr>
    </w:p>
    <w:p>
      <w:pPr>
        <w:pStyle w:val="8"/>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pStyle w:val="4"/>
        <w:keepNext/>
        <w:keepLines/>
        <w:pageBreakBefore w:val="0"/>
        <w:widowControl w:val="0"/>
        <w:kinsoku/>
        <w:wordWrap/>
        <w:overflowPunct/>
        <w:topLinePunct w:val="0"/>
        <w:autoSpaceDE w:val="0"/>
        <w:autoSpaceDN w:val="0"/>
        <w:bidi w:val="0"/>
        <w:adjustRightInd w:val="0"/>
        <w:snapToGrid/>
        <w:spacing w:before="0" w:line="440" w:lineRule="exact"/>
        <w:jc w:val="left"/>
        <w:textAlignment w:val="auto"/>
        <w:outlineLvl w:val="1"/>
        <w:rPr>
          <w:rFonts w:hint="eastAsia" w:ascii="宋体" w:hAnsi="宋体" w:eastAsia="宋体" w:cs="宋体"/>
          <w:color w:val="auto"/>
          <w:sz w:val="28"/>
          <w:szCs w:val="28"/>
          <w:highlight w:val="none"/>
          <w:lang w:val="en-US" w:eastAsia="zh-CN"/>
        </w:rPr>
      </w:pPr>
      <w:bookmarkStart w:id="1188" w:name="_Toc11"/>
      <w:bookmarkStart w:id="1189" w:name="_Toc17398"/>
      <w:r>
        <w:rPr>
          <w:rFonts w:hint="eastAsia" w:ascii="宋体" w:hAnsi="宋体" w:eastAsia="宋体" w:cs="宋体"/>
          <w:color w:val="auto"/>
          <w:sz w:val="28"/>
          <w:szCs w:val="28"/>
          <w:highlight w:val="none"/>
          <w:lang w:val="en-US" w:eastAsia="zh-CN"/>
        </w:rPr>
        <w:t>9.投标文件格式范本</w:t>
      </w:r>
      <w:bookmarkEnd w:id="1188"/>
      <w:bookmarkEnd w:id="1189"/>
    </w:p>
    <w:tbl>
      <w:tblPr>
        <w:tblStyle w:val="30"/>
        <w:tblpPr w:leftFromText="180" w:rightFromText="180" w:vertAnchor="text" w:horzAnchor="page" w:tblpX="1380" w:tblpY="440"/>
        <w:tblOverlap w:val="never"/>
        <w:tblW w:w="912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2" w:hRule="atLeast"/>
        </w:trPr>
        <w:tc>
          <w:tcPr>
            <w:tcW w:w="9120" w:type="dxa"/>
            <w:shd w:val="clear" w:color="auto" w:fill="FCFEEA"/>
          </w:tcPr>
          <w:p>
            <w:pPr>
              <w:pStyle w:val="2"/>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w:t>
            </w:r>
          </w:p>
          <w:p>
            <w:pPr>
              <w:pStyle w:val="2"/>
              <w:ind w:firstLine="4216" w:firstLineChars="1500"/>
              <w:rPr>
                <w:rFonts w:hint="eastAsia" w:ascii="宋体" w:hAnsi="宋体" w:eastAsia="宋体" w:cs="宋体"/>
                <w:b/>
                <w:bCs/>
                <w:color w:val="auto"/>
                <w:sz w:val="28"/>
                <w:szCs w:val="28"/>
                <w:highlight w:val="none"/>
              </w:rPr>
            </w:pPr>
          </w:p>
          <w:p>
            <w:pPr>
              <w:pStyle w:val="2"/>
              <w:ind w:firstLine="4216" w:firstLineChars="1500"/>
              <w:rPr>
                <w:rFonts w:hint="eastAsia" w:ascii="宋体" w:hAnsi="宋体" w:eastAsia="宋体" w:cs="宋体"/>
                <w:b/>
                <w:bCs/>
                <w:color w:val="auto"/>
                <w:sz w:val="28"/>
                <w:szCs w:val="28"/>
                <w:highlight w:val="none"/>
              </w:rPr>
            </w:pPr>
          </w:p>
          <w:p>
            <w:pPr>
              <w:pStyle w:val="2"/>
              <w:rPr>
                <w:rFonts w:hint="eastAsia" w:ascii="宋体" w:hAnsi="宋体" w:eastAsia="宋体" w:cs="宋体"/>
                <w:b/>
                <w:bCs/>
                <w:color w:val="auto"/>
                <w:sz w:val="28"/>
                <w:szCs w:val="28"/>
                <w:highlight w:val="none"/>
              </w:rPr>
            </w:pPr>
          </w:p>
          <w:p>
            <w:pPr>
              <w:pStyle w:val="2"/>
              <w:ind w:firstLine="1897" w:firstLineChars="900"/>
              <w:rPr>
                <w:rFonts w:hint="eastAsia" w:ascii="宋体" w:hAnsi="宋体" w:eastAsia="宋体" w:cs="宋体"/>
                <w:b/>
                <w:bCs/>
                <w:color w:val="auto"/>
                <w:sz w:val="28"/>
                <w:szCs w:val="28"/>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8"/>
                <w:szCs w:val="28"/>
                <w:highlight w:val="none"/>
              </w:rPr>
              <w:t>项目</w:t>
            </w:r>
          </w:p>
          <w:p>
            <w:pPr>
              <w:pStyle w:val="2"/>
              <w:jc w:val="center"/>
              <w:rPr>
                <w:rFonts w:hint="eastAsia" w:ascii="宋体" w:hAnsi="宋体" w:eastAsia="宋体" w:cs="宋体"/>
                <w:b/>
                <w:bCs/>
                <w:color w:val="auto"/>
                <w:sz w:val="21"/>
                <w:szCs w:val="21"/>
                <w:highlight w:val="none"/>
              </w:rPr>
            </w:pPr>
          </w:p>
          <w:p>
            <w:pPr>
              <w:rPr>
                <w:rFonts w:hint="eastAsia"/>
                <w:color w:val="auto"/>
                <w:highlight w:val="none"/>
              </w:rPr>
            </w:pPr>
          </w:p>
          <w:p>
            <w:pPr>
              <w:pStyle w:val="2"/>
              <w:ind w:firstLine="2741" w:firstLineChars="1300"/>
              <w:rPr>
                <w:rFonts w:hint="eastAsia" w:ascii="宋体" w:hAnsi="宋体" w:eastAsia="宋体" w:cs="宋体"/>
                <w:b/>
                <w:bCs/>
                <w:color w:val="auto"/>
                <w:sz w:val="21"/>
                <w:szCs w:val="21"/>
                <w:highlight w:val="none"/>
                <w:lang w:val="en-US" w:eastAsia="zh-CN"/>
              </w:rPr>
            </w:pPr>
            <w:r>
              <w:rPr>
                <w:rFonts w:hint="eastAsia"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编号 ＊＊＊      包号：＊＊＊</w:t>
            </w:r>
          </w:p>
          <w:p>
            <w:pPr>
              <w:pStyle w:val="2"/>
              <w:jc w:val="center"/>
              <w:rPr>
                <w:rFonts w:hint="eastAsia" w:ascii="宋体" w:hAnsi="宋体" w:eastAsia="宋体" w:cs="宋体"/>
                <w:b/>
                <w:bCs/>
                <w:color w:val="auto"/>
                <w:sz w:val="48"/>
                <w:highlight w:val="none"/>
              </w:rPr>
            </w:pPr>
          </w:p>
          <w:p>
            <w:pPr>
              <w:pStyle w:val="2"/>
              <w:jc w:val="center"/>
              <w:rPr>
                <w:rFonts w:hint="eastAsia" w:ascii="宋体" w:hAnsi="宋体" w:eastAsia="宋体" w:cs="宋体"/>
                <w:b/>
                <w:bCs/>
                <w:color w:val="auto"/>
                <w:sz w:val="48"/>
                <w:highlight w:val="none"/>
              </w:rPr>
            </w:pPr>
            <w:r>
              <w:rPr>
                <w:rFonts w:hint="eastAsia" w:ascii="宋体" w:hAnsi="宋体" w:eastAsia="宋体" w:cs="宋体"/>
                <w:b/>
                <w:bCs/>
                <w:color w:val="auto"/>
                <w:sz w:val="48"/>
                <w:highlight w:val="none"/>
              </w:rPr>
              <w:t>投 标 文 件</w:t>
            </w:r>
          </w:p>
          <w:p>
            <w:pPr>
              <w:pStyle w:val="7"/>
              <w:ind w:firstLine="0"/>
              <w:rPr>
                <w:rFonts w:hint="eastAsia" w:ascii="宋体" w:hAnsi="宋体" w:eastAsia="宋体" w:cs="宋体"/>
                <w:b/>
                <w:color w:val="auto"/>
                <w:sz w:val="32"/>
                <w:highlight w:val="none"/>
              </w:rPr>
            </w:pPr>
          </w:p>
          <w:p>
            <w:pPr>
              <w:pStyle w:val="7"/>
              <w:rPr>
                <w:rFonts w:hint="eastAsia" w:ascii="宋体" w:hAnsi="宋体" w:eastAsia="宋体" w:cs="宋体"/>
                <w:b/>
                <w:color w:val="auto"/>
                <w:sz w:val="32"/>
                <w:highlight w:val="none"/>
              </w:rPr>
            </w:pPr>
          </w:p>
          <w:p>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应</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pPr>
              <w:spacing w:line="360" w:lineRule="auto"/>
              <w:ind w:left="176" w:leftChars="84" w:firstLine="1260" w:firstLineChars="600"/>
              <w:rPr>
                <w:rFonts w:hint="eastAsia" w:ascii="宋体" w:hAnsi="宋体" w:eastAsia="宋体" w:cs="宋体"/>
                <w:b/>
                <w:bCs/>
                <w:color w:val="auto"/>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pPr>
              <w:jc w:val="center"/>
              <w:rPr>
                <w:rFonts w:hint="eastAsia" w:ascii="宋体" w:hAnsi="宋体" w:eastAsia="宋体" w:cs="宋体"/>
                <w:b/>
                <w:bCs/>
                <w:color w:val="auto"/>
                <w:highlight w:val="none"/>
              </w:rPr>
            </w:pPr>
          </w:p>
          <w:p>
            <w:pPr>
              <w:pStyle w:val="7"/>
              <w:rPr>
                <w:rFonts w:hint="eastAsia" w:ascii="宋体" w:hAnsi="宋体" w:eastAsia="宋体" w:cs="宋体"/>
                <w:color w:val="auto"/>
                <w:highlight w:val="none"/>
              </w:rPr>
            </w:pPr>
          </w:p>
          <w:p>
            <w:pPr>
              <w:jc w:val="center"/>
              <w:rPr>
                <w:rFonts w:hint="eastAsia" w:ascii="宋体" w:hAnsi="宋体" w:eastAsia="宋体" w:cs="宋体"/>
                <w:b/>
                <w:bCs/>
                <w:color w:val="auto"/>
                <w:highlight w:val="none"/>
              </w:rPr>
            </w:pPr>
          </w:p>
          <w:p>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注：在202</w:t>
            </w:r>
            <w:r>
              <w:rPr>
                <w:rFonts w:hint="eastAsia" w:ascii="宋体" w:hAnsi="宋体" w:cs="宋体"/>
                <w:b/>
                <w:bCs/>
                <w:color w:val="auto"/>
                <w:highlight w:val="none"/>
                <w:lang w:val="en-US" w:eastAsia="zh-CN"/>
              </w:rPr>
              <w:t>3</w:t>
            </w:r>
            <w:r>
              <w:rPr>
                <w:rFonts w:hint="eastAsia" w:ascii="宋体" w:hAnsi="宋体" w:eastAsia="宋体" w:cs="宋体"/>
                <w:b/>
                <w:bCs/>
                <w:color w:val="auto"/>
                <w:highlight w:val="none"/>
              </w:rPr>
              <w:t>年</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月</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日</w:t>
            </w:r>
            <w:r>
              <w:rPr>
                <w:rFonts w:hint="eastAsia" w:ascii="宋体" w:hAnsi="宋体" w:eastAsia="宋体" w:cs="宋体"/>
                <w:b/>
                <w:bCs/>
                <w:color w:val="auto"/>
                <w:sz w:val="21"/>
                <w:szCs w:val="21"/>
                <w:highlight w:val="none"/>
              </w:rPr>
              <w:t>＊</w:t>
            </w:r>
            <w:r>
              <w:rPr>
                <w:rFonts w:hint="eastAsia" w:ascii="宋体" w:hAnsi="宋体" w:eastAsia="宋体" w:cs="宋体"/>
                <w:b/>
                <w:bCs/>
                <w:color w:val="auto"/>
                <w:highlight w:val="none"/>
              </w:rPr>
              <w:t>午</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时</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val="en-US" w:eastAsia="zh-CN"/>
              </w:rPr>
              <w:t>分</w:t>
            </w:r>
            <w:r>
              <w:rPr>
                <w:rFonts w:hint="eastAsia" w:ascii="宋体" w:hAnsi="宋体" w:eastAsia="宋体" w:cs="宋体"/>
                <w:b/>
                <w:bCs/>
                <w:color w:val="auto"/>
                <w:highlight w:val="none"/>
              </w:rPr>
              <w:t>之前不得启封</w:t>
            </w:r>
          </w:p>
          <w:p>
            <w:pPr>
              <w:jc w:val="center"/>
              <w:rPr>
                <w:rFonts w:hint="eastAsia" w:ascii="宋体" w:hAnsi="宋体" w:eastAsia="宋体" w:cs="宋体"/>
                <w:b/>
                <w:bCs/>
                <w:color w:val="auto"/>
                <w:highlight w:val="none"/>
              </w:rPr>
            </w:pPr>
          </w:p>
        </w:tc>
      </w:tr>
    </w:tbl>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rPr>
          <w:rFonts w:hint="eastAsia" w:ascii="宋体" w:hAnsi="宋体" w:eastAsia="宋体" w:cs="宋体"/>
          <w:b/>
          <w:color w:val="auto"/>
          <w:sz w:val="44"/>
          <w:szCs w:val="44"/>
          <w:highlight w:val="none"/>
        </w:rPr>
      </w:pPr>
    </w:p>
    <w:p>
      <w:pPr>
        <w:spacing w:line="240" w:lineRule="atLeast"/>
        <w:jc w:val="center"/>
        <w:outlineLvl w:val="9"/>
        <w:rPr>
          <w:rFonts w:hint="eastAsia" w:ascii="宋体" w:hAnsi="宋体" w:eastAsia="宋体" w:cs="宋体"/>
          <w:b/>
          <w:color w:val="auto"/>
          <w:sz w:val="44"/>
          <w:szCs w:val="44"/>
          <w:highlight w:val="none"/>
        </w:rPr>
      </w:pPr>
    </w:p>
    <w:p>
      <w:pPr>
        <w:pStyle w:val="8"/>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b/>
          <w:color w:val="auto"/>
          <w:sz w:val="44"/>
          <w:szCs w:val="44"/>
          <w:highlight w:val="none"/>
        </w:rPr>
      </w:pPr>
    </w:p>
    <w:p>
      <w:pPr>
        <w:outlineLvl w:val="9"/>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color w:val="auto"/>
          <w:highlight w:val="none"/>
        </w:rPr>
      </w:pPr>
    </w:p>
    <w:p>
      <w:pPr>
        <w:rPr>
          <w:rFonts w:hint="eastAsia"/>
          <w:color w:val="auto"/>
          <w:highlight w:val="none"/>
        </w:rPr>
      </w:pPr>
    </w:p>
    <w:p>
      <w:pPr>
        <w:pStyle w:val="2"/>
        <w:rPr>
          <w:rFonts w:hint="eastAsia"/>
        </w:rPr>
      </w:pPr>
    </w:p>
    <w:p>
      <w:pPr>
        <w:pStyle w:val="23"/>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360" w:lineRule="auto"/>
        <w:rPr>
          <w:rFonts w:hint="eastAsia" w:ascii="宋体" w:hAnsi="宋体" w:eastAsia="宋体" w:cs="宋体"/>
          <w:b/>
          <w:color w:val="auto"/>
          <w:sz w:val="40"/>
          <w:szCs w:val="40"/>
          <w:highlight w:val="none"/>
        </w:rPr>
      </w:pPr>
      <w:bookmarkStart w:id="1190" w:name="_Toc24900_WPSOffice_Level2"/>
    </w:p>
    <w:p>
      <w:pPr>
        <w:spacing w:line="240" w:lineRule="atLeast"/>
        <w:jc w:val="center"/>
        <w:rPr>
          <w:rFonts w:hint="default" w:ascii="宋体" w:hAnsi="宋体" w:eastAsia="宋体" w:cs="宋体"/>
          <w:b/>
          <w:color w:val="auto"/>
          <w:sz w:val="40"/>
          <w:szCs w:val="40"/>
          <w:highlight w:val="none"/>
          <w:lang w:val="en-US" w:eastAsia="zh-CN"/>
        </w:rPr>
      </w:pPr>
      <w:r>
        <w:rPr>
          <w:rFonts w:hint="eastAsia" w:ascii="宋体" w:hAnsi="宋体" w:eastAsia="宋体" w:cs="宋体"/>
          <w:b/>
          <w:color w:val="auto"/>
          <w:sz w:val="40"/>
          <w:szCs w:val="40"/>
          <w:highlight w:val="none"/>
        </w:rPr>
        <w:t>项目编号：</w:t>
      </w:r>
      <w:bookmarkEnd w:id="1190"/>
      <w:r>
        <w:rPr>
          <w:rFonts w:hint="eastAsia" w:ascii="宋体" w:hAnsi="宋体" w:cs="宋体"/>
          <w:b/>
          <w:color w:val="auto"/>
          <w:sz w:val="40"/>
          <w:szCs w:val="40"/>
          <w:highlight w:val="none"/>
          <w:lang w:val="en-US" w:eastAsia="zh-CN"/>
        </w:rPr>
        <w:t>XJFT(Z)2023-008</w:t>
      </w: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32"/>
          <w:highlight w:val="none"/>
        </w:rPr>
      </w:pPr>
    </w:p>
    <w:p>
      <w:pPr>
        <w:spacing w:line="240" w:lineRule="atLeast"/>
        <w:jc w:val="center"/>
        <w:rPr>
          <w:rFonts w:hint="eastAsia" w:ascii="宋体" w:hAnsi="宋体" w:eastAsia="宋体" w:cs="宋体"/>
          <w:b/>
          <w:color w:val="auto"/>
          <w:sz w:val="44"/>
          <w:szCs w:val="36"/>
          <w:highlight w:val="none"/>
        </w:rPr>
      </w:pPr>
      <w:r>
        <w:rPr>
          <w:rFonts w:hint="eastAsia" w:ascii="宋体" w:hAnsi="宋体" w:eastAsia="宋体" w:cs="宋体"/>
          <w:b/>
          <w:color w:val="auto"/>
          <w:sz w:val="44"/>
          <w:szCs w:val="36"/>
          <w:highlight w:val="none"/>
        </w:rPr>
        <w:t>第 二 册</w:t>
      </w:r>
    </w:p>
    <w:p>
      <w:pPr>
        <w:rPr>
          <w:rFonts w:hint="eastAsia" w:ascii="宋体" w:hAnsi="宋体" w:eastAsia="宋体" w:cs="宋体"/>
          <w:color w:val="auto"/>
          <w:sz w:val="44"/>
          <w:szCs w:val="36"/>
          <w:highlight w:val="none"/>
        </w:rPr>
      </w:pPr>
    </w:p>
    <w:p>
      <w:pPr>
        <w:pStyle w:val="7"/>
        <w:rPr>
          <w:rFonts w:hint="eastAsia" w:ascii="宋体" w:hAnsi="宋体" w:eastAsia="宋体" w:cs="宋体"/>
          <w:b/>
          <w:color w:val="auto"/>
          <w:sz w:val="44"/>
          <w:szCs w:val="36"/>
          <w:highlight w:val="none"/>
        </w:rPr>
      </w:pPr>
    </w:p>
    <w:p>
      <w:pPr>
        <w:pStyle w:val="8"/>
        <w:rPr>
          <w:rFonts w:hint="eastAsia" w:ascii="宋体" w:hAnsi="宋体" w:eastAsia="宋体" w:cs="宋体"/>
          <w:b/>
          <w:color w:val="auto"/>
          <w:sz w:val="44"/>
          <w:szCs w:val="36"/>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32"/>
          <w:highlight w:val="none"/>
        </w:rPr>
      </w:pPr>
    </w:p>
    <w:p>
      <w:pPr>
        <w:pStyle w:val="7"/>
        <w:rPr>
          <w:rFonts w:hint="eastAsia" w:ascii="宋体" w:hAnsi="宋体" w:eastAsia="宋体" w:cs="宋体"/>
          <w:b/>
          <w:color w:val="auto"/>
          <w:sz w:val="32"/>
          <w:highlight w:val="none"/>
        </w:rPr>
      </w:pPr>
    </w:p>
    <w:bookmarkEnd w:id="1063"/>
    <w:bookmarkEnd w:id="1064"/>
    <w:bookmarkEnd w:id="1065"/>
    <w:bookmarkEnd w:id="1066"/>
    <w:bookmarkEnd w:id="1109"/>
    <w:bookmarkEnd w:id="1110"/>
    <w:bookmarkEnd w:id="1111"/>
    <w:bookmarkEnd w:id="1112"/>
    <w:bookmarkEnd w:id="1113"/>
    <w:bookmarkEnd w:id="1114"/>
    <w:p>
      <w:pPr>
        <w:pStyle w:val="7"/>
        <w:ind w:left="0" w:leftChars="0" w:firstLine="0" w:firstLineChars="0"/>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Style w:val="43"/>
          <w:rFonts w:hint="eastAsia" w:ascii="宋体" w:hAnsi="宋体" w:eastAsia="宋体" w:cs="宋体"/>
          <w:color w:val="auto"/>
          <w:highlight w:val="none"/>
        </w:rPr>
      </w:pPr>
      <w:bookmarkStart w:id="1191" w:name="_Toc28765"/>
      <w:bookmarkStart w:id="1192" w:name="_Toc515647829"/>
      <w:bookmarkStart w:id="1193" w:name="_Toc16370"/>
      <w:bookmarkStart w:id="1194" w:name="_Toc29715"/>
      <w:bookmarkStart w:id="1195" w:name="_Toc507399902"/>
      <w:bookmarkStart w:id="1196" w:name="_Toc216582822"/>
      <w:bookmarkStart w:id="1197" w:name="_Toc218935350"/>
      <w:bookmarkStart w:id="1198" w:name="_Toc22081"/>
      <w:bookmarkStart w:id="1199" w:name="_Toc219175634"/>
      <w:r>
        <w:rPr>
          <w:rStyle w:val="43"/>
          <w:rFonts w:hint="eastAsia" w:ascii="宋体" w:hAnsi="宋体" w:eastAsia="宋体" w:cs="宋体"/>
          <w:color w:val="auto"/>
          <w:highlight w:val="none"/>
        </w:rPr>
        <w:br w:type="page"/>
      </w:r>
    </w:p>
    <w:p>
      <w:pPr>
        <w:widowControl/>
        <w:spacing w:line="440" w:lineRule="exact"/>
        <w:jc w:val="center"/>
        <w:outlineLvl w:val="0"/>
        <w:rPr>
          <w:rFonts w:hint="eastAsia" w:ascii="宋体" w:hAnsi="宋体" w:eastAsia="宋体" w:cs="宋体"/>
          <w:b/>
          <w:bCs/>
          <w:color w:val="auto"/>
          <w:kern w:val="0"/>
          <w:sz w:val="32"/>
          <w:szCs w:val="32"/>
          <w:highlight w:val="none"/>
          <w:lang w:val="en-US" w:eastAsia="zh-CN" w:bidi="ar-SA"/>
        </w:rPr>
      </w:pPr>
      <w:bookmarkStart w:id="1200" w:name="_Toc1297"/>
      <w:bookmarkStart w:id="1201" w:name="_Toc10889"/>
      <w:r>
        <w:rPr>
          <w:rFonts w:hint="eastAsia" w:ascii="宋体" w:hAnsi="宋体" w:eastAsia="宋体" w:cs="宋体"/>
          <w:b/>
          <w:bCs/>
          <w:color w:val="auto"/>
          <w:kern w:val="0"/>
          <w:sz w:val="32"/>
          <w:szCs w:val="32"/>
          <w:highlight w:val="none"/>
          <w:lang w:val="en-US" w:eastAsia="zh-CN" w:bidi="ar-SA"/>
        </w:rPr>
        <w:t>第3章</w:t>
      </w:r>
      <w:r>
        <w:rPr>
          <w:rFonts w:hint="eastAsia" w:ascii="宋体"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投标邀请</w:t>
      </w:r>
      <w:bookmarkEnd w:id="1191"/>
      <w:bookmarkEnd w:id="1192"/>
      <w:bookmarkEnd w:id="1193"/>
      <w:bookmarkEnd w:id="1194"/>
      <w:bookmarkEnd w:id="1195"/>
      <w:bookmarkEnd w:id="1196"/>
      <w:bookmarkEnd w:id="1197"/>
      <w:bookmarkEnd w:id="1198"/>
      <w:bookmarkEnd w:id="1199"/>
      <w:bookmarkEnd w:id="1200"/>
      <w:bookmarkEnd w:id="1201"/>
      <w:bookmarkStart w:id="1202" w:name="_Toc10488"/>
      <w:bookmarkStart w:id="1203" w:name="_Toc31583"/>
      <w:bookmarkStart w:id="1204" w:name="_Toc507399903"/>
      <w:bookmarkStart w:id="1205" w:name="_Toc216582823"/>
      <w:bookmarkStart w:id="1206" w:name="_Toc515647830"/>
      <w:bookmarkStart w:id="1207" w:name="_Toc512937850"/>
      <w:bookmarkStart w:id="1208" w:name="_Toc5272"/>
    </w:p>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28"/>
          <w:szCs w:val="28"/>
          <w:highlight w:val="none"/>
          <w:lang w:eastAsia="zh-CN"/>
        </w:rPr>
      </w:pPr>
      <w:bookmarkStart w:id="1209" w:name="_Toc29132"/>
      <w:r>
        <w:rPr>
          <w:rFonts w:hint="eastAsia" w:ascii="宋体" w:hAnsi="宋体" w:cs="宋体"/>
          <w:b/>
          <w:bCs/>
          <w:color w:val="auto"/>
          <w:sz w:val="32"/>
          <w:szCs w:val="32"/>
          <w:highlight w:val="none"/>
          <w:lang w:val="en-US" w:eastAsia="zh-CN"/>
        </w:rPr>
        <w:t>喀什地区第一人民医院医疗设备维修保养服务项目</w:t>
      </w:r>
      <w:r>
        <w:rPr>
          <w:rFonts w:hint="eastAsia" w:ascii="宋体" w:hAnsi="宋体" w:eastAsia="宋体" w:cs="宋体"/>
          <w:b/>
          <w:bCs/>
          <w:color w:val="auto"/>
          <w:sz w:val="32"/>
          <w:szCs w:val="32"/>
          <w:highlight w:val="none"/>
          <w:lang w:eastAsia="zh-CN"/>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00" w:lineRule="exact"/>
        <w:ind w:left="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bCs/>
          <w:color w:val="auto"/>
          <w:sz w:val="24"/>
          <w:szCs w:val="24"/>
          <w:highlight w:val="none"/>
        </w:rPr>
      </w:pPr>
      <w:r>
        <w:rPr>
          <w:rFonts w:hint="eastAsia" w:ascii="宋体" w:hAnsi="宋体" w:cs="宋体"/>
          <w:color w:val="auto"/>
          <w:sz w:val="24"/>
          <w:szCs w:val="24"/>
          <w:highlight w:val="none"/>
          <w:lang w:eastAsia="zh-CN"/>
        </w:rPr>
        <w:t>喀什地区第一人民医院医疗设备维修保养服务项目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u w:val="single"/>
          <w:lang w:eastAsia="zh-CN"/>
        </w:rPr>
        <w:t>2023年</w:t>
      </w:r>
      <w:r>
        <w:rPr>
          <w:rFonts w:hint="eastAsia" w:ascii="宋体" w:hAnsi="宋体" w:cs="宋体"/>
          <w:color w:val="auto"/>
          <w:sz w:val="24"/>
          <w:szCs w:val="24"/>
          <w:highlight w:val="none"/>
          <w:u w:val="single"/>
          <w:lang w:val="en-US" w:eastAsia="zh-CN"/>
        </w:rPr>
        <w:t>10</w:t>
      </w:r>
      <w:r>
        <w:rPr>
          <w:rFonts w:hint="eastAsia" w:ascii="宋体" w:hAnsi="宋体" w:cs="宋体"/>
          <w:color w:val="auto"/>
          <w:sz w:val="24"/>
          <w:szCs w:val="24"/>
          <w:highlight w:val="none"/>
          <w:u w:val="single"/>
          <w:lang w:eastAsia="zh-CN"/>
        </w:rPr>
        <w:t>月</w:t>
      </w:r>
      <w:r>
        <w:rPr>
          <w:rFonts w:hint="eastAsia" w:ascii="宋体" w:hAnsi="宋体" w:cs="宋体"/>
          <w:color w:val="auto"/>
          <w:sz w:val="24"/>
          <w:szCs w:val="24"/>
          <w:highlight w:val="none"/>
          <w:u w:val="single"/>
          <w:lang w:val="en-US" w:eastAsia="zh-CN"/>
        </w:rPr>
        <w:t>18</w:t>
      </w:r>
      <w:r>
        <w:rPr>
          <w:rFonts w:hint="eastAsia" w:ascii="宋体" w:hAnsi="宋体" w:cs="宋体"/>
          <w:color w:val="auto"/>
          <w:sz w:val="24"/>
          <w:szCs w:val="24"/>
          <w:highlight w:val="none"/>
          <w:u w:val="single"/>
          <w:lang w:eastAsia="zh-CN"/>
        </w:rPr>
        <w:t>日</w:t>
      </w:r>
      <w:r>
        <w:rPr>
          <w:rFonts w:hint="eastAsia" w:ascii="宋体" w:hAnsi="宋体" w:cs="宋体"/>
          <w:color w:val="auto"/>
          <w:sz w:val="24"/>
          <w:szCs w:val="24"/>
          <w:highlight w:val="none"/>
          <w:u w:val="single"/>
          <w:lang w:val="en-US" w:eastAsia="zh-CN"/>
        </w:rPr>
        <w:t>11：00</w:t>
      </w:r>
      <w:r>
        <w:rPr>
          <w:rFonts w:hint="eastAsia" w:ascii="宋体" w:hAnsi="宋体" w:eastAsia="宋体" w:cs="宋体"/>
          <w:color w:val="auto"/>
          <w:sz w:val="24"/>
          <w:szCs w:val="24"/>
          <w:highlight w:val="none"/>
          <w:u w:val="single"/>
        </w:rPr>
        <w:t>（北京时间）</w:t>
      </w:r>
      <w:r>
        <w:rPr>
          <w:rFonts w:hint="eastAsia" w:ascii="宋体" w:hAnsi="宋体" w:eastAsia="宋体" w:cs="宋体"/>
          <w:bCs/>
          <w:color w:val="auto"/>
          <w:sz w:val="24"/>
          <w:szCs w:val="24"/>
          <w:highlight w:val="none"/>
        </w:rPr>
        <w:t>前递交投标文件</w:t>
      </w:r>
      <w:r>
        <w:rPr>
          <w:rFonts w:hint="eastAsia" w:ascii="宋体" w:hAnsi="宋体" w:eastAsia="宋体" w:cs="宋体"/>
          <w:color w:val="auto"/>
          <w:sz w:val="24"/>
          <w:szCs w:val="24"/>
          <w:highlight w:val="none"/>
        </w:rPr>
        <w:t>。</w:t>
      </w:r>
      <w:bookmarkStart w:id="1210" w:name="_Toc28217"/>
      <w:bookmarkStart w:id="1211" w:name="_Toc28359079"/>
      <w:bookmarkStart w:id="1212" w:name="_Toc35393621"/>
      <w:bookmarkStart w:id="1213" w:name="_Toc28359002"/>
      <w:bookmarkStart w:id="1214" w:name="_Toc35393790"/>
      <w:bookmarkStart w:id="1215" w:name="_Hlk24379207"/>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rPr>
      </w:pPr>
      <w:bookmarkStart w:id="1216" w:name="_Toc20970"/>
      <w:bookmarkStart w:id="1217" w:name="_Toc28253"/>
      <w:r>
        <w:rPr>
          <w:rFonts w:hint="eastAsia" w:ascii="宋体" w:hAnsi="宋体" w:eastAsia="宋体" w:cs="宋体"/>
          <w:b/>
          <w:bCs w:val="0"/>
          <w:color w:val="auto"/>
          <w:sz w:val="24"/>
          <w:szCs w:val="24"/>
          <w:highlight w:val="none"/>
        </w:rPr>
        <w:t>一、</w:t>
      </w:r>
      <w:bookmarkEnd w:id="1210"/>
      <w:bookmarkEnd w:id="1211"/>
      <w:bookmarkEnd w:id="1212"/>
      <w:bookmarkEnd w:id="1213"/>
      <w:bookmarkEnd w:id="1214"/>
      <w:r>
        <w:rPr>
          <w:rFonts w:hint="eastAsia" w:ascii="宋体" w:hAnsi="宋体" w:eastAsia="宋体" w:cs="宋体"/>
          <w:b/>
          <w:bCs w:val="0"/>
          <w:color w:val="auto"/>
          <w:sz w:val="24"/>
          <w:szCs w:val="24"/>
          <w:highlight w:val="none"/>
        </w:rPr>
        <w:t>项目基本情况</w:t>
      </w:r>
      <w:bookmarkEnd w:id="1216"/>
      <w:bookmarkEnd w:id="1217"/>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val="en-US" w:eastAsia="zh-CN"/>
        </w:rPr>
        <w:t>XJFT(Z)2023-008</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bookmarkEnd w:id="1215"/>
      <w:r>
        <w:rPr>
          <w:rFonts w:hint="eastAsia" w:ascii="宋体" w:hAnsi="宋体" w:cs="宋体"/>
          <w:color w:val="auto"/>
          <w:sz w:val="24"/>
          <w:szCs w:val="24"/>
          <w:highlight w:val="none"/>
          <w:lang w:eastAsia="zh-CN"/>
        </w:rPr>
        <w:t>喀什地区第一人民医院医疗设备维修保养服务项目</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3.采购方式：公开招标</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665000.00元/年</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最高限价（元）：</w:t>
      </w:r>
      <w:r>
        <w:rPr>
          <w:rFonts w:hint="eastAsia" w:ascii="宋体" w:hAnsi="宋体" w:cs="宋体"/>
          <w:color w:val="auto"/>
          <w:sz w:val="24"/>
          <w:szCs w:val="24"/>
          <w:highlight w:val="none"/>
          <w:lang w:val="en-US" w:eastAsia="zh-CN"/>
        </w:rPr>
        <w:t>665000.00元/年</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6.采购需求：OPTIMA CT680维保</w:t>
      </w:r>
      <w:r>
        <w:rPr>
          <w:rFonts w:hint="eastAsia" w:ascii="宋体" w:hAnsi="宋体" w:cs="宋体"/>
          <w:color w:val="auto"/>
          <w:sz w:val="24"/>
          <w:szCs w:val="24"/>
          <w:highlight w:val="none"/>
          <w:lang w:val="en-US" w:eastAsia="zh-CN"/>
        </w:rPr>
        <w:t>服务</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备注：无</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合同履约期限：详见招标文件</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本项目</w:t>
      </w:r>
      <w:r>
        <w:rPr>
          <w:rFonts w:hint="eastAsia" w:ascii="宋体" w:hAnsi="宋体" w:cs="宋体"/>
          <w:b w:val="0"/>
          <w:bCs w:val="0"/>
          <w:color w:val="auto"/>
          <w:sz w:val="24"/>
          <w:szCs w:val="24"/>
          <w:highlight w:val="none"/>
          <w:lang w:val="en-US" w:eastAsia="zh-CN"/>
        </w:rPr>
        <w:t>(否)</w:t>
      </w:r>
      <w:r>
        <w:rPr>
          <w:rFonts w:hint="eastAsia" w:ascii="宋体" w:hAnsi="宋体" w:eastAsia="宋体" w:cs="宋体"/>
          <w:b w:val="0"/>
          <w:bCs w:val="0"/>
          <w:color w:val="auto"/>
          <w:sz w:val="24"/>
          <w:szCs w:val="24"/>
          <w:highlight w:val="none"/>
        </w:rPr>
        <w:t>接受联合体投标。</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val="0"/>
          <w:bCs w:val="0"/>
          <w:color w:val="auto"/>
          <w:sz w:val="24"/>
          <w:szCs w:val="24"/>
          <w:highlight w:val="none"/>
          <w:lang w:val="en-US" w:eastAsia="zh-CN"/>
        </w:rPr>
      </w:pPr>
      <w:bookmarkStart w:id="1218" w:name="_Toc28359003"/>
      <w:bookmarkStart w:id="1219" w:name="_Toc19260"/>
      <w:bookmarkStart w:id="1220" w:name="_Toc28359080"/>
      <w:bookmarkStart w:id="1221" w:name="_Toc35393622"/>
      <w:bookmarkStart w:id="1222" w:name="_Toc1145"/>
      <w:bookmarkStart w:id="1223" w:name="_Toc35393791"/>
      <w:bookmarkStart w:id="1224" w:name="_Toc13688"/>
      <w:bookmarkStart w:id="1225" w:name="_Toc29506"/>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1218"/>
      <w:bookmarkEnd w:id="1219"/>
      <w:bookmarkEnd w:id="1220"/>
      <w:bookmarkEnd w:id="1221"/>
      <w:bookmarkEnd w:id="1222"/>
      <w:bookmarkEnd w:id="1223"/>
      <w:bookmarkEnd w:id="1224"/>
      <w:bookmarkEnd w:id="1225"/>
      <w:r>
        <w:rPr>
          <w:rFonts w:hint="eastAsia" w:ascii="宋体" w:hAnsi="宋体" w:eastAsia="宋体" w:cs="宋体"/>
          <w:b/>
          <w:bCs/>
          <w:i w:val="0"/>
          <w:caps w:val="0"/>
          <w:color w:val="auto"/>
          <w:spacing w:val="0"/>
          <w:w w:val="100"/>
          <w:sz w:val="24"/>
          <w:szCs w:val="24"/>
          <w:highlight w:val="none"/>
          <w:lang w:val="en-US" w:eastAsia="zh-CN"/>
        </w:rPr>
        <w:t>满足《中华人民共和国政府采购法》第二十二条规定：</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bookmarkStart w:id="1226" w:name="_Toc35393623"/>
      <w:bookmarkStart w:id="1227" w:name="_Toc28359004"/>
      <w:bookmarkStart w:id="1228" w:name="_Toc35393792"/>
      <w:bookmarkStart w:id="1229" w:name="_Toc32226"/>
      <w:bookmarkStart w:id="1230" w:name="_Toc28359081"/>
      <w:bookmarkStart w:id="1231" w:name="_Toc27678"/>
      <w:r>
        <w:rPr>
          <w:rFonts w:hint="eastAsia" w:ascii="宋体" w:hAnsi="宋体" w:eastAsia="宋体" w:cs="宋体"/>
          <w:b/>
          <w:bCs/>
          <w:i w:val="0"/>
          <w:caps w:val="0"/>
          <w:color w:val="auto"/>
          <w:spacing w:val="0"/>
          <w:w w:val="100"/>
          <w:sz w:val="24"/>
          <w:szCs w:val="24"/>
          <w:highlight w:val="none"/>
          <w:lang w:val="en-US" w:eastAsia="zh-CN"/>
        </w:rPr>
        <w:t>（1）</w:t>
      </w:r>
      <w:r>
        <w:rPr>
          <w:rFonts w:hint="eastAsia" w:ascii="宋体" w:hAnsi="宋体" w:cs="宋体"/>
          <w:b/>
          <w:bCs/>
          <w:i w:val="0"/>
          <w:caps w:val="0"/>
          <w:color w:val="auto"/>
          <w:spacing w:val="0"/>
          <w:w w:val="100"/>
          <w:sz w:val="24"/>
          <w:szCs w:val="24"/>
          <w:highlight w:val="none"/>
          <w:lang w:val="en-US" w:eastAsia="zh-CN"/>
        </w:rPr>
        <w:t>合格有效的三证合一的营业执照（三证合一）或电子营业执照（需加盖公章）或同等法律效力的证明文件（发证机关或公证机关出具的证明材料）</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法定代表人资格证明及授权书、被授权人身份证(法定代表人投标需提供法定代表人身份证)；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3</w:t>
      </w:r>
      <w:r>
        <w:rPr>
          <w:rFonts w:hint="eastAsia" w:ascii="宋体" w:hAnsi="宋体" w:eastAsia="宋体" w:cs="宋体"/>
          <w:b/>
          <w:bCs/>
          <w:i w:val="0"/>
          <w:caps w:val="0"/>
          <w:color w:val="auto"/>
          <w:spacing w:val="0"/>
          <w:w w:val="100"/>
          <w:sz w:val="24"/>
          <w:szCs w:val="24"/>
          <w:highlight w:val="none"/>
          <w:lang w:val="en-US" w:eastAsia="zh-CN"/>
        </w:rPr>
        <w:t>）提供近两年内任意一年的财务审计报告（新成立未满一年的新公司可提供近三个月内任意一个月的银行资信证明）；</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4</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依法缴纳近六个月内任意一个月社会保险证明</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5</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依法缴纳近六个月内任意一个月税收证明</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6</w:t>
      </w:r>
      <w:r>
        <w:rPr>
          <w:rFonts w:hint="eastAsia" w:ascii="宋体" w:hAnsi="宋体" w:eastAsia="宋体" w:cs="宋体"/>
          <w:b/>
          <w:bCs/>
          <w:i w:val="0"/>
          <w:caps w:val="0"/>
          <w:color w:val="auto"/>
          <w:spacing w:val="0"/>
          <w:w w:val="100"/>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w:t>
      </w:r>
      <w:r>
        <w:rPr>
          <w:rFonts w:hint="eastAsia" w:ascii="宋体" w:hAnsi="宋体" w:cs="宋体"/>
          <w:b/>
          <w:bCs/>
          <w:i w:val="0"/>
          <w:caps w:val="0"/>
          <w:color w:val="auto"/>
          <w:spacing w:val="0"/>
          <w:w w:val="100"/>
          <w:sz w:val="24"/>
          <w:szCs w:val="24"/>
          <w:highlight w:val="none"/>
          <w:lang w:val="en-US" w:eastAsia="zh-CN"/>
        </w:rPr>
        <w:t>列入严重违法失信名单（黑名单）信息；将拒绝其参加本次招标活动</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以采购代理机构或采购人查询为准</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7</w:t>
      </w:r>
      <w:r>
        <w:rPr>
          <w:rFonts w:hint="eastAsia" w:ascii="宋体" w:hAnsi="宋体" w:eastAsia="宋体" w:cs="宋体"/>
          <w:b/>
          <w:bCs/>
          <w:i w:val="0"/>
          <w:caps w:val="0"/>
          <w:color w:val="auto"/>
          <w:spacing w:val="0"/>
          <w:w w:val="100"/>
          <w:sz w:val="24"/>
          <w:szCs w:val="24"/>
          <w:highlight w:val="none"/>
          <w:lang w:val="en-US" w:eastAsia="zh-CN"/>
        </w:rPr>
        <w:t>）参与政府采购活动前3年内未被列入失信、重大税收违法案件、财政部门禁止参加政府采购活动的承诺书；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8</w:t>
      </w:r>
      <w:r>
        <w:rPr>
          <w:rFonts w:hint="eastAsia" w:ascii="宋体" w:hAnsi="宋体" w:eastAsia="宋体" w:cs="宋体"/>
          <w:b/>
          <w:bCs/>
          <w:i w:val="0"/>
          <w:caps w:val="0"/>
          <w:color w:val="auto"/>
          <w:spacing w:val="0"/>
          <w:w w:val="100"/>
          <w:sz w:val="24"/>
          <w:szCs w:val="24"/>
          <w:highlight w:val="none"/>
          <w:lang w:val="en-US" w:eastAsia="zh-CN"/>
        </w:rPr>
        <w:t>）提供针对本次项目的《反商业贿赂承诺书》</w:t>
      </w:r>
      <w:r>
        <w:rPr>
          <w:rFonts w:hint="eastAsia" w:ascii="宋体" w:hAnsi="宋体" w:eastAsia="宋体" w:cs="宋体"/>
          <w:b/>
          <w:bCs/>
          <w:i w:val="0"/>
          <w:caps w:val="0"/>
          <w:color w:val="auto"/>
          <w:spacing w:val="0"/>
          <w:w w:val="100"/>
          <w:sz w:val="24"/>
          <w:szCs w:val="24"/>
          <w:highlight w:val="none"/>
          <w:lang w:eastAsia="zh-CN"/>
        </w:rPr>
        <w:t>；</w:t>
      </w:r>
    </w:p>
    <w:p>
      <w:pPr>
        <w:pStyle w:val="23"/>
        <w:pageBreakBefore w:val="0"/>
        <w:kinsoku/>
        <w:wordWrap/>
        <w:overflowPunct/>
        <w:topLinePunct w:val="0"/>
        <w:bidi w:val="0"/>
        <w:spacing w:line="360" w:lineRule="exact"/>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9</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eastAsia="宋体" w:cs="宋体"/>
          <w:b/>
          <w:bCs/>
          <w:i w:val="0"/>
          <w:caps w:val="0"/>
          <w:color w:val="auto"/>
          <w:spacing w:val="0"/>
          <w:w w:val="100"/>
          <w:kern w:val="2"/>
          <w:sz w:val="24"/>
          <w:szCs w:val="24"/>
          <w:highlight w:val="none"/>
          <w:lang w:val="en-US" w:eastAsia="zh-CN" w:bidi="ar-SA"/>
        </w:rPr>
        <w:t>缴纳投标保证金的有效凭证。</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bookmarkEnd w:id="1226"/>
      <w:bookmarkEnd w:id="1227"/>
      <w:bookmarkEnd w:id="1228"/>
      <w:bookmarkEnd w:id="1229"/>
      <w:bookmarkEnd w:id="1230"/>
      <w:bookmarkEnd w:id="1231"/>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获取时间：</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日至20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，每天上午10:00至14:00，下午</w:t>
      </w:r>
      <w:r>
        <w:rPr>
          <w:rFonts w:hint="eastAsia" w:ascii="宋体" w:hAnsi="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00</w:t>
      </w:r>
      <w:r>
        <w:rPr>
          <w:rFonts w:hint="eastAsia" w:ascii="宋体" w:hAnsi="宋体" w:eastAsia="宋体" w:cs="宋体"/>
          <w:color w:val="auto"/>
          <w:sz w:val="24"/>
          <w:szCs w:val="24"/>
          <w:highlight w:val="none"/>
        </w:rPr>
        <w:t>（北京时间，法定节假日除外）</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获取方式：</w:t>
      </w:r>
      <w:r>
        <w:rPr>
          <w:rFonts w:hint="eastAsia" w:ascii="宋体" w:hAnsi="宋体" w:eastAsia="宋体" w:cs="宋体"/>
          <w:color w:val="auto"/>
          <w:sz w:val="24"/>
          <w:szCs w:val="24"/>
          <w:highlight w:val="none"/>
          <w:u w:val="none"/>
          <w:lang w:val="en-US" w:eastAsia="zh-CN"/>
        </w:rPr>
        <w:t>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获取地点：政采云平台（https://login.zcygov.cn/user-login/#/login）</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eastAsia="zh-CN"/>
        </w:rPr>
        <w:t>售价（元</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0元</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u w:val="none"/>
        </w:rPr>
      </w:pPr>
      <w:bookmarkStart w:id="1232" w:name="_Toc28359082"/>
      <w:bookmarkStart w:id="1233" w:name="_Toc28359005"/>
      <w:bookmarkStart w:id="1234" w:name="_Toc2532"/>
      <w:bookmarkStart w:id="1235" w:name="_Toc35393793"/>
      <w:bookmarkStart w:id="1236" w:name="_Toc9047"/>
      <w:bookmarkStart w:id="1237" w:name="_Toc952"/>
      <w:bookmarkStart w:id="1238" w:name="_Toc35393624"/>
      <w:bookmarkStart w:id="1239" w:name="_Toc2422"/>
      <w:r>
        <w:rPr>
          <w:rFonts w:hint="eastAsia" w:ascii="宋体" w:hAnsi="宋体" w:eastAsia="宋体" w:cs="宋体"/>
          <w:b/>
          <w:bCs w:val="0"/>
          <w:color w:val="auto"/>
          <w:sz w:val="24"/>
          <w:szCs w:val="24"/>
          <w:highlight w:val="none"/>
          <w:u w:val="none"/>
        </w:rPr>
        <w:t>四、提交投标文件</w:t>
      </w:r>
      <w:bookmarkEnd w:id="1232"/>
      <w:bookmarkEnd w:id="1233"/>
      <w:r>
        <w:rPr>
          <w:rFonts w:hint="eastAsia" w:ascii="宋体" w:hAnsi="宋体" w:eastAsia="宋体" w:cs="宋体"/>
          <w:b/>
          <w:bCs w:val="0"/>
          <w:color w:val="auto"/>
          <w:sz w:val="24"/>
          <w:szCs w:val="24"/>
          <w:highlight w:val="none"/>
          <w:u w:val="none"/>
        </w:rPr>
        <w:t>截止时间、开标时间和地点</w:t>
      </w:r>
      <w:bookmarkEnd w:id="1234"/>
      <w:bookmarkEnd w:id="1235"/>
      <w:bookmarkEnd w:id="1236"/>
      <w:bookmarkEnd w:id="1237"/>
      <w:bookmarkEnd w:id="1238"/>
      <w:bookmarkEnd w:id="1239"/>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lang w:eastAsia="zh-CN"/>
        </w:rPr>
        <w:t>提交投标文件截止</w:t>
      </w:r>
      <w:r>
        <w:rPr>
          <w:rFonts w:hint="eastAsia" w:ascii="宋体" w:hAnsi="宋体" w:eastAsia="宋体" w:cs="宋体"/>
          <w:color w:val="auto"/>
          <w:sz w:val="24"/>
          <w:szCs w:val="24"/>
          <w:highlight w:val="none"/>
          <w:u w:val="none"/>
        </w:rPr>
        <w:t>时间：</w:t>
      </w:r>
      <w:bookmarkStart w:id="1240" w:name="_Toc28359007"/>
      <w:bookmarkStart w:id="1241" w:name="_Toc28359084"/>
      <w:bookmarkStart w:id="1242" w:name="_Toc35393794"/>
      <w:bookmarkStart w:id="1243" w:name="_Toc35393625"/>
      <w:r>
        <w:rPr>
          <w:rFonts w:hint="eastAsia" w:ascii="宋体" w:hAnsi="宋体" w:cs="宋体"/>
          <w:color w:val="auto"/>
          <w:sz w:val="24"/>
          <w:szCs w:val="24"/>
          <w:highlight w:val="none"/>
          <w:lang w:eastAsia="zh-CN"/>
        </w:rPr>
        <w:t>2023年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u w:val="none"/>
          <w:lang w:val="en-US" w:eastAsia="zh-CN"/>
        </w:rPr>
        <w:t>11：00</w:t>
      </w:r>
      <w:r>
        <w:rPr>
          <w:rFonts w:hint="eastAsia" w:ascii="宋体" w:hAnsi="宋体" w:eastAsia="宋体" w:cs="宋体"/>
          <w:color w:val="auto"/>
          <w:sz w:val="24"/>
          <w:szCs w:val="24"/>
          <w:highlight w:val="none"/>
          <w:u w:val="none"/>
        </w:rPr>
        <w:t>（北京时间</w:t>
      </w:r>
      <w:r>
        <w:rPr>
          <w:rFonts w:hint="eastAsia" w:ascii="宋体" w:hAnsi="宋体" w:eastAsia="宋体" w:cs="宋体"/>
          <w:bCs/>
          <w:color w:val="auto"/>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投标</w:t>
      </w:r>
      <w:r>
        <w:rPr>
          <w:rFonts w:hint="eastAsia" w:ascii="宋体" w:hAnsi="宋体" w:eastAsia="宋体" w:cs="宋体"/>
          <w:color w:val="auto"/>
          <w:sz w:val="24"/>
          <w:szCs w:val="24"/>
          <w:highlight w:val="none"/>
          <w:u w:val="none"/>
        </w:rPr>
        <w:t>地点：</w:t>
      </w:r>
      <w:r>
        <w:rPr>
          <w:rFonts w:hint="eastAsia" w:ascii="宋体" w:hAnsi="宋体" w:eastAsia="宋体" w:cs="宋体"/>
          <w:color w:val="auto"/>
          <w:kern w:val="0"/>
          <w:sz w:val="24"/>
          <w:szCs w:val="24"/>
          <w:highlight w:val="none"/>
          <w:u w:val="none"/>
          <w:lang w:eastAsia="zh-CN"/>
        </w:rPr>
        <w:t>政采云平台</w:t>
      </w:r>
      <w:r>
        <w:rPr>
          <w:rFonts w:hint="eastAsia" w:ascii="宋体" w:hAnsi="宋体" w:eastAsia="宋体" w:cs="宋体"/>
          <w:color w:val="auto"/>
          <w:sz w:val="24"/>
          <w:szCs w:val="24"/>
          <w:highlight w:val="none"/>
          <w:u w:val="none"/>
        </w:rPr>
        <w:t>（https://login.zcygov.cn/user-login/#/login）</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开标时间：</w:t>
      </w:r>
      <w:r>
        <w:rPr>
          <w:rFonts w:hint="eastAsia" w:ascii="宋体" w:hAnsi="宋体" w:cs="宋体"/>
          <w:color w:val="auto"/>
          <w:sz w:val="24"/>
          <w:szCs w:val="24"/>
          <w:highlight w:val="none"/>
          <w:lang w:eastAsia="zh-CN"/>
        </w:rPr>
        <w:t>2023年</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lang w:eastAsia="zh-CN"/>
        </w:rPr>
        <w:t>日</w:t>
      </w:r>
      <w:r>
        <w:rPr>
          <w:rFonts w:hint="eastAsia" w:ascii="宋体" w:hAnsi="宋体" w:cs="宋体"/>
          <w:color w:val="auto"/>
          <w:sz w:val="24"/>
          <w:szCs w:val="24"/>
          <w:highlight w:val="none"/>
          <w:u w:val="none"/>
          <w:lang w:val="en-US" w:eastAsia="zh-CN"/>
        </w:rPr>
        <w:t>11：00</w:t>
      </w:r>
      <w:r>
        <w:rPr>
          <w:rFonts w:hint="eastAsia" w:ascii="宋体" w:hAnsi="宋体" w:eastAsia="宋体" w:cs="宋体"/>
          <w:color w:val="auto"/>
          <w:sz w:val="24"/>
          <w:szCs w:val="24"/>
          <w:highlight w:val="none"/>
          <w:u w:val="none"/>
          <w:lang w:eastAsia="zh-CN"/>
        </w:rPr>
        <w:t>（北京时间）</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jc w:val="both"/>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开标地点：</w:t>
      </w:r>
      <w:bookmarkStart w:id="1244" w:name="_Toc30400"/>
      <w:bookmarkStart w:id="1245" w:name="_Toc32108"/>
      <w:bookmarkStart w:id="1246" w:name="_Toc23672"/>
      <w:bookmarkStart w:id="1247" w:name="_Toc20863"/>
      <w:r>
        <w:rPr>
          <w:rFonts w:hint="eastAsia" w:ascii="宋体" w:hAnsi="宋体" w:eastAsia="宋体" w:cs="宋体"/>
          <w:color w:val="auto"/>
          <w:kern w:val="0"/>
          <w:sz w:val="24"/>
          <w:szCs w:val="24"/>
          <w:highlight w:val="none"/>
          <w:u w:val="none"/>
          <w:lang w:eastAsia="zh-CN"/>
        </w:rPr>
        <w:t>政采云平台</w:t>
      </w:r>
      <w:r>
        <w:rPr>
          <w:rFonts w:hint="eastAsia" w:ascii="宋体" w:hAnsi="宋体" w:eastAsia="宋体" w:cs="宋体"/>
          <w:color w:val="auto"/>
          <w:sz w:val="24"/>
          <w:szCs w:val="24"/>
          <w:highlight w:val="none"/>
          <w:u w:val="none"/>
        </w:rPr>
        <w:t>（https://login.zcygov.cn/user-login/#/login）</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u w:val="none"/>
        </w:rPr>
      </w:pPr>
      <w:r>
        <w:rPr>
          <w:rFonts w:hint="eastAsia" w:ascii="宋体" w:hAnsi="宋体" w:eastAsia="宋体" w:cs="宋体"/>
          <w:b/>
          <w:bCs w:val="0"/>
          <w:color w:val="auto"/>
          <w:sz w:val="24"/>
          <w:szCs w:val="24"/>
          <w:highlight w:val="none"/>
          <w:u w:val="none"/>
        </w:rPr>
        <w:t>五、公告期限</w:t>
      </w:r>
      <w:bookmarkEnd w:id="1240"/>
      <w:bookmarkEnd w:id="1241"/>
      <w:bookmarkEnd w:id="1242"/>
      <w:bookmarkEnd w:id="1243"/>
      <w:bookmarkEnd w:id="1244"/>
      <w:bookmarkEnd w:id="1245"/>
      <w:bookmarkEnd w:id="1246"/>
      <w:bookmarkEnd w:id="1247"/>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六、其它补充事宜</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5.供应商在开标时须使用制作加密电子投标文件所使用的CA锁及电脑，电脑须提前配置好浏览器（建议使用谷歌浏览器），以便开标时解锁。</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ind w:left="0" w:leftChars="0" w:firstLine="54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0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left="0" w:right="0" w:firstLine="480"/>
        <w:textAlignment w:val="auto"/>
        <w:outlineLvl w:val="9"/>
        <w:rPr>
          <w:rFonts w:hint="eastAsia"/>
          <w:color w:val="auto"/>
          <w:highlight w:val="none"/>
          <w:lang w:eastAsia="zh-CN"/>
        </w:rPr>
      </w:pPr>
      <w:r>
        <w:rPr>
          <w:rFonts w:hint="eastAsia" w:ascii="宋体" w:hAnsi="宋体" w:eastAsia="宋体" w:cs="宋体"/>
          <w:color w:val="auto"/>
          <w:kern w:val="2"/>
          <w:sz w:val="24"/>
          <w:szCs w:val="24"/>
          <w:highlight w:val="none"/>
          <w:lang w:val="en-US" w:eastAsia="zh-CN" w:bidi="ar-SA"/>
        </w:rPr>
        <w:t>特别提示：</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1、采购限额标准以上，200万元以下的货物和服务采购项目、400万元以下的工程采购项目，适宜由中小企业提供的，采购人应当专门面向中小企业采购。</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2、超过200万元的货物和服务采购项目、超过400万元的工程采购项目中适宜由中小企业提供的，预留该部分采购项目预算总额的30%以上专门面向中小企业采购，其中预留给小微企业的比例不低于60%。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3、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color w:val="auto"/>
          <w:kern w:val="2"/>
          <w:sz w:val="24"/>
          <w:szCs w:val="24"/>
          <w:highlight w:val="none"/>
          <w:lang w:val="en-US" w:eastAsia="zh-CN" w:bidi="ar-SA"/>
        </w:rPr>
        <w:br w:type="textWrapping"/>
      </w:r>
      <w:r>
        <w:rPr>
          <w:rFonts w:hint="eastAsia" w:ascii="宋体" w:hAnsi="宋体" w:eastAsia="宋体" w:cs="宋体"/>
          <w:color w:val="auto"/>
          <w:kern w:val="2"/>
          <w:sz w:val="24"/>
          <w:szCs w:val="24"/>
          <w:highlight w:val="none"/>
          <w:lang w:val="en-US" w:eastAsia="zh-CN" w:bidi="ar-SA"/>
        </w:rPr>
        <w:t>4、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jc w:val="left"/>
        <w:textAlignment w:val="auto"/>
        <w:outlineLvl w:val="9"/>
        <w:rPr>
          <w:rFonts w:hint="eastAsia" w:ascii="宋体" w:hAnsi="宋体" w:eastAsia="宋体" w:cs="宋体"/>
          <w:b/>
          <w:bCs w:val="0"/>
          <w:color w:val="auto"/>
          <w:sz w:val="24"/>
          <w:szCs w:val="24"/>
          <w:highlight w:val="none"/>
        </w:rPr>
      </w:pPr>
      <w:bookmarkStart w:id="1248" w:name="_Toc35393626"/>
      <w:bookmarkStart w:id="1249" w:name="_Toc35393795"/>
      <w:bookmarkStart w:id="1250" w:name="_Toc999"/>
      <w:bookmarkStart w:id="1251" w:name="_Toc647"/>
      <w:bookmarkStart w:id="1252" w:name="_Toc13675"/>
      <w:bookmarkStart w:id="1253" w:name="_Toc18258"/>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1248"/>
      <w:bookmarkEnd w:id="1249"/>
      <w:bookmarkStart w:id="1254" w:name="_Toc28359085"/>
      <w:bookmarkStart w:id="1255" w:name="_Toc28359008"/>
      <w:bookmarkStart w:id="1256" w:name="_Toc35393796"/>
      <w:bookmarkStart w:id="1257" w:name="_Toc35393627"/>
      <w:r>
        <w:rPr>
          <w:rFonts w:hint="eastAsia" w:ascii="宋体" w:hAnsi="宋体" w:eastAsia="宋体" w:cs="宋体"/>
          <w:b/>
          <w:bCs w:val="0"/>
          <w:color w:val="auto"/>
          <w:sz w:val="24"/>
          <w:szCs w:val="24"/>
          <w:highlight w:val="none"/>
        </w:rPr>
        <w:t>对本次采购提出询问，请按以下方式联系。</w:t>
      </w:r>
      <w:bookmarkEnd w:id="1250"/>
      <w:bookmarkEnd w:id="1251"/>
      <w:bookmarkEnd w:id="1252"/>
      <w:bookmarkEnd w:id="1253"/>
      <w:bookmarkEnd w:id="1254"/>
      <w:bookmarkEnd w:id="1255"/>
      <w:bookmarkEnd w:id="1256"/>
      <w:bookmarkEnd w:id="1257"/>
    </w:p>
    <w:p>
      <w:pPr>
        <w:pStyle w:val="2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1.采购人信息</w:t>
      </w:r>
    </w:p>
    <w:p>
      <w:pPr>
        <w:pStyle w:val="2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 称：</w:t>
      </w:r>
      <w:r>
        <w:rPr>
          <w:rFonts w:hint="eastAsia" w:ascii="宋体" w:hAnsi="宋体" w:cs="宋体"/>
          <w:color w:val="auto"/>
          <w:kern w:val="0"/>
          <w:sz w:val="24"/>
          <w:szCs w:val="24"/>
          <w:highlight w:val="none"/>
          <w:lang w:val="en-US" w:eastAsia="zh-CN" w:bidi="ar"/>
        </w:rPr>
        <w:t>喀什地区第一人民医院</w:t>
      </w:r>
    </w:p>
    <w:p>
      <w:pPr>
        <w:pStyle w:val="2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 址：喀什地区喀什市迎宾大道 120 号</w:t>
      </w:r>
    </w:p>
    <w:p>
      <w:pPr>
        <w:pStyle w:val="2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曹林岚</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cs="宋体"/>
          <w:color w:val="auto"/>
          <w:sz w:val="24"/>
          <w:szCs w:val="24"/>
          <w:highlight w:val="none"/>
          <w:lang w:eastAsia="zh-CN"/>
        </w:rPr>
        <w:t>0998-2962911</w:t>
      </w:r>
    </w:p>
    <w:p>
      <w:pPr>
        <w:pStyle w:val="2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2.采购代理机构信息</w:t>
      </w:r>
    </w:p>
    <w:p>
      <w:pPr>
        <w:pStyle w:val="2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 称：</w:t>
      </w:r>
      <w:r>
        <w:rPr>
          <w:rFonts w:hint="eastAsia" w:ascii="宋体" w:hAnsi="宋体" w:cs="宋体"/>
          <w:color w:val="auto"/>
          <w:kern w:val="0"/>
          <w:sz w:val="24"/>
          <w:szCs w:val="24"/>
          <w:highlight w:val="none"/>
          <w:lang w:val="en-US" w:eastAsia="zh-CN" w:bidi="ar"/>
        </w:rPr>
        <w:t>新疆方通招标有限责任公司</w:t>
      </w:r>
    </w:p>
    <w:p>
      <w:pPr>
        <w:pStyle w:val="2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kern w:val="0"/>
          <w:sz w:val="24"/>
          <w:szCs w:val="24"/>
          <w:highlight w:val="none"/>
          <w:lang w:val="en-US" w:eastAsia="zh-CN" w:bidi="ar"/>
        </w:rPr>
        <w:t>地 址：</w:t>
      </w:r>
      <w:r>
        <w:rPr>
          <w:rFonts w:hint="eastAsia" w:ascii="宋体" w:hAnsi="宋体" w:cs="宋体"/>
          <w:color w:val="auto"/>
          <w:kern w:val="0"/>
          <w:sz w:val="24"/>
          <w:szCs w:val="24"/>
          <w:highlight w:val="none"/>
          <w:lang w:val="en-US" w:eastAsia="zh-CN" w:bidi="ar"/>
        </w:rPr>
        <w:t>喀什市深喀大道浙商大厦4层411室</w:t>
      </w:r>
      <w:r>
        <w:rPr>
          <w:rFonts w:hint="eastAsia" w:ascii="宋体" w:hAnsi="宋体" w:eastAsia="宋体" w:cs="宋体"/>
          <w:color w:val="auto"/>
          <w:kern w:val="0"/>
          <w:sz w:val="24"/>
          <w:szCs w:val="24"/>
          <w:highlight w:val="none"/>
        </w:rPr>
        <w:t xml:space="preserve"> </w:t>
      </w:r>
    </w:p>
    <w:p>
      <w:pPr>
        <w:pStyle w:val="2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3.项目联系方式</w:t>
      </w:r>
    </w:p>
    <w:p>
      <w:pPr>
        <w:pStyle w:val="2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项目联系人：</w:t>
      </w:r>
      <w:r>
        <w:rPr>
          <w:rFonts w:hint="eastAsia" w:ascii="宋体" w:hAnsi="宋体" w:cs="宋体"/>
          <w:color w:val="auto"/>
          <w:kern w:val="0"/>
          <w:sz w:val="24"/>
          <w:szCs w:val="24"/>
          <w:highlight w:val="none"/>
          <w:lang w:val="en-US" w:eastAsia="zh-CN" w:bidi="ar"/>
        </w:rPr>
        <w:t>蒲齐</w:t>
      </w:r>
    </w:p>
    <w:p>
      <w:pPr>
        <w:pStyle w:val="2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电 话：</w:t>
      </w:r>
      <w:r>
        <w:rPr>
          <w:rFonts w:hint="eastAsia" w:ascii="宋体" w:hAnsi="宋体" w:cs="宋体"/>
          <w:color w:val="auto"/>
          <w:kern w:val="0"/>
          <w:sz w:val="24"/>
          <w:szCs w:val="24"/>
          <w:highlight w:val="none"/>
          <w:lang w:val="en-US" w:eastAsia="zh-CN" w:bidi="ar"/>
        </w:rPr>
        <w:t>13565376211</w:t>
      </w:r>
    </w:p>
    <w:p>
      <w:pPr>
        <w:pStyle w:val="2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bookmarkStart w:id="1258" w:name="_Toc2272"/>
      <w:r>
        <w:rPr>
          <w:rFonts w:hint="eastAsia" w:ascii="宋体" w:hAnsi="宋体" w:eastAsia="宋体" w:cs="宋体"/>
          <w:color w:val="auto"/>
          <w:kern w:val="0"/>
          <w:sz w:val="24"/>
          <w:szCs w:val="24"/>
          <w:highlight w:val="none"/>
          <w:lang w:val="en-US" w:eastAsia="zh-CN" w:bidi="ar"/>
        </w:rPr>
        <w:t>3.政府采购监督部门</w:t>
      </w:r>
      <w:bookmarkEnd w:id="1258"/>
    </w:p>
    <w:p>
      <w:pPr>
        <w:pStyle w:val="2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 称：喀什地区政府采购管理办公室</w:t>
      </w:r>
    </w:p>
    <w:p>
      <w:pPr>
        <w:pStyle w:val="26"/>
        <w:keepNext w:val="0"/>
        <w:keepLines w:val="0"/>
        <w:pageBreakBefore w:val="0"/>
        <w:widowControl/>
        <w:suppressLineNumbers w:val="0"/>
        <w:kinsoku/>
        <w:overflowPunct/>
        <w:topLinePunct w:val="0"/>
        <w:autoSpaceDE/>
        <w:autoSpaceDN/>
        <w:bidi w:val="0"/>
        <w:adjustRightInd/>
        <w:snapToGrid/>
        <w:spacing w:beforeAutospacing="0" w:afterAutospacing="0" w:line="400" w:lineRule="exact"/>
        <w:ind w:left="0" w:firstLine="420"/>
        <w:textAlignment w:val="auto"/>
        <w:outlineLvl w:val="9"/>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联系方式：0998-2597200 0998-259700</w:t>
      </w:r>
    </w:p>
    <w:p>
      <w:pPr>
        <w:rPr>
          <w:color w:val="auto"/>
          <w:highlight w:val="none"/>
        </w:rPr>
      </w:pPr>
    </w:p>
    <w:p>
      <w:pPr>
        <w:pStyle w:val="23"/>
        <w:rPr>
          <w:rFonts w:hint="eastAsia" w:ascii="宋体" w:hAnsi="宋体" w:eastAsia="宋体" w:cs="宋体"/>
          <w:color w:val="auto"/>
          <w:highlight w:val="none"/>
        </w:rPr>
      </w:pPr>
    </w:p>
    <w:p>
      <w:pPr>
        <w:jc w:val="center"/>
        <w:rPr>
          <w:rFonts w:hint="eastAsia" w:ascii="宋体" w:hAnsi="宋体" w:eastAsia="宋体" w:cs="宋体"/>
          <w:b/>
          <w:bCs/>
          <w:color w:val="auto"/>
          <w:kern w:val="0"/>
          <w:sz w:val="32"/>
          <w:szCs w:val="32"/>
          <w:highlight w:val="none"/>
          <w:lang w:val="en-US" w:eastAsia="zh-CN" w:bidi="ar-SA"/>
        </w:rPr>
      </w:pPr>
      <w:bookmarkStart w:id="1259" w:name="_Toc14411"/>
      <w:bookmarkStart w:id="1260" w:name="_Toc2787"/>
    </w:p>
    <w:p>
      <w:pPr>
        <w:jc w:val="center"/>
        <w:rPr>
          <w:rFonts w:hint="eastAsia" w:ascii="宋体" w:hAnsi="宋体" w:eastAsia="宋体" w:cs="宋体"/>
          <w:b/>
          <w:bCs/>
          <w:color w:val="auto"/>
          <w:kern w:val="0"/>
          <w:sz w:val="32"/>
          <w:szCs w:val="32"/>
          <w:highlight w:val="none"/>
          <w:lang w:val="en-US" w:eastAsia="zh-CN" w:bidi="ar-SA"/>
        </w:rPr>
      </w:pPr>
    </w:p>
    <w:p>
      <w:pPr>
        <w:jc w:val="center"/>
        <w:rPr>
          <w:rFonts w:hint="eastAsia" w:ascii="宋体" w:hAnsi="宋体" w:eastAsia="宋体" w:cs="宋体"/>
          <w:b/>
          <w:bCs/>
          <w:color w:val="auto"/>
          <w:kern w:val="0"/>
          <w:sz w:val="32"/>
          <w:szCs w:val="32"/>
          <w:highlight w:val="none"/>
          <w:lang w:val="en-US" w:eastAsia="zh-CN" w:bidi="ar-SA"/>
        </w:rPr>
      </w:pPr>
    </w:p>
    <w:p>
      <w:pPr>
        <w:jc w:val="center"/>
        <w:rPr>
          <w:rFonts w:hint="eastAsia" w:ascii="宋体" w:hAnsi="宋体" w:eastAsia="宋体" w:cs="宋体"/>
          <w:b/>
          <w:bCs/>
          <w:color w:val="auto"/>
          <w:kern w:val="0"/>
          <w:sz w:val="32"/>
          <w:szCs w:val="32"/>
          <w:highlight w:val="none"/>
          <w:lang w:val="en-US" w:eastAsia="zh-CN" w:bidi="ar-SA"/>
        </w:rPr>
      </w:pPr>
    </w:p>
    <w:p>
      <w:pPr>
        <w:jc w:val="both"/>
        <w:rPr>
          <w:rFonts w:hint="eastAsia" w:ascii="宋体" w:hAnsi="宋体" w:eastAsia="宋体" w:cs="宋体"/>
          <w:b/>
          <w:bCs/>
          <w:color w:val="auto"/>
          <w:kern w:val="0"/>
          <w:sz w:val="32"/>
          <w:szCs w:val="32"/>
          <w:highlight w:val="none"/>
          <w:lang w:val="en-US" w:eastAsia="zh-CN" w:bidi="ar-SA"/>
        </w:rPr>
      </w:pPr>
    </w:p>
    <w:p>
      <w:pPr>
        <w:jc w:val="center"/>
        <w:rPr>
          <w:rFonts w:hint="eastAsia" w:ascii="宋体" w:hAnsi="宋体" w:eastAsia="宋体" w:cs="宋体"/>
          <w:b/>
          <w:bCs/>
          <w:color w:val="auto"/>
          <w:kern w:val="0"/>
          <w:sz w:val="32"/>
          <w:szCs w:val="32"/>
          <w:highlight w:val="none"/>
          <w:lang w:val="en-US" w:eastAsia="zh-CN" w:bidi="ar-SA"/>
        </w:rPr>
      </w:pPr>
    </w:p>
    <w:p>
      <w:pPr>
        <w:jc w:val="center"/>
        <w:rPr>
          <w:rFonts w:hint="eastAsia" w:ascii="宋体" w:hAnsi="宋体" w:eastAsia="宋体" w:cs="宋体"/>
          <w:b/>
          <w:bCs/>
          <w:color w:val="auto"/>
          <w:szCs w:val="32"/>
          <w:highlight w:val="none"/>
        </w:rPr>
      </w:pPr>
      <w:r>
        <w:rPr>
          <w:rFonts w:hint="eastAsia" w:ascii="宋体" w:hAnsi="宋体" w:eastAsia="宋体" w:cs="宋体"/>
          <w:b/>
          <w:bCs/>
          <w:color w:val="auto"/>
          <w:kern w:val="0"/>
          <w:sz w:val="32"/>
          <w:szCs w:val="32"/>
          <w:highlight w:val="none"/>
          <w:lang w:val="en-US" w:eastAsia="zh-CN" w:bidi="ar-SA"/>
        </w:rPr>
        <w:t>第4章</w:t>
      </w:r>
      <w:r>
        <w:rPr>
          <w:rFonts w:hint="eastAsia" w:hAnsi="宋体" w:cs="宋体"/>
          <w:b/>
          <w:bCs/>
          <w:color w:val="auto"/>
          <w:kern w:val="0"/>
          <w:sz w:val="32"/>
          <w:szCs w:val="32"/>
          <w:highlight w:val="none"/>
          <w:lang w:val="en-US" w:eastAsia="zh-CN" w:bidi="ar-SA"/>
        </w:rPr>
        <w:t xml:space="preserve">  </w:t>
      </w:r>
      <w:r>
        <w:rPr>
          <w:rFonts w:hint="eastAsia" w:ascii="宋体" w:hAnsi="宋体" w:eastAsia="宋体" w:cs="宋体"/>
          <w:b/>
          <w:bCs/>
          <w:color w:val="auto"/>
          <w:kern w:val="0"/>
          <w:sz w:val="32"/>
          <w:szCs w:val="32"/>
          <w:highlight w:val="none"/>
          <w:lang w:val="en-US" w:eastAsia="zh-CN" w:bidi="ar-SA"/>
        </w:rPr>
        <w:t>供应商须知资料表</w:t>
      </w:r>
      <w:bookmarkEnd w:id="1202"/>
      <w:bookmarkEnd w:id="1203"/>
      <w:bookmarkEnd w:id="1204"/>
      <w:bookmarkEnd w:id="1205"/>
      <w:bookmarkEnd w:id="1206"/>
      <w:bookmarkEnd w:id="1207"/>
      <w:bookmarkEnd w:id="1208"/>
      <w:bookmarkEnd w:id="1209"/>
      <w:bookmarkEnd w:id="1259"/>
      <w:bookmarkEnd w:id="1260"/>
    </w:p>
    <w:p>
      <w:pPr>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本表是本招标项目的具体资料，是对供应商须知的具体补充和修改，如有矛盾，应以本资料表为准。</w:t>
      </w:r>
    </w:p>
    <w:tbl>
      <w:tblPr>
        <w:tblStyle w:val="30"/>
        <w:tblW w:w="9260" w:type="dxa"/>
        <w:tblInd w:w="-31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12"/>
        <w:gridCol w:w="82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ind w:left="1080" w:leftChars="257" w:hanging="54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采购人：</w:t>
            </w:r>
            <w:r>
              <w:rPr>
                <w:rFonts w:hint="eastAsia" w:ascii="宋体" w:hAnsi="宋体" w:cs="宋体"/>
                <w:color w:val="auto"/>
                <w:sz w:val="24"/>
                <w:szCs w:val="24"/>
                <w:highlight w:val="none"/>
                <w:lang w:val="en-US" w:eastAsia="zh-CN"/>
              </w:rPr>
              <w:t>喀什地区第一人民医院</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曹林岚</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联系电话：</w:t>
            </w:r>
            <w:r>
              <w:rPr>
                <w:rFonts w:hint="eastAsia" w:ascii="宋体" w:hAnsi="宋体" w:cs="宋体"/>
                <w:color w:val="auto"/>
                <w:sz w:val="24"/>
                <w:szCs w:val="24"/>
                <w:highlight w:val="none"/>
                <w:lang w:eastAsia="zh-CN"/>
              </w:rPr>
              <w:t>0998-2962911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9"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r>
              <w:rPr>
                <w:rFonts w:hint="eastAsia" w:ascii="宋体" w:hAnsi="宋体" w:eastAsia="宋体" w:cs="宋体"/>
                <w:color w:val="auto"/>
                <w:sz w:val="24"/>
                <w:szCs w:val="24"/>
                <w:highlight w:val="none"/>
                <w:lang w:val="en-US" w:eastAsia="zh-CN"/>
              </w:rPr>
              <w:t>新疆方通招标有限责任公司</w:t>
            </w:r>
          </w:p>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业务联系人：</w:t>
            </w:r>
            <w:r>
              <w:rPr>
                <w:rFonts w:hint="eastAsia" w:ascii="宋体" w:hAnsi="宋体" w:cs="宋体"/>
                <w:color w:val="auto"/>
                <w:sz w:val="24"/>
                <w:szCs w:val="24"/>
                <w:highlight w:val="none"/>
                <w:lang w:eastAsia="zh-CN"/>
              </w:rPr>
              <w:t>蒲齐</w:t>
            </w:r>
            <w:r>
              <w:rPr>
                <w:rFonts w:hint="eastAsia" w:ascii="宋体" w:hAnsi="宋体" w:eastAsia="宋体" w:cs="宋体"/>
                <w:color w:val="auto"/>
                <w:sz w:val="24"/>
                <w:szCs w:val="24"/>
                <w:highlight w:val="none"/>
              </w:rPr>
              <w:t xml:space="preserve">　   联系电话： </w:t>
            </w:r>
            <w:r>
              <w:rPr>
                <w:rFonts w:hint="eastAsia" w:ascii="宋体" w:hAnsi="宋体" w:cs="宋体"/>
                <w:color w:val="auto"/>
                <w:sz w:val="24"/>
                <w:szCs w:val="24"/>
                <w:highlight w:val="none"/>
                <w:u w:val="single"/>
                <w:lang w:val="en-US" w:eastAsia="zh-CN"/>
              </w:rPr>
              <w:t>13565376211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8248" w:type="dxa"/>
            <w:vAlign w:val="center"/>
          </w:tcPr>
          <w:p>
            <w:pPr>
              <w:keepNext w:val="0"/>
              <w:keepLines w:val="0"/>
              <w:pageBreakBefore w:val="0"/>
              <w:widowControl/>
              <w:shd w:val="clear"/>
              <w:kinsoku/>
              <w:wordWrap/>
              <w:overflowPunct/>
              <w:topLinePunct w:val="0"/>
              <w:autoSpaceDE/>
              <w:autoSpaceDN/>
              <w:bidi w:val="0"/>
              <w:adjustRightInd/>
              <w:snapToGrid w:val="0"/>
              <w:spacing w:line="360" w:lineRule="exact"/>
              <w:jc w:val="left"/>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合格供应商的其他资格要求：</w:t>
            </w:r>
            <w:r>
              <w:rPr>
                <w:rFonts w:hint="eastAsia" w:ascii="宋体" w:hAnsi="宋体" w:eastAsia="宋体" w:cs="宋体"/>
                <w:b/>
                <w:bCs/>
                <w:color w:val="auto"/>
                <w:sz w:val="24"/>
                <w:szCs w:val="24"/>
                <w:highlight w:val="none"/>
                <w:lang w:val="en-US" w:eastAsia="zh-CN"/>
              </w:rPr>
              <w:t>（须将以下资格证明材料附在投标文件中）</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（1）</w:t>
            </w:r>
            <w:r>
              <w:rPr>
                <w:rFonts w:hint="eastAsia" w:ascii="宋体" w:hAnsi="宋体" w:cs="宋体"/>
                <w:b/>
                <w:bCs/>
                <w:i w:val="0"/>
                <w:caps w:val="0"/>
                <w:color w:val="auto"/>
                <w:spacing w:val="0"/>
                <w:w w:val="100"/>
                <w:sz w:val="24"/>
                <w:szCs w:val="24"/>
                <w:highlight w:val="none"/>
                <w:lang w:val="en-US" w:eastAsia="zh-CN"/>
              </w:rPr>
              <w:t>合格有效的三证合一的营业执照（三证合一）或电子营业执照（需加盖公章）或同等法律效力的证明文件（发证机关或公证机关出具的证明材料）</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cs="宋体"/>
                <w:b/>
                <w:bCs/>
                <w:i w:val="0"/>
                <w:caps w:val="0"/>
                <w:color w:val="auto"/>
                <w:spacing w:val="0"/>
                <w:w w:val="100"/>
                <w:sz w:val="24"/>
                <w:szCs w:val="24"/>
                <w:highlight w:val="none"/>
                <w:lang w:val="en-US" w:eastAsia="zh-CN"/>
              </w:rPr>
              <w:t>（2）</w:t>
            </w:r>
            <w:r>
              <w:rPr>
                <w:rFonts w:hint="eastAsia" w:ascii="宋体" w:hAnsi="宋体" w:eastAsia="宋体" w:cs="宋体"/>
                <w:b/>
                <w:bCs/>
                <w:i w:val="0"/>
                <w:caps w:val="0"/>
                <w:color w:val="auto"/>
                <w:spacing w:val="0"/>
                <w:w w:val="100"/>
                <w:sz w:val="24"/>
                <w:szCs w:val="24"/>
                <w:highlight w:val="none"/>
                <w:lang w:val="en-US" w:eastAsia="zh-CN"/>
              </w:rPr>
              <w:t>法定代表人资格证明及授权书、被授权人身份证(法定代表人投标需提供法定代表人身份证)；</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3</w:t>
            </w:r>
            <w:r>
              <w:rPr>
                <w:rFonts w:hint="eastAsia" w:ascii="宋体" w:hAnsi="宋体" w:eastAsia="宋体" w:cs="宋体"/>
                <w:b/>
                <w:bCs/>
                <w:i w:val="0"/>
                <w:caps w:val="0"/>
                <w:color w:val="auto"/>
                <w:spacing w:val="0"/>
                <w:w w:val="100"/>
                <w:sz w:val="24"/>
                <w:szCs w:val="24"/>
                <w:highlight w:val="none"/>
                <w:lang w:val="en-US" w:eastAsia="zh-CN"/>
              </w:rPr>
              <w:t>）提供近两年内任意一年的财务审计报告（新成立未满一年的新公司可提供近三个月内任意一个月的银行资信证明）；</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4</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依法缴纳近六个月内任意一个月社会保险证明</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5</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依法缴纳近六个月内任意一个月税收证明</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6</w:t>
            </w:r>
            <w:r>
              <w:rPr>
                <w:rFonts w:hint="eastAsia" w:ascii="宋体" w:hAnsi="宋体" w:eastAsia="宋体" w:cs="宋体"/>
                <w:b/>
                <w:bCs/>
                <w:i w:val="0"/>
                <w:caps w:val="0"/>
                <w:color w:val="auto"/>
                <w:spacing w:val="0"/>
                <w:w w:val="100"/>
                <w:sz w:val="24"/>
                <w:szCs w:val="24"/>
                <w:highlight w:val="none"/>
                <w:lang w:val="en-US" w:eastAsia="zh-CN"/>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w:t>
            </w:r>
            <w:r>
              <w:rPr>
                <w:rFonts w:hint="eastAsia" w:ascii="宋体" w:hAnsi="宋体" w:cs="宋体"/>
                <w:b/>
                <w:bCs/>
                <w:i w:val="0"/>
                <w:caps w:val="0"/>
                <w:color w:val="auto"/>
                <w:spacing w:val="0"/>
                <w:w w:val="100"/>
                <w:sz w:val="24"/>
                <w:szCs w:val="24"/>
                <w:highlight w:val="none"/>
                <w:lang w:val="en-US" w:eastAsia="zh-CN"/>
              </w:rPr>
              <w:t>列入严重违法失信名单（黑名单）信息；将拒绝其参加本次招标活动</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以采购代理机构或采购人查询为准</w:t>
            </w:r>
            <w:r>
              <w:rPr>
                <w:rFonts w:hint="eastAsia" w:ascii="宋体" w:hAnsi="宋体" w:eastAsia="宋体" w:cs="宋体"/>
                <w:b/>
                <w:bCs/>
                <w:i w:val="0"/>
                <w:caps w:val="0"/>
                <w:color w:val="auto"/>
                <w:spacing w:val="0"/>
                <w:w w:val="10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7</w:t>
            </w:r>
            <w:r>
              <w:rPr>
                <w:rFonts w:hint="eastAsia" w:ascii="宋体" w:hAnsi="宋体" w:eastAsia="宋体" w:cs="宋体"/>
                <w:b/>
                <w:bCs/>
                <w:i w:val="0"/>
                <w:caps w:val="0"/>
                <w:color w:val="auto"/>
                <w:spacing w:val="0"/>
                <w:w w:val="100"/>
                <w:sz w:val="24"/>
                <w:szCs w:val="24"/>
                <w:highlight w:val="none"/>
                <w:lang w:val="en-US" w:eastAsia="zh-CN"/>
              </w:rPr>
              <w:t>）参与政府采购活动前3年内未被列入失信、重大税收违法案件、财政部门禁止参加政府采购活动的承诺书；</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eastAsia="zh-CN"/>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8</w:t>
            </w:r>
            <w:r>
              <w:rPr>
                <w:rFonts w:hint="eastAsia" w:ascii="宋体" w:hAnsi="宋体" w:eastAsia="宋体" w:cs="宋体"/>
                <w:b/>
                <w:bCs/>
                <w:i w:val="0"/>
                <w:caps w:val="0"/>
                <w:color w:val="auto"/>
                <w:spacing w:val="0"/>
                <w:w w:val="100"/>
                <w:sz w:val="24"/>
                <w:szCs w:val="24"/>
                <w:highlight w:val="none"/>
                <w:lang w:val="en-US" w:eastAsia="zh-CN"/>
              </w:rPr>
              <w:t>）提供针对本次项目的《反商业贿赂承诺书》</w:t>
            </w:r>
            <w:r>
              <w:rPr>
                <w:rFonts w:hint="eastAsia" w:ascii="宋体" w:hAnsi="宋体" w:eastAsia="宋体" w:cs="宋体"/>
                <w:b/>
                <w:bCs/>
                <w:i w:val="0"/>
                <w:caps w:val="0"/>
                <w:color w:val="auto"/>
                <w:spacing w:val="0"/>
                <w:w w:val="100"/>
                <w:sz w:val="24"/>
                <w:szCs w:val="24"/>
                <w:highlight w:val="none"/>
                <w:lang w:eastAsia="zh-CN"/>
              </w:rPr>
              <w:t>；</w:t>
            </w:r>
          </w:p>
          <w:p>
            <w:pPr>
              <w:pStyle w:val="23"/>
              <w:pageBreakBefore w:val="0"/>
              <w:kinsoku/>
              <w:wordWrap/>
              <w:overflowPunct/>
              <w:topLinePunct w:val="0"/>
              <w:bidi w:val="0"/>
              <w:spacing w:line="360" w:lineRule="exact"/>
              <w:rPr>
                <w:rFonts w:hint="eastAsia" w:ascii="宋体" w:hAnsi="宋体" w:eastAsia="宋体" w:cs="宋体"/>
                <w:b/>
                <w:bCs/>
                <w:i w:val="0"/>
                <w:caps w:val="0"/>
                <w:color w:val="auto"/>
                <w:spacing w:val="0"/>
                <w:w w:val="100"/>
                <w:kern w:val="2"/>
                <w:sz w:val="24"/>
                <w:szCs w:val="24"/>
                <w:highlight w:val="none"/>
                <w:lang w:val="en-US" w:eastAsia="zh-CN" w:bidi="ar-SA"/>
              </w:rPr>
            </w:pP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cs="宋体"/>
                <w:b/>
                <w:bCs/>
                <w:i w:val="0"/>
                <w:caps w:val="0"/>
                <w:color w:val="auto"/>
                <w:spacing w:val="0"/>
                <w:w w:val="100"/>
                <w:sz w:val="24"/>
                <w:szCs w:val="24"/>
                <w:highlight w:val="none"/>
                <w:lang w:val="en-US" w:eastAsia="zh-CN"/>
              </w:rPr>
              <w:t>9</w:t>
            </w:r>
            <w:r>
              <w:rPr>
                <w:rFonts w:hint="eastAsia" w:ascii="宋体" w:hAnsi="宋体" w:eastAsia="宋体" w:cs="宋体"/>
                <w:b/>
                <w:bCs/>
                <w:i w:val="0"/>
                <w:caps w:val="0"/>
                <w:color w:val="auto"/>
                <w:spacing w:val="0"/>
                <w:w w:val="100"/>
                <w:sz w:val="24"/>
                <w:szCs w:val="24"/>
                <w:highlight w:val="none"/>
                <w:lang w:val="en-US" w:eastAsia="zh-CN"/>
              </w:rPr>
              <w:t>）</w:t>
            </w:r>
            <w:r>
              <w:rPr>
                <w:rFonts w:hint="eastAsia" w:ascii="宋体" w:hAnsi="宋体" w:eastAsia="宋体" w:cs="宋体"/>
                <w:b/>
                <w:bCs/>
                <w:i w:val="0"/>
                <w:caps w:val="0"/>
                <w:color w:val="auto"/>
                <w:spacing w:val="0"/>
                <w:w w:val="100"/>
                <w:kern w:val="2"/>
                <w:sz w:val="24"/>
                <w:szCs w:val="24"/>
                <w:highlight w:val="none"/>
                <w:lang w:val="en-US" w:eastAsia="zh-CN" w:bidi="ar-SA"/>
              </w:rPr>
              <w:t>缴纳投标保证金的有效凭证。</w:t>
            </w:r>
          </w:p>
          <w:p>
            <w:pPr>
              <w:keepNext w:val="0"/>
              <w:keepLines w:val="0"/>
              <w:pageBreakBefore w:val="0"/>
              <w:widowControl/>
              <w:kinsoku/>
              <w:wordWrap/>
              <w:overflowPunct/>
              <w:topLinePunct w:val="0"/>
              <w:autoSpaceDE/>
              <w:autoSpaceDN/>
              <w:bidi w:val="0"/>
              <w:adjustRightInd/>
              <w:snapToGrid/>
              <w:spacing w:before="0" w:beforeAutospacing="0" w:after="0" w:afterAutospacing="0" w:line="36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i w:val="0"/>
                <w:caps w:val="0"/>
                <w:color w:val="auto"/>
                <w:spacing w:val="0"/>
                <w:w w:val="100"/>
                <w:sz w:val="24"/>
                <w:szCs w:val="24"/>
                <w:highlight w:val="none"/>
              </w:rPr>
              <w:t>各供应商应注意以下事项：①本项目要求各投标供应商提供“</w:t>
            </w:r>
            <w:r>
              <w:rPr>
                <w:rFonts w:hint="eastAsia" w:ascii="宋体" w:hAnsi="宋体" w:cs="宋体"/>
                <w:b/>
                <w:bCs/>
                <w:i w:val="0"/>
                <w:caps w:val="0"/>
                <w:color w:val="auto"/>
                <w:spacing w:val="0"/>
                <w:w w:val="100"/>
                <w:sz w:val="24"/>
                <w:szCs w:val="24"/>
                <w:highlight w:val="none"/>
                <w:lang w:eastAsia="zh-CN"/>
              </w:rPr>
              <w:t>依法缴纳近六个月内任意一个月税收证明</w:t>
            </w:r>
            <w:r>
              <w:rPr>
                <w:rFonts w:hint="eastAsia" w:ascii="宋体" w:hAnsi="宋体" w:eastAsia="宋体" w:cs="宋体"/>
                <w:b/>
                <w:bCs/>
                <w:i w:val="0"/>
                <w:caps w:val="0"/>
                <w:color w:val="auto"/>
                <w:spacing w:val="0"/>
                <w:w w:val="100"/>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2"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 xml:space="preserve">1.3.5   </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是否允许采购进口产品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是否为专门面向中小企业采购：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是否允许联合体投标：</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i w:val="0"/>
                <w:iCs/>
                <w:color w:val="auto"/>
                <w:sz w:val="24"/>
                <w:szCs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824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预算金额：</w:t>
            </w:r>
            <w:r>
              <w:rPr>
                <w:rFonts w:hint="eastAsia"/>
                <w:sz w:val="24"/>
                <w:szCs w:val="32"/>
                <w:lang w:val="en-US" w:eastAsia="zh-CN"/>
              </w:rPr>
              <w:t>665000.00元/年</w:t>
            </w:r>
          </w:p>
          <w:p>
            <w:pPr>
              <w:keepNext w:val="0"/>
              <w:keepLines w:val="0"/>
              <w:pageBreakBefore w:val="0"/>
              <w:widowControl w:val="0"/>
              <w:shd w:val="clear" w:color="auto" w:fill="auto"/>
              <w:kinsoku/>
              <w:wordWrap/>
              <w:overflowPunct/>
              <w:topLinePunct w:val="0"/>
              <w:autoSpaceDE/>
              <w:autoSpaceDN/>
              <w:bidi w:val="0"/>
              <w:adjustRightInd/>
              <w:snapToGrid/>
              <w:spacing w:beforeAutospacing="0" w:afterAutospacing="0" w:line="400" w:lineRule="exact"/>
              <w:textAlignment w:val="auto"/>
              <w:outlineLvl w:val="9"/>
              <w:rPr>
                <w:rFonts w:hint="default"/>
                <w:lang w:val="en-US" w:eastAsia="zh-CN"/>
              </w:rPr>
            </w:pPr>
            <w:r>
              <w:rPr>
                <w:rFonts w:hint="default" w:eastAsia="宋体" w:cs="Times New Roman"/>
                <w:lang w:val="en-US" w:eastAsia="zh-CN"/>
              </w:rPr>
              <w:t>采购需求：OPTIMA CT680维保服务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824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投标保证金</w:t>
            </w:r>
            <w:r>
              <w:rPr>
                <w:rFonts w:hint="eastAsia" w:ascii="宋体" w:hAnsi="宋体" w:eastAsia="宋体" w:cs="宋体"/>
                <w:b w:val="0"/>
                <w:bCs w:val="0"/>
                <w:color w:val="auto"/>
                <w:sz w:val="24"/>
                <w:szCs w:val="24"/>
                <w:highlight w:val="none"/>
                <w:lang w:val="en-US" w:eastAsia="zh-CN"/>
              </w:rPr>
              <w:t>形式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☑保函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电汇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对公转账  </w:t>
            </w:r>
          </w:p>
          <w:p>
            <w:pPr>
              <w:pStyle w:val="23"/>
              <w:rPr>
                <w:rFonts w:hint="default" w:eastAsia="宋体"/>
                <w:color w:val="auto"/>
                <w:highlight w:val="none"/>
                <w:lang w:val="en-US" w:eastAsia="zh-CN"/>
              </w:rPr>
            </w:pP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保证金金额：</w:t>
            </w:r>
            <w:r>
              <w:rPr>
                <w:rFonts w:hint="eastAsia" w:ascii="宋体" w:hAnsi="宋体" w:cs="宋体"/>
                <w:b w:val="0"/>
                <w:bCs w:val="0"/>
                <w:color w:val="auto"/>
                <w:sz w:val="24"/>
                <w:szCs w:val="24"/>
                <w:highlight w:val="none"/>
                <w:lang w:val="en-US" w:eastAsia="zh-CN"/>
              </w:rPr>
              <w:t>10000元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预算</w:t>
            </w:r>
            <w:r>
              <w:rPr>
                <w:rFonts w:hint="eastAsia" w:ascii="宋体" w:hAnsi="宋体" w:eastAsia="宋体" w:cs="宋体"/>
                <w:color w:val="auto"/>
                <w:sz w:val="24"/>
                <w:szCs w:val="24"/>
                <w:highlight w:val="none"/>
              </w:rPr>
              <w:t>金额2%以内的整数计算）</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保证金收款人：</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单位名称：</w:t>
            </w:r>
            <w:r>
              <w:rPr>
                <w:rFonts w:hint="eastAsia" w:ascii="宋体" w:hAnsi="宋体" w:eastAsia="宋体" w:cs="宋体"/>
                <w:b/>
                <w:bCs/>
                <w:color w:val="auto"/>
                <w:sz w:val="24"/>
                <w:szCs w:val="24"/>
                <w:highlight w:val="none"/>
                <w:lang w:val="en-US" w:eastAsia="zh-CN"/>
              </w:rPr>
              <w:t>新疆方通招标有限责任公司</w:t>
            </w:r>
          </w:p>
          <w:p>
            <w:pPr>
              <w:keepNext w:val="0"/>
              <w:keepLines w:val="0"/>
              <w:pageBreakBefore w:val="0"/>
              <w:kinsoku/>
              <w:wordWrap/>
              <w:overflowPunct/>
              <w:topLinePunct w:val="0"/>
              <w:autoSpaceDE/>
              <w:autoSpaceDN/>
              <w:bidi w:val="0"/>
              <w:adjustRightInd/>
              <w:spacing w:line="360" w:lineRule="exact"/>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开 户 行：</w:t>
            </w:r>
            <w:r>
              <w:rPr>
                <w:rFonts w:hint="eastAsia" w:ascii="宋体" w:hAnsi="宋体" w:cs="宋体"/>
                <w:b/>
                <w:bCs/>
                <w:color w:val="auto"/>
                <w:sz w:val="24"/>
                <w:szCs w:val="24"/>
                <w:highlight w:val="none"/>
                <w:lang w:val="en-US" w:eastAsia="zh-CN"/>
              </w:rPr>
              <w:t>中国建设银行股份有限公司喀什经济开发区支行</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   号：</w:t>
            </w:r>
            <w:r>
              <w:rPr>
                <w:rFonts w:hint="eastAsia" w:ascii="宋体" w:hAnsi="宋体" w:cs="宋体"/>
                <w:b/>
                <w:bCs/>
                <w:color w:val="auto"/>
                <w:sz w:val="24"/>
                <w:szCs w:val="24"/>
                <w:highlight w:val="none"/>
                <w:lang w:val="en-US" w:eastAsia="zh-CN"/>
              </w:rPr>
              <w:t>65050111052900000142</w:t>
            </w:r>
            <w:r>
              <w:rPr>
                <w:rFonts w:hint="eastAsia" w:ascii="宋体" w:hAnsi="宋体" w:eastAsia="宋体" w:cs="宋体"/>
                <w:b/>
                <w:bCs/>
                <w:color w:val="auto"/>
                <w:sz w:val="24"/>
                <w:szCs w:val="24"/>
                <w:highlight w:val="none"/>
              </w:rPr>
              <w:t>（电汇时请在汇款备注栏注明项目名称及包号（如有），并注明是投标保证金，否则视为无效投标保证金）     </w:t>
            </w:r>
          </w:p>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A:缴纳</w:t>
            </w:r>
            <w:r>
              <w:rPr>
                <w:rFonts w:hint="eastAsia" w:ascii="宋体" w:hAnsi="宋体" w:eastAsia="宋体" w:cs="宋体"/>
                <w:b/>
                <w:bCs/>
                <w:color w:val="auto"/>
                <w:sz w:val="24"/>
                <w:szCs w:val="24"/>
                <w:highlight w:val="none"/>
                <w:lang w:val="en-US" w:eastAsia="zh-CN"/>
              </w:rPr>
              <w:t>投标保证金</w:t>
            </w:r>
            <w:r>
              <w:rPr>
                <w:rFonts w:hint="eastAsia" w:ascii="宋体" w:hAnsi="宋体" w:eastAsia="宋体" w:cs="宋体"/>
                <w:b/>
                <w:bCs/>
                <w:color w:val="auto"/>
                <w:sz w:val="24"/>
                <w:szCs w:val="24"/>
                <w:highlight w:val="none"/>
              </w:rPr>
              <w:t>保证金要求：投标保证金必须在开标前交到</w:t>
            </w:r>
            <w:r>
              <w:rPr>
                <w:rFonts w:hint="eastAsia" w:ascii="宋体" w:hAnsi="宋体" w:eastAsia="宋体" w:cs="宋体"/>
                <w:b/>
                <w:bCs/>
                <w:color w:val="auto"/>
                <w:sz w:val="24"/>
                <w:szCs w:val="24"/>
                <w:highlight w:val="none"/>
                <w:lang w:val="en-US" w:eastAsia="zh-CN"/>
              </w:rPr>
              <w:t>新疆方通招标有限责任公司</w:t>
            </w:r>
            <w:r>
              <w:rPr>
                <w:rFonts w:hint="eastAsia" w:ascii="宋体" w:hAnsi="宋体" w:eastAsia="宋体" w:cs="宋体"/>
                <w:b/>
                <w:bCs/>
                <w:color w:val="auto"/>
                <w:sz w:val="24"/>
                <w:szCs w:val="24"/>
                <w:highlight w:val="none"/>
              </w:rPr>
              <w:t>账户中。不接受现金、支票及任何个人、分公司汇款</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供应商向银行办理保证金汇（转）款时，应在用途栏（备注栏）注明项目名称及包号（如有），并注明是投标保证金字样，如填写字数有要求可简写项目名称与包号（如有），由于未按要求注明信息而导致的一切后果由供应商自行承担。</w:t>
            </w:r>
          </w:p>
          <w:p>
            <w:pPr>
              <w:keepNext w:val="0"/>
              <w:keepLines w:val="0"/>
              <w:pageBreakBefore w:val="0"/>
              <w:kinsoku/>
              <w:wordWrap/>
              <w:overflowPunct/>
              <w:topLinePunct w:val="0"/>
              <w:autoSpaceDE/>
              <w:autoSpaceDN/>
              <w:bidi w:val="0"/>
              <w:adjustRightInd/>
              <w:spacing w:line="36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B：退</w:t>
            </w:r>
            <w:r>
              <w:rPr>
                <w:rFonts w:hint="eastAsia" w:ascii="宋体" w:hAnsi="宋体" w:eastAsia="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rPr>
              <w:t>保证金：（1）根据《中华人民共和国财政部令第87号--政府采购货物和货物招标投标管理办法》第三十八条</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在投标截止时间前撤回已提交的投标文件的，采购人或者采购代理机构应当自收到</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书面撤回通知之日起５个工作日内，退还已收取的投标保证金，但因</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自身原因导致无法及时退还的除外。采购人或者采购代理机构应当自中标通知书发出之日起5个工作日内退还未</w:t>
            </w:r>
            <w:r>
              <w:rPr>
                <w:rFonts w:hint="eastAsia" w:ascii="宋体" w:hAnsi="宋体" w:cs="宋体"/>
                <w:b/>
                <w:bCs/>
                <w:color w:val="auto"/>
                <w:sz w:val="24"/>
                <w:szCs w:val="24"/>
                <w:highlight w:val="none"/>
                <w:lang w:val="en-US" w:eastAsia="zh-CN"/>
              </w:rPr>
              <w:t>中标供应商</w:t>
            </w:r>
            <w:r>
              <w:rPr>
                <w:rFonts w:hint="eastAsia" w:ascii="宋体" w:hAnsi="宋体" w:eastAsia="宋体" w:cs="宋体"/>
                <w:b/>
                <w:bCs/>
                <w:color w:val="auto"/>
                <w:sz w:val="24"/>
                <w:szCs w:val="24"/>
                <w:highlight w:val="none"/>
              </w:rPr>
              <w:t>的投标保证金，自采购合同签订之日起5个工作日内退还</w:t>
            </w:r>
            <w:r>
              <w:rPr>
                <w:rFonts w:hint="eastAsia" w:ascii="宋体" w:hAnsi="宋体" w:cs="宋体"/>
                <w:b/>
                <w:bCs/>
                <w:color w:val="auto"/>
                <w:sz w:val="24"/>
                <w:szCs w:val="24"/>
                <w:highlight w:val="none"/>
                <w:lang w:val="en-US" w:eastAsia="zh-CN"/>
              </w:rPr>
              <w:t>中标供应商</w:t>
            </w:r>
            <w:r>
              <w:rPr>
                <w:rFonts w:hint="eastAsia" w:ascii="宋体" w:hAnsi="宋体" w:eastAsia="宋体" w:cs="宋体"/>
                <w:b/>
                <w:bCs/>
                <w:color w:val="auto"/>
                <w:sz w:val="24"/>
                <w:szCs w:val="24"/>
                <w:highlight w:val="none"/>
              </w:rPr>
              <w:t>的投标保证金。</w:t>
            </w:r>
          </w:p>
          <w:p>
            <w:pPr>
              <w:keepNext w:val="0"/>
              <w:keepLines w:val="0"/>
              <w:pageBreakBefore w:val="0"/>
              <w:numPr>
                <w:ilvl w:val="0"/>
                <w:numId w:val="0"/>
              </w:numPr>
              <w:kinsoku/>
              <w:wordWrap/>
              <w:overflowPunct/>
              <w:topLinePunct w:val="0"/>
              <w:autoSpaceDE/>
              <w:autoSpaceDN/>
              <w:bidi w:val="0"/>
              <w:adjustRightInd/>
              <w:spacing w:line="36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fldChar w:fldCharType="begin"/>
            </w:r>
            <w:r>
              <w:rPr>
                <w:rFonts w:hint="eastAsia" w:ascii="宋体" w:hAnsi="宋体" w:eastAsia="宋体" w:cs="宋体"/>
                <w:b/>
                <w:bCs/>
                <w:color w:val="auto"/>
                <w:sz w:val="24"/>
                <w:szCs w:val="24"/>
                <w:highlight w:val="none"/>
                <w:lang w:val="en-US" w:eastAsia="zh-CN"/>
              </w:rPr>
              <w:instrText xml:space="preserve"> HYPERLINK "mailto:中标供应商的投标保证金在与采购单位签订合同后，把合同扫描件发送至邮箱2783389030@qq.com后，当日或次日即原账户退回。" </w:instrText>
            </w:r>
            <w:r>
              <w:rPr>
                <w:rFonts w:hint="eastAsia" w:ascii="宋体" w:hAnsi="宋体" w:eastAsia="宋体" w:cs="宋体"/>
                <w:b/>
                <w:bCs/>
                <w:color w:val="auto"/>
                <w:sz w:val="24"/>
                <w:szCs w:val="24"/>
                <w:highlight w:val="none"/>
                <w:lang w:val="en-US" w:eastAsia="zh-CN"/>
              </w:rPr>
              <w:fldChar w:fldCharType="separate"/>
            </w:r>
            <w:r>
              <w:rPr>
                <w:rFonts w:hint="eastAsia" w:ascii="宋体" w:hAnsi="宋体" w:eastAsia="宋体" w:cs="宋体"/>
                <w:b/>
                <w:bCs/>
                <w:color w:val="auto"/>
                <w:sz w:val="24"/>
                <w:szCs w:val="24"/>
                <w:highlight w:val="none"/>
                <w:lang w:val="en-US" w:eastAsia="zh-CN"/>
              </w:rPr>
              <w:t>中标供应商的投标保证金在与采购单位签订合同后，把合同扫描件发送至邮箱</w:t>
            </w:r>
            <w:r>
              <w:rPr>
                <w:rFonts w:hint="eastAsia" w:ascii="宋体" w:hAnsi="宋体" w:cs="宋体"/>
                <w:b/>
                <w:bCs/>
                <w:color w:val="auto"/>
                <w:sz w:val="24"/>
                <w:szCs w:val="24"/>
                <w:highlight w:val="none"/>
                <w:lang w:val="en-US" w:eastAsia="zh-CN"/>
              </w:rPr>
              <w:t>542757793</w:t>
            </w:r>
            <w:r>
              <w:rPr>
                <w:rFonts w:hint="eastAsia" w:ascii="宋体" w:hAnsi="宋体" w:eastAsia="宋体" w:cs="宋体"/>
                <w:b/>
                <w:bCs/>
                <w:color w:val="auto"/>
                <w:sz w:val="24"/>
                <w:szCs w:val="24"/>
                <w:highlight w:val="none"/>
                <w:lang w:val="en-US" w:eastAsia="zh-CN"/>
              </w:rPr>
              <w:t>@qq.com后，当日或次日即原账户退回。</w:t>
            </w:r>
            <w:r>
              <w:rPr>
                <w:rFonts w:hint="eastAsia" w:ascii="宋体" w:hAnsi="宋体" w:eastAsia="宋体" w:cs="宋体"/>
                <w:b/>
                <w:bCs/>
                <w:color w:val="auto"/>
                <w:sz w:val="24"/>
                <w:szCs w:val="24"/>
                <w:highlight w:val="none"/>
                <w:lang w:val="en-US" w:eastAsia="zh-CN"/>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投标有效期：</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p>
        </w:tc>
        <w:tc>
          <w:tcPr>
            <w:tcW w:w="8248" w:type="dxa"/>
            <w:vAlign w:val="center"/>
          </w:tcPr>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（2）本项目实行网上投标，采用电子投标文件(供应商须使用CA加密设备通过政采云电子投标客户端制作投标文件)。若供应商参与投标，自行承担投标一切费用。</w:t>
            </w:r>
          </w:p>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（5）供应商在开标时须使用制作加密电子投标文件所使用的CA锁及电脑，电脑须提前配置好浏览器（建议使用360浏览器或谷歌浏览器），以便开标时解锁。</w:t>
            </w:r>
          </w:p>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（6）投标保证金缴纳及确认时间：凡拟参加本次招标项目的供应商，必须在开标前将投标保证金汇入指定账户。否则，届时其投标将被拒绝。</w:t>
            </w:r>
          </w:p>
          <w:p>
            <w:pPr>
              <w:spacing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shd w:val="clear"/>
              <w:spacing w:beforeAutospacing="0" w:afterAutospacing="0"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8）各供应商须在投标截止时间前完成在系统上递交电子投标文件。投标供应商的电子投标文件是经过CA证书加密后上传提交的，任何单位或个人均无法在投标截止时间(即投标时间)之前查看或篡改，不存在泄密风险。（严格按照政采云电子投标流程制作并上传完整版的电子投标文件后缀为.bfbs，包含第一部分开标一览表及资格证明文件、第二部分商务及技术文件）</w:t>
            </w:r>
          </w:p>
          <w:p>
            <w:pPr>
              <w:shd w:val="clear"/>
              <w:spacing w:beforeAutospacing="0" w:afterAutospacing="0" w:line="400" w:lineRule="exact"/>
              <w:jc w:val="left"/>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9）各供应商应完整地按招标文件提供的投标文件格式及要求编写投标文件，根据平台关联点上传对应佐证资料，投标文件应包括“开标一览表及资格证明文件”和“商务及技术文件”两部分，两部分合并成完整一册上传至政采云平台。</w:t>
            </w:r>
          </w:p>
          <w:p>
            <w:pPr>
              <w:pStyle w:val="23"/>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lang w:val="en-US" w:eastAsia="zh-CN"/>
              </w:rPr>
              <w:t>（10）解密时长为30分钟，超出解密时长，作无效投标处理。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投标截止时间：</w:t>
            </w:r>
            <w:r>
              <w:rPr>
                <w:rFonts w:hint="eastAsia" w:ascii="宋体" w:hAnsi="宋体" w:cs="宋体"/>
                <w:b/>
                <w:bCs/>
                <w:color w:val="auto"/>
                <w:sz w:val="24"/>
                <w:szCs w:val="24"/>
                <w:highlight w:val="none"/>
                <w:lang w:eastAsia="zh-CN"/>
              </w:rPr>
              <w:t>2023年</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18</w:t>
            </w:r>
            <w:r>
              <w:rPr>
                <w:rFonts w:hint="eastAsia" w:ascii="宋体" w:hAnsi="宋体" w:cs="宋体"/>
                <w:b/>
                <w:bCs/>
                <w:color w:val="auto"/>
                <w:sz w:val="24"/>
                <w:szCs w:val="24"/>
                <w:highlight w:val="none"/>
                <w:lang w:eastAsia="zh-CN"/>
              </w:rPr>
              <w:t>日</w:t>
            </w: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00</w:t>
            </w:r>
            <w:r>
              <w:rPr>
                <w:rFonts w:hint="eastAsia" w:ascii="宋体" w:hAnsi="宋体" w:eastAsia="宋体" w:cs="宋体"/>
                <w:b/>
                <w:bCs/>
                <w:color w:val="auto"/>
                <w:sz w:val="24"/>
                <w:szCs w:val="24"/>
                <w:highlight w:val="none"/>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开标时间：</w:t>
            </w:r>
            <w:r>
              <w:rPr>
                <w:rFonts w:hint="eastAsia" w:ascii="宋体" w:hAnsi="宋体" w:cs="宋体"/>
                <w:b/>
                <w:bCs/>
                <w:color w:val="auto"/>
                <w:sz w:val="24"/>
                <w:szCs w:val="24"/>
                <w:highlight w:val="none"/>
                <w:lang w:eastAsia="zh-CN"/>
              </w:rPr>
              <w:t>2023年</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18</w:t>
            </w:r>
            <w:r>
              <w:rPr>
                <w:rFonts w:hint="eastAsia" w:ascii="宋体" w:hAnsi="宋体" w:cs="宋体"/>
                <w:b/>
                <w:bCs/>
                <w:color w:val="auto"/>
                <w:sz w:val="24"/>
                <w:szCs w:val="24"/>
                <w:highlight w:val="none"/>
                <w:lang w:eastAsia="zh-CN"/>
              </w:rPr>
              <w:t>日</w:t>
            </w:r>
            <w:r>
              <w:rPr>
                <w:rFonts w:hint="eastAsia" w:ascii="宋体" w:hAnsi="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0</w:t>
            </w: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eastAsia="zh-CN"/>
              </w:rPr>
              <w:t>（北京时间）</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b/>
                <w:bCs/>
                <w:color w:val="auto"/>
                <w:sz w:val="24"/>
                <w:szCs w:val="24"/>
                <w:highlight w:val="none"/>
                <w:lang w:eastAsia="zh-CN"/>
              </w:rPr>
              <w:t>政采云平台</w:t>
            </w:r>
            <w:r>
              <w:rPr>
                <w:rFonts w:hint="eastAsia" w:ascii="宋体" w:hAnsi="宋体" w:eastAsia="宋体" w:cs="宋体"/>
                <w:b/>
                <w:bCs/>
                <w:color w:val="auto"/>
                <w:sz w:val="24"/>
                <w:szCs w:val="24"/>
                <w:highlight w:val="none"/>
              </w:rPr>
              <w:t>（https://login.zcygov.cn/user-login/#/login）</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评标方法：适用</w:t>
            </w:r>
            <w:r>
              <w:rPr>
                <w:rFonts w:hint="eastAsia" w:ascii="宋体" w:hAnsi="宋体" w:eastAsia="宋体" w:cs="宋体"/>
                <w:color w:val="auto"/>
                <w:sz w:val="24"/>
                <w:szCs w:val="24"/>
                <w:highlight w:val="none"/>
                <w:u w:val="single"/>
              </w:rPr>
              <w:t>　综合评分法　</w:t>
            </w:r>
            <w:r>
              <w:rPr>
                <w:rFonts w:hint="eastAsia" w:ascii="宋体" w:hAnsi="宋体" w:eastAsia="宋体" w:cs="宋体"/>
                <w:color w:val="auto"/>
                <w:sz w:val="24"/>
                <w:szCs w:val="24"/>
                <w:highlight w:val="none"/>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推荐中标候选供应商的数量：</w:t>
            </w:r>
            <w:r>
              <w:rPr>
                <w:rFonts w:hint="eastAsia" w:ascii="宋体" w:hAnsi="宋体" w:eastAsia="宋体" w:cs="宋体"/>
                <w:color w:val="auto"/>
                <w:sz w:val="24"/>
                <w:szCs w:val="24"/>
                <w:highlight w:val="none"/>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是否委托评标委员会直接确定中标人：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否</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履约保证金金额：合同总价的</w:t>
            </w:r>
            <w:r>
              <w:rPr>
                <w:rFonts w:hint="eastAsia" w:ascii="宋体" w:hAnsi="宋体" w:eastAsia="宋体" w:cs="宋体"/>
                <w:color w:val="auto"/>
                <w:sz w:val="24"/>
                <w:szCs w:val="24"/>
                <w:highlight w:val="none"/>
                <w:u w:val="single"/>
              </w:rPr>
              <w:t>　10%　</w:t>
            </w:r>
            <w:r>
              <w:rPr>
                <w:rFonts w:hint="eastAsia" w:ascii="宋体" w:hAnsi="宋体" w:eastAsia="宋体" w:cs="宋体"/>
                <w:color w:val="auto"/>
                <w:sz w:val="24"/>
                <w:szCs w:val="24"/>
                <w:highlight w:val="none"/>
              </w:rPr>
              <w:t>（不得超过政府采购合同金额的10%）</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履约保证金形式：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☑保函</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电汇  □支票   </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提交履约保证金的时间：签订合同前打入甲方指定账户</w:t>
            </w:r>
            <w:r>
              <w:rPr>
                <w:rFonts w:hint="eastAsia" w:ascii="宋体" w:hAnsi="宋体" w:eastAsia="宋体" w:cs="宋体"/>
                <w:color w:val="auto"/>
                <w:sz w:val="24"/>
                <w:szCs w:val="24"/>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zh-CN"/>
              </w:rPr>
              <w:t>双方可以通过协商另行约定其他退还时间和方式及用途。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招标代理</w:t>
            </w:r>
            <w:r>
              <w:rPr>
                <w:rFonts w:hint="eastAsia" w:ascii="宋体" w:hAnsi="宋体" w:eastAsia="宋体" w:cs="宋体"/>
                <w:color w:val="auto"/>
                <w:sz w:val="24"/>
                <w:szCs w:val="24"/>
                <w:highlight w:val="none"/>
              </w:rPr>
              <w:t>服务费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中标服务费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根据发改委价格[2015]299文件：经采购单位与招标代理公司协商确定，</w:t>
            </w:r>
            <w:r>
              <w:rPr>
                <w:rFonts w:hint="eastAsia" w:ascii="宋体" w:hAnsi="宋体" w:cs="宋体"/>
                <w:color w:val="auto"/>
                <w:sz w:val="24"/>
                <w:szCs w:val="24"/>
                <w:highlight w:val="none"/>
                <w:lang w:val="en-US" w:eastAsia="zh-CN"/>
              </w:rPr>
              <w:t>按照1.2%收取；</w:t>
            </w:r>
            <w:r>
              <w:rPr>
                <w:rFonts w:hint="eastAsia" w:ascii="宋体" w:hAnsi="宋体" w:eastAsia="宋体" w:cs="宋体"/>
                <w:color w:val="auto"/>
                <w:sz w:val="24"/>
                <w:szCs w:val="24"/>
                <w:highlight w:val="none"/>
                <w:lang w:val="en-US" w:eastAsia="zh-CN"/>
              </w:rPr>
              <w:t xml:space="preserve"> （由中标供应商领取中标通知书时一次性支付）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支付形式：</w:t>
            </w:r>
            <w:r>
              <w:rPr>
                <w:rFonts w:hint="eastAsia" w:ascii="宋体" w:hAnsi="宋体" w:eastAsia="宋体" w:cs="宋体"/>
                <w:color w:val="auto"/>
                <w:sz w:val="24"/>
                <w:szCs w:val="24"/>
                <w:highlight w:val="none"/>
                <w:u w:val="single"/>
              </w:rPr>
              <w:t xml:space="preserve">  对公转账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支付时间：</w:t>
            </w:r>
            <w:r>
              <w:rPr>
                <w:rFonts w:hint="eastAsia" w:ascii="宋体" w:hAnsi="宋体" w:eastAsia="宋体" w:cs="宋体"/>
                <w:color w:val="auto"/>
                <w:sz w:val="24"/>
                <w:szCs w:val="24"/>
                <w:highlight w:val="none"/>
                <w:u w:val="single"/>
              </w:rPr>
              <w:t xml:space="preserve">  领取中标通知书时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trPr>
        <w:tc>
          <w:tcPr>
            <w:tcW w:w="1012" w:type="dxa"/>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824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本项目是否属于信用担保试点范围：</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color w:val="auto"/>
                <w:sz w:val="24"/>
                <w:szCs w:val="24"/>
                <w:highlight w:val="none"/>
              </w:rPr>
              <w:t xml:space="preserve"> </w:t>
            </w:r>
            <w:r>
              <w:rPr>
                <w:rFonts w:hint="eastAsia" w:ascii="宋体" w:hAnsi="宋体" w:eastAsia="宋体" w:cs="宋体"/>
                <w:i w:val="0"/>
                <w:iCs/>
                <w:color w:val="auto"/>
                <w:sz w:val="24"/>
                <w:szCs w:val="24"/>
                <w:highlight w:val="none"/>
              </w:rPr>
              <w:t>（是、否）</w:t>
            </w:r>
          </w:p>
        </w:tc>
      </w:tr>
    </w:tbl>
    <w:p>
      <w:pPr>
        <w:tabs>
          <w:tab w:val="left" w:pos="0"/>
        </w:tabs>
        <w:spacing w:before="0" w:after="0" w:line="240" w:lineRule="atLeast"/>
        <w:outlineLvl w:val="9"/>
        <w:rPr>
          <w:rFonts w:hint="eastAsia" w:ascii="宋体" w:hAnsi="宋体" w:eastAsia="宋体" w:cs="宋体"/>
          <w:b/>
          <w:bCs/>
          <w:color w:val="auto"/>
          <w:kern w:val="0"/>
          <w:sz w:val="32"/>
          <w:szCs w:val="32"/>
          <w:highlight w:val="none"/>
          <w:lang w:val="en-US" w:eastAsia="zh-CN" w:bidi="ar-SA"/>
        </w:rPr>
      </w:pPr>
      <w:bookmarkStart w:id="1261" w:name="_Toc15092"/>
      <w:bookmarkStart w:id="1262" w:name="_Toc27053"/>
      <w:bookmarkStart w:id="1263" w:name="_Toc18118"/>
      <w:bookmarkStart w:id="1264" w:name="_Toc512937852"/>
    </w:p>
    <w:p>
      <w:pPr>
        <w:tabs>
          <w:tab w:val="left" w:pos="0"/>
        </w:tabs>
        <w:spacing w:before="0" w:after="0" w:line="240" w:lineRule="atLeast"/>
        <w:outlineLvl w:val="9"/>
        <w:rPr>
          <w:rFonts w:hint="eastAsia" w:ascii="宋体" w:hAnsi="宋体" w:eastAsia="宋体" w:cs="宋体"/>
          <w:b/>
          <w:bCs/>
          <w:color w:val="auto"/>
          <w:kern w:val="0"/>
          <w:sz w:val="32"/>
          <w:szCs w:val="32"/>
          <w:highlight w:val="none"/>
          <w:lang w:val="en-US" w:eastAsia="zh-CN" w:bidi="ar-SA"/>
        </w:rPr>
      </w:pPr>
    </w:p>
    <w:p>
      <w:pPr>
        <w:outlineLvl w:val="9"/>
        <w:rPr>
          <w:rFonts w:hint="eastAsia" w:ascii="宋体" w:hAnsi="宋体" w:eastAsia="宋体" w:cs="宋体"/>
          <w:b/>
          <w:bCs/>
          <w:color w:val="auto"/>
          <w:kern w:val="0"/>
          <w:sz w:val="32"/>
          <w:szCs w:val="32"/>
          <w:highlight w:val="none"/>
          <w:lang w:val="en-US" w:eastAsia="zh-CN" w:bidi="ar-SA"/>
        </w:rPr>
      </w:pPr>
      <w:r>
        <w:rPr>
          <w:rFonts w:hint="eastAsia" w:ascii="宋体" w:hAnsi="宋体" w:eastAsia="宋体" w:cs="宋体"/>
          <w:b/>
          <w:bCs/>
          <w:color w:val="auto"/>
          <w:kern w:val="0"/>
          <w:sz w:val="32"/>
          <w:szCs w:val="32"/>
          <w:highlight w:val="none"/>
          <w:lang w:val="en-US" w:eastAsia="zh-CN" w:bidi="ar-SA"/>
        </w:rPr>
        <w:br w:type="page"/>
      </w:r>
    </w:p>
    <w:p>
      <w:pPr>
        <w:pStyle w:val="3"/>
        <w:tabs>
          <w:tab w:val="left" w:pos="0"/>
        </w:tabs>
        <w:spacing w:before="0" w:after="0" w:line="240" w:lineRule="atLeast"/>
        <w:rPr>
          <w:rFonts w:hint="eastAsia" w:ascii="宋体" w:hAnsi="宋体" w:eastAsia="宋体" w:cs="宋体"/>
          <w:b/>
          <w:bCs/>
          <w:color w:val="auto"/>
          <w:kern w:val="0"/>
          <w:sz w:val="32"/>
          <w:szCs w:val="32"/>
          <w:highlight w:val="none"/>
          <w:lang w:val="en-US" w:eastAsia="zh-CN" w:bidi="ar-SA"/>
        </w:rPr>
      </w:pPr>
      <w:bookmarkStart w:id="1265" w:name="_Toc30701"/>
      <w:r>
        <w:rPr>
          <w:rFonts w:hint="eastAsia" w:ascii="宋体" w:hAnsi="宋体" w:eastAsia="宋体" w:cs="宋体"/>
          <w:b/>
          <w:bCs/>
          <w:color w:val="auto"/>
          <w:kern w:val="0"/>
          <w:sz w:val="32"/>
          <w:szCs w:val="32"/>
          <w:highlight w:val="none"/>
          <w:lang w:val="en-US" w:eastAsia="zh-CN" w:bidi="ar-SA"/>
        </w:rPr>
        <w:t xml:space="preserve">第5章  </w:t>
      </w:r>
      <w:r>
        <w:rPr>
          <w:rFonts w:hint="eastAsia" w:hAnsi="宋体" w:cs="宋体"/>
          <w:b/>
          <w:bCs/>
          <w:color w:val="auto"/>
          <w:kern w:val="0"/>
          <w:sz w:val="32"/>
          <w:szCs w:val="32"/>
          <w:highlight w:val="none"/>
          <w:lang w:val="en-US" w:eastAsia="zh-CN" w:bidi="ar-SA"/>
        </w:rPr>
        <w:t>服务</w:t>
      </w:r>
      <w:r>
        <w:rPr>
          <w:rFonts w:hint="eastAsia" w:ascii="宋体" w:hAnsi="宋体" w:eastAsia="宋体" w:cs="宋体"/>
          <w:b/>
          <w:bCs/>
          <w:color w:val="auto"/>
          <w:kern w:val="0"/>
          <w:sz w:val="32"/>
          <w:szCs w:val="32"/>
          <w:highlight w:val="none"/>
          <w:lang w:val="en-US" w:eastAsia="zh-CN" w:bidi="ar-SA"/>
        </w:rPr>
        <w:t>内容及项目要求</w:t>
      </w:r>
      <w:bookmarkEnd w:id="1261"/>
      <w:bookmarkEnd w:id="1262"/>
      <w:bookmarkEnd w:id="1263"/>
      <w:bookmarkEnd w:id="1265"/>
    </w:p>
    <w:bookmarkEnd w:id="0"/>
    <w:bookmarkEnd w:id="1"/>
    <w:bookmarkEnd w:id="2"/>
    <w:bookmarkEnd w:id="3"/>
    <w:bookmarkEnd w:id="4"/>
    <w:bookmarkEnd w:id="5"/>
    <w:bookmarkEnd w:id="6"/>
    <w:bookmarkEnd w:id="7"/>
    <w:bookmarkEnd w:id="8"/>
    <w:bookmarkEnd w:id="9"/>
    <w:bookmarkEnd w:id="10"/>
    <w:bookmarkEnd w:id="11"/>
    <w:bookmarkEnd w:id="12"/>
    <w:bookmarkEnd w:id="13"/>
    <w:bookmarkEnd w:id="1264"/>
    <w:p>
      <w:pPr>
        <w:jc w:val="both"/>
        <w:rPr>
          <w:rFonts w:hint="eastAsia" w:eastAsia="宋体" w:cs="Times New Roman"/>
          <w:b/>
          <w:sz w:val="32"/>
          <w:szCs w:val="32"/>
          <w:lang w:val="en-US" w:eastAsia="zh-CN"/>
        </w:rPr>
      </w:pPr>
      <w:bookmarkStart w:id="1266" w:name="_Toc13893"/>
      <w:bookmarkStart w:id="1267" w:name="_Toc6403"/>
      <w:bookmarkStart w:id="1268" w:name="_Toc30525"/>
      <w:bookmarkStart w:id="1269" w:name="_Toc12446"/>
      <w:bookmarkStart w:id="1270" w:name="_Toc8003"/>
      <w:bookmarkStart w:id="1271" w:name="_Toc4621"/>
      <w:bookmarkStart w:id="1272" w:name="_Toc22092"/>
      <w:bookmarkStart w:id="1273" w:name="_Toc18166"/>
      <w:bookmarkStart w:id="1274" w:name="_Toc31651"/>
      <w:bookmarkStart w:id="1275" w:name="_Toc11259"/>
      <w:r>
        <w:rPr>
          <w:rFonts w:hint="eastAsia" w:eastAsia="宋体" w:cs="Times New Roman"/>
          <w:b/>
          <w:sz w:val="32"/>
          <w:szCs w:val="32"/>
          <w:lang w:val="en-US" w:eastAsia="zh-CN"/>
        </w:rPr>
        <w:t>服务需求：</w:t>
      </w:r>
      <w:bookmarkEnd w:id="1266"/>
    </w:p>
    <w:p>
      <w:pPr>
        <w:jc w:val="center"/>
        <w:rPr>
          <w:rFonts w:hint="eastAsia" w:eastAsia="宋体" w:cs="Times New Roman"/>
          <w:b/>
          <w:sz w:val="32"/>
          <w:szCs w:val="32"/>
          <w:lang w:val="en-US" w:eastAsia="zh-CN"/>
        </w:rPr>
      </w:pPr>
    </w:p>
    <w:p>
      <w:pPr>
        <w:jc w:val="center"/>
        <w:rPr>
          <w:rFonts w:hint="eastAsia" w:eastAsia="宋体" w:cs="Times New Roman"/>
          <w:b/>
          <w:sz w:val="32"/>
          <w:szCs w:val="32"/>
          <w:lang w:val="en-US" w:eastAsia="zh-CN"/>
        </w:rPr>
      </w:pPr>
    </w:p>
    <w:p>
      <w:pPr>
        <w:jc w:val="center"/>
        <w:rPr>
          <w:rFonts w:hint="default"/>
          <w:b/>
          <w:sz w:val="44"/>
          <w:szCs w:val="44"/>
          <w:lang w:val="en-US" w:eastAsia="zh-CN"/>
        </w:rPr>
      </w:pPr>
      <w:r>
        <w:rPr>
          <w:rFonts w:hint="eastAsia" w:ascii="宋体" w:hAnsi="宋体" w:cs="Tahoma"/>
          <w:color w:val="000000"/>
          <w:sz w:val="32"/>
          <w:szCs w:val="32"/>
          <w:lang w:val="en-US" w:eastAsia="zh-CN"/>
        </w:rPr>
        <w:t>OPTIMA CT680维保内容</w:t>
      </w:r>
    </w:p>
    <w:p>
      <w:pPr>
        <w:rPr>
          <w:rFonts w:hint="eastAsia"/>
          <w:b/>
          <w:sz w:val="32"/>
          <w:szCs w:val="32"/>
          <w:lang w:val="en-US" w:eastAsia="zh-CN"/>
        </w:rPr>
      </w:pPr>
    </w:p>
    <w:p>
      <w:pPr>
        <w:rPr>
          <w:b/>
          <w:sz w:val="32"/>
          <w:szCs w:val="32"/>
        </w:rPr>
      </w:pPr>
      <w:r>
        <w:rPr>
          <w:rFonts w:hint="eastAsia"/>
          <w:b/>
          <w:sz w:val="32"/>
          <w:szCs w:val="32"/>
          <w:lang w:val="en-US" w:eastAsia="zh-CN"/>
        </w:rPr>
        <w:t>一</w:t>
      </w:r>
      <w:r>
        <w:rPr>
          <w:rFonts w:hint="eastAsia"/>
          <w:b/>
          <w:sz w:val="32"/>
          <w:szCs w:val="32"/>
        </w:rPr>
        <w:t>、保修内容：</w:t>
      </w:r>
    </w:p>
    <w:p>
      <w:pPr>
        <w:keepNext w:val="0"/>
        <w:keepLines w:val="0"/>
        <w:pageBreakBefore w:val="0"/>
        <w:widowControl w:val="0"/>
        <w:numPr>
          <w:ilvl w:val="0"/>
          <w:numId w:val="0"/>
        </w:numPr>
        <w:kinsoku/>
        <w:wordWrap/>
        <w:overflowPunct/>
        <w:topLinePunct w:val="0"/>
        <w:autoSpaceDE/>
        <w:autoSpaceDN/>
        <w:bidi w:val="0"/>
        <w:adjustRightInd/>
        <w:snapToGrid/>
        <w:spacing w:before="464" w:beforeLines="100" w:beforeAutospacing="0" w:after="464" w:afterLines="100" w:afterAutospacing="0" w:line="400" w:lineRule="exact"/>
        <w:ind w:leftChars="0" w:right="0" w:rightChars="0"/>
        <w:jc w:val="left"/>
        <w:textAlignment w:val="auto"/>
        <w:outlineLvl w:val="1"/>
        <w:rPr>
          <w:rFonts w:hint="eastAsia" w:ascii="宋体" w:hAnsi="宋体" w:eastAsia="宋体" w:cs="宋体"/>
          <w:b/>
          <w:bCs/>
          <w:i w:val="0"/>
          <w:caps w:val="0"/>
          <w:color w:val="auto"/>
          <w:spacing w:val="0"/>
          <w:w w:val="100"/>
          <w:kern w:val="0"/>
          <w:sz w:val="28"/>
          <w:szCs w:val="28"/>
          <w:highlight w:val="none"/>
          <w:lang w:val="en-US" w:eastAsia="zh-CN" w:bidi="ar-SA"/>
        </w:rPr>
      </w:pPr>
    </w:p>
    <w:p>
      <w:pPr>
        <w:pStyle w:val="23"/>
        <w:rPr>
          <w:rFonts w:hint="eastAsia" w:ascii="宋体" w:hAnsi="宋体" w:eastAsia="宋体" w:cs="宋体"/>
          <w:b/>
          <w:bCs/>
          <w:i w:val="0"/>
          <w:caps w:val="0"/>
          <w:color w:val="auto"/>
          <w:spacing w:val="0"/>
          <w:w w:val="100"/>
          <w:kern w:val="0"/>
          <w:sz w:val="28"/>
          <w:szCs w:val="28"/>
          <w:highlight w:val="none"/>
          <w:lang w:val="en-US" w:eastAsia="zh-CN" w:bidi="ar-SA"/>
        </w:rPr>
      </w:pPr>
    </w:p>
    <w:tbl>
      <w:tblPr>
        <w:tblStyle w:val="30"/>
        <w:tblpPr w:leftFromText="180" w:rightFromText="180" w:vertAnchor="text" w:horzAnchor="page" w:tblpX="1149" w:tblpY="93"/>
        <w:tblW w:w="10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998"/>
        <w:gridCol w:w="1949"/>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1369" w:type="dxa"/>
            <w:noWrap w:val="0"/>
            <w:vAlign w:val="center"/>
          </w:tcPr>
          <w:p>
            <w:pPr>
              <w:numPr>
                <w:ilvl w:val="0"/>
                <w:numId w:val="0"/>
              </w:numPr>
              <w:adjustRightInd w:val="0"/>
              <w:snapToGrid w:val="0"/>
              <w:spacing w:line="300" w:lineRule="auto"/>
              <w:jc w:val="center"/>
              <w:rPr>
                <w:rFonts w:hint="eastAsia" w:ascii="宋体" w:hAnsi="宋体" w:cs="Tahoma"/>
                <w:b/>
                <w:color w:val="000000"/>
                <w:sz w:val="22"/>
                <w:szCs w:val="22"/>
              </w:rPr>
            </w:pPr>
            <w:r>
              <w:rPr>
                <w:rFonts w:hint="eastAsia" w:ascii="宋体" w:hAnsi="宋体" w:cs="Tahoma"/>
                <w:b/>
                <w:color w:val="000000"/>
                <w:sz w:val="22"/>
                <w:szCs w:val="22"/>
              </w:rPr>
              <w:t>设备名称</w:t>
            </w:r>
          </w:p>
        </w:tc>
        <w:tc>
          <w:tcPr>
            <w:tcW w:w="1998" w:type="dxa"/>
            <w:noWrap w:val="0"/>
            <w:vAlign w:val="center"/>
          </w:tcPr>
          <w:p>
            <w:pPr>
              <w:numPr>
                <w:ilvl w:val="0"/>
                <w:numId w:val="0"/>
              </w:numPr>
              <w:adjustRightInd w:val="0"/>
              <w:snapToGrid w:val="0"/>
              <w:spacing w:line="300" w:lineRule="auto"/>
              <w:jc w:val="center"/>
              <w:rPr>
                <w:rFonts w:hint="default" w:ascii="宋体" w:hAnsi="宋体" w:eastAsia="宋体" w:cs="Tahoma"/>
                <w:b/>
                <w:color w:val="000000"/>
                <w:sz w:val="22"/>
                <w:szCs w:val="22"/>
                <w:lang w:val="en-US" w:eastAsia="zh-CN"/>
              </w:rPr>
            </w:pPr>
            <w:r>
              <w:rPr>
                <w:rFonts w:hint="eastAsia" w:ascii="宋体" w:hAnsi="宋体" w:cs="Tahoma"/>
                <w:b/>
                <w:color w:val="000000"/>
                <w:sz w:val="22"/>
                <w:szCs w:val="22"/>
                <w:lang w:val="en-US" w:eastAsia="zh-CN"/>
              </w:rPr>
              <w:t>系统编号</w:t>
            </w:r>
          </w:p>
        </w:tc>
        <w:tc>
          <w:tcPr>
            <w:tcW w:w="1949" w:type="dxa"/>
            <w:noWrap w:val="0"/>
            <w:vAlign w:val="center"/>
          </w:tcPr>
          <w:p>
            <w:pPr>
              <w:numPr>
                <w:ilvl w:val="0"/>
                <w:numId w:val="0"/>
              </w:numPr>
              <w:adjustRightInd w:val="0"/>
              <w:snapToGrid w:val="0"/>
              <w:spacing w:line="300" w:lineRule="auto"/>
              <w:ind w:left="0" w:leftChars="0" w:firstLine="0" w:firstLineChars="0"/>
              <w:jc w:val="center"/>
              <w:rPr>
                <w:rFonts w:hint="eastAsia" w:ascii="宋体" w:hAnsi="宋体" w:cs="Tahoma"/>
                <w:b/>
                <w:color w:val="000000"/>
                <w:sz w:val="22"/>
                <w:szCs w:val="22"/>
              </w:rPr>
            </w:pPr>
            <w:r>
              <w:rPr>
                <w:rFonts w:hint="eastAsia" w:ascii="宋体" w:hAnsi="宋体" w:cs="Tahoma"/>
                <w:b/>
                <w:color w:val="000000"/>
                <w:sz w:val="22"/>
                <w:szCs w:val="22"/>
              </w:rPr>
              <w:t>维修服务类型</w:t>
            </w:r>
          </w:p>
        </w:tc>
        <w:tc>
          <w:tcPr>
            <w:tcW w:w="4852" w:type="dxa"/>
            <w:noWrap w:val="0"/>
            <w:vAlign w:val="center"/>
          </w:tcPr>
          <w:p>
            <w:pPr>
              <w:numPr>
                <w:ilvl w:val="0"/>
                <w:numId w:val="0"/>
              </w:numPr>
              <w:adjustRightInd w:val="0"/>
              <w:snapToGrid w:val="0"/>
              <w:spacing w:line="300" w:lineRule="auto"/>
              <w:jc w:val="center"/>
              <w:rPr>
                <w:rFonts w:hint="eastAsia" w:ascii="宋体" w:hAnsi="宋体" w:cs="Tahoma"/>
                <w:b/>
                <w:color w:val="000000"/>
                <w:sz w:val="22"/>
                <w:szCs w:val="22"/>
              </w:rPr>
            </w:pPr>
            <w:r>
              <w:rPr>
                <w:rFonts w:hint="eastAsia" w:ascii="宋体" w:hAnsi="宋体" w:cs="Tahoma"/>
                <w:b/>
                <w:color w:val="00000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1369" w:type="dxa"/>
            <w:noWrap w:val="0"/>
            <w:vAlign w:val="center"/>
          </w:tcPr>
          <w:p>
            <w:pPr>
              <w:numPr>
                <w:ilvl w:val="0"/>
                <w:numId w:val="0"/>
              </w:numPr>
              <w:adjustRightInd w:val="0"/>
              <w:snapToGrid w:val="0"/>
              <w:spacing w:line="300" w:lineRule="auto"/>
              <w:jc w:val="center"/>
              <w:rPr>
                <w:rFonts w:hint="default" w:ascii="宋体" w:hAnsi="宋体" w:eastAsia="宋体" w:cs="Tahoma"/>
                <w:color w:val="000000"/>
                <w:sz w:val="24"/>
                <w:szCs w:val="24"/>
                <w:lang w:val="en-US" w:eastAsia="zh-CN"/>
              </w:rPr>
            </w:pPr>
            <w:r>
              <w:rPr>
                <w:rFonts w:hint="eastAsia" w:ascii="宋体" w:hAnsi="宋体" w:cs="Tahoma"/>
                <w:color w:val="000000"/>
                <w:sz w:val="24"/>
                <w:szCs w:val="24"/>
                <w:lang w:val="en-US" w:eastAsia="zh-CN"/>
              </w:rPr>
              <w:t>OPTIMA CT680</w:t>
            </w:r>
          </w:p>
        </w:tc>
        <w:tc>
          <w:tcPr>
            <w:tcW w:w="1998" w:type="dxa"/>
            <w:noWrap w:val="0"/>
            <w:vAlign w:val="center"/>
          </w:tcPr>
          <w:p>
            <w:pPr>
              <w:numPr>
                <w:ilvl w:val="0"/>
                <w:numId w:val="0"/>
              </w:numPr>
              <w:adjustRightInd w:val="0"/>
              <w:snapToGrid w:val="0"/>
              <w:spacing w:line="300" w:lineRule="auto"/>
              <w:jc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082421270144</w:t>
            </w:r>
          </w:p>
        </w:tc>
        <w:tc>
          <w:tcPr>
            <w:tcW w:w="1949" w:type="dxa"/>
            <w:noWrap w:val="0"/>
            <w:vAlign w:val="center"/>
          </w:tcPr>
          <w:p>
            <w:pPr>
              <w:numPr>
                <w:ilvl w:val="0"/>
                <w:numId w:val="0"/>
              </w:numPr>
              <w:adjustRightInd w:val="0"/>
              <w:snapToGrid w:val="0"/>
              <w:spacing w:line="300" w:lineRule="auto"/>
              <w:jc w:val="center"/>
              <w:rPr>
                <w:rFonts w:hint="eastAsia" w:ascii="宋体" w:hAnsi="宋体" w:cs="宋体"/>
                <w:color w:val="000000"/>
                <w:sz w:val="24"/>
                <w:szCs w:val="24"/>
                <w:lang w:val="en-US" w:eastAsia="zh-CN"/>
              </w:rPr>
            </w:pPr>
          </w:p>
          <w:p>
            <w:pPr>
              <w:numPr>
                <w:ilvl w:val="0"/>
                <w:numId w:val="0"/>
              </w:numPr>
              <w:adjustRightInd w:val="0"/>
              <w:snapToGrid w:val="0"/>
              <w:spacing w:line="300" w:lineRule="auto"/>
              <w:jc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全保</w:t>
            </w:r>
          </w:p>
          <w:p>
            <w:pPr>
              <w:numPr>
                <w:ilvl w:val="0"/>
                <w:numId w:val="0"/>
              </w:numPr>
              <w:adjustRightInd w:val="0"/>
              <w:snapToGrid w:val="0"/>
              <w:spacing w:line="300" w:lineRule="auto"/>
              <w:ind w:right="880"/>
              <w:jc w:val="center"/>
              <w:rPr>
                <w:rFonts w:hint="eastAsia" w:ascii="宋体" w:hAnsi="宋体" w:cs="Tahoma"/>
                <w:color w:val="000000"/>
                <w:sz w:val="24"/>
                <w:szCs w:val="24"/>
              </w:rPr>
            </w:pPr>
          </w:p>
        </w:tc>
        <w:tc>
          <w:tcPr>
            <w:tcW w:w="4852" w:type="dxa"/>
            <w:noWrap w:val="0"/>
            <w:vAlign w:val="center"/>
          </w:tcPr>
          <w:p>
            <w:pPr>
              <w:pStyle w:val="85"/>
              <w:numPr>
                <w:ilvl w:val="0"/>
                <w:numId w:val="0"/>
              </w:numPr>
              <w:ind w:leftChars="0"/>
              <w:rPr>
                <w:rFonts w:hint="eastAsia" w:ascii="宋体" w:hAnsi="宋体" w:eastAsia="宋体" w:cs="Tahoma"/>
                <w:color w:val="000000"/>
                <w:kern w:val="2"/>
                <w:sz w:val="24"/>
                <w:szCs w:val="24"/>
                <w:lang w:val="en-US" w:eastAsia="zh-CN" w:bidi="ar-SA"/>
              </w:rPr>
            </w:pPr>
            <w:r>
              <w:rPr>
                <w:rFonts w:hint="eastAsia" w:ascii="宋体" w:hAnsi="宋体" w:eastAsia="宋体" w:cs="Tahoma"/>
                <w:color w:val="000000"/>
                <w:kern w:val="2"/>
                <w:sz w:val="24"/>
                <w:szCs w:val="24"/>
                <w:lang w:val="en-US" w:eastAsia="zh-CN" w:bidi="ar-SA"/>
              </w:rPr>
              <w:t>1、保修期内无限次叫修（包含主机、工作站、球管、探测器）</w:t>
            </w:r>
          </w:p>
          <w:p>
            <w:pPr>
              <w:pStyle w:val="85"/>
              <w:numPr>
                <w:ilvl w:val="0"/>
                <w:numId w:val="0"/>
              </w:numPr>
              <w:ind w:leftChars="0"/>
              <w:rPr>
                <w:rFonts w:hint="eastAsia" w:ascii="宋体" w:hAnsi="宋体" w:eastAsia="宋体" w:cs="Tahoma"/>
                <w:color w:val="000000"/>
                <w:kern w:val="2"/>
                <w:sz w:val="24"/>
                <w:szCs w:val="24"/>
                <w:lang w:val="en-US" w:eastAsia="zh-CN" w:bidi="ar-SA"/>
              </w:rPr>
            </w:pPr>
            <w:r>
              <w:rPr>
                <w:rFonts w:hint="eastAsia" w:ascii="宋体" w:hAnsi="宋体" w:eastAsia="宋体" w:cs="Tahoma"/>
                <w:color w:val="000000"/>
                <w:kern w:val="2"/>
                <w:sz w:val="24"/>
                <w:szCs w:val="24"/>
                <w:lang w:val="en-US" w:eastAsia="zh-CN" w:bidi="ar-SA"/>
              </w:rPr>
              <w:t>2、保修期内备件（含球管）不限次数更换</w:t>
            </w:r>
          </w:p>
          <w:p>
            <w:pPr>
              <w:pStyle w:val="85"/>
              <w:numPr>
                <w:ilvl w:val="0"/>
                <w:numId w:val="0"/>
              </w:numPr>
              <w:ind w:leftChars="0"/>
              <w:rPr>
                <w:rFonts w:hint="eastAsia" w:ascii="宋体" w:hAnsi="宋体" w:eastAsia="宋体" w:cs="Tahoma"/>
                <w:color w:val="000000"/>
                <w:kern w:val="2"/>
                <w:sz w:val="24"/>
                <w:szCs w:val="24"/>
                <w:lang w:val="en-US" w:eastAsia="zh-CN" w:bidi="ar-SA"/>
              </w:rPr>
            </w:pPr>
            <w:r>
              <w:rPr>
                <w:rFonts w:hint="eastAsia" w:ascii="宋体" w:hAnsi="宋体" w:eastAsia="宋体" w:cs="Tahoma"/>
                <w:color w:val="000000"/>
                <w:kern w:val="2"/>
                <w:sz w:val="24"/>
                <w:szCs w:val="24"/>
                <w:lang w:val="en-US" w:eastAsia="zh-CN" w:bidi="ar-SA"/>
              </w:rPr>
              <w:t>3、现场专业保养</w:t>
            </w:r>
            <w:r>
              <w:rPr>
                <w:rFonts w:hint="eastAsia" w:ascii="宋体" w:hAnsi="宋体" w:cs="Tahoma"/>
                <w:color w:val="000000"/>
                <w:kern w:val="2"/>
                <w:sz w:val="24"/>
                <w:szCs w:val="24"/>
                <w:lang w:val="en-US" w:eastAsia="zh-CN" w:bidi="ar-SA"/>
              </w:rPr>
              <w:t>≥</w:t>
            </w:r>
            <w:r>
              <w:rPr>
                <w:rFonts w:hint="eastAsia" w:ascii="宋体" w:hAnsi="宋体" w:eastAsia="宋体" w:cs="Tahoma"/>
                <w:color w:val="000000"/>
                <w:kern w:val="2"/>
                <w:sz w:val="24"/>
                <w:szCs w:val="24"/>
                <w:lang w:val="en-US" w:eastAsia="zh-CN" w:bidi="ar-SA"/>
              </w:rPr>
              <w:t>3次/年</w:t>
            </w:r>
          </w:p>
          <w:p>
            <w:pPr>
              <w:pStyle w:val="85"/>
              <w:numPr>
                <w:ilvl w:val="0"/>
                <w:numId w:val="0"/>
              </w:numPr>
              <w:ind w:leftChars="0"/>
              <w:rPr>
                <w:rFonts w:hint="eastAsia" w:ascii="宋体" w:hAnsi="宋体" w:eastAsia="宋体" w:cs="Tahoma"/>
                <w:color w:val="000000"/>
                <w:kern w:val="2"/>
                <w:sz w:val="24"/>
                <w:szCs w:val="24"/>
                <w:lang w:val="en-US" w:eastAsia="zh-CN" w:bidi="ar-SA"/>
              </w:rPr>
            </w:pPr>
            <w:r>
              <w:rPr>
                <w:rFonts w:hint="eastAsia" w:ascii="宋体" w:hAnsi="宋体" w:eastAsia="宋体" w:cs="Tahoma"/>
                <w:color w:val="000000"/>
                <w:kern w:val="2"/>
                <w:sz w:val="24"/>
                <w:szCs w:val="24"/>
                <w:lang w:val="en-US" w:eastAsia="zh-CN" w:bidi="ar-SA"/>
              </w:rPr>
              <w:t>4、设备软、硬件</w:t>
            </w:r>
            <w:r>
              <w:rPr>
                <w:rFonts w:hint="eastAsia" w:ascii="宋体" w:hAnsi="宋体" w:cs="Tahoma"/>
                <w:color w:val="000000"/>
                <w:kern w:val="2"/>
                <w:sz w:val="24"/>
                <w:szCs w:val="24"/>
                <w:lang w:val="en-US" w:eastAsia="zh-CN" w:bidi="ar-SA"/>
              </w:rPr>
              <w:t>免费</w:t>
            </w:r>
            <w:r>
              <w:rPr>
                <w:rFonts w:hint="eastAsia" w:ascii="宋体" w:hAnsi="宋体" w:eastAsia="宋体" w:cs="Tahoma"/>
                <w:color w:val="000000"/>
                <w:kern w:val="2"/>
                <w:sz w:val="24"/>
                <w:szCs w:val="24"/>
                <w:lang w:val="en-US" w:eastAsia="zh-CN" w:bidi="ar-SA"/>
              </w:rPr>
              <w:t>升级</w:t>
            </w:r>
          </w:p>
          <w:p>
            <w:pPr>
              <w:pStyle w:val="85"/>
              <w:numPr>
                <w:ilvl w:val="0"/>
                <w:numId w:val="0"/>
              </w:numPr>
              <w:ind w:leftChars="0"/>
              <w:rPr>
                <w:rFonts w:hint="eastAsia" w:ascii="宋体" w:hAnsi="宋体" w:eastAsia="宋体" w:cs="Tahoma"/>
                <w:color w:val="000000"/>
                <w:kern w:val="2"/>
                <w:sz w:val="24"/>
                <w:szCs w:val="24"/>
                <w:lang w:val="en-US" w:eastAsia="zh-CN" w:bidi="ar-SA"/>
              </w:rPr>
            </w:pPr>
            <w:r>
              <w:rPr>
                <w:rFonts w:hint="eastAsia" w:ascii="宋体" w:hAnsi="宋体" w:eastAsia="宋体" w:cs="Tahoma"/>
                <w:color w:val="000000"/>
                <w:kern w:val="2"/>
                <w:sz w:val="24"/>
                <w:szCs w:val="24"/>
                <w:lang w:val="en-US" w:eastAsia="zh-CN" w:bidi="ar-SA"/>
              </w:rPr>
              <w:t>5、开机保证率≥95%</w:t>
            </w:r>
          </w:p>
          <w:p>
            <w:pPr>
              <w:pStyle w:val="85"/>
              <w:numPr>
                <w:ilvl w:val="0"/>
                <w:numId w:val="0"/>
              </w:numPr>
              <w:ind w:leftChars="0"/>
              <w:rPr>
                <w:rFonts w:hint="eastAsia" w:ascii="宋体" w:hAnsi="宋体" w:eastAsia="宋体" w:cs="Tahoma"/>
                <w:color w:val="000000"/>
                <w:kern w:val="2"/>
                <w:sz w:val="24"/>
                <w:szCs w:val="24"/>
                <w:lang w:val="en-US" w:eastAsia="zh-CN" w:bidi="ar-SA"/>
              </w:rPr>
            </w:pPr>
            <w:r>
              <w:rPr>
                <w:rFonts w:hint="eastAsia" w:ascii="宋体" w:hAnsi="宋体" w:eastAsia="宋体" w:cs="Tahoma"/>
                <w:color w:val="000000"/>
                <w:kern w:val="2"/>
                <w:sz w:val="24"/>
                <w:szCs w:val="24"/>
                <w:lang w:val="en-US" w:eastAsia="zh-CN" w:bidi="ar-SA"/>
              </w:rPr>
              <w:t>6、临床应用、医工培训名额</w:t>
            </w:r>
            <w:r>
              <w:rPr>
                <w:rFonts w:hint="eastAsia" w:ascii="宋体" w:hAnsi="宋体" w:cs="Tahoma"/>
                <w:color w:val="000000"/>
                <w:kern w:val="2"/>
                <w:sz w:val="24"/>
                <w:szCs w:val="24"/>
                <w:lang w:val="en-US" w:eastAsia="zh-CN" w:bidi="ar-SA"/>
              </w:rPr>
              <w:t>≥</w:t>
            </w:r>
            <w:r>
              <w:rPr>
                <w:rFonts w:hint="eastAsia" w:ascii="宋体" w:hAnsi="宋体" w:eastAsia="宋体" w:cs="Tahoma"/>
                <w:color w:val="000000"/>
                <w:kern w:val="2"/>
                <w:sz w:val="24"/>
                <w:szCs w:val="24"/>
                <w:lang w:val="en-US" w:eastAsia="zh-CN" w:bidi="ar-SA"/>
              </w:rPr>
              <w:t>二人次/年。</w:t>
            </w:r>
          </w:p>
        </w:tc>
      </w:tr>
    </w:tbl>
    <w:p>
      <w:pPr>
        <w:rPr>
          <w:rFonts w:hint="eastAsia" w:ascii="宋体" w:hAnsi="宋体" w:eastAsia="宋体" w:cs="宋体"/>
          <w:b/>
          <w:bCs/>
          <w:i w:val="0"/>
          <w:caps w:val="0"/>
          <w:color w:val="auto"/>
          <w:spacing w:val="0"/>
          <w:w w:val="100"/>
          <w:kern w:val="0"/>
          <w:sz w:val="28"/>
          <w:szCs w:val="28"/>
          <w:highlight w:val="none"/>
          <w:lang w:val="en-US" w:eastAsia="zh-CN" w:bidi="ar-SA"/>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widowControl/>
        <w:numPr>
          <w:ilvl w:val="0"/>
          <w:numId w:val="0"/>
        </w:numPr>
        <w:outlineLvl w:val="0"/>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kern w:val="2"/>
          <w:sz w:val="28"/>
          <w:szCs w:val="28"/>
          <w:lang w:val="en-US" w:eastAsia="zh-CN" w:bidi="ar-SA"/>
        </w:rPr>
        <w:t>1)</w:t>
      </w:r>
      <w:r>
        <w:rPr>
          <w:rFonts w:hint="eastAsia" w:asciiTheme="majorEastAsia" w:hAnsiTheme="majorEastAsia" w:eastAsiaTheme="majorEastAsia" w:cstheme="majorEastAsia"/>
          <w:color w:val="000000"/>
          <w:sz w:val="28"/>
          <w:szCs w:val="28"/>
          <w:lang w:val="en-US" w:eastAsia="zh-CN"/>
        </w:rPr>
        <w:t>有报修专线，可以24小时接听报修电话。</w:t>
      </w:r>
      <w:r>
        <w:rPr>
          <w:rFonts w:hint="eastAsia" w:asciiTheme="majorEastAsia" w:hAnsiTheme="majorEastAsia" w:eastAsiaTheme="majorEastAsia" w:cstheme="majorEastAsia"/>
          <w:color w:val="000000"/>
          <w:sz w:val="28"/>
          <w:szCs w:val="28"/>
        </w:rPr>
        <w:br w:type="textWrapping"/>
      </w:r>
      <w:r>
        <w:rPr>
          <w:rFonts w:hint="eastAsia" w:asciiTheme="majorEastAsia" w:hAnsiTheme="majorEastAsia" w:eastAsiaTheme="majorEastAsia" w:cstheme="majorEastAsia"/>
          <w:color w:val="000000"/>
          <w:sz w:val="28"/>
          <w:szCs w:val="28"/>
        </w:rPr>
        <w:t xml:space="preserve">2) </w:t>
      </w:r>
      <w:r>
        <w:rPr>
          <w:rFonts w:hint="eastAsia" w:asciiTheme="majorEastAsia" w:hAnsiTheme="majorEastAsia" w:eastAsiaTheme="majorEastAsia" w:cstheme="majorEastAsia"/>
          <w:color w:val="000000"/>
          <w:sz w:val="28"/>
          <w:szCs w:val="28"/>
          <w:lang w:val="en-US" w:eastAsia="zh-CN"/>
        </w:rPr>
        <w:t>有</w:t>
      </w:r>
      <w:r>
        <w:rPr>
          <w:rFonts w:hint="eastAsia" w:asciiTheme="majorEastAsia" w:hAnsiTheme="majorEastAsia" w:eastAsiaTheme="majorEastAsia" w:cstheme="majorEastAsia"/>
          <w:color w:val="000000"/>
          <w:sz w:val="28"/>
          <w:szCs w:val="28"/>
        </w:rPr>
        <w:t>在线技术支持</w:t>
      </w:r>
      <w:r>
        <w:rPr>
          <w:rFonts w:hint="eastAsia" w:asciiTheme="majorEastAsia" w:hAnsiTheme="majorEastAsia" w:eastAsiaTheme="majorEastAsia" w:cstheme="majorEastAsia"/>
          <w:color w:val="000000"/>
          <w:sz w:val="28"/>
          <w:szCs w:val="28"/>
          <w:lang w:val="en-US" w:eastAsia="zh-CN"/>
        </w:rPr>
        <w:t>服务。</w:t>
      </w:r>
      <w:r>
        <w:rPr>
          <w:rFonts w:hint="eastAsia" w:asciiTheme="majorEastAsia" w:hAnsiTheme="majorEastAsia" w:eastAsiaTheme="majorEastAsia" w:cstheme="majorEastAsia"/>
          <w:color w:val="000000"/>
          <w:sz w:val="28"/>
          <w:szCs w:val="28"/>
        </w:rPr>
        <w:br w:type="textWrapping"/>
      </w:r>
      <w:r>
        <w:rPr>
          <w:rFonts w:hint="eastAsia" w:asciiTheme="majorEastAsia" w:hAnsiTheme="majorEastAsia" w:eastAsiaTheme="majorEastAsia" w:cstheme="majorEastAsia"/>
          <w:color w:val="000000"/>
          <w:sz w:val="28"/>
          <w:szCs w:val="28"/>
        </w:rPr>
        <w:t xml:space="preserve">3) 工程师响应时限: </w:t>
      </w:r>
      <w:r>
        <w:rPr>
          <w:rFonts w:hint="eastAsia" w:asciiTheme="majorEastAsia" w:hAnsiTheme="majorEastAsia" w:eastAsiaTheme="majorEastAsia" w:cstheme="majorEastAsia"/>
          <w:color w:val="000000"/>
          <w:sz w:val="28"/>
          <w:szCs w:val="28"/>
          <w:lang w:val="en-US" w:eastAsia="zh-CN"/>
        </w:rPr>
        <w:t>≤0.5</w:t>
      </w:r>
      <w:r>
        <w:rPr>
          <w:rFonts w:hint="eastAsia" w:asciiTheme="majorEastAsia" w:hAnsiTheme="majorEastAsia" w:eastAsiaTheme="majorEastAsia" w:cstheme="majorEastAsia"/>
          <w:color w:val="000000"/>
          <w:sz w:val="28"/>
          <w:szCs w:val="28"/>
        </w:rPr>
        <w:t>小时</w:t>
      </w:r>
    </w:p>
    <w:p>
      <w:pPr>
        <w:widowControl/>
        <w:numPr>
          <w:ilvl w:val="0"/>
          <w:numId w:val="0"/>
        </w:numPr>
        <w:outlineLvl w:val="0"/>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 xml:space="preserve">4) 现场工程师到场时限: </w:t>
      </w:r>
      <w:r>
        <w:rPr>
          <w:rFonts w:hint="eastAsia" w:asciiTheme="majorEastAsia" w:hAnsiTheme="majorEastAsia" w:eastAsiaTheme="majorEastAsia" w:cstheme="majorEastAsia"/>
          <w:color w:val="000000"/>
          <w:sz w:val="28"/>
          <w:szCs w:val="28"/>
          <w:lang w:val="en-US" w:eastAsia="zh-CN"/>
        </w:rPr>
        <w:t>≤24</w:t>
      </w:r>
      <w:r>
        <w:rPr>
          <w:rFonts w:hint="eastAsia" w:asciiTheme="majorEastAsia" w:hAnsiTheme="majorEastAsia" w:eastAsiaTheme="majorEastAsia" w:cstheme="majorEastAsia"/>
          <w:color w:val="000000"/>
          <w:sz w:val="28"/>
          <w:szCs w:val="28"/>
        </w:rPr>
        <w:t>小时。</w:t>
      </w:r>
      <w:r>
        <w:rPr>
          <w:rFonts w:hint="eastAsia" w:asciiTheme="majorEastAsia" w:hAnsiTheme="majorEastAsia" w:eastAsiaTheme="majorEastAsia" w:cstheme="majorEastAsia"/>
          <w:color w:val="000000"/>
          <w:sz w:val="28"/>
          <w:szCs w:val="28"/>
          <w:lang w:val="en-US" w:eastAsia="zh-CN"/>
        </w:rPr>
        <w:t>需由</w:t>
      </w:r>
      <w:r>
        <w:rPr>
          <w:rFonts w:hint="eastAsia" w:asciiTheme="majorEastAsia" w:hAnsiTheme="majorEastAsia" w:eastAsiaTheme="majorEastAsia" w:cstheme="majorEastAsia"/>
          <w:sz w:val="28"/>
          <w:szCs w:val="28"/>
        </w:rPr>
        <w:t>原厂认证合格的专业工程师或原厂培训的特约维修队伍</w:t>
      </w:r>
      <w:r>
        <w:rPr>
          <w:rFonts w:hint="eastAsia" w:asciiTheme="majorEastAsia" w:hAnsiTheme="majorEastAsia" w:eastAsiaTheme="majorEastAsia" w:cstheme="majorEastAsia"/>
          <w:sz w:val="28"/>
          <w:szCs w:val="28"/>
          <w:lang w:val="en-US" w:eastAsia="zh-CN"/>
        </w:rPr>
        <w:t>提供</w:t>
      </w:r>
      <w:r>
        <w:rPr>
          <w:rFonts w:hint="eastAsia" w:asciiTheme="majorEastAsia" w:hAnsiTheme="majorEastAsia" w:eastAsiaTheme="majorEastAsia" w:cstheme="majorEastAsia"/>
          <w:sz w:val="28"/>
          <w:szCs w:val="28"/>
        </w:rPr>
        <w:t>快速优质的现场服务。</w:t>
      </w:r>
      <w:r>
        <w:rPr>
          <w:rFonts w:hint="eastAsia" w:asciiTheme="majorEastAsia" w:hAnsiTheme="majorEastAsia" w:eastAsiaTheme="majorEastAsia" w:cstheme="majorEastAsia"/>
          <w:color w:val="000000"/>
          <w:sz w:val="28"/>
          <w:szCs w:val="28"/>
        </w:rPr>
        <w:br w:type="textWrapping"/>
      </w:r>
      <w:r>
        <w:rPr>
          <w:rFonts w:hint="eastAsia" w:asciiTheme="majorEastAsia" w:hAnsiTheme="majorEastAsia" w:eastAsiaTheme="majorEastAsia" w:cstheme="majorEastAsia"/>
          <w:color w:val="000000"/>
          <w:sz w:val="28"/>
          <w:szCs w:val="28"/>
        </w:rPr>
        <w:t>5) 保养次数:按照原厂标准手册规定一年</w:t>
      </w:r>
      <w:r>
        <w:rPr>
          <w:rFonts w:hint="eastAsia" w:asciiTheme="majorEastAsia" w:hAnsiTheme="majorEastAsia" w:eastAsiaTheme="majorEastAsia" w:cstheme="majorEastAsia"/>
          <w:color w:val="000000"/>
          <w:sz w:val="28"/>
          <w:szCs w:val="28"/>
          <w:lang w:val="en-US" w:eastAsia="zh-CN"/>
        </w:rPr>
        <w:t>不少于3</w:t>
      </w:r>
      <w:r>
        <w:rPr>
          <w:rFonts w:hint="eastAsia" w:asciiTheme="majorEastAsia" w:hAnsiTheme="majorEastAsia" w:eastAsiaTheme="majorEastAsia" w:cstheme="majorEastAsia"/>
          <w:color w:val="000000"/>
          <w:sz w:val="28"/>
          <w:szCs w:val="28"/>
        </w:rPr>
        <w:t>次保养</w:t>
      </w:r>
      <w:r>
        <w:rPr>
          <w:rFonts w:hint="eastAsia" w:asciiTheme="majorEastAsia" w:hAnsiTheme="majorEastAsia" w:eastAsiaTheme="majorEastAsia" w:cstheme="majorEastAsia"/>
          <w:color w:val="000000"/>
          <w:sz w:val="28"/>
          <w:szCs w:val="28"/>
          <w:lang w:eastAsia="zh-CN"/>
        </w:rPr>
        <w:t>。</w:t>
      </w:r>
      <w:r>
        <w:rPr>
          <w:rFonts w:hint="eastAsia" w:asciiTheme="majorEastAsia" w:hAnsiTheme="majorEastAsia" w:eastAsiaTheme="majorEastAsia" w:cstheme="majorEastAsia"/>
          <w:color w:val="000000"/>
          <w:sz w:val="28"/>
          <w:szCs w:val="28"/>
        </w:rPr>
        <w:br w:type="textWrapping"/>
      </w:r>
      <w:r>
        <w:rPr>
          <w:rFonts w:hint="eastAsia" w:asciiTheme="majorEastAsia" w:hAnsiTheme="majorEastAsia" w:eastAsiaTheme="majorEastAsia" w:cstheme="majorEastAsia"/>
          <w:color w:val="000000"/>
          <w:sz w:val="28"/>
          <w:szCs w:val="28"/>
        </w:rPr>
        <w:t>6) 开机率:</w:t>
      </w:r>
      <w:r>
        <w:rPr>
          <w:rFonts w:hint="eastAsia" w:asciiTheme="majorEastAsia" w:hAnsiTheme="majorEastAsia" w:eastAsiaTheme="majorEastAsia" w:cstheme="majorEastAsia"/>
          <w:color w:val="000000"/>
          <w:sz w:val="28"/>
          <w:szCs w:val="28"/>
          <w:lang w:val="en-US" w:eastAsia="zh-CN"/>
        </w:rPr>
        <w:t>≥</w:t>
      </w:r>
      <w:r>
        <w:rPr>
          <w:rFonts w:hint="eastAsia" w:asciiTheme="majorEastAsia" w:hAnsiTheme="majorEastAsia" w:eastAsiaTheme="majorEastAsia" w:cstheme="majorEastAsia"/>
          <w:color w:val="000000"/>
          <w:sz w:val="28"/>
          <w:szCs w:val="28"/>
        </w:rPr>
        <w:t>95%</w:t>
      </w:r>
    </w:p>
    <w:p>
      <w:pPr>
        <w:widowControl/>
        <w:outlineLvl w:val="0"/>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rPr>
        <w:t xml:space="preserve">7) </w:t>
      </w:r>
      <w:r>
        <w:rPr>
          <w:rFonts w:hint="eastAsia" w:asciiTheme="majorEastAsia" w:hAnsiTheme="majorEastAsia" w:eastAsiaTheme="majorEastAsia" w:cstheme="majorEastAsia"/>
          <w:color w:val="000000"/>
          <w:sz w:val="28"/>
          <w:szCs w:val="28"/>
          <w:lang w:val="en-US" w:eastAsia="zh-CN"/>
        </w:rPr>
        <w:t>保修期内无限次叫修（包含主机、工作站、球管、探测器）、保修期内备件（含球管）不限次数更换，需更换原厂备件，可确保机器跟新机器时的性能一致，实现保质。</w:t>
      </w:r>
    </w:p>
    <w:p>
      <w:pPr>
        <w:widowControl/>
        <w:outlineLvl w:val="0"/>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val="en-US" w:eastAsia="zh-CN"/>
        </w:rPr>
        <w:t>8</w:t>
      </w:r>
      <w:r>
        <w:rPr>
          <w:rFonts w:hint="eastAsia" w:asciiTheme="majorEastAsia" w:hAnsiTheme="majorEastAsia" w:eastAsiaTheme="majorEastAsia" w:cstheme="majorEastAsia"/>
          <w:color w:val="000000"/>
          <w:sz w:val="28"/>
          <w:szCs w:val="28"/>
        </w:rPr>
        <w:t xml:space="preserve">) </w:t>
      </w:r>
      <w:r>
        <w:rPr>
          <w:rFonts w:hint="eastAsia" w:asciiTheme="majorEastAsia" w:hAnsiTheme="majorEastAsia" w:eastAsiaTheme="majorEastAsia" w:cstheme="majorEastAsia"/>
          <w:color w:val="000000"/>
          <w:sz w:val="28"/>
          <w:szCs w:val="28"/>
          <w:lang w:val="en-US" w:eastAsia="zh-CN"/>
        </w:rPr>
        <w:t>提供</w:t>
      </w:r>
      <w:r>
        <w:rPr>
          <w:rFonts w:hint="eastAsia" w:asciiTheme="majorEastAsia" w:hAnsiTheme="majorEastAsia" w:eastAsiaTheme="majorEastAsia" w:cstheme="majorEastAsia"/>
          <w:color w:val="000000"/>
          <w:sz w:val="28"/>
          <w:szCs w:val="28"/>
        </w:rPr>
        <w:t>数字化</w:t>
      </w:r>
      <w:r>
        <w:rPr>
          <w:rFonts w:hint="eastAsia" w:asciiTheme="majorEastAsia" w:hAnsiTheme="majorEastAsia" w:eastAsiaTheme="majorEastAsia" w:cstheme="majorEastAsia"/>
          <w:color w:val="000000"/>
          <w:sz w:val="28"/>
          <w:szCs w:val="28"/>
          <w:lang w:val="en-US" w:eastAsia="zh-CN"/>
        </w:rPr>
        <w:t>服务，可视瞻前设备监控，运行支持，临床应用分析。有强大的远程诊断功能及能力，通过远程诊断可发现故障隐患，预先处理，保证机器的稳定及完整，实现保质。</w:t>
      </w:r>
    </w:p>
    <w:p>
      <w:pPr>
        <w:widowControl/>
        <w:outlineLvl w:val="0"/>
        <w:rPr>
          <w:rFonts w:hint="eastAsia"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lang w:val="en-US" w:eastAsia="zh-CN"/>
        </w:rPr>
        <w:t>9</w:t>
      </w:r>
      <w:r>
        <w:rPr>
          <w:rFonts w:hint="eastAsia" w:asciiTheme="majorEastAsia" w:hAnsiTheme="majorEastAsia" w:eastAsiaTheme="majorEastAsia" w:cstheme="majorEastAsia"/>
          <w:color w:val="000000"/>
          <w:sz w:val="28"/>
          <w:szCs w:val="28"/>
        </w:rPr>
        <w:t xml:space="preserve">) </w:t>
      </w:r>
      <w:r>
        <w:rPr>
          <w:rFonts w:hint="eastAsia" w:asciiTheme="majorEastAsia" w:hAnsiTheme="majorEastAsia" w:eastAsiaTheme="majorEastAsia" w:cstheme="majorEastAsia"/>
          <w:color w:val="000000"/>
          <w:sz w:val="28"/>
          <w:szCs w:val="28"/>
          <w:lang w:val="en-US" w:eastAsia="zh-CN"/>
        </w:rPr>
        <w:t>需对设备</w:t>
      </w:r>
      <w:r>
        <w:rPr>
          <w:rFonts w:hint="eastAsia" w:asciiTheme="majorEastAsia" w:hAnsiTheme="majorEastAsia" w:eastAsiaTheme="majorEastAsia" w:cstheme="majorEastAsia"/>
          <w:color w:val="000000"/>
          <w:sz w:val="28"/>
          <w:szCs w:val="28"/>
        </w:rPr>
        <w:t>远程保养次数</w:t>
      </w:r>
      <w:r>
        <w:rPr>
          <w:rFonts w:hint="eastAsia" w:asciiTheme="majorEastAsia" w:hAnsiTheme="majorEastAsia" w:eastAsiaTheme="majorEastAsia" w:cstheme="majorEastAsia"/>
          <w:color w:val="000000"/>
          <w:sz w:val="28"/>
          <w:szCs w:val="28"/>
          <w:lang w:val="en-US" w:eastAsia="zh-CN"/>
        </w:rPr>
        <w:t>不少于</w:t>
      </w:r>
      <w:r>
        <w:rPr>
          <w:rFonts w:hint="eastAsia" w:asciiTheme="majorEastAsia" w:hAnsiTheme="majorEastAsia" w:eastAsiaTheme="majorEastAsia" w:cstheme="majorEastAsia"/>
          <w:color w:val="000000"/>
          <w:sz w:val="28"/>
          <w:szCs w:val="28"/>
        </w:rPr>
        <w:t>2次/年</w:t>
      </w:r>
    </w:p>
    <w:p>
      <w:pPr>
        <w:widowControl/>
        <w:outlineLvl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color w:val="000000"/>
          <w:sz w:val="28"/>
          <w:szCs w:val="28"/>
        </w:rPr>
        <w:t>1</w:t>
      </w:r>
      <w:r>
        <w:rPr>
          <w:rFonts w:hint="eastAsia" w:asciiTheme="majorEastAsia" w:hAnsiTheme="majorEastAsia" w:eastAsiaTheme="majorEastAsia" w:cstheme="majorEastAsia"/>
          <w:color w:val="000000"/>
          <w:sz w:val="28"/>
          <w:szCs w:val="28"/>
          <w:lang w:val="en-US" w:eastAsia="zh-CN"/>
        </w:rPr>
        <w:t>0</w:t>
      </w:r>
      <w:r>
        <w:rPr>
          <w:rFonts w:hint="eastAsia"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sz w:val="28"/>
          <w:szCs w:val="28"/>
        </w:rPr>
        <w:t>维保期内</w:t>
      </w:r>
      <w:r>
        <w:rPr>
          <w:rFonts w:hint="eastAsia" w:asciiTheme="majorEastAsia" w:hAnsiTheme="majorEastAsia" w:eastAsiaTheme="majorEastAsia" w:cstheme="majorEastAsia"/>
          <w:sz w:val="28"/>
          <w:szCs w:val="28"/>
          <w:lang w:val="en-US" w:eastAsia="zh-CN"/>
        </w:rPr>
        <w:t>需</w:t>
      </w:r>
      <w:r>
        <w:rPr>
          <w:rFonts w:hint="eastAsia" w:asciiTheme="majorEastAsia" w:hAnsiTheme="majorEastAsia" w:eastAsiaTheme="majorEastAsia" w:cstheme="majorEastAsia"/>
          <w:sz w:val="28"/>
          <w:szCs w:val="28"/>
        </w:rPr>
        <w:t>提供</w:t>
      </w:r>
      <w:r>
        <w:rPr>
          <w:rFonts w:hint="eastAsia" w:asciiTheme="majorEastAsia" w:hAnsiTheme="majorEastAsia" w:eastAsiaTheme="majorEastAsia" w:cstheme="majorEastAsia"/>
          <w:sz w:val="28"/>
          <w:szCs w:val="28"/>
          <w:lang w:val="en-US" w:eastAsia="zh-CN"/>
        </w:rPr>
        <w:t>该设备</w:t>
      </w:r>
      <w:r>
        <w:rPr>
          <w:rFonts w:hint="eastAsia" w:asciiTheme="majorEastAsia" w:hAnsiTheme="majorEastAsia" w:eastAsiaTheme="majorEastAsia" w:cstheme="majorEastAsia"/>
          <w:sz w:val="28"/>
          <w:szCs w:val="28"/>
        </w:rPr>
        <w:t>的系统软件升级补丁和技术支持，</w:t>
      </w:r>
      <w:r>
        <w:rPr>
          <w:rFonts w:hint="eastAsia" w:asciiTheme="majorEastAsia" w:hAnsiTheme="majorEastAsia" w:eastAsiaTheme="majorEastAsia" w:cstheme="majorEastAsia"/>
          <w:sz w:val="28"/>
          <w:szCs w:val="28"/>
          <w:lang w:val="en-US" w:eastAsia="zh-CN"/>
        </w:rPr>
        <w:t>并</w:t>
      </w:r>
      <w:r>
        <w:rPr>
          <w:rFonts w:hint="eastAsia" w:asciiTheme="majorEastAsia" w:hAnsiTheme="majorEastAsia" w:eastAsiaTheme="majorEastAsia" w:cstheme="majorEastAsia"/>
          <w:sz w:val="28"/>
          <w:szCs w:val="28"/>
        </w:rPr>
        <w:t>只</w:t>
      </w:r>
      <w:r>
        <w:rPr>
          <w:rFonts w:hint="eastAsia" w:asciiTheme="majorEastAsia" w:hAnsiTheme="majorEastAsia" w:eastAsiaTheme="majorEastAsia" w:cstheme="majorEastAsia"/>
          <w:sz w:val="28"/>
          <w:szCs w:val="28"/>
          <w:lang w:val="en-US" w:eastAsia="zh-CN"/>
        </w:rPr>
        <w:t>支持</w:t>
      </w:r>
      <w:r>
        <w:rPr>
          <w:rFonts w:hint="eastAsia" w:asciiTheme="majorEastAsia" w:hAnsiTheme="majorEastAsia" w:eastAsiaTheme="majorEastAsia" w:cstheme="majorEastAsia"/>
          <w:sz w:val="28"/>
          <w:szCs w:val="28"/>
        </w:rPr>
        <w:t>原设备供应</w:t>
      </w:r>
      <w:r>
        <w:rPr>
          <w:rFonts w:hint="eastAsia" w:asciiTheme="majorEastAsia" w:hAnsiTheme="majorEastAsia" w:eastAsiaTheme="majorEastAsia" w:cstheme="majorEastAsia"/>
          <w:sz w:val="28"/>
          <w:szCs w:val="28"/>
          <w:lang w:val="en-US" w:eastAsia="zh-CN"/>
        </w:rPr>
        <w:t>或</w:t>
      </w:r>
      <w:r>
        <w:rPr>
          <w:rFonts w:hint="eastAsia" w:asciiTheme="majorEastAsia" w:hAnsiTheme="majorEastAsia" w:eastAsiaTheme="majorEastAsia" w:cstheme="majorEastAsia"/>
          <w:sz w:val="28"/>
          <w:szCs w:val="28"/>
        </w:rPr>
        <w:t>制造商</w:t>
      </w:r>
      <w:r>
        <w:rPr>
          <w:rFonts w:hint="eastAsia" w:asciiTheme="majorEastAsia" w:hAnsiTheme="majorEastAsia" w:eastAsiaTheme="majorEastAsia" w:cstheme="majorEastAsia"/>
          <w:sz w:val="28"/>
          <w:szCs w:val="28"/>
          <w:lang w:val="en-US" w:eastAsia="zh-CN"/>
        </w:rPr>
        <w:t>提供的专业软件用于本设备</w:t>
      </w:r>
      <w:r>
        <w:rPr>
          <w:rFonts w:hint="eastAsia" w:asciiTheme="majorEastAsia" w:hAnsiTheme="majorEastAsia" w:eastAsiaTheme="majorEastAsia" w:cstheme="majorEastAsia"/>
          <w:sz w:val="28"/>
          <w:szCs w:val="28"/>
          <w:lang w:eastAsia="zh-CN"/>
        </w:rPr>
        <w:t>。</w:t>
      </w:r>
    </w:p>
    <w:p>
      <w:pPr>
        <w:pStyle w:val="102"/>
        <w:numPr>
          <w:ilvl w:val="0"/>
          <w:numId w:val="0"/>
        </w:numPr>
        <w:ind w:leftChars="0"/>
        <w:jc w:val="both"/>
        <w:outlineLvl w:val="1"/>
        <w:rPr>
          <w:rFonts w:hint="eastAsia" w:asciiTheme="majorEastAsia" w:hAnsiTheme="majorEastAsia" w:eastAsiaTheme="majorEastAsia" w:cstheme="majorEastAsia"/>
          <w:spacing w:val="0"/>
          <w:kern w:val="2"/>
          <w:sz w:val="28"/>
          <w:szCs w:val="28"/>
          <w:lang w:val="en-US" w:eastAsia="zh-CN" w:bidi="ar-SA"/>
        </w:rPr>
      </w:pPr>
      <w:r>
        <w:rPr>
          <w:rFonts w:hint="eastAsia" w:asciiTheme="majorEastAsia" w:hAnsiTheme="majorEastAsia" w:eastAsiaTheme="majorEastAsia" w:cstheme="majorEastAsia"/>
          <w:color w:val="000000"/>
          <w:sz w:val="28"/>
          <w:szCs w:val="28"/>
          <w:lang w:val="en-US" w:eastAsia="zh-CN"/>
        </w:rPr>
        <w:t>11）</w:t>
      </w:r>
      <w:bookmarkStart w:id="1276" w:name="_Toc3372"/>
      <w:r>
        <w:rPr>
          <w:rFonts w:hint="eastAsia" w:asciiTheme="majorEastAsia" w:hAnsiTheme="majorEastAsia" w:eastAsiaTheme="majorEastAsia" w:cstheme="majorEastAsia"/>
          <w:b w:val="0"/>
          <w:bCs w:val="0"/>
          <w:color w:val="000000"/>
          <w:spacing w:val="0"/>
          <w:sz w:val="28"/>
          <w:szCs w:val="28"/>
          <w:highlight w:val="none"/>
          <w:lang w:eastAsia="zh-CN"/>
        </w:rPr>
        <w:t>服务培训</w:t>
      </w:r>
      <w:bookmarkEnd w:id="1276"/>
      <w:r>
        <w:rPr>
          <w:rFonts w:hint="eastAsia" w:asciiTheme="majorEastAsia" w:hAnsiTheme="majorEastAsia" w:eastAsiaTheme="majorEastAsia" w:cstheme="majorEastAsia"/>
          <w:b w:val="0"/>
          <w:bCs w:val="0"/>
          <w:color w:val="000000"/>
          <w:spacing w:val="0"/>
          <w:sz w:val="28"/>
          <w:szCs w:val="28"/>
          <w:highlight w:val="none"/>
          <w:lang w:eastAsia="zh-CN"/>
        </w:rPr>
        <w:t>：</w:t>
      </w:r>
      <w:r>
        <w:rPr>
          <w:rFonts w:hint="eastAsia" w:asciiTheme="majorEastAsia" w:hAnsiTheme="majorEastAsia" w:eastAsiaTheme="majorEastAsia" w:cstheme="majorEastAsia"/>
          <w:spacing w:val="0"/>
          <w:kern w:val="2"/>
          <w:sz w:val="28"/>
          <w:szCs w:val="28"/>
          <w:lang w:val="en-US" w:eastAsia="zh-CN" w:bidi="ar-SA"/>
        </w:rPr>
        <w:t>每年该设备维保方需提供不少于二名培训名额，并提供二类培训供医院选择（培训每季度不少于一次，根据具体培训的时间、地点可由医院科室自由选择）</w:t>
      </w:r>
    </w:p>
    <w:p>
      <w:pPr>
        <w:pStyle w:val="102"/>
        <w:numPr>
          <w:ilvl w:val="0"/>
          <w:numId w:val="0"/>
        </w:numPr>
        <w:ind w:leftChars="0"/>
        <w:jc w:val="both"/>
        <w:outlineLvl w:val="1"/>
        <w:rPr>
          <w:rFonts w:hint="eastAsia" w:asciiTheme="majorEastAsia" w:hAnsiTheme="majorEastAsia" w:eastAsiaTheme="majorEastAsia" w:cstheme="majorEastAsia"/>
          <w:spacing w:val="0"/>
          <w:kern w:val="2"/>
          <w:sz w:val="28"/>
          <w:szCs w:val="28"/>
          <w:lang w:val="en-US" w:eastAsia="zh-CN" w:bidi="ar-SA"/>
        </w:rPr>
      </w:pPr>
      <w:r>
        <w:rPr>
          <w:rFonts w:hint="eastAsia" w:asciiTheme="majorEastAsia" w:hAnsiTheme="majorEastAsia" w:eastAsiaTheme="majorEastAsia" w:cstheme="majorEastAsia"/>
          <w:color w:val="000000"/>
          <w:sz w:val="28"/>
          <w:szCs w:val="28"/>
          <w:lang w:val="en-US" w:eastAsia="zh-CN"/>
        </w:rPr>
        <w:t>12）</w:t>
      </w:r>
      <w:r>
        <w:rPr>
          <w:rFonts w:hint="eastAsia" w:asciiTheme="majorEastAsia" w:hAnsiTheme="majorEastAsia" w:eastAsiaTheme="majorEastAsia" w:cstheme="majorEastAsia"/>
          <w:sz w:val="28"/>
          <w:szCs w:val="28"/>
        </w:rPr>
        <w:t>维保</w:t>
      </w:r>
      <w:r>
        <w:rPr>
          <w:rFonts w:hint="eastAsia" w:asciiTheme="majorEastAsia" w:hAnsiTheme="majorEastAsia" w:eastAsiaTheme="majorEastAsia" w:cstheme="majorEastAsia"/>
          <w:sz w:val="28"/>
          <w:szCs w:val="28"/>
          <w:lang w:val="en-US" w:eastAsia="zh-CN"/>
        </w:rPr>
        <w:t>方需</w:t>
      </w:r>
      <w:r>
        <w:rPr>
          <w:rFonts w:hint="eastAsia" w:asciiTheme="majorEastAsia" w:hAnsiTheme="majorEastAsia" w:eastAsiaTheme="majorEastAsia" w:cstheme="majorEastAsia"/>
          <w:spacing w:val="0"/>
          <w:kern w:val="2"/>
          <w:sz w:val="28"/>
          <w:szCs w:val="28"/>
          <w:lang w:val="en-US" w:eastAsia="zh-CN" w:bidi="ar-SA"/>
        </w:rPr>
        <w:t>提供高级临床应用课堂培训：高级临床应用课堂培训基于不同专题，设备类型，邀请专家一起集中学习、交流相关临床应用知识。</w:t>
      </w:r>
    </w:p>
    <w:p>
      <w:pPr>
        <w:pStyle w:val="102"/>
        <w:numPr>
          <w:ilvl w:val="0"/>
          <w:numId w:val="0"/>
        </w:numPr>
        <w:ind w:leftChars="0"/>
        <w:jc w:val="both"/>
        <w:outlineLvl w:val="1"/>
        <w:rPr>
          <w:rFonts w:hint="eastAsia" w:asciiTheme="majorEastAsia" w:hAnsiTheme="majorEastAsia" w:eastAsiaTheme="majorEastAsia" w:cstheme="majorEastAsia"/>
          <w:spacing w:val="0"/>
          <w:kern w:val="2"/>
          <w:sz w:val="28"/>
          <w:szCs w:val="28"/>
          <w:lang w:val="en-US" w:eastAsia="zh-CN" w:bidi="ar-SA"/>
        </w:rPr>
      </w:pPr>
      <w:r>
        <w:rPr>
          <w:rFonts w:hint="eastAsia" w:asciiTheme="majorEastAsia" w:hAnsiTheme="majorEastAsia" w:eastAsiaTheme="majorEastAsia" w:cstheme="majorEastAsia"/>
          <w:color w:val="000000"/>
          <w:sz w:val="28"/>
          <w:szCs w:val="28"/>
          <w:lang w:val="en-US" w:eastAsia="zh-CN"/>
        </w:rPr>
        <w:t>13）</w:t>
      </w:r>
      <w:r>
        <w:rPr>
          <w:rFonts w:hint="eastAsia" w:asciiTheme="majorEastAsia" w:hAnsiTheme="majorEastAsia" w:eastAsiaTheme="majorEastAsia" w:cstheme="majorEastAsia"/>
          <w:sz w:val="28"/>
          <w:szCs w:val="28"/>
        </w:rPr>
        <w:t>维保</w:t>
      </w:r>
      <w:r>
        <w:rPr>
          <w:rFonts w:hint="eastAsia" w:asciiTheme="majorEastAsia" w:hAnsiTheme="majorEastAsia" w:eastAsiaTheme="majorEastAsia" w:cstheme="majorEastAsia"/>
          <w:sz w:val="28"/>
          <w:szCs w:val="28"/>
          <w:lang w:val="en-US" w:eastAsia="zh-CN"/>
        </w:rPr>
        <w:t>方</w:t>
      </w:r>
      <w:r>
        <w:rPr>
          <w:rFonts w:hint="eastAsia" w:asciiTheme="majorEastAsia" w:hAnsiTheme="majorEastAsia" w:eastAsiaTheme="majorEastAsia" w:cstheme="majorEastAsia"/>
          <w:spacing w:val="0"/>
          <w:kern w:val="2"/>
          <w:sz w:val="28"/>
          <w:szCs w:val="28"/>
          <w:lang w:val="en-US" w:eastAsia="zh-CN" w:bidi="ar-SA"/>
        </w:rPr>
        <w:t>需对医学装备科医工进行培训，由设备原厂家进行CT培训，课程大概是设备的基础理论，设备的结构原理，基本维护保养等，培训期不少于一周。</w:t>
      </w:r>
    </w:p>
    <w:p>
      <w:pPr>
        <w:pStyle w:val="23"/>
        <w:rPr>
          <w:rFonts w:hint="eastAsia"/>
          <w:lang w:val="en-US" w:eastAsia="zh-CN"/>
        </w:rPr>
      </w:pPr>
    </w:p>
    <w:p>
      <w:pPr>
        <w:pStyle w:val="23"/>
        <w:rPr>
          <w:rFonts w:hint="eastAsia"/>
          <w:lang w:val="en-US" w:eastAsia="zh-CN"/>
        </w:rPr>
      </w:pPr>
    </w:p>
    <w:p>
      <w:pPr>
        <w:pStyle w:val="23"/>
        <w:rPr>
          <w:rFonts w:hint="default"/>
          <w:lang w:val="en-US" w:eastAsia="zh-CN"/>
        </w:rPr>
      </w:pPr>
      <w:r>
        <w:rPr>
          <w:rFonts w:hint="eastAsia"/>
          <w:lang w:val="en-US" w:eastAsia="zh-CN"/>
        </w:rPr>
        <w:t xml:space="preserve">           </w:t>
      </w:r>
    </w:p>
    <w:p>
      <w:pPr>
        <w:pStyle w:val="23"/>
        <w:rPr>
          <w:rFonts w:hint="eastAsia"/>
          <w:lang w:val="en-US" w:eastAsia="zh-CN"/>
        </w:rPr>
      </w:pPr>
    </w:p>
    <w:p>
      <w:pPr>
        <w:rPr>
          <w:rFonts w:hint="eastAsia" w:eastAsia="宋体" w:cs="Times New Roman"/>
          <w:b/>
          <w:sz w:val="32"/>
          <w:szCs w:val="32"/>
          <w:lang w:val="en-US" w:eastAsia="zh-CN"/>
        </w:rPr>
      </w:pPr>
      <w:r>
        <w:rPr>
          <w:rFonts w:hint="eastAsia" w:eastAsia="宋体" w:cs="Times New Roman"/>
          <w:b/>
          <w:sz w:val="32"/>
          <w:szCs w:val="32"/>
          <w:lang w:val="en-US" w:eastAsia="zh-CN"/>
        </w:rPr>
        <w:t>二、项目要求</w:t>
      </w:r>
    </w:p>
    <w:p>
      <w:pPr>
        <w:pStyle w:val="7"/>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both"/>
        <w:textAlignment w:val="auto"/>
        <w:rPr>
          <w:rFonts w:hint="eastAsia" w:asciiTheme="majorEastAsia" w:hAnsiTheme="majorEastAsia" w:eastAsiaTheme="majorEastAsia" w:cstheme="majorEastAsia"/>
          <w:spacing w:val="0"/>
          <w:kern w:val="2"/>
          <w:sz w:val="28"/>
          <w:szCs w:val="28"/>
          <w:lang w:val="en-US" w:eastAsia="zh-CN" w:bidi="ar-SA"/>
        </w:rPr>
      </w:pPr>
      <w:r>
        <w:rPr>
          <w:rFonts w:hint="eastAsia" w:asciiTheme="majorEastAsia" w:hAnsiTheme="majorEastAsia" w:eastAsiaTheme="majorEastAsia" w:cstheme="majorEastAsia"/>
          <w:spacing w:val="0"/>
          <w:kern w:val="2"/>
          <w:sz w:val="28"/>
          <w:szCs w:val="28"/>
          <w:lang w:val="en-US" w:eastAsia="zh-CN" w:bidi="ar-SA"/>
        </w:rPr>
        <w:t>1、服务期限：服务期三年 ，合同一年一签。</w:t>
      </w:r>
    </w:p>
    <w:p>
      <w:pPr>
        <w:pStyle w:val="7"/>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both"/>
        <w:textAlignment w:val="auto"/>
        <w:rPr>
          <w:rFonts w:hint="eastAsia" w:asciiTheme="majorEastAsia" w:hAnsiTheme="majorEastAsia" w:eastAsiaTheme="majorEastAsia" w:cstheme="majorEastAsia"/>
          <w:color w:val="000000" w:themeColor="text1"/>
          <w:spacing w:val="0"/>
          <w:kern w:val="2"/>
          <w:sz w:val="28"/>
          <w:szCs w:val="28"/>
          <w:lang w:val="en-US" w:eastAsia="zh-CN" w:bidi="ar-SA"/>
          <w14:textFill>
            <w14:solidFill>
              <w14:schemeClr w14:val="tx1"/>
            </w14:solidFill>
          </w14:textFill>
        </w:rPr>
      </w:pPr>
      <w:r>
        <w:rPr>
          <w:rFonts w:hint="eastAsia" w:asciiTheme="majorEastAsia" w:hAnsiTheme="majorEastAsia" w:eastAsiaTheme="majorEastAsia" w:cstheme="majorEastAsia"/>
          <w:spacing w:val="0"/>
          <w:kern w:val="2"/>
          <w:sz w:val="28"/>
          <w:szCs w:val="28"/>
          <w:lang w:val="en-US" w:eastAsia="zh-CN" w:bidi="ar-SA"/>
        </w:rPr>
        <w:t>2、</w:t>
      </w:r>
      <w:r>
        <w:rPr>
          <w:rFonts w:hint="eastAsia" w:asciiTheme="majorEastAsia" w:hAnsiTheme="majorEastAsia" w:eastAsiaTheme="majorEastAsia" w:cstheme="majorEastAsia"/>
          <w:color w:val="000000" w:themeColor="text1"/>
          <w:spacing w:val="0"/>
          <w:kern w:val="2"/>
          <w:sz w:val="28"/>
          <w:szCs w:val="28"/>
          <w:lang w:val="en-US" w:eastAsia="zh-CN" w:bidi="ar-SA"/>
          <w14:textFill>
            <w14:solidFill>
              <w14:schemeClr w14:val="tx1"/>
            </w14:solidFill>
          </w14:textFill>
        </w:rPr>
        <w:t>付款方式：签订合同后支付当年维保费用的30%，完成当年维保服务后支付剩余70%。（具体以合同签订为准）。</w:t>
      </w:r>
    </w:p>
    <w:p>
      <w:pPr>
        <w:pStyle w:val="7"/>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both"/>
        <w:textAlignment w:val="auto"/>
        <w:rPr>
          <w:rFonts w:hint="eastAsia" w:asciiTheme="majorEastAsia" w:hAnsiTheme="majorEastAsia" w:eastAsiaTheme="majorEastAsia" w:cstheme="majorEastAsia"/>
          <w:spacing w:val="0"/>
          <w:kern w:val="2"/>
          <w:sz w:val="28"/>
          <w:szCs w:val="28"/>
          <w:lang w:val="en-US" w:eastAsia="zh-CN" w:bidi="ar-SA"/>
        </w:rPr>
      </w:pPr>
      <w:r>
        <w:rPr>
          <w:rFonts w:hint="eastAsia" w:asciiTheme="majorEastAsia" w:hAnsiTheme="majorEastAsia" w:eastAsiaTheme="majorEastAsia" w:cstheme="majorEastAsia"/>
          <w:spacing w:val="0"/>
          <w:kern w:val="2"/>
          <w:sz w:val="28"/>
          <w:szCs w:val="28"/>
          <w:lang w:val="en-US" w:eastAsia="zh-CN" w:bidi="ar-SA"/>
        </w:rPr>
        <w:t>3、服务地点：喀什地区第一人民医院。</w:t>
      </w: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p>
      <w:pPr>
        <w:pStyle w:val="23"/>
        <w:rPr>
          <w:rFonts w:hint="eastAsia"/>
          <w:lang w:val="en-US" w:eastAsia="zh-CN"/>
        </w:rPr>
      </w:pPr>
    </w:p>
    <w:bookmarkEnd w:id="1267"/>
    <w:bookmarkEnd w:id="1268"/>
    <w:bookmarkEnd w:id="1269"/>
    <w:bookmarkEnd w:id="1270"/>
    <w:bookmarkEnd w:id="1271"/>
    <w:bookmarkEnd w:id="1272"/>
    <w:bookmarkEnd w:id="1273"/>
    <w:p>
      <w:pPr>
        <w:widowControl/>
        <w:spacing w:line="440" w:lineRule="exact"/>
        <w:jc w:val="center"/>
        <w:outlineLvl w:val="0"/>
        <w:rPr>
          <w:rFonts w:hint="eastAsia" w:ascii="宋体" w:hAnsi="宋体" w:eastAsia="宋体" w:cs="宋体"/>
          <w:b/>
          <w:bCs/>
          <w:color w:val="auto"/>
          <w:kern w:val="0"/>
          <w:sz w:val="32"/>
          <w:szCs w:val="32"/>
          <w:highlight w:val="none"/>
          <w:lang w:val="en-US" w:eastAsia="zh-CN" w:bidi="ar-SA"/>
        </w:rPr>
      </w:pPr>
      <w:bookmarkStart w:id="1277" w:name="_Toc21856"/>
      <w:bookmarkStart w:id="1278" w:name="_Toc26305"/>
      <w:r>
        <w:rPr>
          <w:rFonts w:hint="eastAsia" w:ascii="宋体" w:hAnsi="宋体" w:eastAsia="宋体" w:cs="宋体"/>
          <w:b/>
          <w:bCs/>
          <w:color w:val="auto"/>
          <w:kern w:val="0"/>
          <w:sz w:val="32"/>
          <w:szCs w:val="32"/>
          <w:highlight w:val="none"/>
          <w:lang w:val="en-US" w:eastAsia="zh-CN" w:bidi="ar-SA"/>
        </w:rPr>
        <w:t>第6章  评标方法和标准</w:t>
      </w:r>
      <w:bookmarkEnd w:id="14"/>
      <w:bookmarkEnd w:id="15"/>
      <w:bookmarkEnd w:id="16"/>
      <w:bookmarkEnd w:id="17"/>
      <w:bookmarkEnd w:id="18"/>
      <w:bookmarkEnd w:id="19"/>
      <w:bookmarkEnd w:id="20"/>
      <w:bookmarkEnd w:id="1274"/>
      <w:bookmarkEnd w:id="1275"/>
      <w:bookmarkEnd w:id="1277"/>
      <w:bookmarkEnd w:id="1278"/>
    </w:p>
    <w:p>
      <w:pPr>
        <w:pStyle w:val="2"/>
        <w:keepNext w:val="0"/>
        <w:keepLines w:val="0"/>
        <w:pageBreakBefore w:val="0"/>
        <w:tabs>
          <w:tab w:val="clear" w:pos="567"/>
        </w:tabs>
        <w:kinsoku/>
        <w:wordWrap/>
        <w:overflowPunct/>
        <w:topLinePunct w:val="0"/>
        <w:autoSpaceDE/>
        <w:autoSpaceDN/>
        <w:bidi w:val="0"/>
        <w:adjustRightInd/>
        <w:spacing w:before="0" w:line="380" w:lineRule="exact"/>
        <w:ind w:firstLine="540" w:firstLineChars="225"/>
        <w:outlineLvl w:val="9"/>
        <w:rPr>
          <w:rFonts w:hint="eastAsia" w:ascii="宋体" w:hAnsi="宋体" w:eastAsia="宋体" w:cs="宋体"/>
          <w:color w:val="auto"/>
          <w:highlight w:val="none"/>
        </w:rPr>
      </w:pPr>
      <w:r>
        <w:rPr>
          <w:rFonts w:hint="eastAsia" w:ascii="宋体" w:hAnsi="宋体" w:eastAsia="宋体" w:cs="宋体"/>
          <w:color w:val="auto"/>
          <w:highlight w:val="none"/>
        </w:rPr>
        <w:t>本项目将按照招标文件第一章供应商须知中“五 开标及评标”、“六 确定中标”及本章的规定评标。</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1.投标无效的情形：</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（1）单位负责人为同一人或者存在直接控股、管理关系的不同供应商，其相关投标将被认定为投标无效。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（2）供应商报价超过招标文件规定的预算金额或者分项、分包最高限价的，其投标将被认定为投标无效。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供应商应认真阅读招标文件所有的事项、格式、条款和技术规范等。如供应商没有按照招标文件要求提交全部资料，或者投标文件没有对投标文件在各方面都做出实质性响应，可能导致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）供应商应当对所投分包投标文件中“</w:t>
      </w:r>
      <w:r>
        <w:rPr>
          <w:rFonts w:hint="eastAsia" w:ascii="宋体" w:hAnsi="宋体" w:cs="宋体"/>
          <w:color w:val="auto"/>
          <w:sz w:val="24"/>
          <w:highlight w:val="none"/>
          <w:lang w:val="en-US" w:eastAsia="zh-CN"/>
        </w:rPr>
        <w:t>服务</w:t>
      </w:r>
      <w:r>
        <w:rPr>
          <w:rFonts w:hint="eastAsia" w:ascii="宋体" w:hAnsi="宋体" w:eastAsia="宋体" w:cs="宋体"/>
          <w:color w:val="auto"/>
          <w:sz w:val="24"/>
          <w:highlight w:val="none"/>
        </w:rPr>
        <w:t>内容”所列的所有内容进行投标，如仅响应某一包中的部分内容，其该包投标将被认定为投标无效。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）供应商未按本须知第12.1和12.3条规定提交投标保证金的，其投标资格将被认定为投标无效。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）所有投标均以人民币报价。供应商的投标报价应遵守《中华人民共和国价格法》。同时，根据《中华人民共和国政府采购法》第二条的规定，为保证公平竞争，如有</w:t>
      </w:r>
      <w:r>
        <w:rPr>
          <w:rFonts w:hint="eastAsia" w:ascii="宋体" w:hAnsi="宋体" w:eastAsia="宋体" w:cs="宋体"/>
          <w:color w:val="auto"/>
          <w:sz w:val="24"/>
          <w:highlight w:val="none"/>
          <w:lang w:val="en-US" w:eastAsia="zh-CN"/>
        </w:rPr>
        <w:t>货物</w:t>
      </w:r>
      <w:r>
        <w:rPr>
          <w:rFonts w:hint="eastAsia" w:ascii="宋体" w:hAnsi="宋体" w:eastAsia="宋体" w:cs="宋体"/>
          <w:color w:val="auto"/>
          <w:sz w:val="24"/>
          <w:highlight w:val="none"/>
        </w:rPr>
        <w:t>主体部分的赠与行为，其投标将被认定为投标无效。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）供应商所报的各分项投标单价在合同履行过程中是固定不变的，不得以任何理由予以变更。任何包含价格调整要求的投标，其投标将被认定为投标无效。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）投标应在供应商须知资料表中规定时间内保持有效。投标有效期不满足要求的投标，其投标将被认定为投标无效。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）采购人或采购代理机构将在开标前1个工作日至投标截止后1小时的期间内查询供应商的信用记录。供应商存在不良信用记录的，其投标将被认定为投标无效。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rPr>
        <w:t>）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投标无效。</w:t>
      </w:r>
    </w:p>
    <w:p>
      <w:pPr>
        <w:keepNext w:val="0"/>
        <w:keepLines w:val="0"/>
        <w:pageBreakBefore w:val="0"/>
        <w:widowControl/>
        <w:kinsoku/>
        <w:wordWrap/>
        <w:overflowPunct/>
        <w:topLinePunct w:val="0"/>
        <w:autoSpaceDE/>
        <w:autoSpaceDN/>
        <w:bidi w:val="0"/>
        <w:adjustRightInd/>
        <w:spacing w:line="380" w:lineRule="exac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如发现下列情况之一的，其投标将被认定为投标无效：未按招标文件规定的形式和金额提交投标保证金的；未按照招标文件规定要求签署、盖章的；未满足招标文件中技术条款的实质性要求；与其他供应商串通投标，或者与</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pPr>
        <w:keepNext w:val="0"/>
        <w:keepLines w:val="0"/>
        <w:pageBreakBefore w:val="0"/>
        <w:widowControl/>
        <w:kinsoku/>
        <w:wordWrap/>
        <w:overflowPunct/>
        <w:topLinePunct w:val="0"/>
        <w:autoSpaceDE/>
        <w:autoSpaceDN/>
        <w:bidi w:val="0"/>
        <w:adjustRightInd/>
        <w:spacing w:line="380" w:lineRule="exact"/>
        <w:jc w:val="left"/>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highlight w:val="none"/>
        </w:rPr>
        <w:t>2</w:t>
      </w:r>
      <w:r>
        <w:rPr>
          <w:rFonts w:hint="eastAsia" w:ascii="宋体" w:hAnsi="宋体" w:cs="宋体"/>
          <w:b/>
          <w:bCs/>
          <w:color w:val="auto"/>
          <w:sz w:val="24"/>
          <w:highlight w:val="none"/>
          <w:lang w:val="en-US" w:eastAsia="zh-CN"/>
        </w:rPr>
        <w:t>.</w:t>
      </w:r>
      <w:r>
        <w:rPr>
          <w:rFonts w:hint="eastAsia" w:ascii="宋体" w:hAnsi="宋体" w:eastAsia="宋体" w:cs="宋体"/>
          <w:b/>
          <w:bCs/>
          <w:color w:val="auto"/>
          <w:sz w:val="24"/>
          <w:highlight w:val="none"/>
          <w:lang w:eastAsia="zh-CN"/>
        </w:rPr>
        <w:t>本项目</w:t>
      </w:r>
      <w:r>
        <w:rPr>
          <w:rFonts w:hint="eastAsia" w:ascii="宋体" w:hAnsi="宋体" w:cs="宋体"/>
          <w:b/>
          <w:bCs/>
          <w:color w:val="auto"/>
          <w:sz w:val="24"/>
          <w:highlight w:val="none"/>
          <w:lang w:val="en-US" w:eastAsia="zh-CN"/>
        </w:rPr>
        <w:t>不专门</w:t>
      </w:r>
      <w:r>
        <w:rPr>
          <w:rFonts w:hint="eastAsia" w:ascii="宋体" w:hAnsi="宋体" w:eastAsia="宋体" w:cs="宋体"/>
          <w:b/>
          <w:bCs/>
          <w:color w:val="auto"/>
          <w:sz w:val="24"/>
          <w:highlight w:val="none"/>
          <w:lang w:eastAsia="zh-CN"/>
        </w:rPr>
        <w:t>面向中小企业采购。根据《财政部关于进一步加大政府采购支持中小企业力度的通知》财库〔2022〕19号</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lang w:eastAsia="zh-CN"/>
        </w:rPr>
        <w:t>《政府采购促进中小企业发展管理办法》（财库[2020]46号）、《财政部司法部关于政府采购支持监狱企业发展有关问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供应商，其报价扣除</w:t>
      </w:r>
      <w:r>
        <w:rPr>
          <w:rFonts w:hint="eastAsia" w:ascii="宋体" w:hAnsi="宋体" w:eastAsia="宋体" w:cs="宋体"/>
          <w:b/>
          <w:bCs/>
          <w:color w:val="auto"/>
          <w:sz w:val="24"/>
          <w:highlight w:val="none"/>
          <w:u w:val="single"/>
          <w:lang w:eastAsia="zh-CN"/>
        </w:rPr>
        <w:t xml:space="preserve">  10  %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p>
    <w:p>
      <w:pPr>
        <w:keepNext w:val="0"/>
        <w:keepLines w:val="0"/>
        <w:pageBreakBefore w:val="0"/>
        <w:widowControl/>
        <w:kinsoku/>
        <w:wordWrap/>
        <w:overflowPunct/>
        <w:topLinePunct w:val="0"/>
        <w:autoSpaceDE/>
        <w:autoSpaceDN/>
        <w:bidi w:val="0"/>
        <w:adjustRightInd/>
        <w:spacing w:line="380" w:lineRule="exact"/>
        <w:jc w:val="left"/>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3.联合协议中约定</w:t>
      </w:r>
      <w:r>
        <w:rPr>
          <w:rFonts w:hint="eastAsia" w:ascii="宋体" w:hAnsi="宋体" w:eastAsia="宋体" w:cs="宋体"/>
          <w:color w:val="auto"/>
          <w:sz w:val="24"/>
          <w:highlight w:val="none"/>
        </w:rPr>
        <w:t>，小型、微型企业和监狱企业的协议合同金额占到联合体协议合同总金额30%以上的，可给予联合体</w:t>
      </w:r>
      <w:r>
        <w:rPr>
          <w:rFonts w:hint="eastAsia" w:ascii="宋体" w:hAnsi="宋体" w:eastAsia="宋体" w:cs="宋体"/>
          <w:color w:val="auto"/>
          <w:sz w:val="24"/>
          <w:highlight w:val="none"/>
          <w:u w:val="single"/>
        </w:rPr>
        <w:t xml:space="preserve"> 2%-3%</w:t>
      </w:r>
      <w:r>
        <w:rPr>
          <w:rFonts w:hint="eastAsia" w:ascii="宋体" w:hAnsi="宋体" w:eastAsia="宋体" w:cs="宋体"/>
          <w:color w:val="auto"/>
          <w:sz w:val="24"/>
          <w:highlight w:val="none"/>
        </w:rPr>
        <w:t>的价格扣除。</w:t>
      </w:r>
      <w:r>
        <w:rPr>
          <w:rFonts w:hint="eastAsia" w:ascii="宋体" w:hAnsi="宋体" w:eastAsia="宋体" w:cs="宋体"/>
          <w:b/>
          <w:bCs/>
          <w:color w:val="auto"/>
          <w:sz w:val="24"/>
          <w:highlight w:val="none"/>
        </w:rPr>
        <w:t>（本项目不适用）</w:t>
      </w:r>
    </w:p>
    <w:p>
      <w:pPr>
        <w:keepNext w:val="0"/>
        <w:keepLines w:val="0"/>
        <w:pageBreakBefore w:val="0"/>
        <w:widowControl/>
        <w:kinsoku/>
        <w:wordWrap/>
        <w:overflowPunct/>
        <w:topLinePunct w:val="0"/>
        <w:autoSpaceDE/>
        <w:autoSpaceDN/>
        <w:bidi w:val="0"/>
        <w:adjustRightInd/>
        <w:spacing w:line="380" w:lineRule="exact"/>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联合体各方均为小型、微型企业和监狱企业的，联合体视同为小型、微型企业和监狱企业。</w:t>
      </w:r>
    </w:p>
    <w:p>
      <w:pPr>
        <w:pStyle w:val="2"/>
        <w:keepNext w:val="0"/>
        <w:keepLines w:val="0"/>
        <w:pageBreakBefore w:val="0"/>
        <w:tabs>
          <w:tab w:val="clear" w:pos="567"/>
        </w:tabs>
        <w:kinsoku/>
        <w:wordWrap/>
        <w:overflowPunct/>
        <w:topLinePunct w:val="0"/>
        <w:autoSpaceDE/>
        <w:autoSpaceDN/>
        <w:bidi w:val="0"/>
        <w:adjustRightInd/>
        <w:spacing w:before="0" w:line="380" w:lineRule="exact"/>
        <w:outlineLvl w:val="9"/>
        <w:rPr>
          <w:rFonts w:hint="eastAsia" w:ascii="宋体" w:hAnsi="宋体" w:eastAsia="宋体" w:cs="宋体"/>
          <w:color w:val="auto"/>
          <w:highlight w:val="none"/>
        </w:rPr>
      </w:pPr>
      <w:r>
        <w:rPr>
          <w:rFonts w:hint="eastAsia" w:ascii="宋体" w:hAnsi="宋体" w:eastAsia="宋体" w:cs="宋体"/>
          <w:b/>
          <w:bCs/>
          <w:color w:val="auto"/>
          <w:highlight w:val="none"/>
        </w:rPr>
        <w:t>4.供应商</w:t>
      </w:r>
      <w:r>
        <w:rPr>
          <w:rFonts w:hint="eastAsia" w:ascii="宋体" w:hAnsi="宋体" w:eastAsia="宋体" w:cs="宋体"/>
          <w:color w:val="auto"/>
          <w:highlight w:val="none"/>
        </w:rPr>
        <w:t>为提供服务需求在投标中伴随投标的产品如被列入财政部与国家主管部门颁发的节能产品目录或环境标志产品目录或无线局域网产品目录，应提供相关证明，在评标时予以优先采购，具体优惠措施为：</w:t>
      </w:r>
      <w:r>
        <w:rPr>
          <w:rFonts w:hint="eastAsia" w:ascii="宋体" w:hAnsi="宋体" w:eastAsia="宋体" w:cs="宋体"/>
          <w:color w:val="auto"/>
          <w:highlight w:val="none"/>
          <w:u w:val="single"/>
        </w:rPr>
        <w:t>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r>
        <w:rPr>
          <w:rFonts w:hint="eastAsia" w:ascii="宋体" w:hAnsi="宋体" w:eastAsia="宋体" w:cs="宋体"/>
          <w:color w:val="auto"/>
          <w:highlight w:val="none"/>
        </w:rPr>
        <w:t>。</w:t>
      </w:r>
    </w:p>
    <w:p>
      <w:pPr>
        <w:pStyle w:val="2"/>
        <w:keepNext w:val="0"/>
        <w:keepLines w:val="0"/>
        <w:pageBreakBefore w:val="0"/>
        <w:tabs>
          <w:tab w:val="clear" w:pos="567"/>
        </w:tabs>
        <w:kinsoku/>
        <w:wordWrap/>
        <w:overflowPunct/>
        <w:topLinePunct w:val="0"/>
        <w:autoSpaceDE/>
        <w:autoSpaceDN/>
        <w:bidi w:val="0"/>
        <w:adjustRightInd/>
        <w:spacing w:before="0" w:line="380" w:lineRule="exact"/>
        <w:outlineLvl w:val="9"/>
        <w:rPr>
          <w:rFonts w:hint="eastAsia" w:ascii="宋体" w:hAnsi="宋体" w:eastAsia="宋体" w:cs="宋体"/>
          <w:color w:val="auto"/>
          <w:highlight w:val="none"/>
          <w:u w:val="single"/>
        </w:rPr>
      </w:pPr>
      <w:r>
        <w:rPr>
          <w:rFonts w:hint="eastAsia" w:ascii="宋体" w:hAnsi="宋体" w:eastAsia="宋体" w:cs="宋体"/>
          <w:b/>
          <w:bCs/>
          <w:color w:val="auto"/>
          <w:highlight w:val="none"/>
        </w:rPr>
        <w:t>5.对创新产</w:t>
      </w:r>
      <w:r>
        <w:rPr>
          <w:rFonts w:hint="eastAsia" w:ascii="宋体" w:hAnsi="宋体" w:eastAsia="宋体" w:cs="宋体"/>
          <w:color w:val="auto"/>
          <w:highlight w:val="none"/>
        </w:rPr>
        <w:t>品或创新性企业的优惠措施为：</w:t>
      </w:r>
      <w:r>
        <w:rPr>
          <w:rFonts w:hint="eastAsia" w:ascii="宋体" w:hAnsi="宋体" w:eastAsia="宋体" w:cs="宋体"/>
          <w:color w:val="auto"/>
          <w:highlight w:val="none"/>
          <w:u w:val="single"/>
        </w:rPr>
        <w:t xml:space="preserve">     /      </w:t>
      </w:r>
    </w:p>
    <w:p>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6.开标：</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eastAsia="zh-CN"/>
        </w:rPr>
        <w:t>供应商按照须知资料表中规定的开标时间和地点，在规定时间内上传投标文件。</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eastAsia="zh-CN"/>
        </w:rPr>
        <w:t>到投标截止时间，对供应商上传的投标文件进行解密，解密时长为30分钟。供应商须在规定时间内使用CA锁在政采云平台解密，解密失败或未在规定时间内解密，将无法参加下一阶段的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 xml:space="preserve">，将被认定为无效投标。请供应商提前调试好CA锁，确定在操作时能正常使用。  </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eastAsia="zh-CN"/>
        </w:rPr>
        <w:t>在开标记录时，代理机构开启签字时段，须供应商使用CA锁在政采云平台进行签字确认报价。</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afterAutospacing="0" w:line="380" w:lineRule="exact"/>
        <w:ind w:left="720" w:leftChars="0" w:hanging="720" w:hangingChars="300"/>
        <w:jc w:val="both"/>
        <w:textAlignment w:val="baseline"/>
        <w:outlineLvl w:val="9"/>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eastAsia="zh-CN"/>
        </w:rPr>
        <w:t>采购人登录政采云平台对供应商的资格证明材料进行审查。</w:t>
      </w:r>
    </w:p>
    <w:p>
      <w:pPr>
        <w:pStyle w:val="23"/>
        <w:keepNext w:val="0"/>
        <w:keepLines w:val="0"/>
        <w:pageBreakBefore w:val="0"/>
        <w:kinsoku/>
        <w:wordWrap/>
        <w:overflowPunct/>
        <w:topLinePunct w:val="0"/>
        <w:autoSpaceDE/>
        <w:autoSpaceDN/>
        <w:bidi w:val="0"/>
        <w:adjustRightInd/>
        <w:spacing w:line="380" w:lineRule="exact"/>
        <w:outlineLvl w:val="9"/>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7.评标：</w:t>
      </w:r>
    </w:p>
    <w:p>
      <w:pPr>
        <w:pStyle w:val="23"/>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（1）在</w:t>
      </w:r>
      <w:r>
        <w:rPr>
          <w:rFonts w:hint="eastAsia" w:ascii="宋体" w:hAnsi="宋体" w:eastAsia="宋体" w:cs="宋体"/>
          <w:b/>
          <w:bCs/>
          <w:color w:val="auto"/>
          <w:sz w:val="24"/>
          <w:highlight w:val="none"/>
          <w:lang w:eastAsia="zh-CN"/>
        </w:rPr>
        <w:t>政采云平台上随机抽取</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名</w:t>
      </w:r>
      <w:r>
        <w:rPr>
          <w:rFonts w:hint="eastAsia" w:ascii="宋体" w:hAnsi="宋体" w:eastAsia="宋体" w:cs="宋体"/>
          <w:b/>
          <w:bCs/>
          <w:color w:val="auto"/>
          <w:sz w:val="24"/>
          <w:highlight w:val="none"/>
          <w:lang w:eastAsia="zh-CN"/>
        </w:rPr>
        <w:t>专家</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采购单位出1名专家，共计5名专家</w:t>
      </w:r>
      <w:r>
        <w:rPr>
          <w:rFonts w:hint="eastAsia" w:ascii="宋体" w:hAnsi="宋体" w:eastAsia="宋体" w:cs="宋体"/>
          <w:color w:val="auto"/>
          <w:sz w:val="24"/>
          <w:highlight w:val="none"/>
        </w:rPr>
        <w:t>负责评标工作。</w:t>
      </w:r>
    </w:p>
    <w:p>
      <w:pPr>
        <w:pStyle w:val="23"/>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（2）评标前，工作人员收取所有参会人员的手机，主持人宣读评标纪律。</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对采购单位的纪律要求：采购单位不得泄露招投标活动中应当保密的情况和资料，不得与供应商串通损害国家利益、社会公共利益或者他人合法权益</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对与开标大会活动有关的工作人员的纪律要求：与开标大会活动有关的工作人员不得收受他人的财物或者其他好处，不得向他人透露对中标候选人的推荐情况以及评标有关的其他情况。</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对评标专家的评标纪律及注意事项：</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①与本次评标工作无关的人员不得进入评标现场；</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②在评标过程中评标委员会以外人员不得干预或影响正常评标工作，不得明示或暗示其倾向性、引导性言论；</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③评标委员会成员要严格遵守政府采购法、政府采购法实施条例、政府采购货物和服务招标投标管理办法及评标专家管理办法，要求公正、公平的参与评标工作；</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④评标委员会成员要依法独立评标，并对评标意见承担个人责任。评标委员会成员对需要共同认定的事项存在争议的，按照少数服从多数的原则做出结论。持不同意见的评标委员会成员应当在评标报告上签署不同意见并说明理由，否则视为同意。</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⑤评标委员会成员要认真阅读招标文件和所有供应商的投标文件，对所有投标文件逐一进行资格性、符合性检查，按招标文件规定的评标方法和标准，进行比较和评价；对需要借助专业知识评判的主观评分项，应当严格按照评分细则公正评分。</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⑥评标委员会成员不得明示或者暗示其倾向性、引导性意见，不得修改或细化投标文件确定的评标程序、评标方法、评标因素和评标标准，不得接受供应商主动提出的澄清和解释，不得征询采购单位代表的倾向性意见，不得协商评分，不得记录、复制或带走任何评标资料。</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⑦评标专家与供应商有下列利害关系之一的人员，应当回避</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参加采购活动前3年内与供应商存在劳动关系；</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参加采购活动前3年内担任供应商的董事、监事；</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参加采购活动前3年内是供应商的控股股东或者实际控制人；</w:t>
      </w:r>
    </w:p>
    <w:p>
      <w:pPr>
        <w:keepNext w:val="0"/>
        <w:keepLines w:val="0"/>
        <w:pageBreakBefore w:val="0"/>
        <w:widowControl w:val="0"/>
        <w:numPr>
          <w:ilvl w:val="0"/>
          <w:numId w:val="0"/>
        </w:numPr>
        <w:kinsoku/>
        <w:wordWrap/>
        <w:overflowPunct/>
        <w:topLinePunct w:val="0"/>
        <w:autoSpaceDE/>
        <w:autoSpaceDN/>
        <w:bidi w:val="0"/>
        <w:adjustRightInd/>
        <w:snapToGrid w:val="0"/>
        <w:spacing w:line="380" w:lineRule="exact"/>
        <w:ind w:leftChars="0" w:firstLine="480" w:firstLineChars="200"/>
        <w:jc w:val="left"/>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与供应商的法定代表人或者负责人有夫妻、直系血亲、三代以内旁系血亲或者近姻亲关系。</w:t>
      </w:r>
    </w:p>
    <w:p>
      <w:pPr>
        <w:pStyle w:val="23"/>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（3）评标委员会应当按照招标文件中规定的评标方法和标准，对所有投标文件进行资格性审查，再对符合资格要求的供应商的投标文件进行符合性审查，以确定其是否满足招标文件的实质性要求。</w:t>
      </w:r>
    </w:p>
    <w:p>
      <w:pPr>
        <w:pStyle w:val="23"/>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4）若对于投标文件中含义不明确、同类问题表述不一致或者有明显文字和计算错误的内容，评标委员会应当以书面形式要求供应商作出必要的澄清、说明或者补正。供应商的澄清、说明或者补正应当采用书面形式，并加盖公章，或者由法定代表人或其授权的代表签字。供应商的澄清、说明或者补正不得超出投标文件的范围或者改变投标文件的实质性内容。</w:t>
      </w:r>
    </w:p>
    <w:p>
      <w:pPr>
        <w:pStyle w:val="23"/>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5）评标委员会应当按照招标文件中规定的评标方法和标准，对符合性审查合格的投标文件进行商务和技术评估，综合比较与评价。综合评分法，是指投标文件满足招标文件全部实质性要求，且按照评审因素的量化指标评审得分最高的供应商为中标候选人的评标方法。</w:t>
      </w:r>
    </w:p>
    <w:p>
      <w:pPr>
        <w:pStyle w:val="23"/>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（6）评标委员会成员对需要共同认定的事项存在争议的，应当按照少数服从多数的原则作出结论。持不同意见的评标委员会成员应当在评标报告上签署不同意见及理由，否则视为同意评标报告。</w:t>
      </w:r>
    </w:p>
    <w:p>
      <w:pPr>
        <w:pStyle w:val="23"/>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注：现场所有参会人员均要对开标内容进行保密。</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8.答疑澄清：</w:t>
      </w:r>
    </w:p>
    <w:p>
      <w:pPr>
        <w:pStyle w:val="23"/>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（1）评标委员会对于投标文件中含义不明确、同类问题表述不一致或者有明显文字和计算错误的内容，要求供应商以书面形式现场作出必要的澄清、说明或者补正。</w:t>
      </w:r>
    </w:p>
    <w:p>
      <w:pPr>
        <w:pStyle w:val="23"/>
        <w:keepNext w:val="0"/>
        <w:keepLines w:val="0"/>
        <w:pageBreakBefore w:val="0"/>
        <w:numPr>
          <w:ilvl w:val="0"/>
          <w:numId w:val="0"/>
        </w:numPr>
        <w:kinsoku/>
        <w:wordWrap/>
        <w:overflowPunct/>
        <w:topLinePunct w:val="0"/>
        <w:autoSpaceDE/>
        <w:autoSpaceDN/>
        <w:bidi w:val="0"/>
        <w:adjustRightInd/>
        <w:spacing w:line="380" w:lineRule="exact"/>
        <w:ind w:leftChars="0"/>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（2）供应商的澄清、说明或者补正应当采用书面形式，并加盖公章，或者由法定代表人或其授权的代表签字。供应商的澄清、说明或者补正不得超出投标文件的范围或者改变投标文件的实质性内容。</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bCs/>
          <w:i w:val="0"/>
          <w:caps w:val="0"/>
          <w:color w:val="auto"/>
          <w:spacing w:val="0"/>
          <w:w w:val="100"/>
          <w:sz w:val="24"/>
          <w:highlight w:val="none"/>
          <w:lang w:val="en-US" w:eastAsia="zh-CN"/>
        </w:rPr>
      </w:pPr>
      <w:r>
        <w:rPr>
          <w:rFonts w:hint="eastAsia" w:ascii="宋体" w:hAnsi="宋体" w:eastAsia="宋体" w:cs="宋体"/>
          <w:b/>
          <w:bCs/>
          <w:i w:val="0"/>
          <w:caps w:val="0"/>
          <w:color w:val="auto"/>
          <w:spacing w:val="0"/>
          <w:w w:val="100"/>
          <w:sz w:val="24"/>
          <w:highlight w:val="none"/>
          <w:lang w:val="en-US" w:eastAsia="zh-CN"/>
        </w:rPr>
        <w:t>9.定标：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（1）采购代理机构应当在评标结束后2个工作日内将评标报告送采购人。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（2）采购人应当自收到评标报告之日起５个工作日内，在评标报告确定的中标候选人名单中按顺序确定中标人。中标候选人并列的，由采购人按照招标文件规定的方式确定中标人。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（3）采购人在收到评标报告5个工作日内未按评标报告推荐的中标候选人顺序确定中标人，又不能说明合法理由的，视同按评标报告推荐的顺序确定排名第一的中标候选人为中标人。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4）同品牌处理办法：采用综合评标法，则：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380" w:lineRule="exact"/>
        <w:jc w:val="both"/>
        <w:textAlignment w:val="baseline"/>
        <w:outlineLvl w:val="9"/>
        <w:rPr>
          <w:rFonts w:hint="eastAsia" w:ascii="宋体" w:hAnsi="宋体" w:eastAsia="宋体" w:cs="宋体"/>
          <w:b w:val="0"/>
          <w:i w:val="0"/>
          <w:caps w:val="0"/>
          <w:color w:val="auto"/>
          <w:spacing w:val="0"/>
          <w:w w:val="100"/>
          <w:sz w:val="24"/>
          <w:highlight w:val="none"/>
          <w:lang w:val="en-US" w:eastAsia="zh-CN"/>
        </w:rPr>
      </w:pPr>
      <w:r>
        <w:rPr>
          <w:rFonts w:hint="eastAsia" w:ascii="宋体" w:hAnsi="宋体" w:eastAsia="宋体" w:cs="宋体"/>
          <w:b w:val="0"/>
          <w:i w:val="0"/>
          <w:caps w:val="0"/>
          <w:color w:val="auto"/>
          <w:spacing w:val="0"/>
          <w:w w:val="100"/>
          <w:sz w:val="24"/>
          <w:highlight w:val="none"/>
          <w:lang w:val="en-US" w:eastAsia="zh-CN"/>
        </w:rPr>
        <w:t>（5）中标候选人并列式时的处理方式：采用综合评标法，则：评标结果按评审后得分由高到低顺序排列。得分相同的，按投标报价由低到高顺序排列。得分且投标报价相同的并列。投标文件满足投标文件全部实质性要求，且按照评审因素的量化指标评审得分最高的供应商为排名第一的中标候选人。</w:t>
      </w:r>
    </w:p>
    <w:p>
      <w:pPr>
        <w:outlineLvl w:val="9"/>
        <w:rPr>
          <w:rFonts w:hint="eastAsia" w:ascii="宋体" w:hAnsi="宋体" w:eastAsia="宋体" w:cs="宋体"/>
          <w:b w:val="0"/>
          <w:i w:val="0"/>
          <w:caps w:val="0"/>
          <w:color w:val="auto"/>
          <w:spacing w:val="0"/>
          <w:w w:val="100"/>
          <w:sz w:val="24"/>
          <w:highlight w:val="none"/>
          <w:lang w:val="en-US" w:eastAsia="zh-CN"/>
        </w:rPr>
      </w:pPr>
      <w:bookmarkStart w:id="1279" w:name="_Toc10419"/>
      <w:bookmarkStart w:id="1280" w:name="_Toc21866"/>
      <w:bookmarkStart w:id="1281" w:name="_Toc9835"/>
      <w:bookmarkStart w:id="1282" w:name="_Toc28782"/>
      <w:bookmarkStart w:id="1283" w:name="_Toc5776"/>
      <w:bookmarkStart w:id="1284" w:name="_Toc5578"/>
      <w:bookmarkStart w:id="1285" w:name="_Toc19412"/>
      <w:bookmarkStart w:id="1286" w:name="_Toc29085"/>
      <w:bookmarkStart w:id="1287" w:name="_Toc7467"/>
      <w:bookmarkStart w:id="1288" w:name="_Toc6128"/>
      <w:bookmarkStart w:id="1289" w:name="_Toc23103"/>
      <w:bookmarkStart w:id="1290" w:name="_Toc21578"/>
      <w:bookmarkStart w:id="1291" w:name="_Toc25901"/>
      <w:bookmarkStart w:id="1292" w:name="_Toc5986"/>
      <w:bookmarkStart w:id="1293" w:name="_Toc9116"/>
      <w:bookmarkStart w:id="1294" w:name="_Toc5478"/>
      <w:bookmarkStart w:id="1295" w:name="_Toc1327"/>
    </w:p>
    <w:p>
      <w:pPr>
        <w:pStyle w:val="7"/>
        <w:outlineLvl w:val="9"/>
        <w:rPr>
          <w:rFonts w:hint="eastAsia" w:ascii="宋体" w:hAnsi="宋体" w:eastAsia="宋体" w:cs="宋体"/>
          <w:b w:val="0"/>
          <w:i w:val="0"/>
          <w:caps w:val="0"/>
          <w:color w:val="auto"/>
          <w:spacing w:val="0"/>
          <w:w w:val="100"/>
          <w:sz w:val="24"/>
          <w:highlight w:val="none"/>
          <w:lang w:val="en-US" w:eastAsia="zh-CN"/>
        </w:rPr>
      </w:pPr>
    </w:p>
    <w:p>
      <w:pPr>
        <w:pStyle w:val="8"/>
        <w:outlineLvl w:val="9"/>
        <w:rPr>
          <w:rFonts w:hint="eastAsia" w:ascii="宋体" w:hAnsi="宋体" w:eastAsia="宋体" w:cs="宋体"/>
          <w:b w:val="0"/>
          <w:i w:val="0"/>
          <w:caps w:val="0"/>
          <w:color w:val="auto"/>
          <w:spacing w:val="0"/>
          <w:w w:val="100"/>
          <w:sz w:val="24"/>
          <w:highlight w:val="none"/>
          <w:lang w:val="en-US" w:eastAsia="zh-CN"/>
        </w:rPr>
      </w:pPr>
    </w:p>
    <w:p>
      <w:pPr>
        <w:outlineLvl w:val="9"/>
        <w:rPr>
          <w:rFonts w:hint="eastAsia" w:ascii="宋体" w:hAnsi="宋体" w:eastAsia="宋体" w:cs="宋体"/>
          <w:b w:val="0"/>
          <w:i w:val="0"/>
          <w:caps w:val="0"/>
          <w:color w:val="auto"/>
          <w:spacing w:val="0"/>
          <w:w w:val="100"/>
          <w:sz w:val="24"/>
          <w:highlight w:val="none"/>
          <w:lang w:val="en-US" w:eastAsia="zh-CN"/>
        </w:rPr>
      </w:pPr>
    </w:p>
    <w:p>
      <w:pPr>
        <w:outlineLvl w:val="9"/>
        <w:rPr>
          <w:rFonts w:hint="eastAsia" w:ascii="宋体" w:hAnsi="宋体" w:eastAsia="宋体" w:cs="宋体"/>
          <w:b w:val="0"/>
          <w:i w:val="0"/>
          <w:caps w:val="0"/>
          <w:color w:val="auto"/>
          <w:spacing w:val="0"/>
          <w:w w:val="100"/>
          <w:sz w:val="24"/>
          <w:highlight w:val="none"/>
          <w:lang w:val="en-US" w:eastAsia="zh-CN"/>
        </w:rPr>
      </w:pPr>
    </w:p>
    <w:p>
      <w:pPr>
        <w:pStyle w:val="7"/>
        <w:outlineLvl w:val="9"/>
        <w:rPr>
          <w:rFonts w:hint="eastAsia" w:ascii="宋体" w:hAnsi="宋体" w:eastAsia="宋体" w:cs="宋体"/>
          <w:b w:val="0"/>
          <w:i w:val="0"/>
          <w:caps w:val="0"/>
          <w:color w:val="auto"/>
          <w:spacing w:val="0"/>
          <w:w w:val="100"/>
          <w:sz w:val="24"/>
          <w:highlight w:val="none"/>
          <w:lang w:val="en-US" w:eastAsia="zh-CN"/>
        </w:rPr>
      </w:pPr>
    </w:p>
    <w:p>
      <w:pPr>
        <w:pStyle w:val="8"/>
        <w:rPr>
          <w:rFonts w:hint="eastAsia" w:ascii="宋体" w:hAnsi="宋体" w:eastAsia="宋体" w:cs="宋体"/>
          <w:b w:val="0"/>
          <w:i w:val="0"/>
          <w:caps w:val="0"/>
          <w:color w:val="auto"/>
          <w:spacing w:val="0"/>
          <w:w w:val="100"/>
          <w:sz w:val="24"/>
          <w:highlight w:val="none"/>
          <w:lang w:val="en-US" w:eastAsia="zh-CN"/>
        </w:rPr>
      </w:pPr>
    </w:p>
    <w:p>
      <w:pPr>
        <w:rPr>
          <w:rFonts w:hint="eastAsia" w:ascii="宋体" w:hAnsi="宋体" w:eastAsia="宋体" w:cs="宋体"/>
          <w:b w:val="0"/>
          <w:i w:val="0"/>
          <w:caps w:val="0"/>
          <w:color w:val="auto"/>
          <w:spacing w:val="0"/>
          <w:w w:val="100"/>
          <w:sz w:val="24"/>
          <w:highlight w:val="none"/>
          <w:lang w:val="en-US" w:eastAsia="zh-CN"/>
        </w:rPr>
      </w:pPr>
    </w:p>
    <w:p>
      <w:pPr>
        <w:outlineLvl w:val="9"/>
        <w:rPr>
          <w:rFonts w:hint="eastAsia" w:ascii="宋体" w:hAnsi="宋体" w:eastAsia="宋体" w:cs="宋体"/>
          <w:b w:val="0"/>
          <w:i w:val="0"/>
          <w:caps w:val="0"/>
          <w:color w:val="auto"/>
          <w:spacing w:val="0"/>
          <w:w w:val="100"/>
          <w:sz w:val="24"/>
          <w:highlight w:val="none"/>
          <w:lang w:val="en-US" w:eastAsia="zh-CN"/>
        </w:rPr>
      </w:pPr>
    </w:p>
    <w:p>
      <w:pPr>
        <w:pStyle w:val="7"/>
        <w:rPr>
          <w:rFonts w:hint="eastAsia" w:ascii="宋体" w:hAnsi="宋体" w:eastAsia="宋体" w:cs="宋体"/>
          <w:b w:val="0"/>
          <w:i w:val="0"/>
          <w:caps w:val="0"/>
          <w:color w:val="auto"/>
          <w:spacing w:val="0"/>
          <w:w w:val="100"/>
          <w:sz w:val="24"/>
          <w:highlight w:val="none"/>
          <w:lang w:val="en-US" w:eastAsia="zh-CN"/>
        </w:rPr>
      </w:pPr>
    </w:p>
    <w:p>
      <w:pPr>
        <w:pStyle w:val="8"/>
        <w:rPr>
          <w:rFonts w:hint="eastAsia"/>
          <w:color w:val="auto"/>
          <w:highlight w:val="none"/>
          <w:lang w:val="en-US" w:eastAsia="zh-CN"/>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bookmarkStart w:id="1296" w:name="_Toc19552"/>
      <w:bookmarkStart w:id="1297" w:name="_Toc30954"/>
      <w:r>
        <w:rPr>
          <w:rFonts w:hint="eastAsia" w:ascii="宋体" w:hAnsi="宋体" w:eastAsia="宋体" w:cs="宋体"/>
          <w:color w:val="auto"/>
          <w:highlight w:val="none"/>
        </w:rPr>
        <w:br w:type="page"/>
      </w:r>
    </w:p>
    <w:p>
      <w:pPr>
        <w:pStyle w:val="4"/>
        <w:outlineLvl w:val="1"/>
        <w:rPr>
          <w:rFonts w:hint="eastAsia" w:ascii="宋体" w:hAnsi="宋体" w:eastAsia="宋体" w:cs="宋体"/>
          <w:color w:val="auto"/>
          <w:highlight w:val="none"/>
        </w:rPr>
      </w:pPr>
      <w:r>
        <w:rPr>
          <w:rFonts w:hint="eastAsia" w:ascii="宋体" w:hAnsi="宋体" w:eastAsia="宋体" w:cs="宋体"/>
          <w:color w:val="auto"/>
          <w:highlight w:val="none"/>
        </w:rPr>
        <w:t>初步评审—资格性审查表</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tbl>
      <w:tblPr>
        <w:tblStyle w:val="30"/>
        <w:tblW w:w="53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8211"/>
        <w:gridCol w:w="661"/>
        <w:gridCol w:w="685"/>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350"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序号</w:t>
            </w:r>
          </w:p>
        </w:tc>
        <w:tc>
          <w:tcPr>
            <w:tcW w:w="3716" w:type="pct"/>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评审内容</w:t>
            </w:r>
          </w:p>
        </w:tc>
        <w:tc>
          <w:tcPr>
            <w:tcW w:w="933" w:type="pct"/>
            <w:gridSpan w:val="3"/>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50"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p>
        </w:tc>
        <w:tc>
          <w:tcPr>
            <w:tcW w:w="3716" w:type="pct"/>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p>
        </w:tc>
        <w:tc>
          <w:tcPr>
            <w:tcW w:w="299"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是否合格</w:t>
            </w:r>
          </w:p>
        </w:tc>
        <w:tc>
          <w:tcPr>
            <w:tcW w:w="31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是否合格</w:t>
            </w:r>
          </w:p>
        </w:tc>
        <w:tc>
          <w:tcPr>
            <w:tcW w:w="323"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3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 w:val="18"/>
                <w:szCs w:val="18"/>
                <w:highlight w:val="none"/>
              </w:rPr>
            </w:pPr>
            <w:r>
              <w:rPr>
                <w:rFonts w:hint="eastAsia" w:ascii="宋体" w:hAnsi="宋体" w:eastAsia="宋体" w:cs="宋体"/>
                <w:color w:val="auto"/>
                <w:spacing w:val="-2"/>
                <w:sz w:val="18"/>
                <w:szCs w:val="18"/>
                <w:highlight w:val="none"/>
              </w:rPr>
              <w:t>1</w:t>
            </w:r>
          </w:p>
        </w:tc>
        <w:tc>
          <w:tcPr>
            <w:tcW w:w="371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cs="宋体"/>
                <w:color w:val="auto"/>
                <w:spacing w:val="-2"/>
                <w:szCs w:val="21"/>
                <w:highlight w:val="none"/>
                <w:lang w:eastAsia="zh-CN"/>
              </w:rPr>
              <w:t>合格有效的三证合一的营业执照（三证合一）或电子营业执照（需加盖公章）或同等法律效力的证明文件（发证机关或公证机关出具的证明材料）</w:t>
            </w:r>
            <w:r>
              <w:rPr>
                <w:rFonts w:hint="eastAsia" w:ascii="宋体" w:hAnsi="宋体" w:eastAsia="宋体" w:cs="宋体"/>
                <w:color w:val="auto"/>
                <w:spacing w:val="-2"/>
                <w:szCs w:val="21"/>
                <w:highlight w:val="none"/>
              </w:rPr>
              <w:t>；</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kern w:val="2"/>
                <w:sz w:val="18"/>
                <w:szCs w:val="18"/>
                <w:highlight w:val="none"/>
                <w:lang w:val="en-US" w:eastAsia="zh-CN" w:bidi="ar-SA"/>
              </w:rPr>
              <w:t>2</w:t>
            </w:r>
          </w:p>
        </w:tc>
        <w:tc>
          <w:tcPr>
            <w:tcW w:w="371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法定代表人资格证明及授权书、被授权人身份证(法定代表人投标需提供法定代表人身份证)；</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3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kern w:val="2"/>
                <w:sz w:val="18"/>
                <w:szCs w:val="18"/>
                <w:highlight w:val="none"/>
                <w:lang w:val="en-US" w:eastAsia="zh-CN" w:bidi="ar-SA"/>
              </w:rPr>
              <w:t>3</w:t>
            </w:r>
          </w:p>
        </w:tc>
        <w:tc>
          <w:tcPr>
            <w:tcW w:w="371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rPr>
              <w:t>提供近两年内任意一年的财务审计报告（新成立未满一年的新公司可提供近三个月内任意一个月的银行资信证明）；</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kern w:val="2"/>
                <w:sz w:val="18"/>
                <w:szCs w:val="18"/>
                <w:highlight w:val="none"/>
                <w:lang w:val="en-US" w:eastAsia="zh-CN" w:bidi="ar-SA"/>
              </w:rPr>
              <w:t>4</w:t>
            </w:r>
          </w:p>
        </w:tc>
        <w:tc>
          <w:tcPr>
            <w:tcW w:w="371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cs="宋体"/>
                <w:color w:val="auto"/>
                <w:spacing w:val="-2"/>
                <w:szCs w:val="21"/>
                <w:highlight w:val="none"/>
                <w:lang w:eastAsia="zh-CN"/>
              </w:rPr>
              <w:t>依法缴纳近六个月内任意一个月社会保险证明</w:t>
            </w:r>
            <w:r>
              <w:rPr>
                <w:rFonts w:hint="eastAsia" w:ascii="宋体" w:hAnsi="宋体" w:eastAsia="宋体" w:cs="宋体"/>
                <w:color w:val="auto"/>
                <w:spacing w:val="-2"/>
                <w:szCs w:val="21"/>
                <w:highlight w:val="none"/>
              </w:rPr>
              <w:t>；</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3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kern w:val="2"/>
                <w:sz w:val="18"/>
                <w:szCs w:val="18"/>
                <w:highlight w:val="none"/>
                <w:lang w:val="en-US" w:eastAsia="zh-CN" w:bidi="ar-SA"/>
              </w:rPr>
              <w:t>5</w:t>
            </w:r>
          </w:p>
        </w:tc>
        <w:tc>
          <w:tcPr>
            <w:tcW w:w="371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cs="宋体"/>
                <w:color w:val="auto"/>
                <w:spacing w:val="-2"/>
                <w:szCs w:val="21"/>
                <w:highlight w:val="none"/>
                <w:lang w:eastAsia="zh-CN"/>
              </w:rPr>
              <w:t>依法缴纳近六个月内任意一个月税收证明</w:t>
            </w:r>
            <w:r>
              <w:rPr>
                <w:rFonts w:hint="eastAsia" w:ascii="宋体" w:hAnsi="宋体" w:eastAsia="宋体" w:cs="宋体"/>
                <w:color w:val="auto"/>
                <w:spacing w:val="-2"/>
                <w:szCs w:val="21"/>
                <w:highlight w:val="none"/>
              </w:rPr>
              <w:t>；</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kern w:val="2"/>
                <w:sz w:val="18"/>
                <w:szCs w:val="18"/>
                <w:highlight w:val="none"/>
                <w:lang w:val="en-US" w:eastAsia="zh-CN" w:bidi="ar-SA"/>
              </w:rPr>
              <w:t>6</w:t>
            </w:r>
          </w:p>
        </w:tc>
        <w:tc>
          <w:tcPr>
            <w:tcW w:w="3716" w:type="pct"/>
            <w:vAlign w:val="center"/>
          </w:tcPr>
          <w:p>
            <w:pPr>
              <w:keepNext w:val="0"/>
              <w:keepLines w:val="0"/>
              <w:pageBreakBefore w:val="0"/>
              <w:widowControl w:val="0"/>
              <w:kinsoku/>
              <w:wordWrap w:val="0"/>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rPr>
              <w:t>根据《财政部关于在政府采购活动中查询及使用信用记录有关问题的通知》（财库﹝2016﹞125号）的要求，凡拟参加本次招标项目的供应商，如在“信用中国”网站（ www.creditchina.gov.cn） 被列入失信被执行人、重大税收违法失信主体名单(信用服务-重点领域严重失信主体名单查询-搜索栏输入单位全称)、中国政府采购网（http://www.ccgp.gov.cn/search/cr/）严重违法失信行为信息记录名单的（尚在处罚期内的），“国家企业信用信息公示系统（http://www.gsxt.gov.cn）”列入严重违法失信名单（黑名单）信息；将拒绝其参加本次招标活动；（以采购代理机构或采购人查询为准）；</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kern w:val="2"/>
                <w:sz w:val="18"/>
                <w:szCs w:val="18"/>
                <w:highlight w:val="none"/>
                <w:lang w:val="en-US" w:eastAsia="zh-CN" w:bidi="ar-SA"/>
              </w:rPr>
              <w:t>7</w:t>
            </w:r>
          </w:p>
        </w:tc>
        <w:tc>
          <w:tcPr>
            <w:tcW w:w="371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rPr>
              <w:t>参与政府采购活动前3年内未被列入失信、重大税收违法案件、财政部门禁止参加政府采购活动的承诺书；</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jc w:val="center"/>
        </w:trPr>
        <w:tc>
          <w:tcPr>
            <w:tcW w:w="3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kern w:val="2"/>
                <w:sz w:val="18"/>
                <w:szCs w:val="18"/>
                <w:highlight w:val="none"/>
                <w:lang w:val="en-US" w:eastAsia="zh-CN" w:bidi="ar-SA"/>
              </w:rPr>
              <w:t>8</w:t>
            </w:r>
          </w:p>
        </w:tc>
        <w:tc>
          <w:tcPr>
            <w:tcW w:w="371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rPr>
              <w:t>提供针对本次项目的《反商业贿赂承诺书》；</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pacing w:val="-2"/>
                <w:kern w:val="2"/>
                <w:sz w:val="18"/>
                <w:szCs w:val="18"/>
                <w:highlight w:val="none"/>
                <w:lang w:val="en-US" w:eastAsia="zh-CN" w:bidi="ar-SA"/>
              </w:rPr>
            </w:pPr>
            <w:r>
              <w:rPr>
                <w:rFonts w:hint="eastAsia" w:ascii="宋体" w:hAnsi="宋体" w:cs="宋体"/>
                <w:color w:val="auto"/>
                <w:spacing w:val="-2"/>
                <w:kern w:val="2"/>
                <w:sz w:val="18"/>
                <w:szCs w:val="18"/>
                <w:highlight w:val="none"/>
                <w:lang w:val="en-US" w:eastAsia="zh-CN" w:bidi="ar-SA"/>
              </w:rPr>
              <w:t>9</w:t>
            </w:r>
          </w:p>
        </w:tc>
        <w:tc>
          <w:tcPr>
            <w:tcW w:w="371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kern w:val="2"/>
                <w:sz w:val="21"/>
                <w:szCs w:val="21"/>
                <w:highlight w:val="none"/>
                <w:lang w:val="en-US" w:eastAsia="zh-CN" w:bidi="ar-SA"/>
              </w:rPr>
            </w:pPr>
            <w:r>
              <w:rPr>
                <w:rFonts w:hint="eastAsia" w:ascii="宋体" w:hAnsi="宋体" w:eastAsia="宋体" w:cs="宋体"/>
                <w:color w:val="auto"/>
                <w:spacing w:val="-2"/>
                <w:szCs w:val="21"/>
                <w:highlight w:val="none"/>
              </w:rPr>
              <w:t>缴纳投标保证金的有效凭证。</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50"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0"/>
                <w:szCs w:val="20"/>
                <w:highlight w:val="none"/>
                <w:lang w:val="en-US" w:eastAsia="zh-CN"/>
              </w:rPr>
            </w:pPr>
          </w:p>
        </w:tc>
        <w:tc>
          <w:tcPr>
            <w:tcW w:w="3716"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 w:val="20"/>
                <w:szCs w:val="20"/>
                <w:highlight w:val="none"/>
                <w:lang w:val="en-US" w:eastAsia="zh-CN"/>
              </w:rPr>
            </w:pPr>
            <w:r>
              <w:rPr>
                <w:rFonts w:hint="eastAsia" w:ascii="宋体" w:hAnsi="宋体" w:eastAsia="宋体" w:cs="宋体"/>
                <w:color w:val="auto"/>
                <w:spacing w:val="-2"/>
                <w:sz w:val="20"/>
                <w:szCs w:val="20"/>
                <w:highlight w:val="none"/>
                <w:lang w:val="en-US" w:eastAsia="zh-CN"/>
              </w:rPr>
              <w:t>结论</w:t>
            </w:r>
          </w:p>
        </w:tc>
        <w:tc>
          <w:tcPr>
            <w:tcW w:w="299"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10"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c>
          <w:tcPr>
            <w:tcW w:w="323" w:type="pct"/>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0"/>
                <w:szCs w:val="20"/>
                <w:highlight w:val="none"/>
              </w:rPr>
            </w:pPr>
          </w:p>
        </w:tc>
      </w:tr>
    </w:tbl>
    <w:p>
      <w:pPr>
        <w:spacing w:line="36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pStyle w:val="23"/>
        <w:rPr>
          <w:rFonts w:hint="eastAsia" w:ascii="宋体" w:hAnsi="宋体" w:eastAsia="宋体" w:cs="宋体"/>
          <w:b/>
          <w:bCs/>
          <w:color w:val="auto"/>
          <w:szCs w:val="21"/>
          <w:highlight w:val="none"/>
        </w:rPr>
      </w:pPr>
    </w:p>
    <w:p>
      <w:pPr>
        <w:rPr>
          <w:rFonts w:hint="eastAsia" w:ascii="宋体" w:hAnsi="宋体" w:eastAsia="宋体" w:cs="宋体"/>
          <w:color w:val="auto"/>
          <w:highlight w:val="none"/>
        </w:rPr>
      </w:pPr>
      <w:bookmarkStart w:id="1298" w:name="_Toc8255"/>
      <w:bookmarkStart w:id="1299" w:name="_Toc30395"/>
      <w:bookmarkStart w:id="1300" w:name="_Toc18094"/>
      <w:bookmarkStart w:id="1301" w:name="_Toc273"/>
      <w:bookmarkStart w:id="1302" w:name="_Toc27246"/>
      <w:bookmarkStart w:id="1303" w:name="_Toc21850"/>
      <w:bookmarkStart w:id="1304" w:name="_Toc3927"/>
      <w:bookmarkStart w:id="1305" w:name="_Toc14007"/>
      <w:bookmarkStart w:id="1306" w:name="_Toc8382"/>
      <w:bookmarkStart w:id="1307" w:name="_Toc3062"/>
      <w:bookmarkStart w:id="1308" w:name="_Toc13854"/>
      <w:bookmarkStart w:id="1309" w:name="_Toc16022"/>
      <w:bookmarkStart w:id="1310" w:name="_Toc26642"/>
      <w:bookmarkStart w:id="1311" w:name="_Toc28858"/>
      <w:bookmarkStart w:id="1312" w:name="_Toc31983"/>
      <w:bookmarkStart w:id="1313" w:name="_Toc12108"/>
      <w:bookmarkStart w:id="1314" w:name="_Toc10492"/>
      <w:r>
        <w:rPr>
          <w:rFonts w:hint="eastAsia" w:ascii="宋体" w:hAnsi="宋体" w:eastAsia="宋体" w:cs="宋体"/>
          <w:color w:val="auto"/>
          <w:highlight w:val="none"/>
        </w:rPr>
        <w:br w:type="page"/>
      </w:r>
    </w:p>
    <w:p>
      <w:pPr>
        <w:pStyle w:val="4"/>
        <w:rPr>
          <w:rFonts w:hint="eastAsia" w:ascii="宋体" w:hAnsi="宋体" w:eastAsia="宋体" w:cs="宋体"/>
          <w:color w:val="auto"/>
          <w:highlight w:val="none"/>
        </w:rPr>
      </w:pPr>
      <w:bookmarkStart w:id="1315" w:name="_Toc27518"/>
      <w:bookmarkStart w:id="1316" w:name="_Toc6970"/>
      <w:r>
        <w:rPr>
          <w:rFonts w:hint="eastAsia" w:ascii="宋体" w:hAnsi="宋体" w:eastAsia="宋体" w:cs="宋体"/>
          <w:color w:val="auto"/>
          <w:highlight w:val="none"/>
        </w:rPr>
        <w:t>初步评审—符合性审查表</w:t>
      </w:r>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p>
    <w:tbl>
      <w:tblPr>
        <w:tblStyle w:val="3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9201"/>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575" w:type="pct"/>
            <w:gridSpan w:val="2"/>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评审内容</w:t>
            </w:r>
          </w:p>
        </w:tc>
        <w:tc>
          <w:tcPr>
            <w:tcW w:w="424" w:type="pct"/>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b/>
                <w:color w:val="auto"/>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194" w:type="pct"/>
            <w:vAlign w:val="center"/>
          </w:tcPr>
          <w:p>
            <w:pPr>
              <w:spacing w:line="400" w:lineRule="exact"/>
              <w:jc w:val="center"/>
              <w:rPr>
                <w:rFonts w:hint="eastAsia" w:ascii="宋体" w:hAnsi="宋体" w:eastAsia="宋体" w:cs="宋体"/>
                <w:color w:val="auto"/>
                <w:spacing w:val="-2"/>
                <w:szCs w:val="21"/>
                <w:highlight w:val="none"/>
              </w:rPr>
            </w:pPr>
          </w:p>
        </w:tc>
        <w:tc>
          <w:tcPr>
            <w:tcW w:w="424" w:type="pct"/>
            <w:vAlign w:val="center"/>
          </w:tcPr>
          <w:p>
            <w:pPr>
              <w:spacing w:line="400" w:lineRule="exact"/>
              <w:jc w:val="center"/>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1</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各供应商投标报价未高于预算金额；</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2</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评标委员会认为供应商的报价无明显低于其他通过</w:t>
            </w:r>
            <w:r>
              <w:rPr>
                <w:rFonts w:hint="eastAsia" w:ascii="宋体" w:hAnsi="宋体" w:eastAsia="宋体" w:cs="宋体"/>
                <w:color w:val="auto"/>
                <w:spacing w:val="-2"/>
                <w:szCs w:val="21"/>
                <w:highlight w:val="none"/>
                <w:lang w:val="en-US" w:eastAsia="zh-CN"/>
              </w:rPr>
              <w:t>符合</w:t>
            </w:r>
            <w:r>
              <w:rPr>
                <w:rFonts w:hint="eastAsia" w:ascii="宋体" w:hAnsi="宋体" w:eastAsia="宋体" w:cs="宋体"/>
                <w:color w:val="auto"/>
                <w:spacing w:val="-2"/>
                <w:szCs w:val="21"/>
                <w:highlight w:val="none"/>
              </w:rPr>
              <w:t>性审查供应商的报价的，供应商的报价不存在异常一致并成规律性的，其报价合理；</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3</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投标文件按照招标文件的规定编制、标记及签署盖章的，法定代表人或其授权代表</w:t>
            </w:r>
            <w:r>
              <w:rPr>
                <w:rFonts w:hint="eastAsia" w:ascii="宋体" w:hAnsi="宋体" w:eastAsia="宋体" w:cs="宋体"/>
                <w:color w:val="auto"/>
                <w:spacing w:val="-2"/>
                <w:szCs w:val="21"/>
                <w:highlight w:val="none"/>
                <w:lang w:val="en-US" w:eastAsia="zh-CN"/>
              </w:rPr>
              <w:t>签</w:t>
            </w:r>
            <w:r>
              <w:rPr>
                <w:rFonts w:hint="eastAsia" w:ascii="宋体" w:hAnsi="宋体" w:eastAsia="宋体" w:cs="宋体"/>
                <w:color w:val="auto"/>
                <w:spacing w:val="-2"/>
                <w:szCs w:val="21"/>
                <w:highlight w:val="none"/>
              </w:rPr>
              <w:t>章</w:t>
            </w:r>
            <w:r>
              <w:rPr>
                <w:rFonts w:hint="eastAsia" w:ascii="宋体" w:hAnsi="宋体" w:eastAsia="宋体" w:cs="宋体"/>
                <w:color w:val="auto"/>
                <w:spacing w:val="-2"/>
                <w:szCs w:val="21"/>
                <w:highlight w:val="none"/>
                <w:lang w:eastAsia="zh-CN"/>
              </w:rPr>
              <w:t>；</w:t>
            </w:r>
          </w:p>
        </w:tc>
        <w:tc>
          <w:tcPr>
            <w:tcW w:w="424" w:type="pct"/>
            <w:vAlign w:val="center"/>
          </w:tcPr>
          <w:p>
            <w:pPr>
              <w:spacing w:line="400" w:lineRule="exact"/>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4</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所投产品的设备及数量满足招标文件要求的；</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5</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按招标文件规定的格式填写，内容</w:t>
            </w:r>
            <w:r>
              <w:rPr>
                <w:rFonts w:hint="eastAsia" w:ascii="宋体" w:hAnsi="宋体" w:eastAsia="宋体" w:cs="宋体"/>
                <w:color w:val="auto"/>
                <w:spacing w:val="-2"/>
                <w:szCs w:val="21"/>
                <w:highlight w:val="none"/>
                <w:lang w:val="en-US" w:eastAsia="zh-CN"/>
              </w:rPr>
              <w:t>全面</w:t>
            </w:r>
            <w:r>
              <w:rPr>
                <w:rFonts w:hint="eastAsia" w:ascii="宋体" w:hAnsi="宋体" w:eastAsia="宋体" w:cs="宋体"/>
                <w:color w:val="auto"/>
                <w:spacing w:val="-2"/>
                <w:szCs w:val="21"/>
                <w:highlight w:val="none"/>
              </w:rPr>
              <w:t>；</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6</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lang w:val="en-US" w:eastAsia="zh-CN"/>
              </w:rPr>
              <w:t>符合招标文件中规定的要求；</w:t>
            </w:r>
            <w:r>
              <w:rPr>
                <w:rFonts w:hint="eastAsia" w:ascii="宋体" w:hAnsi="宋体" w:cs="宋体"/>
                <w:color w:val="auto"/>
                <w:spacing w:val="-2"/>
                <w:szCs w:val="21"/>
                <w:highlight w:val="none"/>
                <w:lang w:val="en-US" w:eastAsia="zh-CN"/>
              </w:rPr>
              <w:t>（供货期、质保期）</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7</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auto"/>
                <w:spacing w:val="-2"/>
                <w:szCs w:val="21"/>
                <w:highlight w:val="none"/>
                <w:lang w:val="en-US" w:eastAsia="zh-CN"/>
              </w:rPr>
            </w:pPr>
            <w:r>
              <w:rPr>
                <w:rFonts w:hint="eastAsia" w:ascii="宋体" w:hAnsi="宋体" w:eastAsia="宋体" w:cs="宋体"/>
                <w:color w:val="auto"/>
                <w:spacing w:val="-2"/>
                <w:szCs w:val="21"/>
                <w:highlight w:val="none"/>
              </w:rPr>
              <w:t>没有采购人不能接受的附加条件的；</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8</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不同供应商的投标文件没有错漏一致的情况；</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381"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9</w:t>
            </w:r>
          </w:p>
        </w:tc>
        <w:tc>
          <w:tcPr>
            <w:tcW w:w="4194" w:type="pc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auto"/>
                <w:spacing w:val="-2"/>
                <w:szCs w:val="21"/>
                <w:highlight w:val="none"/>
                <w:lang w:eastAsia="zh-CN"/>
              </w:rPr>
            </w:pPr>
            <w:r>
              <w:rPr>
                <w:rFonts w:hint="eastAsia" w:ascii="宋体" w:hAnsi="宋体" w:eastAsia="宋体" w:cs="宋体"/>
                <w:color w:val="auto"/>
                <w:spacing w:val="-2"/>
                <w:szCs w:val="21"/>
                <w:highlight w:val="none"/>
              </w:rPr>
              <w:t>供应商附有详细地址、联系人、电话标明的</w:t>
            </w:r>
            <w:r>
              <w:rPr>
                <w:rFonts w:hint="eastAsia" w:ascii="宋体" w:hAnsi="宋体" w:cs="宋体"/>
                <w:color w:val="auto"/>
                <w:spacing w:val="-2"/>
                <w:szCs w:val="21"/>
                <w:highlight w:val="none"/>
                <w:lang w:eastAsia="zh-CN"/>
              </w:rPr>
              <w:t>。</w:t>
            </w:r>
          </w:p>
        </w:tc>
        <w:tc>
          <w:tcPr>
            <w:tcW w:w="424" w:type="pct"/>
            <w:vAlign w:val="center"/>
          </w:tcPr>
          <w:p>
            <w:pPr>
              <w:spacing w:line="400" w:lineRule="exact"/>
              <w:jc w:val="center"/>
              <w:rPr>
                <w:rFonts w:hint="eastAsia" w:ascii="宋体" w:hAnsi="宋体" w:eastAsia="宋体" w:cs="宋体"/>
                <w:color w:val="auto"/>
                <w:spacing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4575" w:type="pct"/>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pacing w:val="-2"/>
                <w:szCs w:val="21"/>
                <w:highlight w:val="none"/>
              </w:rPr>
            </w:pPr>
            <w:r>
              <w:rPr>
                <w:rFonts w:hint="eastAsia" w:ascii="宋体" w:hAnsi="宋体" w:eastAsia="宋体" w:cs="宋体"/>
                <w:color w:val="auto"/>
                <w:spacing w:val="-2"/>
                <w:szCs w:val="21"/>
                <w:highlight w:val="none"/>
              </w:rPr>
              <w:t>结论：通过评审打“√”，未通过评审打“×”</w:t>
            </w:r>
          </w:p>
        </w:tc>
        <w:tc>
          <w:tcPr>
            <w:tcW w:w="424" w:type="pct"/>
            <w:vAlign w:val="center"/>
          </w:tcPr>
          <w:p>
            <w:pPr>
              <w:spacing w:line="400" w:lineRule="exact"/>
              <w:ind w:firstLine="370" w:firstLineChars="180"/>
              <w:jc w:val="center"/>
              <w:rPr>
                <w:rFonts w:hint="eastAsia" w:ascii="宋体" w:hAnsi="宋体" w:eastAsia="宋体" w:cs="宋体"/>
                <w:color w:val="auto"/>
                <w:spacing w:val="-2"/>
                <w:szCs w:val="21"/>
                <w:highlight w:val="none"/>
              </w:rPr>
            </w:pPr>
          </w:p>
        </w:tc>
      </w:tr>
    </w:tbl>
    <w:p>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pPr>
        <w:keepNext w:val="0"/>
        <w:keepLines w:val="0"/>
        <w:pageBreakBefore w:val="0"/>
        <w:widowControl w:val="0"/>
        <w:kinsoku/>
        <w:wordWrap/>
        <w:overflowPunct/>
        <w:topLinePunct w:val="0"/>
        <w:bidi w:val="0"/>
        <w:snapToGrid/>
        <w:spacing w:line="400" w:lineRule="exact"/>
        <w:ind w:left="6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（1）上述各项中用“√”表示合格，“×”表示不合格；</w:t>
      </w:r>
    </w:p>
    <w:p>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（2）上述各项中如有一项为“×”，则结论为“×”，表示该投标文件中存在重大偏差，不能通过初步评审；评委对某一分项评审认为不合格时，必须要写明原因。</w:t>
      </w:r>
    </w:p>
    <w:p>
      <w:pPr>
        <w:pStyle w:val="7"/>
        <w:keepNext w:val="0"/>
        <w:keepLines w:val="0"/>
        <w:pageBreakBefore w:val="0"/>
        <w:widowControl w:val="0"/>
        <w:kinsoku/>
        <w:wordWrap/>
        <w:overflowPunct/>
        <w:topLinePunct w:val="0"/>
        <w:bidi w:val="0"/>
        <w:snapToGrid/>
        <w:spacing w:line="400" w:lineRule="exact"/>
        <w:ind w:firstLine="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（3）投标文件最终合格与否，以所有评委的评审意见中少数服从多数为原则定论。</w:t>
      </w:r>
    </w:p>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未通过资格审查的供应商不进入评标；通过资格审查的供应商少于不足三家的，不得评标。</w:t>
      </w:r>
    </w:p>
    <w:p>
      <w:pPr>
        <w:pStyle w:val="8"/>
        <w:ind w:left="0" w:leftChars="0" w:firstLine="0" w:firstLineChars="0"/>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pStyle w:val="12"/>
        <w:outlineLvl w:val="9"/>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1317" w:name="_Toc11449"/>
      <w:bookmarkStart w:id="1318" w:name="_Toc21392"/>
      <w:bookmarkStart w:id="1319" w:name="_Toc359"/>
      <w:bookmarkStart w:id="1320" w:name="_Toc4034"/>
      <w:bookmarkStart w:id="1321" w:name="_Toc29006"/>
      <w:bookmarkStart w:id="1322" w:name="_Toc21350"/>
      <w:bookmarkStart w:id="1323" w:name="_Toc5375"/>
      <w:bookmarkStart w:id="1324" w:name="_Toc17586"/>
      <w:bookmarkStart w:id="1325" w:name="_Toc31737"/>
      <w:bookmarkStart w:id="1326" w:name="_Toc20505"/>
      <w:bookmarkStart w:id="1327" w:name="_Toc3812"/>
      <w:bookmarkStart w:id="1328" w:name="_Toc26924"/>
      <w:bookmarkStart w:id="1329" w:name="_Toc31042"/>
      <w:bookmarkStart w:id="1330" w:name="_Toc19967"/>
      <w:bookmarkStart w:id="1331" w:name="_Toc4748"/>
      <w:bookmarkStart w:id="1332" w:name="_Toc507399904"/>
    </w:p>
    <w:p>
      <w:pPr>
        <w:rPr>
          <w:rFonts w:hint="eastAsia" w:ascii="宋体" w:hAnsi="宋体" w:eastAsia="宋体" w:cs="宋体"/>
          <w:color w:val="auto"/>
          <w:highlight w:val="none"/>
        </w:rPr>
      </w:pPr>
    </w:p>
    <w:p>
      <w:pPr>
        <w:keepNext w:val="0"/>
        <w:keepLines w:val="0"/>
        <w:pageBreakBefore w:val="0"/>
        <w:widowControl w:val="0"/>
        <w:kinsoku/>
        <w:wordWrap/>
        <w:overflowPunct/>
        <w:topLinePunct w:val="0"/>
        <w:bidi w:val="0"/>
        <w:snapToGrid/>
        <w:spacing w:line="400" w:lineRule="exact"/>
        <w:ind w:left="899" w:leftChars="28" w:hanging="840" w:hangingChars="300"/>
        <w:jc w:val="center"/>
        <w:textAlignment w:val="auto"/>
        <w:rPr>
          <w:rFonts w:hint="eastAsia" w:ascii="宋体" w:hAnsi="宋体" w:eastAsia="宋体" w:cs="宋体"/>
          <w:color w:val="auto"/>
          <w:sz w:val="28"/>
          <w:szCs w:val="28"/>
          <w:highlight w:val="none"/>
        </w:rPr>
      </w:pPr>
      <w:bookmarkStart w:id="1333" w:name="_Toc25714"/>
      <w:r>
        <w:rPr>
          <w:rFonts w:hint="eastAsia" w:ascii="宋体" w:hAnsi="宋体" w:eastAsia="宋体" w:cs="宋体"/>
          <w:color w:val="auto"/>
          <w:sz w:val="28"/>
          <w:szCs w:val="28"/>
          <w:highlight w:val="none"/>
        </w:rPr>
        <w:t>商务符合性审查表</w:t>
      </w:r>
      <w:bookmarkEnd w:id="1333"/>
    </w:p>
    <w:p>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宋体" w:hAnsi="宋体" w:eastAsia="宋体" w:cs="宋体"/>
          <w:color w:val="auto"/>
          <w:szCs w:val="21"/>
          <w:highlight w:val="none"/>
        </w:rPr>
      </w:pPr>
    </w:p>
    <w:tbl>
      <w:tblPr>
        <w:tblStyle w:val="94"/>
        <w:tblW w:w="100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48"/>
        <w:gridCol w:w="5862"/>
        <w:gridCol w:w="495"/>
        <w:gridCol w:w="585"/>
        <w:gridCol w:w="7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310" w:type="dxa"/>
            <w:gridSpan w:val="2"/>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审查事项</w:t>
            </w:r>
          </w:p>
        </w:tc>
        <w:tc>
          <w:tcPr>
            <w:tcW w:w="1789" w:type="dxa"/>
            <w:gridSpan w:val="3"/>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投标人名称及 审查情况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2448"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磋商文件条款 (投标 人须知、投标人须知 资料表条款号)</w:t>
            </w:r>
          </w:p>
        </w:tc>
        <w:tc>
          <w:tcPr>
            <w:tcW w:w="5862"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本项目要求</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2448"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 小 企 业 投 标 要 求 (1.3.6)</w:t>
            </w:r>
          </w:p>
        </w:tc>
        <w:tc>
          <w:tcPr>
            <w:tcW w:w="5862"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u w:val="single"/>
              </w:rPr>
              <w:t>适用</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2448"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 合 体 投 标 规 定 (1.4)</w:t>
            </w:r>
          </w:p>
        </w:tc>
        <w:tc>
          <w:tcPr>
            <w:tcW w:w="5862"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2448"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 标 人 的 关 联 性 (1 5)</w:t>
            </w:r>
          </w:p>
        </w:tc>
        <w:tc>
          <w:tcPr>
            <w:tcW w:w="5862"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在同一标包内，单位负责人为非同一人或者不存在直接 控股、管理关系的不同供应商。</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448"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未发现影响采购人决 策行为 (1.5)</w:t>
            </w:r>
          </w:p>
        </w:tc>
        <w:tc>
          <w:tcPr>
            <w:tcW w:w="5862"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投标人在投标过程中未向采购人提供、给予任何有价值 的物品，影响其正常决策行为。</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2448"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满足投标范围的完整 性要求      (8.1)</w:t>
            </w:r>
          </w:p>
        </w:tc>
        <w:tc>
          <w:tcPr>
            <w:tcW w:w="5862"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投标人对所投分包</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文件中所列的所有内容进行投标。</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48"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未包含价格调整要求</w:t>
            </w:r>
          </w:p>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5862"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投标人所报的各分项投标报价在合同履行过程中是固 定不变的，不得以任何理由予以变更。</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448"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 (12.1)</w:t>
            </w:r>
          </w:p>
        </w:tc>
        <w:tc>
          <w:tcPr>
            <w:tcW w:w="5862"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文件要求</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2448"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投标有效期满足要求</w:t>
            </w:r>
          </w:p>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(13 1)</w:t>
            </w:r>
          </w:p>
        </w:tc>
        <w:tc>
          <w:tcPr>
            <w:tcW w:w="5862"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自提交响应文件截止之日起 </w:t>
            </w:r>
            <w:r>
              <w:rPr>
                <w:rFonts w:hint="eastAsia" w:ascii="宋体" w:hAnsi="宋体" w:eastAsia="宋体" w:cs="宋体"/>
                <w:color w:val="auto"/>
                <w:szCs w:val="21"/>
                <w:highlight w:val="none"/>
                <w:lang w:val="en-US" w:eastAsia="zh-CN"/>
              </w:rPr>
              <w:t>90</w:t>
            </w:r>
            <w:r>
              <w:rPr>
                <w:rFonts w:hint="eastAsia" w:ascii="宋体" w:hAnsi="宋体" w:eastAsia="宋体" w:cs="宋体"/>
                <w:color w:val="auto"/>
                <w:szCs w:val="21"/>
                <w:highlight w:val="none"/>
              </w:rPr>
              <w:t xml:space="preserve"> 日历 日内</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2448"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响应文件的签署和盖</w:t>
            </w:r>
          </w:p>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章符合要求</w:t>
            </w:r>
          </w:p>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(14.2、14.4)</w:t>
            </w:r>
          </w:p>
        </w:tc>
        <w:tc>
          <w:tcPr>
            <w:tcW w:w="5862"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文件规定要求签署、盖章。</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2448"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接受价格的算术修正</w:t>
            </w:r>
          </w:p>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p>
        </w:tc>
        <w:tc>
          <w:tcPr>
            <w:tcW w:w="5862"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page">
                        <wp:posOffset>1709420</wp:posOffset>
                      </wp:positionH>
                      <wp:positionV relativeFrom="page">
                        <wp:posOffset>410210</wp:posOffset>
                      </wp:positionV>
                      <wp:extent cx="165735" cy="2095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5735" cy="209550"/>
                              </a:xfrm>
                              <a:prstGeom prst="rect">
                                <a:avLst/>
                              </a:prstGeom>
                              <a:noFill/>
                              <a:ln>
                                <a:noFill/>
                              </a:ln>
                            </wps:spPr>
                            <wps:txbx>
                              <w:txbxContent>
                                <w:p>
                                  <w:pPr>
                                    <w:spacing w:before="19" w:line="232" w:lineRule="auto"/>
                                    <w:rPr>
                                      <w:rFonts w:ascii="仿宋" w:hAnsi="仿宋" w:eastAsia="仿宋" w:cs="仿宋"/>
                                      <w:sz w:val="23"/>
                                      <w:szCs w:val="23"/>
                                    </w:rPr>
                                  </w:pPr>
                                </w:p>
                              </w:txbxContent>
                            </wps:txbx>
                            <wps:bodyPr lIns="0" tIns="0" rIns="0" bIns="0" upright="1"/>
                          </wps:wsp>
                        </a:graphicData>
                      </a:graphic>
                    </wp:anchor>
                  </w:drawing>
                </mc:Choice>
                <mc:Fallback>
                  <w:pict>
                    <v:shape id="_x0000_s1026" o:spid="_x0000_s1026" o:spt="202" type="#_x0000_t202" style="position:absolute;left:0pt;margin-left:134.6pt;margin-top:32.3pt;height:16.5pt;width:13.05pt;mso-position-horizontal-relative:page;mso-position-vertical-relative:page;z-index:251662336;mso-width-relative:page;mso-height-relative:page;" filled="f" stroked="f" coordsize="21600,21600" o:gfxdata="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KOfknYAAAACQEAAA8AAAAAAAAAAQAgAAAAIgAAAGRycy9kb3ducmV2LnhtbFBLAQIU&#10;ABQAAAAIAIdO4kCPy7LqugEAAHEDAAAOAAAAAAAAAAEAIAAAACcBAABkcnMvZTJvRG9jLnhtbFBL&#10;BQYAAAAABgAGAFkBAABTBQAAAAA=&#10;">
                      <v:fill on="f" focussize="0,0"/>
                      <v:stroke on="f"/>
                      <v:imagedata o:title=""/>
                      <o:lock v:ext="edit" aspectratio="f"/>
                      <v:textbox inset="0mm,0mm,0mm,0mm">
                        <w:txbxContent>
                          <w:p>
                            <w:pPr>
                              <w:spacing w:before="19" w:line="232" w:lineRule="auto"/>
                              <w:rPr>
                                <w:rFonts w:ascii="仿宋" w:hAnsi="仿宋" w:eastAsia="仿宋" w:cs="仿宋"/>
                                <w:sz w:val="23"/>
                                <w:szCs w:val="23"/>
                              </w:rPr>
                            </w:pPr>
                          </w:p>
                        </w:txbxContent>
                      </v:textbox>
                    </v:shape>
                  </w:pict>
                </mc:Fallback>
              </mc:AlternateContent>
            </w:r>
            <w:r>
              <w:rPr>
                <w:rFonts w:hint="eastAsia" w:ascii="宋体" w:hAnsi="宋体" w:eastAsia="宋体" w:cs="宋体"/>
                <w:color w:val="auto"/>
                <w:szCs w:val="21"/>
                <w:highlight w:val="none"/>
              </w:rPr>
              <w:t>响应文件报价出现前后不一致的，应按照</w:t>
            </w:r>
            <w:r>
              <w:rPr>
                <w:rFonts w:hint="eastAsia" w:ascii="宋体" w:hAnsi="宋体" w:eastAsia="宋体" w:cs="宋体"/>
                <w:color w:val="auto"/>
                <w:szCs w:val="21"/>
                <w:highlight w:val="none"/>
                <w:lang w:eastAsia="zh-CN"/>
              </w:rPr>
              <w:t>招标</w:t>
            </w:r>
            <w:r>
              <w:rPr>
                <w:rFonts w:hint="eastAsia" w:ascii="宋体" w:hAnsi="宋体" w:eastAsia="宋体" w:cs="宋体"/>
                <w:color w:val="auto"/>
                <w:szCs w:val="21"/>
                <w:highlight w:val="none"/>
              </w:rPr>
              <w:t>文件规定 的顺序修正。修正后的报价经投标人确认后产生约束</w:t>
            </w:r>
            <w:r>
              <w:rPr>
                <w:rFonts w:hint="eastAsia" w:ascii="宋体" w:hAnsi="宋体" w:cs="宋体"/>
                <w:color w:val="auto"/>
                <w:szCs w:val="21"/>
                <w:highlight w:val="none"/>
                <w:lang w:eastAsia="zh-CN"/>
              </w:rPr>
              <w:t>力。</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448"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符合强制采购节能产 品要求 (20.6)</w:t>
            </w:r>
          </w:p>
        </w:tc>
        <w:tc>
          <w:tcPr>
            <w:tcW w:w="5862"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rPr>
              <w:t>适用</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2448"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未发现串通投标</w:t>
            </w:r>
          </w:p>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5862"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未与其他投标人串通投标，或者与招标人串通投标。</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448"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报价说明可以接受</w:t>
            </w:r>
          </w:p>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5862"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投标人的报价明显低于其他通过符合性检查投标人的</w:t>
            </w:r>
          </w:p>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报价，有可能影响履约的，投标人能按照规定证明其报 价合理性。</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48"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无采购人不能接受的 附加条件 (22.2)</w:t>
            </w:r>
          </w:p>
        </w:tc>
        <w:tc>
          <w:tcPr>
            <w:tcW w:w="5862"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响应文件未含有采购人不能接受的附加条件。</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8310" w:type="dxa"/>
            <w:gridSpan w:val="2"/>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结论</w:t>
            </w:r>
          </w:p>
        </w:tc>
        <w:tc>
          <w:tcPr>
            <w:tcW w:w="49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585"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c>
          <w:tcPr>
            <w:tcW w:w="709" w:type="dxa"/>
            <w:vAlign w:val="top"/>
          </w:tcPr>
          <w:p>
            <w:pPr>
              <w:keepNext w:val="0"/>
              <w:keepLines w:val="0"/>
              <w:pageBreakBefore w:val="0"/>
              <w:widowControl w:val="0"/>
              <w:kinsoku/>
              <w:wordWrap/>
              <w:overflowPunct/>
              <w:topLinePunct w:val="0"/>
              <w:bidi w:val="0"/>
              <w:snapToGrid/>
              <w:spacing w:line="400" w:lineRule="exact"/>
              <w:ind w:left="689" w:leftChars="28" w:hanging="630" w:hangingChars="300"/>
              <w:jc w:val="center"/>
              <w:textAlignment w:val="auto"/>
              <w:rPr>
                <w:rFonts w:hint="eastAsia" w:ascii="宋体" w:hAnsi="宋体" w:eastAsia="宋体" w:cs="宋体"/>
                <w:color w:val="auto"/>
                <w:szCs w:val="21"/>
                <w:highlight w:val="none"/>
              </w:rPr>
            </w:pPr>
          </w:p>
        </w:tc>
      </w:tr>
    </w:tbl>
    <w:p>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★备注：如果响应文件中有一项未通过上述审查标准，评标委员会将认定整个 响应文件未响应磋商文件而予以废标处理。</w:t>
      </w:r>
    </w:p>
    <w:p>
      <w:pPr>
        <w:keepNext w:val="0"/>
        <w:keepLines w:val="0"/>
        <w:pageBreakBefore w:val="0"/>
        <w:widowControl w:val="0"/>
        <w:kinsoku/>
        <w:wordWrap/>
        <w:overflowPunct/>
        <w:topLinePunct w:val="0"/>
        <w:bidi w:val="0"/>
        <w:snapToGrid/>
        <w:spacing w:line="400" w:lineRule="exact"/>
        <w:ind w:left="689" w:leftChars="28" w:hanging="630" w:hangingChars="300"/>
        <w:textAlignment w:val="auto"/>
        <w:rPr>
          <w:rFonts w:hint="eastAsia" w:ascii="宋体" w:hAnsi="宋体" w:eastAsia="宋体" w:cs="宋体"/>
          <w:color w:val="auto"/>
          <w:szCs w:val="21"/>
          <w:highlight w:val="none"/>
        </w:rPr>
        <w:sectPr>
          <w:footerReference r:id="rId4" w:type="default"/>
          <w:pgSz w:w="11907" w:h="16840"/>
          <w:pgMar w:top="400" w:right="766" w:bottom="1264" w:left="1036" w:header="0" w:footer="1087" w:gutter="0"/>
          <w:pgNumType w:fmt="decimal"/>
          <w:cols w:space="720" w:num="1"/>
        </w:sectPr>
      </w:pPr>
    </w:p>
    <w:p>
      <w:pPr>
        <w:rPr>
          <w:rFonts w:hint="eastAsia" w:ascii="宋体" w:hAnsi="宋体" w:eastAsia="宋体" w:cs="宋体"/>
          <w:color w:val="auto"/>
          <w:highlight w:val="none"/>
        </w:rPr>
      </w:pPr>
    </w:p>
    <w:p>
      <w:pPr>
        <w:jc w:val="center"/>
        <w:outlineLvl w:val="1"/>
        <w:rPr>
          <w:rFonts w:hint="eastAsia" w:ascii="微软雅黑" w:hAnsi="微软雅黑" w:eastAsia="微软雅黑" w:cs="微软雅黑"/>
          <w:b/>
          <w:bCs/>
          <w:color w:val="auto"/>
          <w:szCs w:val="21"/>
          <w:highlight w:val="none"/>
          <w:lang w:eastAsia="zh-CN"/>
        </w:rPr>
      </w:pPr>
      <w:bookmarkStart w:id="1334" w:name="_Toc3259"/>
      <w:r>
        <w:rPr>
          <w:rFonts w:hint="eastAsia" w:ascii="微软雅黑" w:hAnsi="微软雅黑" w:eastAsia="微软雅黑" w:cs="微软雅黑"/>
          <w:b/>
          <w:bCs/>
          <w:color w:val="auto"/>
          <w:szCs w:val="21"/>
          <w:highlight w:val="none"/>
        </w:rPr>
        <w:t>综合评分表</w:t>
      </w:r>
      <w:bookmarkEnd w:id="1334"/>
    </w:p>
    <w:p>
      <w:pPr>
        <w:pStyle w:val="8"/>
        <w:ind w:left="0" w:leftChars="0" w:firstLine="0" w:firstLineChars="0"/>
        <w:rPr>
          <w:rFonts w:hint="eastAsia" w:ascii="宋体" w:hAnsi="宋体" w:eastAsia="宋体" w:cs="宋体"/>
          <w:color w:val="auto"/>
          <w:highlight w:val="none"/>
        </w:rPr>
      </w:pPr>
    </w:p>
    <w:p>
      <w:pPr>
        <w:rPr>
          <w:rFonts w:hint="eastAsia"/>
        </w:rPr>
      </w:pPr>
    </w:p>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spacing w:line="240" w:lineRule="atLeast"/>
        <w:jc w:val="center"/>
        <w:rPr>
          <w:rFonts w:hint="eastAsia" w:ascii="宋体" w:hAnsi="宋体" w:eastAsia="宋体" w:cs="宋体"/>
          <w:b/>
          <w:color w:val="auto"/>
          <w:sz w:val="44"/>
          <w:szCs w:val="44"/>
          <w:highlight w:val="none"/>
        </w:rPr>
      </w:pPr>
    </w:p>
    <w:tbl>
      <w:tblPr>
        <w:tblStyle w:val="30"/>
        <w:tblW w:w="9194"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481"/>
        <w:gridCol w:w="704"/>
        <w:gridCol w:w="706"/>
        <w:gridCol w:w="6738"/>
        <w:gridCol w:w="565"/>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553" w:hRule="atLeast"/>
          <w:jc w:val="center"/>
        </w:trPr>
        <w:tc>
          <w:tcPr>
            <w:tcW w:w="1185" w:type="dxa"/>
            <w:gridSpan w:val="2"/>
            <w:tcBorders>
              <w:top w:val="single" w:color="auto" w:sz="4" w:space="0"/>
              <w:left w:val="single" w:color="auto" w:sz="4" w:space="0"/>
              <w:bottom w:val="single" w:color="auto" w:sz="4" w:space="0"/>
              <w:right w:val="single" w:color="auto" w:sz="4" w:space="0"/>
            </w:tcBorders>
            <w:noWrap w:val="0"/>
            <w:vAlign w:val="center"/>
          </w:tcPr>
          <w:p>
            <w:pPr>
              <w:pStyle w:val="103"/>
              <w:jc w:val="center"/>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rPr>
              <w:t>评分因素</w:t>
            </w: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103"/>
              <w:jc w:val="center"/>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rPr>
              <w:t>评分点</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pStyle w:val="103"/>
              <w:jc w:val="center"/>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rPr>
              <w:t>评分标准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103"/>
              <w:jc w:val="center"/>
              <w:rPr>
                <w:rFonts w:hint="eastAsia" w:ascii="仿宋" w:hAnsi="仿宋" w:eastAsia="仿宋" w:cs="仿宋"/>
                <w:snapToGrid w:val="0"/>
                <w:color w:val="000000"/>
                <w:spacing w:val="8"/>
                <w:kern w:val="0"/>
                <w:sz w:val="22"/>
                <w:szCs w:val="22"/>
                <w:lang w:eastAsia="zh-CN"/>
              </w:rPr>
            </w:pPr>
            <w:r>
              <w:rPr>
                <w:rFonts w:hint="eastAsia" w:ascii="仿宋" w:hAnsi="仿宋" w:eastAsia="仿宋" w:cs="仿宋"/>
                <w:snapToGrid w:val="0"/>
                <w:color w:val="000000"/>
                <w:spacing w:val="8"/>
                <w:kern w:val="0"/>
                <w:sz w:val="22"/>
                <w:szCs w:val="22"/>
                <w:lang w:val="en-US" w:eastAsia="zh-CN"/>
              </w:rPr>
              <w:t>分值</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045" w:hRule="atLeast"/>
          <w:jc w:val="center"/>
        </w:trPr>
        <w:tc>
          <w:tcPr>
            <w:tcW w:w="481" w:type="dxa"/>
            <w:vMerge w:val="restart"/>
            <w:tcBorders>
              <w:top w:val="single" w:color="auto" w:sz="4" w:space="0"/>
              <w:left w:val="single" w:color="auto" w:sz="4" w:space="0"/>
              <w:bottom w:val="single" w:color="auto" w:sz="4" w:space="0"/>
              <w:right w:val="single" w:color="auto" w:sz="4" w:space="0"/>
            </w:tcBorders>
            <w:noWrap w:val="0"/>
            <w:vAlign w:val="center"/>
          </w:tcPr>
          <w:p>
            <w:pPr>
              <w:pStyle w:val="103"/>
              <w:jc w:val="center"/>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rPr>
              <w:t>详细评审</w:t>
            </w:r>
          </w:p>
        </w:tc>
        <w:tc>
          <w:tcPr>
            <w:tcW w:w="704" w:type="dxa"/>
            <w:tcBorders>
              <w:top w:val="single" w:color="auto" w:sz="4" w:space="0"/>
              <w:left w:val="single" w:color="auto" w:sz="4" w:space="0"/>
              <w:bottom w:val="single" w:color="auto" w:sz="4" w:space="0"/>
              <w:right w:val="single" w:color="auto" w:sz="4" w:space="0"/>
            </w:tcBorders>
            <w:noWrap w:val="0"/>
            <w:vAlign w:val="center"/>
          </w:tcPr>
          <w:p>
            <w:pPr>
              <w:pStyle w:val="103"/>
              <w:jc w:val="center"/>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rPr>
              <w:t>价格评审</w:t>
            </w:r>
          </w:p>
          <w:p>
            <w:pPr>
              <w:pStyle w:val="103"/>
              <w:jc w:val="center"/>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rPr>
              <w:t>（</w:t>
            </w:r>
            <w:r>
              <w:rPr>
                <w:rFonts w:hint="eastAsia" w:ascii="仿宋" w:hAnsi="仿宋" w:eastAsia="仿宋" w:cs="仿宋"/>
                <w:snapToGrid w:val="0"/>
                <w:color w:val="000000"/>
                <w:spacing w:val="8"/>
                <w:kern w:val="0"/>
                <w:sz w:val="22"/>
                <w:szCs w:val="22"/>
                <w:lang w:val="en-US" w:eastAsia="zh-CN"/>
              </w:rPr>
              <w:t>20</w:t>
            </w:r>
            <w:r>
              <w:rPr>
                <w:rFonts w:hint="eastAsia" w:ascii="仿宋" w:hAnsi="仿宋" w:eastAsia="仿宋" w:cs="仿宋"/>
                <w:snapToGrid w:val="0"/>
                <w:color w:val="000000"/>
                <w:spacing w:val="8"/>
                <w:kern w:val="0"/>
                <w:sz w:val="22"/>
                <w:szCs w:val="22"/>
              </w:rPr>
              <w:t>分）</w:t>
            </w: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napToGrid w:val="0"/>
                <w:color w:val="000000"/>
                <w:spacing w:val="8"/>
                <w:kern w:val="0"/>
                <w:sz w:val="22"/>
                <w:szCs w:val="22"/>
                <w:lang w:eastAsia="zh-CN"/>
              </w:rPr>
            </w:pPr>
            <w:r>
              <w:rPr>
                <w:rFonts w:hint="eastAsia" w:ascii="仿宋" w:hAnsi="仿宋" w:eastAsia="仿宋" w:cs="仿宋"/>
                <w:snapToGrid w:val="0"/>
                <w:color w:val="000000"/>
                <w:spacing w:val="8"/>
                <w:kern w:val="0"/>
                <w:sz w:val="22"/>
                <w:szCs w:val="22"/>
                <w:lang w:eastAsia="zh-CN"/>
              </w:rPr>
              <w:t>投标报价</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pStyle w:val="103"/>
              <w:rPr>
                <w:rFonts w:hint="eastAsia" w:ascii="仿宋" w:hAnsi="仿宋" w:eastAsia="仿宋" w:cs="仿宋"/>
                <w:snapToGrid w:val="0"/>
                <w:color w:val="000000"/>
                <w:spacing w:val="8"/>
                <w:kern w:val="0"/>
                <w:sz w:val="22"/>
                <w:szCs w:val="22"/>
                <w:lang w:eastAsia="zh-CN"/>
              </w:rPr>
            </w:pPr>
            <w:r>
              <w:rPr>
                <w:rFonts w:hint="eastAsia" w:ascii="仿宋" w:hAnsi="仿宋" w:eastAsia="仿宋" w:cs="仿宋"/>
                <w:snapToGrid w:val="0"/>
                <w:color w:val="000000"/>
                <w:spacing w:val="8"/>
                <w:kern w:val="0"/>
                <w:sz w:val="22"/>
                <w:szCs w:val="22"/>
                <w:lang w:eastAsia="zh-CN"/>
              </w:rPr>
              <w:t>完全满足招标文件参数的投标报价中的最低价为评标基准价，按照下列公式计算每个供应商的投标价格得分。投标报价得分＝（基准价/投标报价）×价格权重×100。（注：若为小型、微型及小微企业，其投标报价扣除 10 %后参与评审，提供相关证明资料，否则无效。）</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103"/>
              <w:jc w:val="center"/>
              <w:rPr>
                <w:rFonts w:hint="default" w:ascii="仿宋" w:hAnsi="仿宋" w:eastAsia="仿宋" w:cs="仿宋"/>
                <w:snapToGrid w:val="0"/>
                <w:color w:val="000000"/>
                <w:spacing w:val="8"/>
                <w:kern w:val="0"/>
                <w:sz w:val="22"/>
                <w:szCs w:val="22"/>
                <w:lang w:val="en-US"/>
              </w:rPr>
            </w:pPr>
            <w:r>
              <w:rPr>
                <w:rFonts w:hint="eastAsia" w:ascii="仿宋" w:hAnsi="仿宋" w:eastAsia="仿宋" w:cs="仿宋"/>
                <w:snapToGrid w:val="0"/>
                <w:color w:val="000000"/>
                <w:spacing w:val="8"/>
                <w:kern w:val="0"/>
                <w:sz w:val="22"/>
                <w:szCs w:val="22"/>
                <w:lang w:val="en-US" w:eastAsia="zh-CN"/>
              </w:rPr>
              <w:t>20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34"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3"/>
              <w:rPr>
                <w:rFonts w:hint="eastAsia" w:ascii="仿宋" w:hAnsi="仿宋" w:eastAsia="仿宋" w:cs="仿宋"/>
                <w:snapToGrid w:val="0"/>
                <w:color w:val="000000"/>
                <w:spacing w:val="8"/>
                <w:kern w:val="0"/>
                <w:sz w:val="22"/>
                <w:szCs w:val="22"/>
              </w:rPr>
            </w:pPr>
          </w:p>
        </w:tc>
        <w:tc>
          <w:tcPr>
            <w:tcW w:w="704" w:type="dxa"/>
            <w:vMerge w:val="restart"/>
            <w:tcBorders>
              <w:top w:val="single" w:color="auto" w:sz="4" w:space="0"/>
              <w:left w:val="single" w:color="auto" w:sz="4" w:space="0"/>
              <w:right w:val="single" w:color="auto" w:sz="4" w:space="0"/>
            </w:tcBorders>
            <w:noWrap w:val="0"/>
            <w:vAlign w:val="center"/>
          </w:tcPr>
          <w:p>
            <w:pPr>
              <w:pStyle w:val="103"/>
              <w:jc w:val="center"/>
              <w:rPr>
                <w:rFonts w:hint="default" w:ascii="仿宋" w:hAnsi="仿宋" w:eastAsia="仿宋" w:cs="仿宋"/>
                <w:snapToGrid w:val="0"/>
                <w:color w:val="000000"/>
                <w:spacing w:val="8"/>
                <w:kern w:val="0"/>
                <w:sz w:val="22"/>
                <w:szCs w:val="22"/>
                <w:lang w:val="en-US"/>
              </w:rPr>
            </w:pPr>
            <w:r>
              <w:rPr>
                <w:rFonts w:hint="eastAsia" w:ascii="仿宋" w:hAnsi="仿宋" w:eastAsia="仿宋" w:cs="仿宋"/>
                <w:snapToGrid w:val="0"/>
                <w:color w:val="000000"/>
                <w:spacing w:val="8"/>
                <w:kern w:val="0"/>
                <w:sz w:val="22"/>
                <w:szCs w:val="22"/>
                <w:lang w:val="en-US" w:eastAsia="zh-CN"/>
              </w:rPr>
              <w:t>商务部分</w:t>
            </w:r>
          </w:p>
          <w:p>
            <w:pPr>
              <w:pStyle w:val="103"/>
              <w:jc w:val="center"/>
              <w:rPr>
                <w:rFonts w:hint="eastAsia" w:ascii="仿宋" w:hAnsi="仿宋" w:eastAsia="仿宋" w:cs="仿宋"/>
                <w:snapToGrid w:val="0"/>
                <w:color w:val="000000"/>
                <w:spacing w:val="8"/>
                <w:kern w:val="0"/>
                <w:sz w:val="22"/>
                <w:szCs w:val="22"/>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企业业绩</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供应商需提供近三年类似项目业绩，每提供1个同类业绩得1分，最高得3分（需提供中标通知书或合同）</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103"/>
              <w:jc w:val="center"/>
              <w:rPr>
                <w:rFonts w:hint="default"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3</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434"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3"/>
              <w:rPr>
                <w:rFonts w:hint="eastAsia" w:ascii="仿宋" w:hAnsi="仿宋" w:eastAsia="仿宋" w:cs="仿宋"/>
                <w:snapToGrid w:val="0"/>
                <w:color w:val="000000"/>
                <w:spacing w:val="8"/>
                <w:kern w:val="0"/>
                <w:sz w:val="22"/>
                <w:szCs w:val="22"/>
              </w:rPr>
            </w:pPr>
          </w:p>
        </w:tc>
        <w:tc>
          <w:tcPr>
            <w:tcW w:w="704" w:type="dxa"/>
            <w:vMerge w:val="continue"/>
            <w:tcBorders>
              <w:left w:val="single" w:color="auto" w:sz="4" w:space="0"/>
              <w:bottom w:val="single" w:color="auto" w:sz="4" w:space="0"/>
              <w:right w:val="single" w:color="auto" w:sz="4" w:space="0"/>
            </w:tcBorders>
            <w:noWrap w:val="0"/>
            <w:vAlign w:val="center"/>
          </w:tcPr>
          <w:p>
            <w:pPr>
              <w:pStyle w:val="103"/>
              <w:jc w:val="center"/>
              <w:rPr>
                <w:rFonts w:hint="eastAsia" w:ascii="仿宋" w:hAnsi="仿宋" w:eastAsia="仿宋" w:cs="仿宋"/>
                <w:snapToGrid w:val="0"/>
                <w:color w:val="000000"/>
                <w:spacing w:val="8"/>
                <w:kern w:val="0"/>
                <w:sz w:val="22"/>
                <w:szCs w:val="22"/>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标书制作</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投标文件目录清晰、关联点对应准确，评审内容便于查找，没有与评审内容无关的资料及文件得2分。不符合要求的，每处扣0.5分，该分项总分扣完为止。</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103"/>
              <w:jc w:val="center"/>
              <w:rPr>
                <w:rFonts w:hint="default"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2</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90"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3"/>
              <w:rPr>
                <w:rFonts w:hint="eastAsia" w:ascii="仿宋" w:hAnsi="仿宋" w:eastAsia="仿宋" w:cs="仿宋"/>
                <w:snapToGrid w:val="0"/>
                <w:color w:val="000000"/>
                <w:spacing w:val="8"/>
                <w:kern w:val="0"/>
                <w:sz w:val="22"/>
                <w:szCs w:val="22"/>
                <w:highlight w:val="none"/>
              </w:rPr>
            </w:pPr>
          </w:p>
        </w:tc>
        <w:tc>
          <w:tcPr>
            <w:tcW w:w="704" w:type="dxa"/>
            <w:vMerge w:val="restart"/>
            <w:tcBorders>
              <w:top w:val="single" w:color="auto" w:sz="4" w:space="0"/>
              <w:left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val="en-US" w:eastAsia="zh-CN"/>
              </w:rPr>
              <w:t>技术部分</w:t>
            </w:r>
          </w:p>
        </w:tc>
        <w:tc>
          <w:tcPr>
            <w:tcW w:w="706" w:type="dxa"/>
            <w:tcBorders>
              <w:top w:val="single" w:color="auto" w:sz="4" w:space="0"/>
              <w:left w:val="single" w:color="auto" w:sz="4" w:space="0"/>
              <w:right w:val="single" w:color="auto" w:sz="4" w:space="0"/>
            </w:tcBorders>
            <w:noWrap w:val="0"/>
            <w:vAlign w:val="center"/>
          </w:tcPr>
          <w:p>
            <w:pPr>
              <w:pStyle w:val="105"/>
              <w:spacing w:line="240" w:lineRule="auto"/>
              <w:jc w:val="center"/>
              <w:rPr>
                <w:rFonts w:hint="eastAsia" w:ascii="宋体" w:hAnsi="宋体" w:eastAsia="宋体" w:cs="宋体"/>
                <w:snapToGrid w:val="0"/>
                <w:color w:val="000000"/>
                <w:kern w:val="0"/>
                <w:sz w:val="21"/>
                <w:szCs w:val="21"/>
                <w:lang w:val="en-US" w:eastAsia="zh-CN" w:bidi="zh-CN"/>
              </w:rPr>
            </w:pPr>
            <w:r>
              <w:rPr>
                <w:rFonts w:hint="eastAsia" w:ascii="仿宋" w:hAnsi="仿宋" w:eastAsia="仿宋" w:cs="仿宋"/>
                <w:snapToGrid w:val="0"/>
                <w:color w:val="000000"/>
                <w:spacing w:val="8"/>
                <w:kern w:val="0"/>
                <w:sz w:val="22"/>
                <w:szCs w:val="22"/>
                <w:highlight w:val="none"/>
                <w:lang w:val="zh-CN" w:eastAsia="zh-CN"/>
              </w:rPr>
              <w:t>维修资质证明</w:t>
            </w:r>
          </w:p>
        </w:tc>
        <w:tc>
          <w:tcPr>
            <w:tcW w:w="6738" w:type="dxa"/>
            <w:tcBorders>
              <w:top w:val="single" w:color="auto" w:sz="4" w:space="0"/>
              <w:left w:val="single" w:color="auto" w:sz="4" w:space="0"/>
              <w:right w:val="single" w:color="auto" w:sz="4" w:space="0"/>
            </w:tcBorders>
            <w:noWrap w:val="0"/>
            <w:vAlign w:val="center"/>
          </w:tcPr>
          <w:p>
            <w:pPr>
              <w:pStyle w:val="105"/>
              <w:spacing w:line="240" w:lineRule="auto"/>
              <w:jc w:val="left"/>
              <w:rPr>
                <w:rFonts w:hint="eastAsia" w:ascii="仿宋" w:hAnsi="仿宋" w:eastAsia="仿宋" w:cs="仿宋"/>
                <w:snapToGrid w:val="0"/>
                <w:color w:val="000000"/>
                <w:spacing w:val="8"/>
                <w:kern w:val="0"/>
                <w:sz w:val="22"/>
                <w:szCs w:val="22"/>
                <w:highlight w:val="none"/>
                <w:lang w:val="en-US" w:eastAsia="zh-CN" w:bidi="ar-SA"/>
              </w:rPr>
            </w:pPr>
            <w:r>
              <w:rPr>
                <w:rFonts w:hint="eastAsia" w:ascii="仿宋" w:hAnsi="仿宋" w:eastAsia="仿宋" w:cs="仿宋"/>
                <w:snapToGrid w:val="0"/>
                <w:color w:val="000000"/>
                <w:spacing w:val="8"/>
                <w:kern w:val="0"/>
                <w:sz w:val="22"/>
                <w:szCs w:val="22"/>
                <w:highlight w:val="none"/>
                <w:lang w:val="en-US" w:eastAsia="zh-CN" w:bidi="ar-SA"/>
              </w:rPr>
              <w:t>投标人提供设备</w:t>
            </w:r>
            <w:r>
              <w:rPr>
                <w:rFonts w:hint="eastAsia" w:ascii="仿宋" w:hAnsi="仿宋" w:eastAsia="仿宋" w:cs="仿宋"/>
                <w:snapToGrid w:val="0"/>
                <w:color w:val="000000"/>
                <w:spacing w:val="8"/>
                <w:kern w:val="0"/>
                <w:sz w:val="22"/>
                <w:szCs w:val="22"/>
                <w:highlight w:val="none"/>
                <w:lang w:val="zh-CN" w:eastAsia="zh-CN" w:bidi="ar-SA"/>
              </w:rPr>
              <w:t>原生产厂家</w:t>
            </w:r>
            <w:r>
              <w:rPr>
                <w:rFonts w:hint="eastAsia" w:ascii="仿宋" w:hAnsi="仿宋" w:eastAsia="仿宋" w:cs="仿宋"/>
                <w:snapToGrid w:val="0"/>
                <w:color w:val="000000"/>
                <w:spacing w:val="8"/>
                <w:kern w:val="0"/>
                <w:sz w:val="22"/>
                <w:szCs w:val="22"/>
                <w:highlight w:val="none"/>
                <w:lang w:val="en-US" w:eastAsia="zh-CN" w:bidi="ar-SA"/>
              </w:rPr>
              <w:t>对本项目的授权支持证明文件得5分，不提供不得分。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105"/>
              <w:spacing w:line="240" w:lineRule="auto"/>
              <w:jc w:val="center"/>
              <w:rPr>
                <w:rFonts w:hint="default" w:ascii="仿宋" w:hAnsi="仿宋" w:eastAsia="仿宋" w:cs="仿宋"/>
                <w:snapToGrid w:val="0"/>
                <w:color w:val="000000"/>
                <w:spacing w:val="8"/>
                <w:kern w:val="0"/>
                <w:sz w:val="22"/>
                <w:szCs w:val="22"/>
                <w:highlight w:val="none"/>
                <w:lang w:val="en-US" w:eastAsia="zh-CN" w:bidi="ar-SA"/>
              </w:rPr>
            </w:pPr>
            <w:r>
              <w:rPr>
                <w:rFonts w:hint="eastAsia" w:ascii="仿宋" w:hAnsi="仿宋" w:eastAsia="仿宋" w:cs="仿宋"/>
                <w:snapToGrid w:val="0"/>
                <w:color w:val="000000"/>
                <w:spacing w:val="8"/>
                <w:kern w:val="0"/>
                <w:sz w:val="22"/>
                <w:szCs w:val="22"/>
                <w:highlight w:val="none"/>
                <w:lang w:val="en-US" w:eastAsia="zh-CN" w:bidi="ar-SA"/>
              </w:rPr>
              <w:t>5</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659"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3"/>
              <w:rPr>
                <w:rFonts w:hint="eastAsia" w:ascii="仿宋" w:hAnsi="仿宋" w:eastAsia="仿宋" w:cs="仿宋"/>
                <w:snapToGrid w:val="0"/>
                <w:color w:val="000000"/>
                <w:spacing w:val="8"/>
                <w:kern w:val="0"/>
                <w:sz w:val="22"/>
                <w:szCs w:val="22"/>
              </w:rPr>
            </w:pPr>
          </w:p>
        </w:tc>
        <w:tc>
          <w:tcPr>
            <w:tcW w:w="704" w:type="dxa"/>
            <w:vMerge w:val="continue"/>
            <w:tcBorders>
              <w:left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仿宋" w:hAnsi="仿宋" w:eastAsia="仿宋" w:cs="仿宋"/>
                <w:snapToGrid w:val="0"/>
                <w:color w:val="000000"/>
                <w:spacing w:val="8"/>
                <w:kern w:val="0"/>
                <w:sz w:val="22"/>
                <w:szCs w:val="22"/>
                <w:lang w:val="en-US" w:eastAsia="zh-CN"/>
              </w:rPr>
            </w:pPr>
          </w:p>
        </w:tc>
        <w:tc>
          <w:tcPr>
            <w:tcW w:w="706"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维</w:t>
            </w:r>
            <w:r>
              <w:rPr>
                <w:rFonts w:hint="eastAsia" w:ascii="仿宋" w:hAnsi="仿宋" w:eastAsia="仿宋" w:cs="仿宋"/>
                <w:snapToGrid w:val="0"/>
                <w:color w:val="000000"/>
                <w:spacing w:val="8"/>
                <w:kern w:val="0"/>
                <w:sz w:val="22"/>
                <w:szCs w:val="22"/>
                <w:highlight w:val="none"/>
                <w:lang w:val="en-US" w:eastAsia="zh-CN"/>
              </w:rPr>
              <w:t>保</w:t>
            </w:r>
            <w:r>
              <w:rPr>
                <w:rFonts w:hint="eastAsia" w:ascii="仿宋" w:hAnsi="仿宋" w:eastAsia="仿宋" w:cs="仿宋"/>
                <w:snapToGrid w:val="0"/>
                <w:color w:val="000000"/>
                <w:spacing w:val="8"/>
                <w:kern w:val="0"/>
                <w:sz w:val="22"/>
                <w:szCs w:val="22"/>
                <w:lang w:val="en-US" w:eastAsia="zh-CN"/>
              </w:rPr>
              <w:t>服务方案</w:t>
            </w:r>
          </w:p>
        </w:tc>
        <w:tc>
          <w:tcPr>
            <w:tcW w:w="6738" w:type="dxa"/>
            <w:tcBorders>
              <w:top w:val="single" w:color="auto" w:sz="4" w:space="0"/>
              <w:left w:val="single" w:color="auto" w:sz="4" w:space="0"/>
              <w:right w:val="single" w:color="auto" w:sz="4" w:space="0"/>
            </w:tcBorders>
            <w:noWrap w:val="0"/>
            <w:vAlign w:val="center"/>
          </w:tcPr>
          <w:p>
            <w:pPr>
              <w:jc w:val="left"/>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val="en-US" w:eastAsia="zh-CN"/>
              </w:rPr>
              <w:t>维保服务方案包含产品的维修方案（免费更换、维修服务等）、配件更换、设备升级、维修响应时间、维保日常维护内容、保养计划及保养内容、日常操作规程、巡检及管理制度等;</w:t>
            </w:r>
          </w:p>
          <w:p>
            <w:pPr>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napToGrid w:val="0"/>
                <w:color w:val="000000"/>
                <w:spacing w:val="8"/>
                <w:kern w:val="0"/>
                <w:sz w:val="22"/>
                <w:szCs w:val="22"/>
                <w:highlight w:val="none"/>
                <w:lang w:val="en-US" w:eastAsia="zh-CN"/>
              </w:rPr>
              <w:t>1</w:t>
            </w: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napToGrid w:val="0"/>
                <w:color w:val="000000"/>
                <w:spacing w:val="8"/>
                <w:kern w:val="0"/>
                <w:sz w:val="22"/>
                <w:szCs w:val="22"/>
                <w:highlight w:val="none"/>
              </w:rPr>
              <w:t>目标任务明确、内容完整，作业程序清晰</w:t>
            </w:r>
            <w:r>
              <w:rPr>
                <w:rFonts w:hint="eastAsia" w:ascii="仿宋" w:hAnsi="仿宋" w:eastAsia="仿宋" w:cs="仿宋"/>
                <w:snapToGrid w:val="0"/>
                <w:color w:val="000000"/>
                <w:spacing w:val="8"/>
                <w:kern w:val="0"/>
                <w:sz w:val="22"/>
                <w:szCs w:val="22"/>
                <w:highlight w:val="none"/>
                <w:lang w:eastAsia="zh-CN"/>
              </w:rPr>
              <w:t>，满足</w:t>
            </w:r>
            <w:r>
              <w:rPr>
                <w:rFonts w:hint="eastAsia" w:ascii="仿宋" w:hAnsi="仿宋" w:eastAsia="仿宋" w:cs="仿宋"/>
                <w:snapToGrid w:val="0"/>
                <w:color w:val="000000"/>
                <w:spacing w:val="8"/>
                <w:kern w:val="0"/>
                <w:sz w:val="22"/>
                <w:szCs w:val="22"/>
                <w:highlight w:val="none"/>
              </w:rPr>
              <w:t>得</w:t>
            </w:r>
            <w:r>
              <w:rPr>
                <w:rFonts w:hint="eastAsia" w:ascii="仿宋" w:hAnsi="仿宋" w:eastAsia="仿宋" w:cs="仿宋"/>
                <w:snapToGrid w:val="0"/>
                <w:color w:val="000000"/>
                <w:spacing w:val="8"/>
                <w:kern w:val="0"/>
                <w:sz w:val="22"/>
                <w:szCs w:val="22"/>
                <w:highlight w:val="none"/>
                <w:lang w:val="en-US" w:eastAsia="zh-CN"/>
              </w:rPr>
              <w:t>20</w:t>
            </w:r>
            <w:r>
              <w:rPr>
                <w:rFonts w:hint="eastAsia" w:ascii="仿宋" w:hAnsi="仿宋" w:eastAsia="仿宋" w:cs="仿宋"/>
                <w:snapToGrid w:val="0"/>
                <w:color w:val="000000"/>
                <w:spacing w:val="8"/>
                <w:kern w:val="0"/>
                <w:sz w:val="22"/>
                <w:szCs w:val="22"/>
                <w:highlight w:val="none"/>
              </w:rPr>
              <w:t>分</w:t>
            </w:r>
            <w:r>
              <w:rPr>
                <w:rFonts w:hint="eastAsia" w:ascii="仿宋" w:hAnsi="仿宋" w:eastAsia="仿宋" w:cs="仿宋"/>
                <w:snapToGrid w:val="0"/>
                <w:color w:val="000000"/>
                <w:spacing w:val="8"/>
                <w:kern w:val="0"/>
                <w:sz w:val="22"/>
                <w:szCs w:val="22"/>
                <w:highlight w:val="none"/>
                <w:lang w:eastAsia="zh-CN"/>
              </w:rPr>
              <w:t>；</w:t>
            </w:r>
          </w:p>
          <w:p>
            <w:pPr>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napToGrid w:val="0"/>
                <w:color w:val="000000"/>
                <w:spacing w:val="8"/>
                <w:kern w:val="0"/>
                <w:sz w:val="22"/>
                <w:szCs w:val="22"/>
                <w:highlight w:val="none"/>
                <w:lang w:val="en-US" w:eastAsia="zh-CN"/>
              </w:rPr>
              <w:t>2</w:t>
            </w: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napToGrid w:val="0"/>
                <w:color w:val="000000"/>
                <w:spacing w:val="8"/>
                <w:kern w:val="0"/>
                <w:sz w:val="22"/>
                <w:szCs w:val="22"/>
                <w:highlight w:val="none"/>
              </w:rPr>
              <w:t>目标任务</w:t>
            </w:r>
            <w:r>
              <w:rPr>
                <w:rFonts w:hint="eastAsia" w:ascii="仿宋" w:hAnsi="仿宋" w:eastAsia="仿宋" w:cs="仿宋"/>
                <w:snapToGrid w:val="0"/>
                <w:color w:val="000000"/>
                <w:spacing w:val="8"/>
                <w:kern w:val="0"/>
                <w:sz w:val="22"/>
                <w:szCs w:val="22"/>
                <w:highlight w:val="none"/>
                <w:lang w:val="en-US" w:eastAsia="zh-CN"/>
              </w:rPr>
              <w:t>相对</w:t>
            </w:r>
            <w:r>
              <w:rPr>
                <w:rFonts w:hint="eastAsia" w:ascii="仿宋" w:hAnsi="仿宋" w:eastAsia="仿宋" w:cs="仿宋"/>
                <w:snapToGrid w:val="0"/>
                <w:color w:val="000000"/>
                <w:spacing w:val="8"/>
                <w:kern w:val="0"/>
                <w:sz w:val="22"/>
                <w:szCs w:val="22"/>
                <w:highlight w:val="none"/>
              </w:rPr>
              <w:t>明确、</w:t>
            </w:r>
            <w:r>
              <w:rPr>
                <w:rFonts w:hint="eastAsia" w:ascii="仿宋" w:hAnsi="仿宋" w:eastAsia="仿宋" w:cs="仿宋"/>
                <w:snapToGrid w:val="0"/>
                <w:color w:val="000000"/>
                <w:spacing w:val="8"/>
                <w:kern w:val="0"/>
                <w:sz w:val="22"/>
                <w:szCs w:val="22"/>
                <w:highlight w:val="none"/>
                <w:lang w:val="en-US" w:eastAsia="zh-CN"/>
              </w:rPr>
              <w:t>部分</w:t>
            </w:r>
            <w:r>
              <w:rPr>
                <w:rFonts w:hint="eastAsia" w:ascii="仿宋" w:hAnsi="仿宋" w:eastAsia="仿宋" w:cs="仿宋"/>
                <w:snapToGrid w:val="0"/>
                <w:color w:val="000000"/>
                <w:spacing w:val="8"/>
                <w:kern w:val="0"/>
                <w:sz w:val="22"/>
                <w:szCs w:val="22"/>
                <w:highlight w:val="none"/>
              </w:rPr>
              <w:t>内容完整，作业程序</w:t>
            </w:r>
            <w:r>
              <w:rPr>
                <w:rFonts w:hint="eastAsia" w:ascii="仿宋" w:hAnsi="仿宋" w:eastAsia="仿宋" w:cs="仿宋"/>
                <w:snapToGrid w:val="0"/>
                <w:color w:val="000000"/>
                <w:spacing w:val="8"/>
                <w:kern w:val="0"/>
                <w:sz w:val="22"/>
                <w:szCs w:val="22"/>
                <w:highlight w:val="none"/>
                <w:lang w:val="en-US" w:eastAsia="zh-CN"/>
              </w:rPr>
              <w:t>相对</w:t>
            </w:r>
            <w:r>
              <w:rPr>
                <w:rFonts w:hint="eastAsia" w:ascii="仿宋" w:hAnsi="仿宋" w:eastAsia="仿宋" w:cs="仿宋"/>
                <w:snapToGrid w:val="0"/>
                <w:color w:val="000000"/>
                <w:spacing w:val="8"/>
                <w:kern w:val="0"/>
                <w:sz w:val="22"/>
                <w:szCs w:val="22"/>
                <w:highlight w:val="none"/>
              </w:rPr>
              <w:t>清晰得</w:t>
            </w:r>
            <w:r>
              <w:rPr>
                <w:rFonts w:hint="eastAsia" w:ascii="仿宋" w:hAnsi="仿宋" w:eastAsia="仿宋" w:cs="仿宋"/>
                <w:snapToGrid w:val="0"/>
                <w:color w:val="000000"/>
                <w:spacing w:val="8"/>
                <w:kern w:val="0"/>
                <w:sz w:val="22"/>
                <w:szCs w:val="22"/>
                <w:highlight w:val="none"/>
                <w:lang w:val="en-US" w:eastAsia="zh-CN"/>
              </w:rPr>
              <w:t>13</w:t>
            </w:r>
            <w:r>
              <w:rPr>
                <w:rFonts w:hint="eastAsia" w:ascii="仿宋" w:hAnsi="仿宋" w:eastAsia="仿宋" w:cs="仿宋"/>
                <w:snapToGrid w:val="0"/>
                <w:color w:val="000000"/>
                <w:spacing w:val="8"/>
                <w:kern w:val="0"/>
                <w:sz w:val="22"/>
                <w:szCs w:val="22"/>
                <w:highlight w:val="none"/>
              </w:rPr>
              <w:t>分</w:t>
            </w:r>
            <w:r>
              <w:rPr>
                <w:rFonts w:hint="eastAsia" w:ascii="仿宋" w:hAnsi="仿宋" w:eastAsia="仿宋" w:cs="仿宋"/>
                <w:snapToGrid w:val="0"/>
                <w:color w:val="000000"/>
                <w:spacing w:val="8"/>
                <w:kern w:val="0"/>
                <w:sz w:val="22"/>
                <w:szCs w:val="22"/>
                <w:highlight w:val="none"/>
                <w:lang w:eastAsia="zh-CN"/>
              </w:rPr>
              <w:t>；</w:t>
            </w:r>
          </w:p>
          <w:p>
            <w:pPr>
              <w:rPr>
                <w:rFonts w:hint="eastAsia"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napToGrid w:val="0"/>
                <w:color w:val="000000"/>
                <w:spacing w:val="8"/>
                <w:kern w:val="0"/>
                <w:sz w:val="22"/>
                <w:szCs w:val="22"/>
                <w:highlight w:val="none"/>
                <w:lang w:val="en-US" w:eastAsia="zh-CN"/>
              </w:rPr>
              <w:t>3</w:t>
            </w: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napToGrid w:val="0"/>
                <w:color w:val="000000"/>
                <w:spacing w:val="8"/>
                <w:kern w:val="0"/>
                <w:sz w:val="22"/>
                <w:szCs w:val="22"/>
                <w:highlight w:val="none"/>
              </w:rPr>
              <w:t>目标任务</w:t>
            </w:r>
            <w:r>
              <w:rPr>
                <w:rFonts w:hint="eastAsia" w:ascii="仿宋" w:hAnsi="仿宋" w:eastAsia="仿宋" w:cs="仿宋"/>
                <w:snapToGrid w:val="0"/>
                <w:color w:val="000000"/>
                <w:spacing w:val="8"/>
                <w:kern w:val="0"/>
                <w:sz w:val="22"/>
                <w:szCs w:val="22"/>
                <w:highlight w:val="none"/>
                <w:lang w:val="en-US" w:eastAsia="zh-CN"/>
              </w:rPr>
              <w:t>不</w:t>
            </w:r>
            <w:r>
              <w:rPr>
                <w:rFonts w:hint="eastAsia" w:ascii="仿宋" w:hAnsi="仿宋" w:eastAsia="仿宋" w:cs="仿宋"/>
                <w:snapToGrid w:val="0"/>
                <w:color w:val="000000"/>
                <w:spacing w:val="8"/>
                <w:kern w:val="0"/>
                <w:sz w:val="22"/>
                <w:szCs w:val="22"/>
                <w:highlight w:val="none"/>
              </w:rPr>
              <w:t>明确、内容</w:t>
            </w:r>
            <w:r>
              <w:rPr>
                <w:rFonts w:hint="eastAsia" w:ascii="仿宋" w:hAnsi="仿宋" w:eastAsia="仿宋" w:cs="仿宋"/>
                <w:snapToGrid w:val="0"/>
                <w:color w:val="000000"/>
                <w:spacing w:val="8"/>
                <w:kern w:val="0"/>
                <w:sz w:val="22"/>
                <w:szCs w:val="22"/>
                <w:highlight w:val="none"/>
                <w:lang w:val="en-US" w:eastAsia="zh-CN"/>
              </w:rPr>
              <w:t>不</w:t>
            </w:r>
            <w:r>
              <w:rPr>
                <w:rFonts w:hint="eastAsia" w:ascii="仿宋" w:hAnsi="仿宋" w:eastAsia="仿宋" w:cs="仿宋"/>
                <w:snapToGrid w:val="0"/>
                <w:color w:val="000000"/>
                <w:spacing w:val="8"/>
                <w:kern w:val="0"/>
                <w:sz w:val="22"/>
                <w:szCs w:val="22"/>
                <w:highlight w:val="none"/>
              </w:rPr>
              <w:t>完整，作业程序</w:t>
            </w:r>
            <w:r>
              <w:rPr>
                <w:rFonts w:hint="eastAsia" w:ascii="仿宋" w:hAnsi="仿宋" w:eastAsia="仿宋" w:cs="仿宋"/>
                <w:snapToGrid w:val="0"/>
                <w:color w:val="000000"/>
                <w:spacing w:val="8"/>
                <w:kern w:val="0"/>
                <w:sz w:val="22"/>
                <w:szCs w:val="22"/>
                <w:highlight w:val="none"/>
                <w:lang w:val="en-US" w:eastAsia="zh-CN"/>
              </w:rPr>
              <w:t>不</w:t>
            </w:r>
            <w:r>
              <w:rPr>
                <w:rFonts w:hint="eastAsia" w:ascii="仿宋" w:hAnsi="仿宋" w:eastAsia="仿宋" w:cs="仿宋"/>
                <w:snapToGrid w:val="0"/>
                <w:color w:val="000000"/>
                <w:spacing w:val="8"/>
                <w:kern w:val="0"/>
                <w:sz w:val="22"/>
                <w:szCs w:val="22"/>
                <w:highlight w:val="none"/>
              </w:rPr>
              <w:t>清晰</w:t>
            </w:r>
            <w:r>
              <w:rPr>
                <w:rFonts w:hint="eastAsia" w:ascii="仿宋" w:hAnsi="仿宋" w:eastAsia="仿宋" w:cs="仿宋"/>
                <w:snapToGrid w:val="0"/>
                <w:color w:val="000000"/>
                <w:spacing w:val="8"/>
                <w:kern w:val="0"/>
                <w:sz w:val="22"/>
                <w:szCs w:val="22"/>
                <w:highlight w:val="none"/>
                <w:lang w:eastAsia="zh-CN"/>
              </w:rPr>
              <w:t>得</w:t>
            </w:r>
            <w:r>
              <w:rPr>
                <w:rFonts w:hint="eastAsia" w:ascii="仿宋" w:hAnsi="仿宋" w:eastAsia="仿宋" w:cs="仿宋"/>
                <w:snapToGrid w:val="0"/>
                <w:color w:val="000000"/>
                <w:spacing w:val="8"/>
                <w:kern w:val="0"/>
                <w:sz w:val="22"/>
                <w:szCs w:val="22"/>
                <w:highlight w:val="none"/>
                <w:lang w:val="en-US" w:eastAsia="zh-CN"/>
              </w:rPr>
              <w:t>6分；</w:t>
            </w:r>
          </w:p>
          <w:p>
            <w:pPr>
              <w:pStyle w:val="14"/>
              <w:tabs>
                <w:tab w:val="left" w:pos="1260"/>
                <w:tab w:val="right" w:leader="dot" w:pos="8630"/>
              </w:tabs>
              <w:ind w:left="0" w:leftChars="0" w:firstLine="0" w:firstLineChars="0"/>
              <w:rPr>
                <w:rFonts w:hint="eastAsia"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napToGrid w:val="0"/>
                <w:color w:val="000000"/>
                <w:spacing w:val="8"/>
                <w:kern w:val="0"/>
                <w:sz w:val="22"/>
                <w:szCs w:val="22"/>
                <w:highlight w:val="none"/>
                <w:lang w:val="en-US" w:eastAsia="zh-CN"/>
              </w:rPr>
              <w:t>4</w:t>
            </w:r>
            <w:r>
              <w:rPr>
                <w:rFonts w:hint="eastAsia" w:ascii="仿宋" w:hAnsi="仿宋" w:eastAsia="仿宋" w:cs="仿宋"/>
                <w:snapToGrid w:val="0"/>
                <w:color w:val="000000"/>
                <w:spacing w:val="8"/>
                <w:kern w:val="0"/>
                <w:sz w:val="22"/>
                <w:szCs w:val="22"/>
                <w:highlight w:val="none"/>
                <w:lang w:eastAsia="zh-CN"/>
              </w:rPr>
              <w:t>）不符合、不提供均</w:t>
            </w:r>
            <w:r>
              <w:rPr>
                <w:rFonts w:hint="eastAsia" w:ascii="仿宋" w:hAnsi="仿宋" w:eastAsia="仿宋" w:cs="仿宋"/>
                <w:snapToGrid w:val="0"/>
                <w:color w:val="000000"/>
                <w:spacing w:val="8"/>
                <w:kern w:val="0"/>
                <w:sz w:val="22"/>
                <w:szCs w:val="22"/>
                <w:highlight w:val="none"/>
              </w:rPr>
              <w:t>得</w:t>
            </w:r>
            <w:r>
              <w:rPr>
                <w:rFonts w:hint="eastAsia" w:ascii="仿宋" w:hAnsi="仿宋" w:eastAsia="仿宋" w:cs="仿宋"/>
                <w:snapToGrid w:val="0"/>
                <w:color w:val="000000"/>
                <w:spacing w:val="8"/>
                <w:kern w:val="0"/>
                <w:sz w:val="22"/>
                <w:szCs w:val="22"/>
                <w:highlight w:val="none"/>
                <w:lang w:val="en-US" w:eastAsia="zh-CN"/>
              </w:rPr>
              <w:t>0</w:t>
            </w:r>
            <w:r>
              <w:rPr>
                <w:rFonts w:hint="eastAsia" w:ascii="仿宋" w:hAnsi="仿宋" w:eastAsia="仿宋" w:cs="仿宋"/>
                <w:snapToGrid w:val="0"/>
                <w:color w:val="000000"/>
                <w:spacing w:val="8"/>
                <w:kern w:val="0"/>
                <w:sz w:val="22"/>
                <w:szCs w:val="22"/>
                <w:highlight w:val="none"/>
              </w:rPr>
              <w:t>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103"/>
              <w:jc w:val="center"/>
              <w:rPr>
                <w:rFonts w:hint="default"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val="en-US" w:eastAsia="zh-CN"/>
              </w:rPr>
              <w:t>20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221"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3"/>
              <w:rPr>
                <w:rFonts w:hint="eastAsia" w:ascii="仿宋" w:hAnsi="仿宋" w:eastAsia="仿宋" w:cs="仿宋"/>
                <w:snapToGrid w:val="0"/>
                <w:color w:val="000000"/>
                <w:spacing w:val="8"/>
                <w:kern w:val="0"/>
                <w:sz w:val="22"/>
                <w:szCs w:val="22"/>
              </w:rPr>
            </w:pPr>
          </w:p>
        </w:tc>
        <w:tc>
          <w:tcPr>
            <w:tcW w:w="704" w:type="dxa"/>
            <w:vMerge w:val="continue"/>
            <w:tcBorders>
              <w:left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仿宋" w:hAnsi="仿宋" w:eastAsia="仿宋" w:cs="仿宋"/>
                <w:snapToGrid w:val="0"/>
                <w:color w:val="000000"/>
                <w:spacing w:val="8"/>
                <w:kern w:val="0"/>
                <w:sz w:val="22"/>
                <w:szCs w:val="22"/>
                <w:lang w:val="en-US" w:eastAsia="zh-CN"/>
              </w:rPr>
            </w:pPr>
          </w:p>
        </w:tc>
        <w:tc>
          <w:tcPr>
            <w:tcW w:w="706"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质量保证措施</w:t>
            </w:r>
          </w:p>
          <w:p>
            <w:pPr>
              <w:jc w:val="center"/>
              <w:rPr>
                <w:rFonts w:hint="eastAsia" w:ascii="仿宋" w:hAnsi="仿宋" w:eastAsia="仿宋" w:cs="仿宋"/>
                <w:snapToGrid w:val="0"/>
                <w:color w:val="000000"/>
                <w:spacing w:val="8"/>
                <w:kern w:val="0"/>
                <w:sz w:val="22"/>
                <w:szCs w:val="22"/>
                <w:lang w:val="en-US" w:eastAsia="zh-CN"/>
              </w:rPr>
            </w:pPr>
          </w:p>
        </w:tc>
        <w:tc>
          <w:tcPr>
            <w:tcW w:w="6738" w:type="dxa"/>
            <w:tcBorders>
              <w:top w:val="single" w:color="auto" w:sz="4" w:space="0"/>
              <w:left w:val="single" w:color="auto" w:sz="4" w:space="0"/>
              <w:right w:val="single" w:color="auto" w:sz="4" w:space="0"/>
            </w:tcBorders>
            <w:noWrap w:val="0"/>
            <w:vAlign w:val="center"/>
          </w:tcPr>
          <w:p>
            <w:pPr>
              <w:pStyle w:val="14"/>
              <w:tabs>
                <w:tab w:val="left" w:pos="1260"/>
                <w:tab w:val="right" w:leader="dot" w:pos="8630"/>
              </w:tabs>
              <w:ind w:left="0" w:leftChars="0" w:firstLine="0" w:firstLineChars="0"/>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val="en-US" w:eastAsia="zh-CN"/>
              </w:rPr>
              <w:t xml:space="preserve">根据供应商对质量保证措施方案进行综合评比: </w:t>
            </w:r>
          </w:p>
          <w:p>
            <w:pPr>
              <w:pStyle w:val="14"/>
              <w:tabs>
                <w:tab w:val="left" w:pos="1260"/>
                <w:tab w:val="right" w:leader="dot" w:pos="8630"/>
              </w:tabs>
              <w:ind w:left="0" w:leftChars="0" w:firstLine="0" w:firstLineChars="0"/>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napToGrid w:val="0"/>
                <w:color w:val="000000"/>
                <w:spacing w:val="8"/>
                <w:kern w:val="0"/>
                <w:sz w:val="22"/>
                <w:szCs w:val="22"/>
                <w:highlight w:val="none"/>
                <w:lang w:val="en-US" w:eastAsia="zh-CN"/>
              </w:rPr>
              <w:t>1</w:t>
            </w: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napToGrid w:val="0"/>
                <w:color w:val="000000"/>
                <w:spacing w:val="8"/>
                <w:kern w:val="0"/>
                <w:sz w:val="22"/>
                <w:szCs w:val="22"/>
                <w:highlight w:val="none"/>
                <w:lang w:val="en-US" w:eastAsia="zh-CN"/>
              </w:rPr>
              <w:t xml:space="preserve">供应商有详细明确的维修保养质量目标及分期目标， </w:t>
            </w:r>
          </w:p>
          <w:p>
            <w:pPr>
              <w:pStyle w:val="14"/>
              <w:tabs>
                <w:tab w:val="left" w:pos="1260"/>
                <w:tab w:val="right" w:leader="dot" w:pos="8630"/>
              </w:tabs>
              <w:ind w:left="0" w:leftChars="0" w:firstLine="0" w:firstLineChars="0"/>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val="en-US" w:eastAsia="zh-CN"/>
              </w:rPr>
              <w:t>并提供具体可行、详细准确的的保证措施得 8 分；供应商有详细的维修保养质量目标及分期目标，并提供具体可行的的保证措施得5分；供应商有详细的维修保养质量目标，并提供一定的保</w:t>
            </w:r>
          </w:p>
          <w:p>
            <w:pPr>
              <w:pStyle w:val="14"/>
              <w:tabs>
                <w:tab w:val="left" w:pos="1260"/>
                <w:tab w:val="right" w:leader="dot" w:pos="8630"/>
              </w:tabs>
              <w:ind w:left="0" w:leftChars="0" w:firstLine="0" w:firstLineChars="0"/>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val="en-US" w:eastAsia="zh-CN"/>
              </w:rPr>
              <w:t>证措施得 3 分；未提供不得分。</w:t>
            </w:r>
          </w:p>
          <w:p>
            <w:pPr>
              <w:pStyle w:val="14"/>
              <w:tabs>
                <w:tab w:val="left" w:pos="1260"/>
                <w:tab w:val="right" w:leader="dot" w:pos="8630"/>
              </w:tabs>
              <w:ind w:left="0" w:leftChars="0" w:firstLine="0" w:firstLineChars="0"/>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napToGrid w:val="0"/>
                <w:color w:val="000000"/>
                <w:spacing w:val="8"/>
                <w:kern w:val="0"/>
                <w:sz w:val="22"/>
                <w:szCs w:val="22"/>
                <w:highlight w:val="none"/>
                <w:lang w:val="en-US" w:eastAsia="zh-CN"/>
              </w:rPr>
              <w:t>2</w:t>
            </w:r>
            <w:r>
              <w:rPr>
                <w:rFonts w:hint="eastAsia" w:ascii="仿宋" w:hAnsi="仿宋" w:eastAsia="仿宋" w:cs="仿宋"/>
                <w:snapToGrid w:val="0"/>
                <w:color w:val="000000"/>
                <w:spacing w:val="8"/>
                <w:kern w:val="0"/>
                <w:sz w:val="22"/>
                <w:szCs w:val="22"/>
                <w:highlight w:val="none"/>
                <w:lang w:eastAsia="zh-CN"/>
              </w:rPr>
              <w:t>）提供</w:t>
            </w:r>
            <w:r>
              <w:rPr>
                <w:rFonts w:hint="eastAsia" w:ascii="仿宋" w:hAnsi="仿宋" w:eastAsia="仿宋" w:cs="仿宋"/>
                <w:snapToGrid w:val="0"/>
                <w:color w:val="000000"/>
                <w:spacing w:val="8"/>
                <w:kern w:val="0"/>
                <w:sz w:val="22"/>
                <w:szCs w:val="22"/>
                <w:highlight w:val="none"/>
                <w:lang w:val="en-US" w:eastAsia="zh-CN"/>
              </w:rPr>
              <w:t>每年不少于三次的上门保养服务和每年不少于两次的数字化远程保养服务的承诺书得2分。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103"/>
              <w:jc w:val="center"/>
              <w:rPr>
                <w:rFonts w:hint="default"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2074"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3"/>
              <w:rPr>
                <w:rFonts w:hint="eastAsia" w:ascii="仿宋" w:hAnsi="仿宋" w:eastAsia="仿宋" w:cs="仿宋"/>
                <w:snapToGrid w:val="0"/>
                <w:color w:val="000000"/>
                <w:spacing w:val="8"/>
                <w:kern w:val="0"/>
                <w:sz w:val="22"/>
                <w:szCs w:val="22"/>
              </w:rPr>
            </w:pPr>
          </w:p>
        </w:tc>
        <w:tc>
          <w:tcPr>
            <w:tcW w:w="704" w:type="dxa"/>
            <w:vMerge w:val="continue"/>
            <w:tcBorders>
              <w:left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仿宋" w:hAnsi="仿宋" w:eastAsia="仿宋" w:cs="仿宋"/>
                <w:snapToGrid w:val="0"/>
                <w:color w:val="000000"/>
                <w:spacing w:val="8"/>
                <w:kern w:val="0"/>
                <w:sz w:val="22"/>
                <w:szCs w:val="22"/>
                <w:lang w:val="en-US" w:eastAsia="zh-CN"/>
              </w:rPr>
            </w:pPr>
          </w:p>
        </w:tc>
        <w:tc>
          <w:tcPr>
            <w:tcW w:w="706" w:type="dxa"/>
            <w:tcBorders>
              <w:top w:val="single" w:color="auto" w:sz="4" w:space="0"/>
              <w:left w:val="single" w:color="auto" w:sz="4" w:space="0"/>
              <w:right w:val="single" w:color="auto" w:sz="4" w:space="0"/>
            </w:tcBorders>
            <w:noWrap w:val="0"/>
            <w:vAlign w:val="center"/>
          </w:tcPr>
          <w:p>
            <w:pPr>
              <w:jc w:val="center"/>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设备维修应急预案</w:t>
            </w:r>
          </w:p>
          <w:p>
            <w:pPr>
              <w:jc w:val="center"/>
              <w:rPr>
                <w:rFonts w:hint="eastAsia" w:ascii="仿宋" w:hAnsi="仿宋" w:eastAsia="仿宋" w:cs="仿宋"/>
                <w:snapToGrid w:val="0"/>
                <w:color w:val="000000"/>
                <w:spacing w:val="8"/>
                <w:kern w:val="0"/>
                <w:sz w:val="22"/>
                <w:szCs w:val="22"/>
                <w:lang w:val="en-US" w:eastAsia="zh-CN"/>
              </w:rPr>
            </w:pPr>
          </w:p>
        </w:tc>
        <w:tc>
          <w:tcPr>
            <w:tcW w:w="6738" w:type="dxa"/>
            <w:tcBorders>
              <w:top w:val="single" w:color="auto" w:sz="4" w:space="0"/>
              <w:left w:val="single" w:color="auto" w:sz="4" w:space="0"/>
              <w:right w:val="single" w:color="auto" w:sz="4" w:space="0"/>
            </w:tcBorders>
            <w:noWrap w:val="0"/>
            <w:vAlign w:val="center"/>
          </w:tcPr>
          <w:p>
            <w:pPr>
              <w:pStyle w:val="14"/>
              <w:tabs>
                <w:tab w:val="left" w:pos="1260"/>
                <w:tab w:val="right" w:leader="dot" w:pos="8630"/>
              </w:tabs>
              <w:ind w:left="0" w:leftChars="0" w:firstLine="0" w:firstLineChars="0"/>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val="en-US" w:eastAsia="zh-CN"/>
              </w:rPr>
              <w:t xml:space="preserve">投标人结合招标人的实际情况，紧急情况的处理措施、预 </w:t>
            </w:r>
          </w:p>
          <w:p>
            <w:pPr>
              <w:pStyle w:val="14"/>
              <w:tabs>
                <w:tab w:val="left" w:pos="1260"/>
                <w:tab w:val="right" w:leader="dot" w:pos="8630"/>
              </w:tabs>
              <w:ind w:left="0" w:leftChars="0" w:firstLine="0" w:firstLineChars="0"/>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val="en-US" w:eastAsia="zh-CN"/>
              </w:rPr>
              <w:t xml:space="preserve">案以及抵抗风险(包括医疗设备维保服务过程中可能遇到 </w:t>
            </w:r>
          </w:p>
          <w:p>
            <w:pPr>
              <w:pStyle w:val="14"/>
              <w:tabs>
                <w:tab w:val="left" w:pos="1260"/>
                <w:tab w:val="right" w:leader="dot" w:pos="8630"/>
              </w:tabs>
              <w:ind w:left="0" w:leftChars="0" w:firstLine="0" w:firstLineChars="0"/>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val="en-US" w:eastAsia="zh-CN"/>
              </w:rPr>
              <w:t xml:space="preserve">的各种风险)的措施，科学、合理、完善、切实可行，投标 </w:t>
            </w:r>
          </w:p>
          <w:p>
            <w:pPr>
              <w:pStyle w:val="14"/>
              <w:tabs>
                <w:tab w:val="left" w:pos="1260"/>
                <w:tab w:val="right" w:leader="dot" w:pos="8630"/>
              </w:tabs>
              <w:ind w:left="0" w:leftChars="0" w:firstLine="0" w:firstLineChars="0"/>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val="en-US" w:eastAsia="zh-CN"/>
              </w:rPr>
              <w:t xml:space="preserve">文件中有以上内容，并且表述完善清晰、内容丰富的得 8 </w:t>
            </w:r>
          </w:p>
          <w:p>
            <w:pPr>
              <w:pStyle w:val="14"/>
              <w:tabs>
                <w:tab w:val="left" w:pos="1260"/>
                <w:tab w:val="right" w:leader="dot" w:pos="8630"/>
              </w:tabs>
              <w:ind w:left="0" w:leftChars="0" w:firstLine="0" w:firstLineChars="0"/>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val="en-US" w:eastAsia="zh-CN"/>
              </w:rPr>
              <w:t xml:space="preserve">分；每出现一处存在瑕疵或不完善扣 1 分，扣完为止。 </w:t>
            </w:r>
          </w:p>
          <w:p>
            <w:pPr>
              <w:pStyle w:val="14"/>
              <w:tabs>
                <w:tab w:val="left" w:pos="1260"/>
                <w:tab w:val="right" w:leader="dot" w:pos="8630"/>
              </w:tabs>
              <w:ind w:left="0" w:leftChars="0" w:firstLine="0" w:firstLineChars="0"/>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val="en-US" w:eastAsia="zh-CN"/>
              </w:rPr>
              <w:t>不满足或者不能体现上述相关内容的，不得分。</w:t>
            </w:r>
          </w:p>
          <w:p>
            <w:pPr>
              <w:pStyle w:val="14"/>
              <w:tabs>
                <w:tab w:val="left" w:pos="1260"/>
                <w:tab w:val="right" w:leader="dot" w:pos="8630"/>
              </w:tabs>
              <w:ind w:left="0" w:leftChars="0" w:firstLine="0" w:firstLineChars="0"/>
              <w:rPr>
                <w:rFonts w:hint="eastAsia" w:ascii="仿宋" w:hAnsi="仿宋" w:eastAsia="仿宋" w:cs="仿宋"/>
                <w:snapToGrid w:val="0"/>
                <w:color w:val="000000"/>
                <w:spacing w:val="8"/>
                <w:kern w:val="0"/>
                <w:sz w:val="22"/>
                <w:szCs w:val="22"/>
                <w:highlight w:val="none"/>
                <w:lang w:eastAsia="zh-CN"/>
              </w:rPr>
            </w:pP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103"/>
              <w:jc w:val="center"/>
              <w:rPr>
                <w:rFonts w:hint="default"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val="en-US" w:eastAsia="zh-CN"/>
              </w:rPr>
              <w:t>8</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1917"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3"/>
              <w:rPr>
                <w:rFonts w:hint="eastAsia" w:ascii="仿宋" w:hAnsi="仿宋" w:eastAsia="仿宋" w:cs="仿宋"/>
                <w:snapToGrid w:val="0"/>
                <w:color w:val="000000"/>
                <w:spacing w:val="8"/>
                <w:kern w:val="0"/>
                <w:sz w:val="22"/>
                <w:szCs w:val="22"/>
              </w:rPr>
            </w:pPr>
          </w:p>
        </w:tc>
        <w:tc>
          <w:tcPr>
            <w:tcW w:w="704" w:type="dxa"/>
            <w:vMerge w:val="continue"/>
            <w:tcBorders>
              <w:left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default" w:ascii="仿宋" w:hAnsi="仿宋" w:eastAsia="仿宋" w:cs="仿宋"/>
                <w:snapToGrid w:val="0"/>
                <w:color w:val="000000"/>
                <w:spacing w:val="8"/>
                <w:kern w:val="0"/>
                <w:sz w:val="22"/>
                <w:szCs w:val="22"/>
                <w:lang w:val="en-US" w:eastAsia="zh-CN"/>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default"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人员培训方案</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仿宋" w:hAnsi="仿宋" w:eastAsia="仿宋" w:cs="仿宋"/>
                <w:snapToGrid w:val="0"/>
                <w:color w:val="000000"/>
                <w:spacing w:val="8"/>
                <w:kern w:val="0"/>
                <w:sz w:val="22"/>
                <w:szCs w:val="22"/>
                <w:highlight w:val="none"/>
                <w:lang w:val="en-US" w:eastAsia="zh-CN"/>
              </w:rPr>
            </w:pPr>
            <w:r>
              <w:rPr>
                <w:rFonts w:hint="default" w:ascii="仿宋" w:hAnsi="仿宋" w:eastAsia="仿宋" w:cs="仿宋"/>
                <w:snapToGrid w:val="0"/>
                <w:color w:val="000000"/>
                <w:spacing w:val="8"/>
                <w:kern w:val="0"/>
                <w:sz w:val="22"/>
                <w:szCs w:val="22"/>
                <w:highlight w:val="none"/>
                <w:lang w:val="en-US" w:eastAsia="zh-CN"/>
              </w:rPr>
              <w:t xml:space="preserve">供应商根据本项目制定的人员培训方案，方案包括培训计划、 </w:t>
            </w:r>
          </w:p>
          <w:p>
            <w:pPr>
              <w:jc w:val="left"/>
              <w:rPr>
                <w:rFonts w:hint="default" w:ascii="仿宋" w:hAnsi="仿宋" w:eastAsia="仿宋" w:cs="仿宋"/>
                <w:snapToGrid w:val="0"/>
                <w:color w:val="000000"/>
                <w:spacing w:val="8"/>
                <w:kern w:val="0"/>
                <w:sz w:val="22"/>
                <w:szCs w:val="22"/>
                <w:highlight w:val="none"/>
                <w:lang w:val="en-US" w:eastAsia="zh-CN"/>
              </w:rPr>
            </w:pPr>
            <w:r>
              <w:rPr>
                <w:rFonts w:hint="default" w:ascii="仿宋" w:hAnsi="仿宋" w:eastAsia="仿宋" w:cs="仿宋"/>
                <w:snapToGrid w:val="0"/>
                <w:color w:val="000000"/>
                <w:spacing w:val="8"/>
                <w:kern w:val="0"/>
                <w:sz w:val="22"/>
                <w:szCs w:val="22"/>
                <w:highlight w:val="none"/>
                <w:lang w:val="en-US" w:eastAsia="zh-CN"/>
              </w:rPr>
              <w:t>培训内容、培训地点、培训方式、培训时间、培训讲师等</w:t>
            </w:r>
            <w:r>
              <w:rPr>
                <w:rFonts w:hint="eastAsia" w:ascii="仿宋" w:hAnsi="仿宋" w:eastAsia="仿宋" w:cs="仿宋"/>
                <w:snapToGrid w:val="0"/>
                <w:color w:val="000000"/>
                <w:spacing w:val="8"/>
                <w:kern w:val="0"/>
                <w:sz w:val="22"/>
                <w:szCs w:val="22"/>
                <w:highlight w:val="none"/>
                <w:lang w:val="en-US" w:eastAsia="zh-CN"/>
              </w:rPr>
              <w:t>;</w:t>
            </w:r>
            <w:r>
              <w:rPr>
                <w:rFonts w:hint="default" w:ascii="仿宋" w:hAnsi="仿宋" w:eastAsia="仿宋" w:cs="仿宋"/>
                <w:snapToGrid w:val="0"/>
                <w:color w:val="000000"/>
                <w:spacing w:val="8"/>
                <w:kern w:val="0"/>
                <w:sz w:val="22"/>
                <w:szCs w:val="22"/>
                <w:highlight w:val="none"/>
                <w:lang w:val="en-US" w:eastAsia="zh-CN"/>
              </w:rPr>
              <w:t xml:space="preserve"> </w:t>
            </w:r>
          </w:p>
          <w:p>
            <w:pPr>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napToGrid w:val="0"/>
                <w:color w:val="000000"/>
                <w:spacing w:val="8"/>
                <w:kern w:val="0"/>
                <w:sz w:val="22"/>
                <w:szCs w:val="22"/>
                <w:highlight w:val="none"/>
                <w:lang w:val="en-US" w:eastAsia="zh-CN"/>
              </w:rPr>
              <w:t>1</w:t>
            </w: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trike w:val="0"/>
                <w:dstrike w:val="0"/>
                <w:snapToGrid w:val="0"/>
                <w:color w:val="000000"/>
                <w:spacing w:val="8"/>
                <w:kern w:val="0"/>
                <w:sz w:val="22"/>
                <w:szCs w:val="22"/>
                <w:highlight w:val="none"/>
                <w:lang w:eastAsia="zh-CN"/>
              </w:rPr>
              <w:t>一年</w:t>
            </w:r>
            <w:r>
              <w:rPr>
                <w:rFonts w:hint="eastAsia" w:ascii="仿宋" w:hAnsi="仿宋" w:eastAsia="仿宋" w:cs="仿宋"/>
                <w:snapToGrid w:val="0"/>
                <w:color w:val="000000"/>
                <w:spacing w:val="8"/>
                <w:kern w:val="0"/>
                <w:sz w:val="22"/>
                <w:szCs w:val="22"/>
                <w:highlight w:val="none"/>
              </w:rPr>
              <w:t>提供</w:t>
            </w: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napToGrid w:val="0"/>
                <w:color w:val="000000"/>
                <w:spacing w:val="8"/>
                <w:kern w:val="0"/>
                <w:sz w:val="22"/>
                <w:szCs w:val="22"/>
                <w:highlight w:val="none"/>
                <w:lang w:val="en-US" w:eastAsia="zh-CN"/>
              </w:rPr>
              <w:t>6人/次</w:t>
            </w:r>
            <w:r>
              <w:rPr>
                <w:rFonts w:hint="eastAsia" w:ascii="仿宋" w:hAnsi="仿宋" w:eastAsia="仿宋" w:cs="仿宋"/>
                <w:snapToGrid w:val="0"/>
                <w:color w:val="000000"/>
                <w:spacing w:val="8"/>
                <w:kern w:val="0"/>
                <w:sz w:val="22"/>
                <w:szCs w:val="22"/>
                <w:highlight w:val="none"/>
              </w:rPr>
              <w:t>人员培训，有明确培训计划</w:t>
            </w:r>
            <w:r>
              <w:rPr>
                <w:rFonts w:hint="eastAsia" w:ascii="仿宋" w:hAnsi="仿宋" w:eastAsia="仿宋" w:cs="仿宋"/>
                <w:snapToGrid w:val="0"/>
                <w:color w:val="000000"/>
                <w:spacing w:val="8"/>
                <w:kern w:val="0"/>
                <w:sz w:val="22"/>
                <w:szCs w:val="22"/>
                <w:highlight w:val="none"/>
                <w:lang w:eastAsia="zh-CN"/>
              </w:rPr>
              <w:t>，且计划内容</w:t>
            </w:r>
            <w:r>
              <w:rPr>
                <w:rFonts w:hint="eastAsia" w:ascii="仿宋" w:hAnsi="仿宋" w:eastAsia="仿宋" w:cs="仿宋"/>
                <w:snapToGrid w:val="0"/>
                <w:color w:val="000000"/>
                <w:spacing w:val="8"/>
                <w:kern w:val="0"/>
                <w:sz w:val="22"/>
                <w:szCs w:val="22"/>
                <w:highlight w:val="none"/>
              </w:rPr>
              <w:t>合理可行</w:t>
            </w:r>
            <w:r>
              <w:rPr>
                <w:rFonts w:hint="eastAsia" w:ascii="仿宋" w:hAnsi="仿宋" w:eastAsia="仿宋" w:cs="仿宋"/>
                <w:snapToGrid w:val="0"/>
                <w:color w:val="000000"/>
                <w:spacing w:val="8"/>
                <w:kern w:val="0"/>
                <w:sz w:val="22"/>
                <w:szCs w:val="22"/>
                <w:highlight w:val="none"/>
                <w:lang w:eastAsia="zh-CN"/>
              </w:rPr>
              <w:t>的得</w:t>
            </w:r>
            <w:r>
              <w:rPr>
                <w:rFonts w:hint="eastAsia" w:ascii="仿宋" w:hAnsi="仿宋" w:eastAsia="仿宋" w:cs="仿宋"/>
                <w:snapToGrid w:val="0"/>
                <w:color w:val="000000"/>
                <w:spacing w:val="8"/>
                <w:kern w:val="0"/>
                <w:sz w:val="22"/>
                <w:szCs w:val="22"/>
                <w:highlight w:val="none"/>
                <w:lang w:val="en-US" w:eastAsia="zh-CN"/>
              </w:rPr>
              <w:t>12</w:t>
            </w:r>
            <w:r>
              <w:rPr>
                <w:rFonts w:hint="eastAsia" w:ascii="仿宋" w:hAnsi="仿宋" w:eastAsia="仿宋" w:cs="仿宋"/>
                <w:snapToGrid w:val="0"/>
                <w:color w:val="000000"/>
                <w:spacing w:val="8"/>
                <w:kern w:val="0"/>
                <w:sz w:val="22"/>
                <w:szCs w:val="22"/>
                <w:highlight w:val="none"/>
              </w:rPr>
              <w:t>分</w:t>
            </w:r>
            <w:r>
              <w:rPr>
                <w:rFonts w:hint="eastAsia" w:ascii="仿宋" w:hAnsi="仿宋" w:eastAsia="仿宋" w:cs="仿宋"/>
                <w:snapToGrid w:val="0"/>
                <w:color w:val="000000"/>
                <w:spacing w:val="8"/>
                <w:kern w:val="0"/>
                <w:sz w:val="22"/>
                <w:szCs w:val="22"/>
                <w:highlight w:val="none"/>
                <w:lang w:eastAsia="zh-CN"/>
              </w:rPr>
              <w:t>；</w:t>
            </w:r>
          </w:p>
          <w:p>
            <w:pPr>
              <w:rPr>
                <w:rFonts w:hint="eastAsia" w:ascii="仿宋" w:hAnsi="仿宋" w:eastAsia="仿宋" w:cs="仿宋"/>
                <w:snapToGrid w:val="0"/>
                <w:color w:val="000000"/>
                <w:spacing w:val="8"/>
                <w:kern w:val="0"/>
                <w:sz w:val="22"/>
                <w:szCs w:val="22"/>
                <w:highlight w:val="none"/>
                <w:lang w:eastAsia="zh-CN"/>
              </w:rPr>
            </w:pP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napToGrid w:val="0"/>
                <w:color w:val="000000"/>
                <w:spacing w:val="8"/>
                <w:kern w:val="0"/>
                <w:sz w:val="22"/>
                <w:szCs w:val="22"/>
                <w:highlight w:val="none"/>
                <w:lang w:val="en-US" w:eastAsia="zh-CN"/>
              </w:rPr>
              <w:t>2</w:t>
            </w: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trike w:val="0"/>
                <w:dstrike w:val="0"/>
                <w:snapToGrid w:val="0"/>
                <w:color w:val="000000"/>
                <w:spacing w:val="8"/>
                <w:kern w:val="0"/>
                <w:sz w:val="22"/>
                <w:szCs w:val="22"/>
                <w:highlight w:val="none"/>
                <w:lang w:eastAsia="zh-CN"/>
              </w:rPr>
              <w:t>一年</w:t>
            </w:r>
            <w:r>
              <w:rPr>
                <w:rFonts w:hint="eastAsia" w:ascii="仿宋" w:hAnsi="仿宋" w:eastAsia="仿宋" w:cs="仿宋"/>
                <w:snapToGrid w:val="0"/>
                <w:color w:val="000000"/>
                <w:spacing w:val="8"/>
                <w:kern w:val="0"/>
                <w:sz w:val="22"/>
                <w:szCs w:val="22"/>
                <w:highlight w:val="none"/>
                <w:lang w:eastAsia="zh-CN"/>
              </w:rPr>
              <w:t>提供</w:t>
            </w:r>
            <w:r>
              <w:rPr>
                <w:rFonts w:hint="eastAsia" w:ascii="仿宋" w:hAnsi="仿宋" w:eastAsia="仿宋" w:cs="仿宋"/>
                <w:snapToGrid w:val="0"/>
                <w:color w:val="000000"/>
                <w:spacing w:val="8"/>
                <w:kern w:val="0"/>
                <w:sz w:val="22"/>
                <w:szCs w:val="22"/>
                <w:highlight w:val="none"/>
                <w:lang w:val="en-US" w:eastAsia="zh-CN"/>
              </w:rPr>
              <w:t>4人/次</w:t>
            </w:r>
            <w:r>
              <w:rPr>
                <w:rFonts w:hint="eastAsia" w:ascii="仿宋" w:hAnsi="仿宋" w:eastAsia="仿宋" w:cs="仿宋"/>
                <w:snapToGrid w:val="0"/>
                <w:color w:val="000000"/>
                <w:spacing w:val="8"/>
                <w:kern w:val="0"/>
                <w:sz w:val="22"/>
                <w:szCs w:val="22"/>
                <w:highlight w:val="none"/>
              </w:rPr>
              <w:t>人员培训，有培训计划</w:t>
            </w:r>
            <w:r>
              <w:rPr>
                <w:rFonts w:hint="eastAsia" w:ascii="仿宋" w:hAnsi="仿宋" w:eastAsia="仿宋" w:cs="仿宋"/>
                <w:snapToGrid w:val="0"/>
                <w:color w:val="000000"/>
                <w:spacing w:val="8"/>
                <w:kern w:val="0"/>
                <w:sz w:val="22"/>
                <w:szCs w:val="22"/>
                <w:highlight w:val="none"/>
                <w:lang w:val="en-US" w:eastAsia="zh-CN"/>
              </w:rPr>
              <w:t>但内容不明确</w:t>
            </w:r>
            <w:r>
              <w:rPr>
                <w:rFonts w:hint="eastAsia" w:ascii="仿宋" w:hAnsi="仿宋" w:eastAsia="仿宋" w:cs="仿宋"/>
                <w:snapToGrid w:val="0"/>
                <w:color w:val="000000"/>
                <w:spacing w:val="8"/>
                <w:kern w:val="0"/>
                <w:sz w:val="22"/>
                <w:szCs w:val="22"/>
                <w:highlight w:val="none"/>
              </w:rPr>
              <w:t>合理</w:t>
            </w:r>
            <w:r>
              <w:rPr>
                <w:rFonts w:hint="eastAsia" w:ascii="仿宋" w:hAnsi="仿宋" w:eastAsia="仿宋" w:cs="仿宋"/>
                <w:snapToGrid w:val="0"/>
                <w:color w:val="000000"/>
                <w:spacing w:val="8"/>
                <w:kern w:val="0"/>
                <w:sz w:val="22"/>
                <w:szCs w:val="22"/>
                <w:highlight w:val="none"/>
                <w:lang w:val="en-US" w:eastAsia="zh-CN"/>
              </w:rPr>
              <w:t>的得8</w:t>
            </w:r>
            <w:r>
              <w:rPr>
                <w:rFonts w:hint="eastAsia" w:ascii="仿宋" w:hAnsi="仿宋" w:eastAsia="仿宋" w:cs="仿宋"/>
                <w:snapToGrid w:val="0"/>
                <w:color w:val="000000"/>
                <w:spacing w:val="8"/>
                <w:kern w:val="0"/>
                <w:sz w:val="22"/>
                <w:szCs w:val="22"/>
                <w:highlight w:val="none"/>
              </w:rPr>
              <w:t>分</w:t>
            </w:r>
            <w:r>
              <w:rPr>
                <w:rFonts w:hint="eastAsia" w:ascii="仿宋" w:hAnsi="仿宋" w:eastAsia="仿宋" w:cs="仿宋"/>
                <w:snapToGrid w:val="0"/>
                <w:color w:val="000000"/>
                <w:spacing w:val="8"/>
                <w:kern w:val="0"/>
                <w:sz w:val="22"/>
                <w:szCs w:val="22"/>
                <w:highlight w:val="none"/>
                <w:lang w:eastAsia="zh-CN"/>
              </w:rPr>
              <w:t>；</w:t>
            </w:r>
          </w:p>
          <w:p>
            <w:pPr>
              <w:rPr>
                <w:rFonts w:hint="eastAsia"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napToGrid w:val="0"/>
                <w:color w:val="000000"/>
                <w:spacing w:val="8"/>
                <w:kern w:val="0"/>
                <w:sz w:val="22"/>
                <w:szCs w:val="22"/>
                <w:highlight w:val="none"/>
                <w:lang w:val="en-US" w:eastAsia="zh-CN"/>
              </w:rPr>
              <w:t>3</w:t>
            </w: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trike w:val="0"/>
                <w:dstrike w:val="0"/>
                <w:snapToGrid w:val="0"/>
                <w:color w:val="000000"/>
                <w:spacing w:val="8"/>
                <w:kern w:val="0"/>
                <w:sz w:val="22"/>
                <w:szCs w:val="22"/>
                <w:highlight w:val="none"/>
                <w:lang w:eastAsia="zh-CN"/>
              </w:rPr>
              <w:t>一年</w:t>
            </w:r>
            <w:r>
              <w:rPr>
                <w:rFonts w:hint="eastAsia" w:ascii="仿宋" w:hAnsi="仿宋" w:eastAsia="仿宋" w:cs="仿宋"/>
                <w:snapToGrid w:val="0"/>
                <w:color w:val="000000"/>
                <w:spacing w:val="8"/>
                <w:kern w:val="0"/>
                <w:sz w:val="22"/>
                <w:szCs w:val="22"/>
                <w:highlight w:val="none"/>
                <w:lang w:eastAsia="zh-CN"/>
              </w:rPr>
              <w:t>提供</w:t>
            </w:r>
            <w:r>
              <w:rPr>
                <w:rFonts w:hint="eastAsia" w:ascii="仿宋" w:hAnsi="仿宋" w:eastAsia="仿宋" w:cs="仿宋"/>
                <w:snapToGrid w:val="0"/>
                <w:color w:val="000000"/>
                <w:spacing w:val="8"/>
                <w:kern w:val="0"/>
                <w:sz w:val="22"/>
                <w:szCs w:val="22"/>
                <w:highlight w:val="none"/>
                <w:lang w:val="en-US" w:eastAsia="zh-CN"/>
              </w:rPr>
              <w:t>2人/次</w:t>
            </w:r>
            <w:r>
              <w:rPr>
                <w:rFonts w:hint="eastAsia" w:ascii="仿宋" w:hAnsi="仿宋" w:eastAsia="仿宋" w:cs="仿宋"/>
                <w:snapToGrid w:val="0"/>
                <w:color w:val="000000"/>
                <w:spacing w:val="8"/>
                <w:kern w:val="0"/>
                <w:sz w:val="22"/>
                <w:szCs w:val="22"/>
                <w:highlight w:val="none"/>
              </w:rPr>
              <w:t>人员培训，</w:t>
            </w:r>
            <w:r>
              <w:rPr>
                <w:rFonts w:hint="eastAsia" w:ascii="仿宋" w:hAnsi="仿宋" w:eastAsia="仿宋" w:cs="仿宋"/>
                <w:snapToGrid w:val="0"/>
                <w:color w:val="000000"/>
                <w:spacing w:val="8"/>
                <w:kern w:val="0"/>
                <w:sz w:val="22"/>
                <w:szCs w:val="22"/>
                <w:highlight w:val="none"/>
                <w:lang w:val="en-US" w:eastAsia="zh-CN"/>
              </w:rPr>
              <w:t>且无合理得</w:t>
            </w:r>
            <w:r>
              <w:rPr>
                <w:rFonts w:hint="eastAsia" w:ascii="仿宋" w:hAnsi="仿宋" w:eastAsia="仿宋" w:cs="仿宋"/>
                <w:snapToGrid w:val="0"/>
                <w:color w:val="000000"/>
                <w:spacing w:val="8"/>
                <w:kern w:val="0"/>
                <w:sz w:val="22"/>
                <w:szCs w:val="22"/>
                <w:highlight w:val="none"/>
              </w:rPr>
              <w:t>培训计划</w:t>
            </w:r>
            <w:r>
              <w:rPr>
                <w:rFonts w:hint="eastAsia" w:ascii="仿宋" w:hAnsi="仿宋" w:eastAsia="仿宋" w:cs="仿宋"/>
                <w:snapToGrid w:val="0"/>
                <w:color w:val="000000"/>
                <w:spacing w:val="8"/>
                <w:kern w:val="0"/>
                <w:sz w:val="22"/>
                <w:szCs w:val="22"/>
                <w:highlight w:val="none"/>
                <w:lang w:val="en-US" w:eastAsia="zh-CN"/>
              </w:rPr>
              <w:t>得4分；</w:t>
            </w:r>
          </w:p>
          <w:p>
            <w:pPr>
              <w:jc w:val="left"/>
              <w:rPr>
                <w:rFonts w:hint="default"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eastAsia="zh-CN"/>
              </w:rPr>
              <w:t>（</w:t>
            </w:r>
            <w:r>
              <w:rPr>
                <w:rFonts w:hint="eastAsia" w:ascii="仿宋" w:hAnsi="仿宋" w:eastAsia="仿宋" w:cs="仿宋"/>
                <w:snapToGrid w:val="0"/>
                <w:color w:val="000000"/>
                <w:spacing w:val="8"/>
                <w:kern w:val="0"/>
                <w:sz w:val="22"/>
                <w:szCs w:val="22"/>
                <w:highlight w:val="none"/>
                <w:lang w:val="en-US" w:eastAsia="zh-CN"/>
              </w:rPr>
              <w:t>4</w:t>
            </w:r>
            <w:r>
              <w:rPr>
                <w:rFonts w:hint="eastAsia" w:ascii="仿宋" w:hAnsi="仿宋" w:eastAsia="仿宋" w:cs="仿宋"/>
                <w:snapToGrid w:val="0"/>
                <w:color w:val="000000"/>
                <w:spacing w:val="8"/>
                <w:kern w:val="0"/>
                <w:sz w:val="22"/>
                <w:szCs w:val="22"/>
                <w:highlight w:val="none"/>
                <w:lang w:eastAsia="zh-CN"/>
              </w:rPr>
              <w:t>）不符合、不提供均不得</w:t>
            </w:r>
            <w:r>
              <w:rPr>
                <w:rFonts w:hint="eastAsia" w:ascii="仿宋" w:hAnsi="仿宋" w:eastAsia="仿宋" w:cs="仿宋"/>
                <w:snapToGrid w:val="0"/>
                <w:color w:val="000000"/>
                <w:spacing w:val="8"/>
                <w:kern w:val="0"/>
                <w:sz w:val="22"/>
                <w:szCs w:val="22"/>
                <w:highlight w:val="none"/>
              </w:rPr>
              <w:t>分。</w:t>
            </w:r>
          </w:p>
        </w:tc>
        <w:tc>
          <w:tcPr>
            <w:tcW w:w="565" w:type="dxa"/>
            <w:tcBorders>
              <w:top w:val="single" w:color="auto" w:sz="4" w:space="0"/>
              <w:left w:val="single" w:color="auto" w:sz="4" w:space="0"/>
              <w:bottom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val="en-US" w:eastAsia="zh-CN"/>
              </w:rPr>
              <w:t>12</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81"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3"/>
              <w:rPr>
                <w:rFonts w:hint="eastAsia" w:ascii="仿宋" w:hAnsi="仿宋" w:eastAsia="仿宋" w:cs="仿宋"/>
                <w:snapToGrid w:val="0"/>
                <w:color w:val="000000"/>
                <w:spacing w:val="8"/>
                <w:kern w:val="0"/>
                <w:sz w:val="22"/>
                <w:szCs w:val="22"/>
              </w:rPr>
            </w:pPr>
          </w:p>
        </w:tc>
        <w:tc>
          <w:tcPr>
            <w:tcW w:w="704" w:type="dxa"/>
            <w:vMerge w:val="continue"/>
            <w:tcBorders>
              <w:left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snapToGrid w:val="0"/>
                <w:color w:val="000000"/>
                <w:spacing w:val="8"/>
                <w:kern w:val="0"/>
                <w:sz w:val="22"/>
                <w:szCs w:val="22"/>
              </w:rPr>
            </w:pPr>
          </w:p>
        </w:tc>
        <w:tc>
          <w:tcPr>
            <w:tcW w:w="706"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val="en-US" w:eastAsia="zh-CN"/>
              </w:rPr>
              <w:t>售后人员</w:t>
            </w:r>
          </w:p>
        </w:tc>
        <w:tc>
          <w:tcPr>
            <w:tcW w:w="6738"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val="zh-CN" w:eastAsia="zh-CN"/>
              </w:rPr>
              <w:t>提供设备原生产厂家培训认证在有效期内技术人员资格证书（复印件），该认证人员必须是投标人或投标人委托针对本项目的服务单位任职，提供一份得</w:t>
            </w:r>
            <w:r>
              <w:rPr>
                <w:rFonts w:hint="eastAsia" w:ascii="仿宋" w:hAnsi="仿宋" w:eastAsia="仿宋" w:cs="仿宋"/>
                <w:snapToGrid w:val="0"/>
                <w:color w:val="000000"/>
                <w:spacing w:val="8"/>
                <w:kern w:val="0"/>
                <w:sz w:val="22"/>
                <w:szCs w:val="22"/>
                <w:highlight w:val="none"/>
                <w:lang w:val="en-US" w:eastAsia="zh-CN"/>
              </w:rPr>
              <w:t>2</w:t>
            </w:r>
            <w:r>
              <w:rPr>
                <w:rFonts w:hint="eastAsia" w:ascii="仿宋" w:hAnsi="仿宋" w:eastAsia="仿宋" w:cs="仿宋"/>
                <w:snapToGrid w:val="0"/>
                <w:color w:val="000000"/>
                <w:spacing w:val="8"/>
                <w:kern w:val="0"/>
                <w:sz w:val="22"/>
                <w:szCs w:val="22"/>
                <w:highlight w:val="none"/>
                <w:lang w:val="zh-CN" w:eastAsia="zh-CN"/>
              </w:rPr>
              <w:t>分，满分</w:t>
            </w:r>
            <w:r>
              <w:rPr>
                <w:rFonts w:hint="eastAsia" w:ascii="仿宋" w:hAnsi="仿宋" w:eastAsia="仿宋" w:cs="仿宋"/>
                <w:snapToGrid w:val="0"/>
                <w:color w:val="000000"/>
                <w:spacing w:val="8"/>
                <w:kern w:val="0"/>
                <w:sz w:val="22"/>
                <w:szCs w:val="22"/>
                <w:highlight w:val="none"/>
                <w:lang w:val="en-US" w:eastAsia="zh-CN"/>
              </w:rPr>
              <w:t>10</w:t>
            </w:r>
            <w:r>
              <w:rPr>
                <w:rFonts w:hint="eastAsia" w:ascii="仿宋" w:hAnsi="仿宋" w:eastAsia="仿宋" w:cs="仿宋"/>
                <w:snapToGrid w:val="0"/>
                <w:color w:val="000000"/>
                <w:spacing w:val="8"/>
                <w:kern w:val="0"/>
                <w:sz w:val="22"/>
                <w:szCs w:val="22"/>
                <w:highlight w:val="none"/>
                <w:lang w:val="zh-CN" w:eastAsia="zh-CN"/>
              </w:rPr>
              <w:t>分。</w:t>
            </w:r>
            <w:r>
              <w:rPr>
                <w:rFonts w:hint="eastAsia" w:ascii="仿宋" w:hAnsi="仿宋" w:eastAsia="仿宋" w:cs="仿宋"/>
                <w:snapToGrid w:val="0"/>
                <w:color w:val="000000"/>
                <w:spacing w:val="8"/>
                <w:kern w:val="0"/>
                <w:sz w:val="22"/>
                <w:szCs w:val="22"/>
                <w:highlight w:val="none"/>
                <w:lang w:val="en-US" w:eastAsia="zh-CN"/>
              </w:rPr>
              <w:t>（须提供姓名、联系方式、2023年本单位社保证明或退休证明，否则属于无效资料）</w:t>
            </w:r>
          </w:p>
        </w:tc>
        <w:tc>
          <w:tcPr>
            <w:tcW w:w="565" w:type="dxa"/>
            <w:tcBorders>
              <w:top w:val="single" w:color="auto" w:sz="4" w:space="0"/>
              <w:left w:val="single" w:color="auto" w:sz="4" w:space="0"/>
              <w:right w:val="single" w:color="auto" w:sz="4" w:space="0"/>
            </w:tcBorders>
            <w:noWrap w:val="0"/>
            <w:vAlign w:val="center"/>
          </w:tcPr>
          <w:p>
            <w:pPr>
              <w:pStyle w:val="26"/>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仿宋" w:hAnsi="仿宋" w:eastAsia="仿宋" w:cs="仿宋"/>
                <w:snapToGrid w:val="0"/>
                <w:color w:val="000000"/>
                <w:spacing w:val="8"/>
                <w:kern w:val="0"/>
                <w:sz w:val="22"/>
                <w:szCs w:val="22"/>
                <w:highlight w:val="none"/>
                <w:lang w:val="en-US" w:eastAsia="zh-CN"/>
              </w:rPr>
            </w:pPr>
            <w:r>
              <w:rPr>
                <w:rFonts w:hint="eastAsia" w:ascii="仿宋" w:hAnsi="仿宋" w:eastAsia="仿宋" w:cs="仿宋"/>
                <w:snapToGrid w:val="0"/>
                <w:color w:val="000000"/>
                <w:spacing w:val="8"/>
                <w:kern w:val="0"/>
                <w:sz w:val="22"/>
                <w:szCs w:val="22"/>
                <w:highlight w:val="none"/>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312"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3"/>
              <w:jc w:val="center"/>
              <w:rPr>
                <w:rFonts w:hint="eastAsia" w:ascii="仿宋" w:hAnsi="仿宋" w:eastAsia="仿宋" w:cs="仿宋"/>
                <w:snapToGrid w:val="0"/>
                <w:color w:val="000000"/>
                <w:spacing w:val="8"/>
                <w:kern w:val="0"/>
                <w:sz w:val="22"/>
                <w:szCs w:val="22"/>
              </w:rPr>
            </w:pPr>
          </w:p>
        </w:tc>
        <w:tc>
          <w:tcPr>
            <w:tcW w:w="704" w:type="dxa"/>
            <w:vMerge w:val="continue"/>
            <w:tcBorders>
              <w:left w:val="single" w:color="auto" w:sz="4" w:space="0"/>
              <w:right w:val="single" w:color="auto" w:sz="4" w:space="0"/>
            </w:tcBorders>
            <w:noWrap w:val="0"/>
            <w:vAlign w:val="center"/>
          </w:tcPr>
          <w:p>
            <w:pPr>
              <w:pStyle w:val="103"/>
              <w:jc w:val="center"/>
              <w:rPr>
                <w:rFonts w:hint="eastAsia" w:ascii="仿宋" w:hAnsi="仿宋" w:eastAsia="仿宋" w:cs="仿宋"/>
                <w:snapToGrid w:val="0"/>
                <w:color w:val="000000"/>
                <w:spacing w:val="8"/>
                <w:kern w:val="0"/>
                <w:sz w:val="22"/>
                <w:szCs w:val="22"/>
              </w:rPr>
            </w:pPr>
          </w:p>
        </w:tc>
        <w:tc>
          <w:tcPr>
            <w:tcW w:w="706" w:type="dxa"/>
            <w:tcBorders>
              <w:top w:val="single" w:color="auto" w:sz="4" w:space="0"/>
              <w:left w:val="single" w:color="auto" w:sz="4" w:space="0"/>
              <w:right w:val="single" w:color="auto" w:sz="4" w:space="0"/>
            </w:tcBorders>
            <w:noWrap w:val="0"/>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售后地点及备品备件</w:t>
            </w:r>
          </w:p>
        </w:tc>
        <w:tc>
          <w:tcPr>
            <w:tcW w:w="6738" w:type="dxa"/>
            <w:tcBorders>
              <w:top w:val="single" w:color="auto" w:sz="4" w:space="0"/>
              <w:left w:val="single" w:color="auto" w:sz="4" w:space="0"/>
              <w:right w:val="single" w:color="auto" w:sz="4" w:space="0"/>
            </w:tcBorders>
            <w:noWrap w:val="0"/>
            <w:vAlign w:val="center"/>
          </w:tcPr>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snapToGrid w:val="0"/>
                <w:color w:val="000000"/>
                <w:spacing w:val="8"/>
                <w:kern w:val="0"/>
                <w:sz w:val="22"/>
                <w:szCs w:val="22"/>
                <w:lang w:val="en-US" w:eastAsia="zh-CN"/>
              </w:rPr>
            </w:pPr>
            <w:bookmarkStart w:id="1944" w:name="_GoBack"/>
            <w:r>
              <w:rPr>
                <w:rFonts w:hint="eastAsia" w:ascii="仿宋" w:hAnsi="仿宋" w:eastAsia="仿宋" w:cs="仿宋"/>
                <w:snapToGrid w:val="0"/>
                <w:color w:val="000000"/>
                <w:spacing w:val="8"/>
                <w:kern w:val="0"/>
                <w:sz w:val="22"/>
                <w:szCs w:val="22"/>
                <w:lang w:val="en-US" w:eastAsia="zh-CN"/>
              </w:rPr>
              <w:t xml:space="preserve">1、供应商在国内应设有备件库,提供仓库房屋权属证明或者租 </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赁合同或合作协议，并提供仓库所在地址的</w:t>
            </w:r>
            <w:r>
              <w:rPr>
                <w:rFonts w:hint="eastAsia" w:ascii="仿宋" w:hAnsi="仿宋" w:eastAsia="仿宋" w:cs="仿宋"/>
                <w:strike w:val="0"/>
                <w:dstrike w:val="0"/>
                <w:snapToGrid w:val="0"/>
                <w:color w:val="000000"/>
                <w:spacing w:val="8"/>
                <w:kern w:val="0"/>
                <w:sz w:val="22"/>
                <w:szCs w:val="22"/>
                <w:highlight w:val="none"/>
                <w:lang w:val="en-US" w:eastAsia="zh-CN"/>
              </w:rPr>
              <w:t>医疗器械</w:t>
            </w:r>
            <w:r>
              <w:rPr>
                <w:rFonts w:hint="eastAsia" w:ascii="仿宋" w:hAnsi="仿宋" w:eastAsia="仿宋" w:cs="仿宋"/>
                <w:snapToGrid w:val="0"/>
                <w:color w:val="000000"/>
                <w:spacing w:val="8"/>
                <w:kern w:val="0"/>
                <w:sz w:val="22"/>
                <w:szCs w:val="22"/>
                <w:lang w:val="en-US" w:eastAsia="zh-CN"/>
              </w:rPr>
              <w:t xml:space="preserve">经营许可 </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 xml:space="preserve">证，全部满足得 5 分，部分满足得2分，未提供不得分。 </w:t>
            </w:r>
          </w:p>
          <w:p>
            <w:pPr>
              <w:pStyle w:val="2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lang w:val="en-US" w:eastAsia="zh-CN"/>
              </w:rPr>
              <w:t>2、供应商提供备品备件清单得5 分，未提供不得分。</w:t>
            </w:r>
            <w:bookmarkEnd w:id="1944"/>
          </w:p>
        </w:tc>
        <w:tc>
          <w:tcPr>
            <w:tcW w:w="565" w:type="dxa"/>
            <w:tcBorders>
              <w:top w:val="single" w:color="auto" w:sz="4" w:space="0"/>
              <w:left w:val="single" w:color="auto" w:sz="4" w:space="0"/>
              <w:right w:val="single" w:color="auto" w:sz="4" w:space="0"/>
            </w:tcBorders>
            <w:noWrap w:val="0"/>
            <w:vAlign w:val="center"/>
          </w:tcPr>
          <w:p>
            <w:pPr>
              <w:pStyle w:val="103"/>
              <w:jc w:val="center"/>
              <w:rPr>
                <w:rFonts w:hint="default" w:ascii="仿宋" w:hAnsi="仿宋" w:eastAsia="仿宋" w:cs="仿宋"/>
                <w:snapToGrid w:val="0"/>
                <w:color w:val="000000"/>
                <w:spacing w:val="8"/>
                <w:kern w:val="0"/>
                <w:sz w:val="22"/>
                <w:szCs w:val="22"/>
                <w:lang w:val="en-US" w:eastAsia="zh-CN"/>
              </w:rPr>
            </w:pPr>
            <w:r>
              <w:rPr>
                <w:rFonts w:hint="eastAsia" w:ascii="仿宋" w:hAnsi="仿宋" w:eastAsia="仿宋" w:cs="仿宋"/>
                <w:snapToGrid w:val="0"/>
                <w:color w:val="000000"/>
                <w:spacing w:val="8"/>
                <w:kern w:val="0"/>
                <w:sz w:val="22"/>
                <w:szCs w:val="22"/>
                <w:highlight w:val="none"/>
                <w:lang w:val="en-US" w:eastAsia="zh-CN"/>
              </w:rPr>
              <w:t>10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321" w:hRule="atLeast"/>
          <w:jc w:val="center"/>
        </w:trPr>
        <w:tc>
          <w:tcPr>
            <w:tcW w:w="481" w:type="dxa"/>
            <w:vMerge w:val="continue"/>
            <w:tcBorders>
              <w:top w:val="single" w:color="auto" w:sz="4" w:space="0"/>
              <w:left w:val="single" w:color="auto" w:sz="4" w:space="0"/>
              <w:bottom w:val="single" w:color="auto" w:sz="4" w:space="0"/>
              <w:right w:val="single" w:color="auto" w:sz="4" w:space="0"/>
            </w:tcBorders>
            <w:noWrap w:val="0"/>
            <w:vAlign w:val="center"/>
          </w:tcPr>
          <w:p>
            <w:pPr>
              <w:pStyle w:val="103"/>
              <w:jc w:val="center"/>
              <w:rPr>
                <w:rFonts w:hint="eastAsia" w:ascii="仿宋" w:hAnsi="仿宋" w:eastAsia="仿宋" w:cs="仿宋"/>
                <w:snapToGrid w:val="0"/>
                <w:color w:val="000000"/>
                <w:spacing w:val="8"/>
                <w:kern w:val="0"/>
                <w:sz w:val="22"/>
                <w:szCs w:val="22"/>
              </w:rPr>
            </w:pPr>
          </w:p>
        </w:tc>
        <w:tc>
          <w:tcPr>
            <w:tcW w:w="8713" w:type="dxa"/>
            <w:gridSpan w:val="4"/>
            <w:tcBorders>
              <w:top w:val="single" w:color="auto" w:sz="4" w:space="0"/>
              <w:left w:val="single" w:color="auto" w:sz="4" w:space="0"/>
              <w:bottom w:val="single" w:color="auto" w:sz="4" w:space="0"/>
              <w:right w:val="single" w:color="auto" w:sz="4" w:space="0"/>
            </w:tcBorders>
            <w:noWrap w:val="0"/>
            <w:vAlign w:val="center"/>
          </w:tcPr>
          <w:p>
            <w:pPr>
              <w:pStyle w:val="103"/>
              <w:jc w:val="right"/>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rPr>
              <w:t>合计100</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480" w:hRule="atLeast"/>
          <w:jc w:val="center"/>
        </w:trPr>
        <w:tc>
          <w:tcPr>
            <w:tcW w:w="481" w:type="dxa"/>
            <w:tcBorders>
              <w:top w:val="single" w:color="auto" w:sz="4" w:space="0"/>
              <w:left w:val="single" w:color="auto" w:sz="4" w:space="0"/>
              <w:bottom w:val="single" w:color="auto" w:sz="4" w:space="0"/>
              <w:right w:val="single" w:color="auto" w:sz="4" w:space="0"/>
            </w:tcBorders>
            <w:noWrap w:val="0"/>
            <w:vAlign w:val="center"/>
          </w:tcPr>
          <w:p>
            <w:pPr>
              <w:pStyle w:val="103"/>
              <w:jc w:val="center"/>
              <w:rPr>
                <w:rFonts w:hint="eastAsia" w:ascii="仿宋" w:hAnsi="仿宋" w:eastAsia="仿宋" w:cs="仿宋"/>
                <w:snapToGrid w:val="0"/>
                <w:color w:val="000000"/>
                <w:spacing w:val="8"/>
                <w:kern w:val="0"/>
                <w:sz w:val="22"/>
                <w:szCs w:val="22"/>
              </w:rPr>
            </w:pPr>
            <w:r>
              <w:rPr>
                <w:rFonts w:hint="eastAsia" w:ascii="仿宋" w:hAnsi="仿宋" w:eastAsia="仿宋" w:cs="仿宋"/>
                <w:snapToGrid w:val="0"/>
                <w:color w:val="000000"/>
                <w:spacing w:val="8"/>
                <w:kern w:val="0"/>
                <w:sz w:val="22"/>
                <w:szCs w:val="22"/>
                <w:lang w:eastAsia="zh-CN"/>
              </w:rPr>
              <w:t>注</w:t>
            </w:r>
            <w:r>
              <w:rPr>
                <w:rFonts w:hint="eastAsia" w:ascii="仿宋" w:hAnsi="仿宋" w:eastAsia="仿宋" w:cs="仿宋"/>
                <w:snapToGrid w:val="0"/>
                <w:color w:val="000000"/>
                <w:spacing w:val="8"/>
                <w:kern w:val="0"/>
                <w:sz w:val="22"/>
                <w:szCs w:val="22"/>
              </w:rPr>
              <w:t xml:space="preserve"> </w:t>
            </w:r>
          </w:p>
        </w:tc>
        <w:tc>
          <w:tcPr>
            <w:tcW w:w="8713" w:type="dxa"/>
            <w:gridSpan w:val="4"/>
            <w:tcBorders>
              <w:top w:val="single" w:color="auto" w:sz="4" w:space="0"/>
              <w:left w:val="single" w:color="auto" w:sz="4" w:space="0"/>
              <w:bottom w:val="single" w:color="auto" w:sz="4" w:space="0"/>
              <w:right w:val="single" w:color="auto" w:sz="4" w:space="0"/>
            </w:tcBorders>
            <w:noWrap w:val="0"/>
            <w:vAlign w:val="center"/>
          </w:tcPr>
          <w:p>
            <w:pPr>
              <w:pStyle w:val="103"/>
              <w:rPr>
                <w:rFonts w:hint="eastAsia" w:ascii="仿宋" w:hAnsi="仿宋" w:eastAsia="仿宋" w:cs="仿宋"/>
                <w:b/>
                <w:bCs/>
                <w:snapToGrid w:val="0"/>
                <w:color w:val="000000"/>
                <w:spacing w:val="8"/>
                <w:kern w:val="0"/>
                <w:sz w:val="20"/>
                <w:szCs w:val="20"/>
                <w:lang w:eastAsia="zh-CN"/>
              </w:rPr>
            </w:pPr>
            <w:r>
              <w:rPr>
                <w:rFonts w:hint="eastAsia" w:ascii="仿宋" w:hAnsi="仿宋" w:eastAsia="仿宋" w:cs="仿宋"/>
                <w:b/>
                <w:bCs/>
                <w:snapToGrid w:val="0"/>
                <w:color w:val="000000"/>
                <w:spacing w:val="8"/>
                <w:kern w:val="0"/>
                <w:sz w:val="20"/>
                <w:szCs w:val="20"/>
              </w:rPr>
              <w:t>1、计算过程中，算术平均值保留2位小数（百分比亦取2位小数），第三位小数四舍五入。</w:t>
            </w:r>
          </w:p>
          <w:p>
            <w:pPr>
              <w:pStyle w:val="103"/>
              <w:rPr>
                <w:rFonts w:hint="eastAsia" w:ascii="仿宋" w:hAnsi="仿宋" w:eastAsia="仿宋" w:cs="仿宋"/>
                <w:snapToGrid w:val="0"/>
                <w:color w:val="000000"/>
                <w:spacing w:val="8"/>
                <w:kern w:val="0"/>
                <w:sz w:val="22"/>
                <w:szCs w:val="22"/>
              </w:rPr>
            </w:pPr>
            <w:r>
              <w:rPr>
                <w:rFonts w:hint="eastAsia" w:ascii="仿宋" w:hAnsi="仿宋" w:eastAsia="仿宋" w:cs="仿宋"/>
                <w:b/>
                <w:bCs/>
                <w:snapToGrid w:val="0"/>
                <w:color w:val="000000"/>
                <w:spacing w:val="8"/>
                <w:kern w:val="0"/>
                <w:sz w:val="20"/>
                <w:szCs w:val="20"/>
              </w:rPr>
              <w:t>2、</w:t>
            </w:r>
            <w:r>
              <w:rPr>
                <w:rFonts w:hint="eastAsia" w:ascii="仿宋" w:hAnsi="仿宋" w:eastAsia="仿宋" w:cs="仿宋"/>
                <w:b/>
                <w:bCs/>
                <w:snapToGrid w:val="0"/>
                <w:color w:val="000000"/>
                <w:spacing w:val="8"/>
                <w:kern w:val="0"/>
                <w:sz w:val="20"/>
                <w:szCs w:val="20"/>
                <w:lang w:eastAsia="zh-CN"/>
              </w:rPr>
              <w:t>供应商</w:t>
            </w:r>
            <w:r>
              <w:rPr>
                <w:rFonts w:hint="eastAsia" w:ascii="仿宋" w:hAnsi="仿宋" w:eastAsia="仿宋" w:cs="仿宋"/>
                <w:b/>
                <w:bCs/>
                <w:snapToGrid w:val="0"/>
                <w:color w:val="000000"/>
                <w:spacing w:val="8"/>
                <w:kern w:val="0"/>
                <w:sz w:val="20"/>
                <w:szCs w:val="20"/>
              </w:rPr>
              <w:t>的最终得分为：所有评委对其评分的算术平均值。</w:t>
            </w:r>
          </w:p>
        </w:tc>
      </w:tr>
    </w:tbl>
    <w:p>
      <w:pPr>
        <w:spacing w:line="240" w:lineRule="atLeast"/>
        <w:jc w:val="center"/>
        <w:outlineLvl w:val="9"/>
        <w:rPr>
          <w:rFonts w:hint="eastAsia" w:ascii="宋体" w:hAnsi="宋体" w:eastAsia="宋体" w:cs="宋体"/>
          <w:b/>
          <w:color w:val="auto"/>
          <w:sz w:val="44"/>
          <w:szCs w:val="44"/>
          <w:highlight w:val="none"/>
        </w:rPr>
      </w:pPr>
    </w:p>
    <w:p>
      <w:pPr>
        <w:spacing w:line="240" w:lineRule="atLeast"/>
        <w:jc w:val="center"/>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b/>
          <w:color w:val="auto"/>
          <w:sz w:val="44"/>
          <w:szCs w:val="44"/>
          <w:highlight w:val="none"/>
        </w:rPr>
      </w:pPr>
    </w:p>
    <w:p>
      <w:pPr>
        <w:pStyle w:val="7"/>
        <w:outlineLvl w:val="9"/>
        <w:rPr>
          <w:rFonts w:hint="eastAsia" w:ascii="宋体" w:hAnsi="宋体" w:eastAsia="宋体" w:cs="宋体"/>
          <w:b/>
          <w:color w:val="auto"/>
          <w:sz w:val="44"/>
          <w:szCs w:val="44"/>
          <w:highlight w:val="none"/>
        </w:rPr>
      </w:pPr>
    </w:p>
    <w:p>
      <w:pPr>
        <w:pStyle w:val="8"/>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b/>
          <w:color w:val="auto"/>
          <w:sz w:val="44"/>
          <w:szCs w:val="44"/>
          <w:highlight w:val="none"/>
        </w:rPr>
      </w:pPr>
    </w:p>
    <w:p>
      <w:pPr>
        <w:outlineLvl w:val="9"/>
        <w:rPr>
          <w:rFonts w:hint="eastAsia" w:ascii="宋体" w:hAnsi="宋体" w:eastAsia="宋体" w:cs="宋体"/>
          <w:b/>
          <w:color w:val="auto"/>
          <w:sz w:val="44"/>
          <w:szCs w:val="44"/>
          <w:highlight w:val="none"/>
        </w:rPr>
      </w:pPr>
    </w:p>
    <w:p>
      <w:pPr>
        <w:pStyle w:val="7"/>
        <w:outlineLvl w:val="9"/>
        <w:rPr>
          <w:rFonts w:hint="eastAsia" w:ascii="宋体" w:hAnsi="宋体" w:eastAsia="宋体" w:cs="宋体"/>
          <w:b/>
          <w:color w:val="auto"/>
          <w:sz w:val="44"/>
          <w:szCs w:val="44"/>
          <w:highlight w:val="none"/>
        </w:rPr>
      </w:pPr>
    </w:p>
    <w:p>
      <w:pPr>
        <w:pStyle w:val="8"/>
        <w:outlineLvl w:val="9"/>
        <w:rPr>
          <w:rFonts w:hint="eastAsia" w:ascii="宋体" w:hAnsi="宋体" w:eastAsia="宋体" w:cs="宋体"/>
          <w:b/>
          <w:color w:val="auto"/>
          <w:sz w:val="44"/>
          <w:szCs w:val="44"/>
          <w:highlight w:val="none"/>
        </w:rPr>
      </w:pPr>
    </w:p>
    <w:p>
      <w:pPr>
        <w:spacing w:line="240" w:lineRule="atLeast"/>
        <w:jc w:val="both"/>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p>
    <w:p>
      <w:pPr>
        <w:spacing w:line="240" w:lineRule="atLeast"/>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招 标 文 件</w:t>
      </w:r>
    </w:p>
    <w:p>
      <w:pPr>
        <w:spacing w:line="240" w:lineRule="atLeast"/>
        <w:jc w:val="center"/>
        <w:rPr>
          <w:rFonts w:hint="eastAsia" w:ascii="宋体" w:hAnsi="宋体" w:eastAsia="宋体" w:cs="宋体"/>
          <w:b/>
          <w:color w:val="auto"/>
          <w:sz w:val="40"/>
          <w:szCs w:val="40"/>
          <w:highlight w:val="none"/>
        </w:rPr>
      </w:pPr>
    </w:p>
    <w:p>
      <w:pPr>
        <w:spacing w:line="240" w:lineRule="atLeast"/>
        <w:jc w:val="center"/>
        <w:rPr>
          <w:rFonts w:hint="default" w:ascii="宋体" w:hAnsi="宋体" w:eastAsia="宋体" w:cs="宋体"/>
          <w:b/>
          <w:color w:val="auto"/>
          <w:sz w:val="40"/>
          <w:szCs w:val="40"/>
          <w:highlight w:val="none"/>
          <w:lang w:val="en-US" w:eastAsia="zh-CN"/>
        </w:rPr>
      </w:pPr>
      <w:bookmarkStart w:id="1335" w:name="_Toc13284_WPSOffice_Level2"/>
      <w:r>
        <w:rPr>
          <w:rFonts w:hint="eastAsia" w:ascii="宋体" w:hAnsi="宋体" w:eastAsia="宋体" w:cs="宋体"/>
          <w:b/>
          <w:color w:val="auto"/>
          <w:sz w:val="40"/>
          <w:szCs w:val="40"/>
          <w:highlight w:val="none"/>
        </w:rPr>
        <w:t>项目编号：</w:t>
      </w:r>
      <w:bookmarkEnd w:id="1335"/>
      <w:r>
        <w:rPr>
          <w:rFonts w:hint="eastAsia" w:ascii="宋体" w:hAnsi="宋体" w:cs="宋体"/>
          <w:b/>
          <w:color w:val="auto"/>
          <w:sz w:val="40"/>
          <w:szCs w:val="40"/>
          <w:highlight w:val="none"/>
          <w:lang w:val="en-US" w:eastAsia="zh-CN"/>
        </w:rPr>
        <w:t>XJFTZB(Z)2023-008</w:t>
      </w:r>
    </w:p>
    <w:p>
      <w:pPr>
        <w:pStyle w:val="12"/>
        <w:ind w:firstLine="480"/>
        <w:rPr>
          <w:rFonts w:hint="eastAsia" w:ascii="宋体" w:hAnsi="宋体" w:eastAsia="宋体" w:cs="宋体"/>
          <w:color w:val="auto"/>
          <w:highlight w:val="none"/>
        </w:rPr>
      </w:pPr>
    </w:p>
    <w:p>
      <w:pPr>
        <w:spacing w:line="240" w:lineRule="atLeast"/>
        <w:jc w:val="center"/>
        <w:rPr>
          <w:rFonts w:hint="eastAsia" w:ascii="宋体" w:hAnsi="宋体" w:eastAsia="宋体" w:cs="宋体"/>
          <w:b/>
          <w:color w:val="auto"/>
          <w:sz w:val="40"/>
          <w:szCs w:val="40"/>
          <w:highlight w:val="none"/>
        </w:rPr>
      </w:pPr>
      <w:r>
        <w:rPr>
          <w:rFonts w:hint="eastAsia" w:ascii="宋体" w:hAnsi="宋体" w:eastAsia="宋体" w:cs="宋体"/>
          <w:b/>
          <w:color w:val="auto"/>
          <w:sz w:val="40"/>
          <w:szCs w:val="40"/>
          <w:highlight w:val="none"/>
        </w:rPr>
        <w:t>第 三 册</w:t>
      </w:r>
    </w:p>
    <w:p>
      <w:pPr>
        <w:spacing w:line="240" w:lineRule="atLeast"/>
        <w:jc w:val="center"/>
        <w:rPr>
          <w:rFonts w:hint="eastAsia" w:ascii="宋体" w:hAnsi="宋体" w:eastAsia="宋体" w:cs="宋体"/>
          <w:b/>
          <w:color w:val="auto"/>
          <w:sz w:val="32"/>
          <w:highlight w:val="none"/>
        </w:rPr>
      </w:pPr>
    </w:p>
    <w:p>
      <w:pPr>
        <w:spacing w:line="240" w:lineRule="atLeast"/>
        <w:ind w:left="1080" w:leftChars="257" w:hanging="540"/>
        <w:jc w:val="center"/>
        <w:rPr>
          <w:rFonts w:hint="eastAsia" w:ascii="宋体" w:hAnsi="宋体" w:eastAsia="宋体" w:cs="宋体"/>
          <w:b/>
          <w:color w:val="auto"/>
          <w:sz w:val="52"/>
          <w:highlight w:val="none"/>
        </w:rPr>
      </w:pPr>
    </w:p>
    <w:p>
      <w:pPr>
        <w:pStyle w:val="12"/>
        <w:rPr>
          <w:rFonts w:hint="eastAsia" w:ascii="宋体" w:hAnsi="宋体" w:eastAsia="宋体" w:cs="宋体"/>
          <w:b/>
          <w:color w:val="auto"/>
          <w:sz w:val="52"/>
          <w:highlight w:val="none"/>
        </w:rPr>
      </w:pPr>
    </w:p>
    <w:p>
      <w:pPr>
        <w:pStyle w:val="12"/>
        <w:rPr>
          <w:rFonts w:hint="eastAsia" w:ascii="宋体" w:hAnsi="宋体" w:eastAsia="宋体" w:cs="宋体"/>
          <w:b/>
          <w:color w:val="auto"/>
          <w:sz w:val="52"/>
          <w:highlight w:val="none"/>
        </w:rPr>
      </w:pPr>
    </w:p>
    <w:p>
      <w:pPr>
        <w:pStyle w:val="12"/>
        <w:rPr>
          <w:rFonts w:hint="eastAsia" w:ascii="宋体" w:hAnsi="宋体" w:eastAsia="宋体" w:cs="宋体"/>
          <w:b/>
          <w:color w:val="auto"/>
          <w:sz w:val="52"/>
          <w:highlight w:val="none"/>
        </w:rPr>
      </w:pPr>
    </w:p>
    <w:p>
      <w:pPr>
        <w:rPr>
          <w:rFonts w:hint="eastAsia" w:ascii="宋体" w:hAnsi="宋体" w:eastAsia="宋体" w:cs="宋体"/>
          <w:color w:val="auto"/>
          <w:highlight w:val="none"/>
        </w:rPr>
      </w:pPr>
      <w:bookmarkStart w:id="1336" w:name="_Toc23920"/>
      <w:bookmarkStart w:id="1337" w:name="_Toc28085"/>
      <w:bookmarkStart w:id="1338" w:name="_Toc4796"/>
      <w:bookmarkStart w:id="1339" w:name="_Toc6865"/>
      <w:bookmarkStart w:id="1340" w:name="_Toc515647833"/>
      <w:r>
        <w:rPr>
          <w:rFonts w:hint="eastAsia" w:ascii="宋体" w:hAnsi="宋体" w:eastAsia="宋体" w:cs="宋体"/>
          <w:color w:val="auto"/>
          <w:highlight w:val="none"/>
        </w:rPr>
        <w:br w:type="page"/>
      </w:r>
    </w:p>
    <w:bookmarkEnd w:id="1332"/>
    <w:bookmarkEnd w:id="1336"/>
    <w:bookmarkEnd w:id="1337"/>
    <w:bookmarkEnd w:id="1338"/>
    <w:bookmarkEnd w:id="1339"/>
    <w:bookmarkEnd w:id="1340"/>
    <w:p>
      <w:pPr>
        <w:widowControl/>
        <w:spacing w:line="440" w:lineRule="exact"/>
        <w:jc w:val="center"/>
        <w:outlineLvl w:val="0"/>
        <w:rPr>
          <w:rFonts w:hint="eastAsia" w:ascii="宋体" w:hAnsi="宋体" w:eastAsia="宋体" w:cs="宋体"/>
          <w:b/>
          <w:bCs/>
          <w:color w:val="auto"/>
          <w:kern w:val="0"/>
          <w:sz w:val="32"/>
          <w:szCs w:val="32"/>
          <w:highlight w:val="none"/>
          <w:lang w:val="en-US" w:eastAsia="zh-CN" w:bidi="ar-SA"/>
        </w:rPr>
      </w:pPr>
      <w:bookmarkStart w:id="1341" w:name="_Toc4781"/>
      <w:bookmarkStart w:id="1342" w:name="_Toc18042"/>
      <w:r>
        <w:rPr>
          <w:rFonts w:hint="eastAsia" w:ascii="宋体" w:hAnsi="宋体" w:eastAsia="宋体" w:cs="宋体"/>
          <w:b/>
          <w:bCs/>
          <w:color w:val="auto"/>
          <w:kern w:val="0"/>
          <w:sz w:val="32"/>
          <w:szCs w:val="32"/>
          <w:highlight w:val="none"/>
          <w:lang w:val="en-US" w:eastAsia="zh-CN" w:bidi="ar-SA"/>
        </w:rPr>
        <w:t>第7章  政府采购合同</w:t>
      </w:r>
      <w:bookmarkEnd w:id="1341"/>
      <w:bookmarkEnd w:id="1342"/>
      <w:bookmarkStart w:id="1343" w:name="_Toc487900382"/>
      <w:bookmarkEnd w:id="1343"/>
      <w:bookmarkStart w:id="1344" w:name="_Hlt487972895"/>
      <w:bookmarkEnd w:id="1344"/>
      <w:bookmarkStart w:id="1345" w:name="_Toc216513788"/>
      <w:bookmarkEnd w:id="1345"/>
    </w:p>
    <w:p>
      <w:pPr>
        <w:spacing w:line="240" w:lineRule="atLeast"/>
        <w:rPr>
          <w:rFonts w:hint="eastAsia" w:ascii="宋体" w:hAnsi="宋体" w:eastAsia="宋体" w:cs="宋体"/>
          <w:b/>
          <w:color w:val="auto"/>
          <w:kern w:val="44"/>
          <w:sz w:val="28"/>
          <w:szCs w:val="28"/>
          <w:highlight w:val="none"/>
        </w:rPr>
      </w:pPr>
    </w:p>
    <w:p>
      <w:pPr>
        <w:autoSpaceDE w:val="0"/>
        <w:autoSpaceDN w:val="0"/>
        <w:spacing w:before="0" w:after="0" w:line="360" w:lineRule="auto"/>
        <w:ind w:left="0" w:right="0"/>
        <w:jc w:val="left"/>
        <w:rPr>
          <w:rFonts w:hint="eastAsia" w:ascii="仿宋" w:hAnsi="仿宋" w:eastAsia="仿宋" w:cs="宋体"/>
          <w:color w:val="auto"/>
          <w:kern w:val="0"/>
          <w:sz w:val="32"/>
          <w:szCs w:val="32"/>
          <w:lang w:val="zh-CN" w:bidi="zh-CN"/>
        </w:rPr>
      </w:pPr>
    </w:p>
    <w:p>
      <w:pPr>
        <w:autoSpaceDE w:val="0"/>
        <w:autoSpaceDN w:val="0"/>
        <w:spacing w:before="0" w:after="0" w:line="360" w:lineRule="auto"/>
        <w:ind w:left="0" w:right="0"/>
        <w:jc w:val="left"/>
        <w:rPr>
          <w:rFonts w:hint="eastAsia" w:ascii="仿宋" w:hAnsi="仿宋" w:eastAsia="仿宋" w:cs="宋体"/>
          <w:color w:val="auto"/>
          <w:kern w:val="0"/>
          <w:sz w:val="32"/>
          <w:szCs w:val="32"/>
          <w:lang w:val="zh-CN" w:bidi="zh-CN"/>
        </w:rPr>
      </w:pPr>
    </w:p>
    <w:p>
      <w:pPr>
        <w:spacing w:line="400" w:lineRule="exact"/>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pPr>
        <w:spacing w:line="400" w:lineRule="exact"/>
        <w:jc w:val="center"/>
        <w:rPr>
          <w:rFonts w:ascii="宋体" w:hAnsi="宋体" w:cs="宋体"/>
          <w:b/>
          <w:sz w:val="28"/>
          <w:szCs w:val="28"/>
        </w:rPr>
      </w:pPr>
    </w:p>
    <w:p>
      <w:pPr>
        <w:spacing w:line="400" w:lineRule="exact"/>
        <w:jc w:val="center"/>
        <w:rPr>
          <w:rFonts w:ascii="宋体" w:hAnsi="宋体" w:cs="宋体"/>
          <w:b/>
          <w:sz w:val="28"/>
          <w:szCs w:val="28"/>
        </w:rPr>
      </w:pPr>
    </w:p>
    <w:p>
      <w:pPr>
        <w:spacing w:line="500" w:lineRule="exact"/>
        <w:jc w:val="center"/>
        <w:rPr>
          <w:rFonts w:ascii="宋体" w:hAnsi="宋体" w:cs="宋体"/>
          <w:b/>
          <w:sz w:val="28"/>
          <w:szCs w:val="28"/>
        </w:rPr>
      </w:pPr>
    </w:p>
    <w:p>
      <w:pPr>
        <w:spacing w:line="500" w:lineRule="exact"/>
        <w:jc w:val="center"/>
        <w:outlineLvl w:val="9"/>
        <w:rPr>
          <w:rFonts w:ascii="宋体" w:hAnsi="宋体" w:cs="宋体"/>
          <w:b/>
          <w:sz w:val="44"/>
          <w:szCs w:val="44"/>
        </w:rPr>
      </w:pPr>
      <w:bookmarkStart w:id="1346" w:name="_Toc19964"/>
      <w:bookmarkStart w:id="1347" w:name="_Toc15317"/>
      <w:bookmarkStart w:id="1348" w:name="_Toc9726"/>
      <w:bookmarkStart w:id="1349" w:name="_Toc23560"/>
      <w:bookmarkStart w:id="1350" w:name="_Toc20116"/>
      <w:bookmarkStart w:id="1351" w:name="_Toc19268"/>
      <w:r>
        <w:rPr>
          <w:rFonts w:hint="eastAsia" w:ascii="宋体" w:hAnsi="宋体" w:cs="宋体"/>
          <w:b/>
          <w:sz w:val="44"/>
          <w:szCs w:val="44"/>
        </w:rPr>
        <w:t>政府采购合同参考范本</w:t>
      </w:r>
      <w:bookmarkEnd w:id="1346"/>
      <w:bookmarkEnd w:id="1347"/>
      <w:bookmarkEnd w:id="1348"/>
      <w:bookmarkEnd w:id="1349"/>
      <w:bookmarkEnd w:id="1350"/>
      <w:bookmarkEnd w:id="1351"/>
    </w:p>
    <w:p>
      <w:pPr>
        <w:spacing w:line="500" w:lineRule="exact"/>
        <w:jc w:val="center"/>
        <w:rPr>
          <w:rFonts w:ascii="宋体" w:hAnsi="宋体" w:cs="宋体"/>
          <w:b/>
          <w:sz w:val="24"/>
        </w:rPr>
      </w:pPr>
      <w:r>
        <w:rPr>
          <w:rFonts w:hint="eastAsia" w:ascii="宋体" w:hAnsi="宋体" w:cs="宋体"/>
          <w:b/>
          <w:sz w:val="24"/>
        </w:rPr>
        <w:t>（</w:t>
      </w:r>
      <w:r>
        <w:rPr>
          <w:rFonts w:hint="eastAsia" w:ascii="宋体" w:hAnsi="宋体" w:eastAsia="宋体" w:cs="宋体"/>
          <w:b/>
          <w:sz w:val="24"/>
          <w:lang w:val="en-US" w:eastAsia="zh-CN"/>
        </w:rPr>
        <w:t>具体以签订合同为准</w:t>
      </w:r>
      <w:r>
        <w:rPr>
          <w:rFonts w:hint="eastAsia" w:ascii="宋体" w:hAnsi="宋体" w:cs="宋体"/>
          <w:b/>
          <w:sz w:val="24"/>
        </w:rPr>
        <w:t>）</w:t>
      </w:r>
    </w:p>
    <w:p>
      <w:pPr>
        <w:pStyle w:val="62"/>
        <w:spacing w:line="400" w:lineRule="exact"/>
        <w:ind w:firstLine="0"/>
        <w:rPr>
          <w:rFonts w:hAnsi="宋体" w:cs="宋体"/>
          <w:szCs w:val="24"/>
        </w:rPr>
      </w:pPr>
    </w:p>
    <w:p>
      <w:pPr>
        <w:pStyle w:val="62"/>
        <w:spacing w:line="400" w:lineRule="exact"/>
        <w:ind w:firstLine="0"/>
        <w:rPr>
          <w:rFonts w:hAnsi="宋体" w:cs="宋体"/>
          <w:szCs w:val="24"/>
        </w:rPr>
      </w:pPr>
    </w:p>
    <w:p>
      <w:pPr>
        <w:pStyle w:val="62"/>
        <w:spacing w:line="400" w:lineRule="exact"/>
        <w:ind w:firstLine="0"/>
        <w:rPr>
          <w:rFonts w:hAnsi="宋体" w:cs="宋体"/>
          <w:szCs w:val="24"/>
        </w:rPr>
      </w:pPr>
    </w:p>
    <w:p>
      <w:pPr>
        <w:pStyle w:val="62"/>
        <w:spacing w:line="400" w:lineRule="exact"/>
        <w:ind w:firstLine="0"/>
        <w:jc w:val="center"/>
        <w:outlineLvl w:val="1"/>
        <w:rPr>
          <w:rFonts w:hAnsi="宋体" w:cs="宋体"/>
          <w:b/>
          <w:szCs w:val="24"/>
        </w:rPr>
      </w:pPr>
      <w:bookmarkStart w:id="1352" w:name="_Toc18605"/>
      <w:bookmarkStart w:id="1353" w:name="_Toc23301"/>
      <w:bookmarkStart w:id="1354" w:name="_Toc9431"/>
      <w:bookmarkStart w:id="1355" w:name="_Toc565"/>
      <w:bookmarkStart w:id="1356" w:name="_Toc18246"/>
      <w:bookmarkStart w:id="1357" w:name="_Toc13192"/>
      <w:bookmarkStart w:id="1358" w:name="_Toc527"/>
      <w:r>
        <w:rPr>
          <w:rFonts w:hint="eastAsia" w:hAnsi="宋体" w:cs="宋体"/>
          <w:b/>
          <w:szCs w:val="24"/>
        </w:rPr>
        <w:t>第一部分 合同书</w:t>
      </w:r>
      <w:bookmarkEnd w:id="1352"/>
      <w:bookmarkEnd w:id="1353"/>
      <w:bookmarkEnd w:id="1354"/>
      <w:bookmarkEnd w:id="1355"/>
      <w:bookmarkEnd w:id="1356"/>
      <w:bookmarkEnd w:id="1357"/>
      <w:bookmarkEnd w:id="1358"/>
    </w:p>
    <w:p>
      <w:pPr>
        <w:pStyle w:val="62"/>
        <w:spacing w:line="400" w:lineRule="exact"/>
        <w:ind w:firstLine="0"/>
        <w:rPr>
          <w:rFonts w:hAnsi="宋体" w:cs="宋体"/>
          <w:szCs w:val="24"/>
        </w:rPr>
      </w:pPr>
    </w:p>
    <w:p>
      <w:pPr>
        <w:pStyle w:val="62"/>
        <w:spacing w:line="400" w:lineRule="exact"/>
        <w:ind w:firstLine="0"/>
        <w:rPr>
          <w:rFonts w:hAnsi="宋体" w:cs="宋体"/>
          <w:szCs w:val="24"/>
        </w:rPr>
      </w:pPr>
    </w:p>
    <w:p>
      <w:pPr>
        <w:spacing w:before="120" w:line="400" w:lineRule="exact"/>
        <w:rPr>
          <w:rFonts w:ascii="宋体" w:hAnsi="宋体" w:cs="宋体"/>
          <w:sz w:val="24"/>
        </w:rPr>
      </w:pPr>
    </w:p>
    <w:p>
      <w:pPr>
        <w:spacing w:before="120" w:line="400" w:lineRule="exac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pStyle w:val="63"/>
        <w:spacing w:before="120" w:line="400" w:lineRule="exact"/>
        <w:rPr>
          <w:rFonts w:ascii="宋体" w:hAnsi="宋体" w:eastAsia="宋体" w:cs="宋体"/>
          <w:szCs w:val="24"/>
        </w:rPr>
      </w:pPr>
    </w:p>
    <w:p>
      <w:pPr>
        <w:spacing w:line="400" w:lineRule="exact"/>
        <w:rPr>
          <w:rFonts w:ascii="宋体" w:hAnsi="宋体" w:cs="宋体"/>
        </w:rPr>
      </w:pPr>
    </w:p>
    <w:p>
      <w:pPr>
        <w:spacing w:before="120" w:line="400" w:lineRule="exac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pPr>
        <w:spacing w:before="120" w:line="400" w:lineRule="exact"/>
        <w:rPr>
          <w:rFonts w:ascii="宋体" w:hAnsi="宋体" w:cs="宋体"/>
          <w:sz w:val="24"/>
        </w:rPr>
      </w:pPr>
    </w:p>
    <w:p>
      <w:pPr>
        <w:spacing w:before="120" w:line="400" w:lineRule="exac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pPr>
        <w:spacing w:before="120" w:line="400" w:lineRule="exact"/>
        <w:rPr>
          <w:rFonts w:ascii="宋体" w:hAnsi="宋体" w:cs="宋体"/>
          <w:sz w:val="24"/>
        </w:rPr>
      </w:pPr>
    </w:p>
    <w:p>
      <w:pPr>
        <w:spacing w:before="120" w:line="400" w:lineRule="exac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pPr>
        <w:spacing w:before="120" w:line="400" w:lineRule="exact"/>
        <w:rPr>
          <w:rFonts w:ascii="宋体" w:hAnsi="宋体" w:cs="宋体"/>
          <w:sz w:val="24"/>
        </w:rPr>
      </w:pPr>
    </w:p>
    <w:p>
      <w:pPr>
        <w:spacing w:before="120" w:line="400" w:lineRule="exac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utoSpaceDE w:val="0"/>
        <w:autoSpaceDN w:val="0"/>
        <w:adjustRightInd w:val="0"/>
        <w:spacing w:line="400" w:lineRule="exact"/>
        <w:ind w:firstLine="640"/>
        <w:jc w:val="center"/>
        <w:rPr>
          <w:rFonts w:ascii="宋体" w:hAnsi="宋体" w:cs="宋体"/>
          <w:sz w:val="24"/>
        </w:rPr>
        <w:sectPr>
          <w:headerReference r:id="rId7" w:type="first"/>
          <w:footerReference r:id="rId10" w:type="first"/>
          <w:headerReference r:id="rId5" w:type="default"/>
          <w:footerReference r:id="rId8" w:type="default"/>
          <w:headerReference r:id="rId6" w:type="even"/>
          <w:footerReference r:id="rId9" w:type="even"/>
          <w:pgSz w:w="11907" w:h="16840"/>
          <w:pgMar w:top="1474" w:right="1814" w:bottom="1474" w:left="1814" w:header="851" w:footer="851" w:gutter="0"/>
          <w:pgNumType w:fmt="decimal"/>
          <w:cols w:space="720" w:num="1"/>
          <w:docGrid w:linePitch="462" w:charSpace="0"/>
        </w:sectPr>
      </w:pPr>
    </w:p>
    <w:p>
      <w:pPr>
        <w:spacing w:line="400" w:lineRule="exact"/>
        <w:ind w:firstLine="480" w:firstLineChars="200"/>
        <w:rPr>
          <w:rFonts w:hint="eastAsia" w:ascii="宋体" w:hAnsi="宋体" w:cs="宋体"/>
          <w:sz w:val="24"/>
          <w:u w:val="single"/>
          <w:lang w:val="zh-CN"/>
        </w:rPr>
      </w:pPr>
    </w:p>
    <w:p>
      <w:pPr>
        <w:spacing w:line="400" w:lineRule="exact"/>
        <w:ind w:firstLine="480" w:firstLineChars="200"/>
        <w:rPr>
          <w:rFonts w:hint="eastAsia" w:ascii="宋体" w:hAnsi="宋体" w:cs="宋体"/>
          <w:sz w:val="24"/>
          <w:u w:val="single"/>
          <w:lang w:val="zh-CN"/>
        </w:rPr>
      </w:pPr>
    </w:p>
    <w:p>
      <w:pPr>
        <w:spacing w:line="400" w:lineRule="exact"/>
        <w:ind w:firstLine="480" w:firstLineChars="200"/>
        <w:rPr>
          <w:rFonts w:hint="eastAsia" w:ascii="宋体" w:hAnsi="宋体" w:cs="宋体"/>
          <w:sz w:val="24"/>
          <w:u w:val="single"/>
          <w:lang w:val="zh-CN"/>
        </w:rPr>
      </w:pPr>
    </w:p>
    <w:p>
      <w:pPr>
        <w:spacing w:line="400" w:lineRule="exact"/>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（采购人名称）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（同前页项目名称）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（成交供应商名称） </w:t>
      </w:r>
      <w:r>
        <w:rPr>
          <w:rFonts w:hint="eastAsia" w:ascii="宋体" w:hAnsi="宋体" w:cs="宋体"/>
          <w:sz w:val="24"/>
        </w:rPr>
        <w:t>为该项目成交供应商。现于成交通知书发出之日起三十日内，按照采购文件确定的事项签订本合同。</w:t>
      </w:r>
    </w:p>
    <w:p>
      <w:pPr>
        <w:spacing w:line="400" w:lineRule="exact"/>
        <w:ind w:firstLine="480" w:firstLineChars="200"/>
        <w:rPr>
          <w:rFonts w:ascii="宋体" w:hAnsi="宋体" w:cs="宋体"/>
          <w:sz w:val="24"/>
        </w:rPr>
      </w:pPr>
      <w:r>
        <w:rPr>
          <w:rFonts w:hint="eastAsia" w:ascii="宋体" w:hAnsi="宋体" w:cs="宋体"/>
          <w:sz w:val="24"/>
          <w:lang w:val="zh-CN"/>
        </w:rPr>
        <w:t>根据《中华人民共和国合同法》、《中华人民共和国政府采购法》等相关法律法规之规定，按照平等、自愿、公平和诚实信用的原则，经</w:t>
      </w:r>
      <w:r>
        <w:rPr>
          <w:rFonts w:hint="eastAsia" w:ascii="宋体" w:hAnsi="宋体" w:cs="宋体"/>
          <w:sz w:val="24"/>
          <w:u w:val="single"/>
        </w:rPr>
        <w:t xml:space="preserve">   （采购人名称）   </w:t>
      </w:r>
      <w:r>
        <w:rPr>
          <w:rFonts w:hint="eastAsia" w:ascii="宋体" w:hAnsi="宋体" w:cs="宋体"/>
          <w:sz w:val="24"/>
          <w:lang w:val="zh-CN"/>
        </w:rPr>
        <w:t>(以下简称：甲方)和</w:t>
      </w:r>
      <w:r>
        <w:rPr>
          <w:rFonts w:hint="eastAsia" w:ascii="宋体" w:hAnsi="宋体" w:cs="宋体"/>
          <w:sz w:val="24"/>
          <w:u w:val="single"/>
        </w:rPr>
        <w:t xml:space="preserve">   （成交供应商名称）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400" w:lineRule="exact"/>
        <w:ind w:firstLine="482" w:firstLineChars="200"/>
        <w:outlineLvl w:val="9"/>
        <w:rPr>
          <w:rFonts w:ascii="宋体" w:hAnsi="宋体" w:cs="宋体"/>
          <w:sz w:val="24"/>
        </w:rPr>
      </w:pPr>
      <w:bookmarkStart w:id="1359" w:name="_Toc15367"/>
      <w:bookmarkStart w:id="1360" w:name="_Toc20041"/>
      <w:bookmarkStart w:id="1361" w:name="_Toc5753"/>
      <w:bookmarkStart w:id="1362" w:name="_Toc32571"/>
      <w:bookmarkStart w:id="1363" w:name="_Toc1256"/>
      <w:bookmarkStart w:id="1364" w:name="_Toc6470"/>
      <w:bookmarkStart w:id="1365" w:name="_Toc3665"/>
      <w:bookmarkStart w:id="1366" w:name="_Toc26569"/>
      <w:bookmarkStart w:id="1367" w:name="_Toc28855"/>
      <w:bookmarkStart w:id="1368" w:name="_Toc20566"/>
      <w:bookmarkStart w:id="1369" w:name="_Toc8106"/>
      <w:bookmarkStart w:id="1370" w:name="_Toc4675"/>
      <w:bookmarkStart w:id="1371" w:name="_Toc19273"/>
      <w:bookmarkStart w:id="1372" w:name="_Toc18383"/>
      <w:bookmarkStart w:id="1373" w:name="_Toc28674"/>
      <w:bookmarkStart w:id="1374" w:name="_Toc13594"/>
      <w:bookmarkStart w:id="1375" w:name="_Toc31680"/>
      <w:bookmarkStart w:id="1376" w:name="_Toc23100"/>
      <w:bookmarkStart w:id="1377" w:name="_Toc22747"/>
      <w:bookmarkStart w:id="1378" w:name="_Toc20421"/>
      <w:r>
        <w:rPr>
          <w:rFonts w:hint="eastAsia" w:ascii="宋体" w:hAnsi="宋体" w:cs="宋体"/>
          <w:b/>
          <w:sz w:val="24"/>
        </w:rPr>
        <w:t>1.1 合同组成部分</w:t>
      </w:r>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p>
    <w:p>
      <w:pPr>
        <w:spacing w:line="40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0" w:lineRule="exact"/>
        <w:ind w:firstLine="480" w:firstLineChars="200"/>
        <w:rPr>
          <w:rFonts w:ascii="宋体" w:hAnsi="宋体" w:cs="宋体"/>
          <w:sz w:val="24"/>
        </w:rPr>
      </w:pPr>
      <w:r>
        <w:rPr>
          <w:rFonts w:hint="eastAsia" w:ascii="宋体" w:hAnsi="宋体" w:cs="宋体"/>
          <w:sz w:val="24"/>
        </w:rPr>
        <w:t>1.1.1 本合同及其补充合同、变更协议；</w:t>
      </w:r>
    </w:p>
    <w:p>
      <w:pPr>
        <w:spacing w:line="400" w:lineRule="exact"/>
        <w:ind w:firstLine="480" w:firstLineChars="200"/>
        <w:rPr>
          <w:rFonts w:ascii="宋体" w:hAnsi="宋体" w:cs="宋体"/>
          <w:sz w:val="24"/>
        </w:rPr>
      </w:pPr>
      <w:r>
        <w:rPr>
          <w:rFonts w:hint="eastAsia" w:ascii="宋体" w:hAnsi="宋体" w:cs="宋体"/>
          <w:sz w:val="24"/>
        </w:rPr>
        <w:t>1.1.2 成交通知书；</w:t>
      </w:r>
    </w:p>
    <w:p>
      <w:pPr>
        <w:spacing w:line="400" w:lineRule="exact"/>
        <w:ind w:firstLine="480" w:firstLineChars="200"/>
        <w:rPr>
          <w:rFonts w:ascii="宋体" w:hAnsi="宋体" w:cs="宋体"/>
          <w:sz w:val="24"/>
        </w:rPr>
      </w:pPr>
      <w:r>
        <w:rPr>
          <w:rFonts w:hint="eastAsia" w:ascii="宋体" w:hAnsi="宋体" w:cs="宋体"/>
          <w:sz w:val="24"/>
        </w:rPr>
        <w:t>1.1.3 磋商文件（含澄清或者说明文件）；</w:t>
      </w:r>
    </w:p>
    <w:p>
      <w:pPr>
        <w:spacing w:line="400" w:lineRule="exact"/>
        <w:ind w:firstLine="480" w:firstLineChars="200"/>
        <w:rPr>
          <w:rFonts w:ascii="宋体" w:hAnsi="宋体" w:cs="宋体"/>
          <w:sz w:val="24"/>
        </w:rPr>
      </w:pPr>
      <w:r>
        <w:rPr>
          <w:rFonts w:hint="eastAsia" w:ascii="宋体" w:hAnsi="宋体" w:cs="宋体"/>
          <w:sz w:val="24"/>
        </w:rPr>
        <w:t>1.1.4 磋商文件（含澄清或者修改文件）；</w:t>
      </w:r>
    </w:p>
    <w:p>
      <w:pPr>
        <w:spacing w:line="400" w:lineRule="exact"/>
        <w:ind w:firstLine="480" w:firstLineChars="200"/>
        <w:rPr>
          <w:rFonts w:ascii="宋体" w:hAnsi="宋体" w:cs="宋体"/>
          <w:sz w:val="24"/>
        </w:rPr>
      </w:pPr>
      <w:r>
        <w:rPr>
          <w:rFonts w:hint="eastAsia" w:ascii="宋体" w:hAnsi="宋体" w:cs="宋体"/>
          <w:sz w:val="24"/>
        </w:rPr>
        <w:t>1.1.5 其他相关采购文件。</w:t>
      </w:r>
    </w:p>
    <w:p>
      <w:pPr>
        <w:spacing w:line="400" w:lineRule="exact"/>
        <w:ind w:firstLine="482" w:firstLineChars="200"/>
        <w:outlineLvl w:val="9"/>
        <w:rPr>
          <w:rFonts w:ascii="宋体" w:hAnsi="宋体" w:cs="宋体"/>
          <w:b/>
          <w:sz w:val="24"/>
        </w:rPr>
      </w:pPr>
      <w:bookmarkStart w:id="1379" w:name="_Toc7878"/>
      <w:bookmarkStart w:id="1380" w:name="_Toc23275"/>
      <w:bookmarkStart w:id="1381" w:name="_Toc6313"/>
      <w:bookmarkStart w:id="1382" w:name="_Toc15369"/>
      <w:bookmarkStart w:id="1383" w:name="_Toc22185"/>
      <w:bookmarkStart w:id="1384" w:name="_Toc538"/>
      <w:bookmarkStart w:id="1385" w:name="_Toc6773"/>
      <w:bookmarkStart w:id="1386" w:name="_Toc18585"/>
      <w:bookmarkStart w:id="1387" w:name="_Toc27911"/>
      <w:bookmarkStart w:id="1388" w:name="_Toc31498"/>
      <w:bookmarkStart w:id="1389" w:name="_Toc2918"/>
      <w:bookmarkStart w:id="1390" w:name="_Toc24493"/>
      <w:bookmarkStart w:id="1391" w:name="_Toc22310"/>
      <w:bookmarkStart w:id="1392" w:name="_Toc21293"/>
      <w:bookmarkStart w:id="1393" w:name="_Toc15104"/>
      <w:bookmarkStart w:id="1394" w:name="_Toc6311"/>
      <w:bookmarkStart w:id="1395" w:name="_Toc13011"/>
      <w:bookmarkStart w:id="1396" w:name="_Toc25441"/>
      <w:bookmarkStart w:id="1397" w:name="_Toc18571"/>
      <w:bookmarkStart w:id="1398" w:name="_Toc16275"/>
      <w:bookmarkStart w:id="1399" w:name="_Toc1090"/>
      <w:r>
        <w:rPr>
          <w:rFonts w:hint="eastAsia" w:ascii="宋体" w:hAnsi="宋体" w:cs="宋体"/>
          <w:b/>
          <w:sz w:val="24"/>
        </w:rPr>
        <w:t>1.2 标的</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pPr>
        <w:spacing w:line="400" w:lineRule="exact"/>
        <w:ind w:firstLine="480" w:firstLineChars="200"/>
        <w:rPr>
          <w:rFonts w:ascii="宋体" w:hAnsi="宋体" w:cs="宋体"/>
          <w:sz w:val="24"/>
          <w:u w:val="single"/>
        </w:rPr>
      </w:pPr>
      <w:r>
        <w:rPr>
          <w:rFonts w:hint="eastAsia" w:ascii="宋体" w:hAnsi="宋体" w:cs="宋体"/>
          <w:sz w:val="24"/>
        </w:rPr>
        <w:t>1.2.1 标的名称：</w:t>
      </w:r>
      <w:r>
        <w:rPr>
          <w:rFonts w:hint="eastAsia" w:ascii="宋体" w:hAnsi="宋体" w:cs="宋体"/>
          <w:sz w:val="24"/>
          <w:u w:val="single"/>
        </w:rPr>
        <w:t xml:space="preserve">                                                </w:t>
      </w:r>
      <w:r>
        <w:rPr>
          <w:rFonts w:hint="eastAsia" w:ascii="宋体" w:hAnsi="宋体" w:cs="宋体"/>
          <w:sz w:val="24"/>
        </w:rPr>
        <w:t>；</w:t>
      </w:r>
    </w:p>
    <w:p>
      <w:pPr>
        <w:spacing w:line="400" w:lineRule="exact"/>
        <w:ind w:firstLine="480" w:firstLineChars="200"/>
        <w:rPr>
          <w:rFonts w:ascii="宋体" w:hAnsi="宋体" w:cs="宋体"/>
          <w:sz w:val="24"/>
          <w:u w:val="single"/>
        </w:rPr>
      </w:pPr>
      <w:r>
        <w:rPr>
          <w:rFonts w:hint="eastAsia" w:ascii="宋体" w:hAnsi="宋体" w:cs="宋体"/>
          <w:sz w:val="24"/>
        </w:rPr>
        <w:t>1.2.2 标的数量：</w:t>
      </w:r>
      <w:r>
        <w:rPr>
          <w:rFonts w:hint="eastAsia" w:ascii="宋体" w:hAnsi="宋体" w:cs="宋体"/>
          <w:sz w:val="24"/>
          <w:u w:val="single"/>
        </w:rPr>
        <w:t xml:space="preserve">                                                </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1.2.3 标的质量：</w:t>
      </w:r>
      <w:r>
        <w:rPr>
          <w:rFonts w:hint="eastAsia" w:ascii="宋体" w:hAnsi="宋体" w:cs="宋体"/>
          <w:sz w:val="24"/>
          <w:u w:val="single"/>
        </w:rPr>
        <w:t xml:space="preserve">　　　　　　　　　                      　      </w:t>
      </w:r>
      <w:r>
        <w:rPr>
          <w:rFonts w:hint="eastAsia" w:ascii="宋体" w:hAnsi="宋体" w:cs="宋体"/>
          <w:sz w:val="24"/>
        </w:rPr>
        <w:t>。</w:t>
      </w:r>
    </w:p>
    <w:p>
      <w:pPr>
        <w:spacing w:line="400" w:lineRule="exact"/>
        <w:ind w:firstLine="482" w:firstLineChars="200"/>
        <w:outlineLvl w:val="9"/>
        <w:rPr>
          <w:rFonts w:ascii="宋体" w:hAnsi="宋体" w:cs="宋体"/>
          <w:b/>
          <w:sz w:val="24"/>
        </w:rPr>
      </w:pPr>
      <w:bookmarkStart w:id="1400" w:name="_Toc10671"/>
      <w:bookmarkStart w:id="1401" w:name="_Toc19129"/>
      <w:bookmarkStart w:id="1402" w:name="_Toc27077"/>
      <w:bookmarkStart w:id="1403" w:name="_Toc21124"/>
      <w:bookmarkStart w:id="1404" w:name="_Toc23906"/>
      <w:bookmarkStart w:id="1405" w:name="_Toc5635"/>
      <w:bookmarkStart w:id="1406" w:name="_Toc20031"/>
      <w:bookmarkStart w:id="1407" w:name="_Toc2888"/>
      <w:bookmarkStart w:id="1408" w:name="_Toc20438"/>
      <w:bookmarkStart w:id="1409" w:name="_Toc4929"/>
      <w:bookmarkStart w:id="1410" w:name="_Toc29914"/>
      <w:bookmarkStart w:id="1411" w:name="_Toc23427"/>
      <w:bookmarkStart w:id="1412" w:name="_Toc32314"/>
      <w:bookmarkStart w:id="1413" w:name="_Toc13554"/>
      <w:bookmarkStart w:id="1414" w:name="_Toc23026"/>
      <w:bookmarkStart w:id="1415" w:name="_Toc13918"/>
      <w:bookmarkStart w:id="1416" w:name="_Toc4932"/>
      <w:bookmarkStart w:id="1417" w:name="_Toc14707"/>
      <w:r>
        <w:rPr>
          <w:rFonts w:hint="eastAsia" w:ascii="宋体" w:hAnsi="宋体" w:cs="宋体"/>
          <w:b/>
          <w:sz w:val="24"/>
        </w:rPr>
        <w:t>1.3 价款</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pPr>
        <w:spacing w:line="400" w:lineRule="exact"/>
        <w:ind w:firstLine="480" w:firstLineChars="200"/>
        <w:rPr>
          <w:rFonts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pPr>
        <w:spacing w:line="400" w:lineRule="exact"/>
        <w:ind w:firstLine="480" w:firstLineChars="200"/>
        <w:rPr>
          <w:rFonts w:ascii="宋体" w:hAnsi="宋体" w:cs="宋体"/>
          <w:sz w:val="24"/>
          <w:u w:val="single"/>
        </w:rPr>
      </w:pPr>
      <w:r>
        <w:rPr>
          <w:rFonts w:hint="eastAsia" w:ascii="宋体" w:hAnsi="宋体" w:cs="宋体"/>
          <w:sz w:val="24"/>
        </w:rPr>
        <w:t>分项价格：</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4"/>
              <w:spacing w:line="400" w:lineRule="exact"/>
              <w:jc w:val="center"/>
              <w:rPr>
                <w:rFonts w:hAnsi="宋体" w:cs="宋体"/>
                <w:kern w:val="2"/>
                <w:sz w:val="24"/>
                <w:szCs w:val="24"/>
              </w:rPr>
            </w:pPr>
            <w:r>
              <w:rPr>
                <w:rFonts w:hint="eastAsia" w:hAnsi="宋体" w:cs="宋体"/>
                <w:kern w:val="2"/>
                <w:sz w:val="24"/>
                <w:szCs w:val="24"/>
              </w:rPr>
              <w:t>序号</w:t>
            </w:r>
          </w:p>
        </w:tc>
        <w:tc>
          <w:tcPr>
            <w:tcW w:w="3402" w:type="dxa"/>
            <w:vAlign w:val="center"/>
          </w:tcPr>
          <w:p>
            <w:pPr>
              <w:pStyle w:val="64"/>
              <w:spacing w:line="400" w:lineRule="exact"/>
              <w:ind w:firstLine="200"/>
              <w:jc w:val="center"/>
              <w:rPr>
                <w:rFonts w:hAnsi="宋体" w:cs="宋体"/>
                <w:kern w:val="2"/>
                <w:sz w:val="24"/>
                <w:szCs w:val="24"/>
              </w:rPr>
            </w:pPr>
            <w:r>
              <w:rPr>
                <w:rFonts w:hint="eastAsia" w:hAnsi="宋体" w:cs="宋体"/>
                <w:kern w:val="2"/>
                <w:sz w:val="24"/>
                <w:szCs w:val="24"/>
              </w:rPr>
              <w:t>分项名称</w:t>
            </w:r>
          </w:p>
        </w:tc>
        <w:tc>
          <w:tcPr>
            <w:tcW w:w="2552" w:type="dxa"/>
            <w:vAlign w:val="center"/>
          </w:tcPr>
          <w:p>
            <w:pPr>
              <w:pStyle w:val="64"/>
              <w:spacing w:line="400" w:lineRule="exact"/>
              <w:jc w:val="center"/>
              <w:rPr>
                <w:rFonts w:hAnsi="宋体" w:cs="宋体"/>
                <w:kern w:val="2"/>
                <w:sz w:val="24"/>
                <w:szCs w:val="24"/>
              </w:rPr>
            </w:pPr>
            <w:r>
              <w:rPr>
                <w:rFonts w:hint="eastAsia" w:hAnsi="宋体" w:cs="宋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4"/>
              <w:spacing w:line="400" w:lineRule="exact"/>
              <w:ind w:firstLine="200"/>
              <w:jc w:val="center"/>
              <w:rPr>
                <w:rFonts w:hAnsi="宋体" w:cs="宋体"/>
                <w:kern w:val="2"/>
                <w:sz w:val="24"/>
                <w:szCs w:val="24"/>
              </w:rPr>
            </w:pPr>
          </w:p>
        </w:tc>
        <w:tc>
          <w:tcPr>
            <w:tcW w:w="3402" w:type="dxa"/>
            <w:vAlign w:val="center"/>
          </w:tcPr>
          <w:p>
            <w:pPr>
              <w:pStyle w:val="64"/>
              <w:spacing w:line="400" w:lineRule="exact"/>
              <w:ind w:firstLine="200"/>
              <w:jc w:val="center"/>
              <w:rPr>
                <w:rFonts w:hAnsi="宋体" w:cs="宋体"/>
                <w:kern w:val="2"/>
                <w:sz w:val="24"/>
                <w:szCs w:val="24"/>
              </w:rPr>
            </w:pPr>
          </w:p>
        </w:tc>
        <w:tc>
          <w:tcPr>
            <w:tcW w:w="2552" w:type="dxa"/>
            <w:vAlign w:val="center"/>
          </w:tcPr>
          <w:p>
            <w:pPr>
              <w:pStyle w:val="64"/>
              <w:spacing w:line="400" w:lineRule="exact"/>
              <w:ind w:firstLine="200"/>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4"/>
              <w:spacing w:line="400" w:lineRule="exact"/>
              <w:ind w:firstLine="200"/>
              <w:jc w:val="center"/>
              <w:rPr>
                <w:rFonts w:hAnsi="宋体" w:cs="宋体"/>
                <w:kern w:val="2"/>
                <w:sz w:val="24"/>
                <w:szCs w:val="24"/>
              </w:rPr>
            </w:pPr>
          </w:p>
        </w:tc>
        <w:tc>
          <w:tcPr>
            <w:tcW w:w="3402" w:type="dxa"/>
            <w:vAlign w:val="center"/>
          </w:tcPr>
          <w:p>
            <w:pPr>
              <w:pStyle w:val="64"/>
              <w:spacing w:line="400" w:lineRule="exact"/>
              <w:ind w:firstLine="200"/>
              <w:jc w:val="center"/>
              <w:rPr>
                <w:rFonts w:hAnsi="宋体" w:cs="宋体"/>
                <w:kern w:val="2"/>
                <w:sz w:val="24"/>
                <w:szCs w:val="24"/>
              </w:rPr>
            </w:pPr>
          </w:p>
        </w:tc>
        <w:tc>
          <w:tcPr>
            <w:tcW w:w="2552" w:type="dxa"/>
            <w:vAlign w:val="center"/>
          </w:tcPr>
          <w:p>
            <w:pPr>
              <w:pStyle w:val="64"/>
              <w:spacing w:line="400" w:lineRule="exact"/>
              <w:ind w:firstLine="200"/>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4"/>
              <w:spacing w:line="400" w:lineRule="exact"/>
              <w:ind w:firstLine="200"/>
              <w:jc w:val="center"/>
              <w:rPr>
                <w:rFonts w:hAnsi="宋体" w:cs="宋体"/>
                <w:kern w:val="2"/>
                <w:sz w:val="24"/>
                <w:szCs w:val="24"/>
              </w:rPr>
            </w:pPr>
          </w:p>
        </w:tc>
        <w:tc>
          <w:tcPr>
            <w:tcW w:w="3402" w:type="dxa"/>
            <w:vAlign w:val="center"/>
          </w:tcPr>
          <w:p>
            <w:pPr>
              <w:pStyle w:val="64"/>
              <w:spacing w:line="400" w:lineRule="exact"/>
              <w:ind w:firstLine="200"/>
              <w:jc w:val="center"/>
              <w:rPr>
                <w:rFonts w:hAnsi="宋体" w:cs="宋体"/>
                <w:kern w:val="2"/>
                <w:sz w:val="24"/>
                <w:szCs w:val="24"/>
              </w:rPr>
            </w:pPr>
          </w:p>
        </w:tc>
        <w:tc>
          <w:tcPr>
            <w:tcW w:w="2552" w:type="dxa"/>
            <w:vAlign w:val="center"/>
          </w:tcPr>
          <w:p>
            <w:pPr>
              <w:pStyle w:val="64"/>
              <w:spacing w:line="400" w:lineRule="exact"/>
              <w:ind w:firstLine="200"/>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4"/>
              <w:spacing w:line="400" w:lineRule="exact"/>
              <w:ind w:firstLine="200"/>
              <w:jc w:val="center"/>
              <w:rPr>
                <w:rFonts w:hAnsi="宋体" w:cs="宋体"/>
                <w:kern w:val="2"/>
                <w:sz w:val="24"/>
                <w:szCs w:val="24"/>
              </w:rPr>
            </w:pPr>
          </w:p>
        </w:tc>
        <w:tc>
          <w:tcPr>
            <w:tcW w:w="3402" w:type="dxa"/>
            <w:vAlign w:val="center"/>
          </w:tcPr>
          <w:p>
            <w:pPr>
              <w:pStyle w:val="64"/>
              <w:spacing w:line="400" w:lineRule="exact"/>
              <w:ind w:firstLine="200"/>
              <w:jc w:val="center"/>
              <w:rPr>
                <w:rFonts w:hAnsi="宋体" w:cs="宋体"/>
                <w:kern w:val="2"/>
                <w:sz w:val="24"/>
                <w:szCs w:val="24"/>
              </w:rPr>
            </w:pPr>
          </w:p>
        </w:tc>
        <w:tc>
          <w:tcPr>
            <w:tcW w:w="2552" w:type="dxa"/>
            <w:vAlign w:val="center"/>
          </w:tcPr>
          <w:p>
            <w:pPr>
              <w:pStyle w:val="64"/>
              <w:spacing w:line="400" w:lineRule="exact"/>
              <w:ind w:firstLine="200"/>
              <w:jc w:val="center"/>
              <w:rPr>
                <w:rFonts w:hAnsi="宋体" w:cs="宋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4"/>
              <w:spacing w:line="400" w:lineRule="exact"/>
              <w:ind w:firstLine="200"/>
              <w:jc w:val="center"/>
              <w:rPr>
                <w:rFonts w:hAnsi="宋体" w:cs="宋体"/>
                <w:kern w:val="2"/>
                <w:sz w:val="24"/>
                <w:szCs w:val="24"/>
              </w:rPr>
            </w:pPr>
            <w:r>
              <w:rPr>
                <w:rFonts w:hint="eastAsia" w:hAnsi="宋体" w:cs="宋体"/>
                <w:kern w:val="2"/>
                <w:sz w:val="24"/>
                <w:szCs w:val="24"/>
              </w:rPr>
              <w:t>总价</w:t>
            </w:r>
          </w:p>
        </w:tc>
        <w:tc>
          <w:tcPr>
            <w:tcW w:w="2552" w:type="dxa"/>
            <w:vAlign w:val="center"/>
          </w:tcPr>
          <w:p>
            <w:pPr>
              <w:pStyle w:val="64"/>
              <w:spacing w:line="400" w:lineRule="exact"/>
              <w:ind w:firstLine="200"/>
              <w:jc w:val="center"/>
              <w:rPr>
                <w:rFonts w:hAnsi="宋体" w:cs="宋体"/>
                <w:kern w:val="2"/>
                <w:sz w:val="24"/>
                <w:szCs w:val="24"/>
              </w:rPr>
            </w:pPr>
          </w:p>
        </w:tc>
      </w:tr>
    </w:tbl>
    <w:p>
      <w:pPr>
        <w:spacing w:line="400" w:lineRule="exact"/>
        <w:ind w:firstLine="482" w:firstLineChars="200"/>
        <w:outlineLvl w:val="9"/>
        <w:rPr>
          <w:rFonts w:ascii="宋体" w:hAnsi="宋体" w:cs="宋体"/>
          <w:b/>
          <w:sz w:val="24"/>
        </w:rPr>
      </w:pPr>
      <w:bookmarkStart w:id="1418" w:name="_Toc32305"/>
      <w:bookmarkStart w:id="1419" w:name="_Toc12568"/>
      <w:bookmarkStart w:id="1420" w:name="_Toc25910"/>
      <w:bookmarkStart w:id="1421" w:name="_Toc3654"/>
      <w:bookmarkStart w:id="1422" w:name="_Toc14993"/>
      <w:bookmarkStart w:id="1423" w:name="_Toc17855"/>
      <w:bookmarkStart w:id="1424" w:name="_Toc19221"/>
      <w:bookmarkStart w:id="1425" w:name="_Toc26916"/>
      <w:bookmarkStart w:id="1426" w:name="_Toc30632"/>
      <w:bookmarkStart w:id="1427" w:name="_Toc6998"/>
      <w:bookmarkStart w:id="1428" w:name="_Toc26007"/>
      <w:bookmarkStart w:id="1429" w:name="_Toc30158"/>
      <w:bookmarkStart w:id="1430" w:name="_Toc19143"/>
      <w:bookmarkStart w:id="1431" w:name="_Toc28034"/>
      <w:bookmarkStart w:id="1432" w:name="_Toc16514"/>
      <w:bookmarkStart w:id="1433" w:name="_Toc21059"/>
      <w:bookmarkStart w:id="1434" w:name="_Toc7832"/>
      <w:bookmarkStart w:id="1435" w:name="_Toc8041"/>
      <w:bookmarkStart w:id="1436" w:name="_Toc23173"/>
      <w:bookmarkStart w:id="1437" w:name="_Toc23005"/>
      <w:bookmarkStart w:id="1438" w:name="_Toc30506"/>
      <w:r>
        <w:rPr>
          <w:rFonts w:hint="eastAsia" w:ascii="宋体" w:hAnsi="宋体" w:cs="宋体"/>
          <w:b/>
          <w:sz w:val="24"/>
        </w:rPr>
        <w:t>1.4 付款方式和发票开具方式</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pPr>
        <w:spacing w:line="400" w:lineRule="exact"/>
        <w:ind w:firstLine="480" w:firstLineChars="200"/>
        <w:rPr>
          <w:rFonts w:ascii="宋体" w:hAnsi="宋体" w:cs="宋体"/>
          <w:sz w:val="24"/>
        </w:rPr>
      </w:pPr>
      <w:r>
        <w:rPr>
          <w:rFonts w:hint="eastAsia" w:ascii="宋体" w:hAnsi="宋体" w:cs="宋体"/>
          <w:sz w:val="24"/>
        </w:rPr>
        <w:t>1.4.1付款方式：</w:t>
      </w:r>
      <w:r>
        <w:rPr>
          <w:rFonts w:hint="eastAsia" w:ascii="宋体" w:hAnsi="宋体" w:cs="宋体"/>
          <w:sz w:val="24"/>
          <w:u w:val="single"/>
        </w:rPr>
        <w:t xml:space="preserve">                                                </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                                            </w:t>
      </w:r>
      <w:r>
        <w:rPr>
          <w:rFonts w:hint="eastAsia" w:ascii="宋体" w:hAnsi="宋体" w:cs="宋体"/>
          <w:sz w:val="24"/>
        </w:rPr>
        <w:t>。</w:t>
      </w:r>
    </w:p>
    <w:p>
      <w:pPr>
        <w:spacing w:line="400" w:lineRule="exact"/>
        <w:ind w:firstLine="482" w:firstLineChars="200"/>
        <w:outlineLvl w:val="9"/>
        <w:rPr>
          <w:rFonts w:ascii="宋体" w:hAnsi="宋体" w:cs="宋体"/>
          <w:b/>
          <w:sz w:val="24"/>
        </w:rPr>
      </w:pPr>
      <w:bookmarkStart w:id="1439" w:name="_Toc3625"/>
      <w:bookmarkStart w:id="1440" w:name="_Toc17592"/>
      <w:bookmarkStart w:id="1441" w:name="_Toc24233"/>
      <w:bookmarkStart w:id="1442" w:name="_Toc8772"/>
      <w:bookmarkStart w:id="1443" w:name="_Toc32135"/>
      <w:bookmarkStart w:id="1444" w:name="_Toc26067"/>
      <w:bookmarkStart w:id="1445" w:name="_Toc17889"/>
      <w:bookmarkStart w:id="1446" w:name="_Toc4760"/>
      <w:bookmarkStart w:id="1447" w:name="_Toc3007"/>
      <w:bookmarkStart w:id="1448" w:name="_Toc28212"/>
      <w:bookmarkStart w:id="1449" w:name="_Toc21606"/>
      <w:bookmarkStart w:id="1450" w:name="_Toc4301"/>
      <w:bookmarkStart w:id="1451" w:name="_Toc12261"/>
      <w:bookmarkStart w:id="1452" w:name="_Toc11108"/>
      <w:bookmarkStart w:id="1453" w:name="_Toc7461"/>
      <w:bookmarkStart w:id="1454" w:name="_Toc3167"/>
      <w:bookmarkStart w:id="1455" w:name="_Toc5719"/>
      <w:bookmarkStart w:id="1456" w:name="_Toc23903"/>
      <w:bookmarkStart w:id="1457" w:name="_Toc22707"/>
      <w:bookmarkStart w:id="1458" w:name="_Toc3251"/>
      <w:bookmarkStart w:id="1459" w:name="_Toc31421"/>
      <w:r>
        <w:rPr>
          <w:rFonts w:hint="eastAsia" w:ascii="宋体" w:hAnsi="宋体" w:cs="宋体"/>
          <w:b/>
          <w:sz w:val="24"/>
        </w:rPr>
        <w:t>1.5 履行期限、地点和方式</w:t>
      </w:r>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p>
    <w:p>
      <w:pPr>
        <w:spacing w:line="400" w:lineRule="exact"/>
        <w:ind w:firstLine="480" w:firstLineChars="200"/>
        <w:rPr>
          <w:rFonts w:ascii="宋体" w:hAnsi="宋体" w:cs="宋体"/>
          <w:sz w:val="24"/>
          <w:u w:val="single"/>
        </w:rPr>
      </w:pPr>
      <w:r>
        <w:rPr>
          <w:rFonts w:hint="eastAsia" w:ascii="宋体" w:hAnsi="宋体" w:cs="宋体"/>
          <w:sz w:val="24"/>
        </w:rPr>
        <w:t>1.5.1 履行期限：</w:t>
      </w:r>
      <w:r>
        <w:rPr>
          <w:rFonts w:hint="eastAsia" w:ascii="宋体" w:hAnsi="宋体" w:cs="宋体"/>
          <w:sz w:val="24"/>
          <w:u w:val="single"/>
        </w:rPr>
        <w:t xml:space="preserve">                                                </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1.5.2 履行地点：</w:t>
      </w:r>
      <w:r>
        <w:rPr>
          <w:rFonts w:hint="eastAsia" w:ascii="宋体" w:hAnsi="宋体" w:cs="宋体"/>
          <w:sz w:val="24"/>
          <w:u w:val="single"/>
        </w:rPr>
        <w:t xml:space="preserve">                                                </w:t>
      </w:r>
      <w:r>
        <w:rPr>
          <w:rFonts w:hint="eastAsia" w:ascii="宋体" w:hAnsi="宋体" w:cs="宋体"/>
          <w:sz w:val="24"/>
        </w:rPr>
        <w:t>；</w:t>
      </w:r>
    </w:p>
    <w:p>
      <w:pPr>
        <w:spacing w:line="400" w:lineRule="exact"/>
        <w:ind w:firstLine="480" w:firstLineChars="200"/>
        <w:rPr>
          <w:rFonts w:ascii="宋体" w:hAnsi="宋体" w:cs="宋体"/>
          <w:sz w:val="24"/>
        </w:rPr>
      </w:pPr>
      <w:r>
        <w:rPr>
          <w:rFonts w:hint="eastAsia" w:ascii="宋体" w:hAnsi="宋体" w:cs="宋体"/>
          <w:sz w:val="24"/>
        </w:rPr>
        <w:t>1.5.3 履行方式：</w:t>
      </w:r>
      <w:r>
        <w:rPr>
          <w:rFonts w:hint="eastAsia" w:ascii="宋体" w:hAnsi="宋体" w:cs="宋体"/>
          <w:sz w:val="24"/>
          <w:u w:val="single"/>
        </w:rPr>
        <w:t xml:space="preserve">　　　　　　　　　                      　      </w:t>
      </w:r>
      <w:r>
        <w:rPr>
          <w:rFonts w:hint="eastAsia" w:ascii="宋体" w:hAnsi="宋体" w:cs="宋体"/>
          <w:sz w:val="24"/>
        </w:rPr>
        <w:t>。</w:t>
      </w:r>
    </w:p>
    <w:p>
      <w:pPr>
        <w:spacing w:line="400" w:lineRule="exact"/>
        <w:ind w:firstLine="482" w:firstLineChars="200"/>
        <w:outlineLvl w:val="9"/>
        <w:rPr>
          <w:rFonts w:ascii="宋体" w:hAnsi="宋体" w:cs="宋体"/>
          <w:sz w:val="24"/>
          <w:u w:val="single"/>
        </w:rPr>
      </w:pPr>
      <w:bookmarkStart w:id="1460" w:name="_Toc10490"/>
      <w:bookmarkStart w:id="1461" w:name="_Toc5863"/>
      <w:bookmarkStart w:id="1462" w:name="_Toc12514"/>
      <w:bookmarkStart w:id="1463" w:name="_Toc3290"/>
      <w:bookmarkStart w:id="1464" w:name="_Toc18474"/>
      <w:bookmarkStart w:id="1465" w:name="_Toc17443"/>
      <w:bookmarkStart w:id="1466" w:name="_Toc22111"/>
      <w:bookmarkStart w:id="1467" w:name="_Toc5418"/>
      <w:bookmarkStart w:id="1468" w:name="_Toc5698"/>
      <w:bookmarkStart w:id="1469" w:name="_Toc7635"/>
      <w:bookmarkStart w:id="1470" w:name="_Toc27990"/>
      <w:bookmarkStart w:id="1471" w:name="_Toc18326"/>
      <w:bookmarkStart w:id="1472" w:name="_Toc905"/>
      <w:bookmarkStart w:id="1473" w:name="_Toc2375"/>
      <w:bookmarkStart w:id="1474" w:name="_Toc24662"/>
      <w:bookmarkStart w:id="1475" w:name="_Toc16708"/>
      <w:bookmarkStart w:id="1476" w:name="_Toc1208"/>
      <w:bookmarkStart w:id="1477" w:name="_Toc31555"/>
      <w:bookmarkStart w:id="1478" w:name="_Toc3079"/>
      <w:r>
        <w:rPr>
          <w:rFonts w:hint="eastAsia" w:ascii="宋体" w:hAnsi="宋体" w:cs="宋体"/>
          <w:b/>
          <w:sz w:val="24"/>
        </w:rPr>
        <w:t>1.6 违约责任</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p>
    <w:p>
      <w:pPr>
        <w:spacing w:line="400" w:lineRule="exact"/>
        <w:ind w:firstLine="480" w:firstLineChars="200"/>
        <w:rPr>
          <w:rFonts w:ascii="宋体" w:hAnsi="宋体" w:cs="宋体"/>
          <w:sz w:val="24"/>
        </w:rPr>
      </w:pPr>
      <w:r>
        <w:rPr>
          <w:rFonts w:hint="eastAsia" w:ascii="宋体" w:hAnsi="宋体" w:cs="宋体"/>
          <w:sz w:val="24"/>
        </w:rPr>
        <w:t>1.6.1 除不可抗力外，如果乙方没有按照本合同约定的期限、地点和方式履行，那么甲方可要求乙方支付违约金，违约金按每迟延履行一日的应提供而未提供货物价格的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%；迟延履行的违约金计算数额达到前述最高限额之日起，甲方有权在要求乙方支付违约金的同时，书面通知乙方解除本合同；</w:t>
      </w:r>
    </w:p>
    <w:p>
      <w:pPr>
        <w:spacing w:line="400" w:lineRule="exact"/>
        <w:ind w:firstLine="480" w:firstLineChars="200"/>
        <w:rPr>
          <w:rFonts w:ascii="宋体" w:hAnsi="宋体" w:cs="宋体"/>
          <w:sz w:val="24"/>
        </w:rPr>
      </w:pPr>
      <w:r>
        <w:rPr>
          <w:rFonts w:hint="eastAsia" w:ascii="宋体" w:hAnsi="宋体" w:cs="宋体"/>
          <w:sz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p>
    <w:p>
      <w:pPr>
        <w:spacing w:line="400" w:lineRule="exact"/>
        <w:ind w:firstLine="480" w:firstLineChars="200"/>
        <w:rPr>
          <w:rFonts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0" w:lineRule="exact"/>
        <w:ind w:firstLine="480" w:firstLineChars="200"/>
        <w:rPr>
          <w:rFonts w:ascii="宋体" w:hAnsi="宋体" w:cs="宋体"/>
          <w:sz w:val="24"/>
        </w:rPr>
      </w:pPr>
      <w:r>
        <w:rPr>
          <w:rFonts w:hint="eastAsia" w:ascii="宋体" w:hAnsi="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400" w:lineRule="exact"/>
        <w:ind w:firstLine="480" w:firstLineChars="200"/>
        <w:rPr>
          <w:rFonts w:ascii="宋体" w:hAnsi="宋体" w:cs="宋体"/>
          <w:sz w:val="24"/>
        </w:rPr>
      </w:pPr>
      <w:r>
        <w:rPr>
          <w:rFonts w:hint="eastAsia" w:ascii="宋体" w:hAnsi="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0" w:lineRule="exact"/>
        <w:ind w:firstLine="480" w:firstLineChars="200"/>
        <w:rPr>
          <w:rFonts w:ascii="宋体" w:hAnsi="宋体" w:cs="宋体"/>
          <w:sz w:val="24"/>
        </w:rPr>
      </w:pPr>
      <w:r>
        <w:rPr>
          <w:rFonts w:hint="eastAsia" w:ascii="宋体" w:hAnsi="宋体" w:cs="宋体"/>
          <w:sz w:val="24"/>
        </w:rPr>
        <w:t>1.6.6 如果出现政府采购监督管理部门在处理投诉事项期间，书面通知甲方暂停采购活动的情形，或者询问或质疑事项可能影响成交结果的，导致甲方中止履行合同的情形，均不视为甲方违约。</w:t>
      </w:r>
    </w:p>
    <w:p>
      <w:pPr>
        <w:spacing w:line="400" w:lineRule="exact"/>
        <w:ind w:firstLine="482" w:firstLineChars="200"/>
        <w:outlineLvl w:val="9"/>
        <w:rPr>
          <w:rFonts w:ascii="宋体" w:hAnsi="宋体" w:cs="宋体"/>
          <w:b/>
          <w:sz w:val="24"/>
        </w:rPr>
      </w:pPr>
      <w:bookmarkStart w:id="1479" w:name="_Toc9782"/>
      <w:bookmarkStart w:id="1480" w:name="_Toc23069"/>
      <w:bookmarkStart w:id="1481" w:name="_Toc4448"/>
      <w:bookmarkStart w:id="1482" w:name="_Toc4563"/>
      <w:bookmarkStart w:id="1483" w:name="_Toc3964"/>
      <w:bookmarkStart w:id="1484" w:name="_Toc29659"/>
      <w:bookmarkStart w:id="1485" w:name="_Toc13358"/>
      <w:bookmarkStart w:id="1486" w:name="_Toc13634"/>
      <w:bookmarkStart w:id="1487" w:name="_Toc24142"/>
      <w:bookmarkStart w:id="1488" w:name="_Toc15260"/>
      <w:bookmarkStart w:id="1489" w:name="_Toc24705"/>
      <w:bookmarkStart w:id="1490" w:name="_Toc32454"/>
      <w:bookmarkStart w:id="1491" w:name="_Toc26807"/>
      <w:bookmarkStart w:id="1492" w:name="_Toc12954"/>
      <w:bookmarkStart w:id="1493" w:name="_Toc9054"/>
      <w:bookmarkStart w:id="1494" w:name="_Toc18683"/>
      <w:bookmarkStart w:id="1495" w:name="_Toc9497"/>
      <w:bookmarkStart w:id="1496" w:name="_Toc21818"/>
      <w:bookmarkStart w:id="1497" w:name="_Toc1412"/>
      <w:bookmarkStart w:id="1498" w:name="_Toc14940"/>
      <w:bookmarkStart w:id="1499" w:name="_Toc30329"/>
      <w:r>
        <w:rPr>
          <w:rFonts w:hint="eastAsia" w:ascii="宋体" w:hAnsi="宋体" w:cs="宋体"/>
          <w:b/>
          <w:sz w:val="24"/>
        </w:rPr>
        <w:t>1.7 合同争议的解决</w:t>
      </w:r>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p>
    <w:p>
      <w:pPr>
        <w:spacing w:line="400" w:lineRule="exact"/>
        <w:ind w:firstLine="480" w:firstLineChars="20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w:t>
      </w:r>
      <w:r>
        <w:rPr>
          <w:rFonts w:hint="eastAsia" w:ascii="宋体" w:hAnsi="宋体" w:cs="宋体"/>
          <w:sz w:val="24"/>
          <w:u w:val="single"/>
        </w:rPr>
        <w:t xml:space="preserve">    </w:t>
      </w:r>
      <w:r>
        <w:rPr>
          <w:rFonts w:hint="eastAsia" w:ascii="宋体" w:hAnsi="宋体" w:cs="宋体"/>
          <w:sz w:val="24"/>
        </w:rPr>
        <w:t>种方式解决：</w:t>
      </w:r>
    </w:p>
    <w:p>
      <w:pPr>
        <w:spacing w:line="400" w:lineRule="exact"/>
        <w:ind w:firstLine="480" w:firstLineChars="200"/>
        <w:rPr>
          <w:rFonts w:ascii="宋体" w:hAnsi="宋体" w:cs="宋体"/>
          <w:sz w:val="24"/>
        </w:rPr>
      </w:pPr>
      <w:r>
        <w:rPr>
          <w:rFonts w:hint="eastAsia" w:ascii="宋体" w:hAnsi="宋体" w:cs="宋体"/>
          <w:sz w:val="24"/>
        </w:rPr>
        <w:t>1.7.1 将争议提交</w:t>
      </w:r>
      <w:r>
        <w:rPr>
          <w:rFonts w:hint="eastAsia" w:ascii="宋体" w:hAnsi="宋体" w:cs="宋体"/>
          <w:sz w:val="24"/>
          <w:u w:val="single"/>
        </w:rPr>
        <w:t xml:space="preserve">              </w:t>
      </w:r>
      <w:r>
        <w:rPr>
          <w:rFonts w:hint="eastAsia" w:ascii="宋体" w:hAnsi="宋体" w:cs="宋体"/>
          <w:sz w:val="24"/>
        </w:rPr>
        <w:t>仲裁委员会依申请仲裁时其现行有效的仲裁规则裁决；</w:t>
      </w:r>
    </w:p>
    <w:p>
      <w:pPr>
        <w:spacing w:line="400" w:lineRule="exact"/>
        <w:ind w:firstLine="480" w:firstLineChars="200"/>
        <w:rPr>
          <w:rFonts w:ascii="宋体" w:hAnsi="宋体" w:cs="宋体"/>
          <w:sz w:val="24"/>
        </w:rPr>
      </w:pPr>
      <w:r>
        <w:rPr>
          <w:rFonts w:hint="eastAsia" w:ascii="宋体" w:hAnsi="宋体" w:cs="宋体"/>
          <w:sz w:val="24"/>
        </w:rPr>
        <w:t>1.7.2 向</w:t>
      </w:r>
      <w:r>
        <w:rPr>
          <w:rFonts w:hint="eastAsia" w:ascii="宋体" w:hAnsi="宋体" w:cs="宋体"/>
          <w:sz w:val="24"/>
          <w:u w:val="single"/>
        </w:rPr>
        <w:t xml:space="preserve">   （被告住所地、合同履行地、合同签订地、原告住所地、标的物所在地等与争议有实际联系的地点中选出的人民法院名称）    </w:t>
      </w:r>
      <w:r>
        <w:rPr>
          <w:rFonts w:hint="eastAsia" w:ascii="宋体" w:hAnsi="宋体" w:cs="宋体"/>
          <w:sz w:val="24"/>
        </w:rPr>
        <w:t>人民法院起诉。</w:t>
      </w:r>
    </w:p>
    <w:p>
      <w:pPr>
        <w:spacing w:line="400" w:lineRule="exact"/>
        <w:ind w:firstLine="482" w:firstLineChars="200"/>
        <w:outlineLvl w:val="9"/>
        <w:rPr>
          <w:rFonts w:ascii="宋体" w:hAnsi="宋体" w:cs="宋体"/>
          <w:b/>
          <w:sz w:val="24"/>
        </w:rPr>
      </w:pPr>
      <w:bookmarkStart w:id="1500" w:name="_Toc9847"/>
      <w:bookmarkStart w:id="1501" w:name="_Toc1048"/>
      <w:bookmarkStart w:id="1502" w:name="_Toc12557"/>
      <w:bookmarkStart w:id="1503" w:name="_Toc6707"/>
      <w:bookmarkStart w:id="1504" w:name="_Toc28978"/>
      <w:bookmarkStart w:id="1505" w:name="_Toc16417"/>
      <w:bookmarkStart w:id="1506" w:name="_Toc12273"/>
      <w:bookmarkStart w:id="1507" w:name="_Toc6048"/>
      <w:bookmarkStart w:id="1508" w:name="_Toc13186"/>
      <w:bookmarkStart w:id="1509" w:name="_Toc30188"/>
      <w:bookmarkStart w:id="1510" w:name="_Toc26227"/>
      <w:bookmarkStart w:id="1511" w:name="_Toc20156"/>
      <w:bookmarkStart w:id="1512" w:name="_Toc25157"/>
      <w:bookmarkStart w:id="1513" w:name="_Toc18071"/>
      <w:bookmarkStart w:id="1514" w:name="_Toc15827"/>
      <w:bookmarkStart w:id="1515" w:name="_Toc17508"/>
      <w:bookmarkStart w:id="1516" w:name="_Toc1472"/>
      <w:bookmarkStart w:id="1517" w:name="_Toc13173"/>
      <w:bookmarkStart w:id="1518" w:name="_Toc20743"/>
      <w:bookmarkStart w:id="1519" w:name="_Toc32664"/>
      <w:r>
        <w:rPr>
          <w:rFonts w:hint="eastAsia" w:ascii="宋体" w:hAnsi="宋体" w:cs="宋体"/>
          <w:b/>
          <w:sz w:val="24"/>
        </w:rPr>
        <w:t>1.8 合同生效</w:t>
      </w:r>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p>
      <w:pPr>
        <w:spacing w:line="400" w:lineRule="exact"/>
        <w:ind w:firstLine="480" w:firstLineChars="200"/>
        <w:rPr>
          <w:rFonts w:ascii="宋体" w:hAnsi="宋体" w:cs="宋体"/>
          <w:b/>
          <w:sz w:val="24"/>
        </w:rPr>
      </w:pPr>
      <w:r>
        <w:rPr>
          <w:rFonts w:hint="eastAsia" w:ascii="宋体" w:hAnsi="宋体" w:cs="宋体"/>
          <w:sz w:val="24"/>
        </w:rPr>
        <w:t>本合同自双方当事人盖章或者签字时生效。</w:t>
      </w:r>
    </w:p>
    <w:p>
      <w:pPr>
        <w:autoSpaceDE w:val="0"/>
        <w:autoSpaceDN w:val="0"/>
        <w:adjustRightInd w:val="0"/>
        <w:spacing w:line="400" w:lineRule="exact"/>
        <w:rPr>
          <w:rFonts w:ascii="宋体" w:hAnsi="宋体" w:cs="宋体"/>
          <w:sz w:val="24"/>
          <w:lang w:val="zh-CN"/>
        </w:rPr>
      </w:pPr>
    </w:p>
    <w:p>
      <w:pPr>
        <w:autoSpaceDE w:val="0"/>
        <w:autoSpaceDN w:val="0"/>
        <w:adjustRightInd w:val="0"/>
        <w:spacing w:line="400" w:lineRule="exact"/>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统一社会信用代码：                        统一社会信用代码或身份证号码：</w:t>
      </w:r>
    </w:p>
    <w:p>
      <w:pPr>
        <w:autoSpaceDE w:val="0"/>
        <w:autoSpaceDN w:val="0"/>
        <w:adjustRightInd w:val="0"/>
        <w:spacing w:line="400" w:lineRule="exact"/>
        <w:rPr>
          <w:rFonts w:ascii="宋体" w:hAnsi="宋体" w:cs="宋体"/>
          <w:sz w:val="24"/>
          <w:lang w:val="zh-CN"/>
        </w:rPr>
      </w:pP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住所：                                   住所：</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法定代表人或                             法定代表人</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 xml:space="preserve">授权代表（签字）：                        或授权代表（签字）: </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联系人：                                 联系人：</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约定送达地址：                           约定送达地址：</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邮政编码：                               邮政编码：</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 xml:space="preserve">电话:                                    电话: </w:t>
      </w:r>
    </w:p>
    <w:p>
      <w:pPr>
        <w:autoSpaceDE w:val="0"/>
        <w:autoSpaceDN w:val="0"/>
        <w:adjustRightInd w:val="0"/>
        <w:spacing w:line="400" w:lineRule="exact"/>
        <w:rPr>
          <w:rFonts w:ascii="宋体" w:hAnsi="宋体" w:cs="宋体"/>
          <w:sz w:val="24"/>
          <w:lang w:val="zh-CN"/>
        </w:rPr>
      </w:pPr>
      <w:r>
        <w:rPr>
          <w:rFonts w:hint="eastAsia" w:ascii="宋体" w:hAnsi="宋体" w:cs="宋体"/>
          <w:sz w:val="24"/>
          <w:lang w:val="zh-CN"/>
        </w:rPr>
        <w:t>传真:                                    传真:</w:t>
      </w:r>
    </w:p>
    <w:p>
      <w:pPr>
        <w:autoSpaceDE w:val="0"/>
        <w:autoSpaceDN w:val="0"/>
        <w:adjustRightInd w:val="0"/>
        <w:spacing w:line="400" w:lineRule="exact"/>
        <w:rPr>
          <w:rFonts w:ascii="宋体" w:hAnsi="宋体" w:cs="宋体"/>
          <w:sz w:val="24"/>
        </w:rPr>
      </w:pPr>
      <w:r>
        <w:rPr>
          <w:rFonts w:hint="eastAsia" w:ascii="宋体" w:hAnsi="宋体" w:cs="宋体"/>
          <w:sz w:val="24"/>
          <w:lang w:val="zh-CN"/>
        </w:rPr>
        <w:t>电子邮箱：                               电子邮箱：</w:t>
      </w:r>
    </w:p>
    <w:p>
      <w:pPr>
        <w:autoSpaceDE w:val="0"/>
        <w:autoSpaceDN w:val="0"/>
        <w:adjustRightInd w:val="0"/>
        <w:spacing w:line="400" w:lineRule="exact"/>
        <w:rPr>
          <w:rFonts w:ascii="宋体" w:hAnsi="宋体" w:cs="宋体"/>
          <w:sz w:val="24"/>
        </w:rPr>
      </w:pPr>
      <w:r>
        <w:rPr>
          <w:rFonts w:hint="eastAsia" w:ascii="宋体" w:hAnsi="宋体" w:cs="宋体"/>
          <w:sz w:val="24"/>
        </w:rPr>
        <w:t xml:space="preserve">开户银行：                               开户银行： </w:t>
      </w:r>
    </w:p>
    <w:p>
      <w:pPr>
        <w:autoSpaceDE w:val="0"/>
        <w:autoSpaceDN w:val="0"/>
        <w:adjustRightInd w:val="0"/>
        <w:spacing w:line="400" w:lineRule="exact"/>
        <w:rPr>
          <w:rFonts w:ascii="宋体" w:hAnsi="宋体" w:cs="宋体"/>
          <w:sz w:val="24"/>
        </w:rPr>
      </w:pPr>
      <w:r>
        <w:rPr>
          <w:rFonts w:hint="eastAsia" w:ascii="宋体" w:hAnsi="宋体" w:cs="宋体"/>
          <w:sz w:val="24"/>
        </w:rPr>
        <w:t xml:space="preserve">开户名称：                               开户名称： </w:t>
      </w:r>
    </w:p>
    <w:p>
      <w:pPr>
        <w:autoSpaceDE w:val="0"/>
        <w:autoSpaceDN w:val="0"/>
        <w:adjustRightInd w:val="0"/>
        <w:spacing w:line="400" w:lineRule="exact"/>
        <w:rPr>
          <w:rFonts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pPr>
        <w:widowControl/>
        <w:spacing w:line="400" w:lineRule="exact"/>
        <w:jc w:val="left"/>
        <w:rPr>
          <w:rFonts w:ascii="宋体" w:hAnsi="宋体" w:cs="宋体"/>
          <w:b/>
        </w:rPr>
      </w:pPr>
      <w:bookmarkStart w:id="1520" w:name="_Toc331685783"/>
    </w:p>
    <w:p>
      <w:pPr>
        <w:widowControl/>
        <w:spacing w:line="400" w:lineRule="exact"/>
        <w:jc w:val="left"/>
        <w:rPr>
          <w:rFonts w:ascii="宋体" w:hAnsi="宋体" w:cs="宋体"/>
          <w:b/>
        </w:rPr>
      </w:pPr>
    </w:p>
    <w:p>
      <w:pPr>
        <w:widowControl/>
        <w:spacing w:line="400" w:lineRule="exact"/>
        <w:jc w:val="left"/>
        <w:rPr>
          <w:rFonts w:ascii="宋体" w:hAnsi="宋体" w:cs="宋体"/>
          <w:b/>
          <w:kern w:val="0"/>
          <w:sz w:val="24"/>
        </w:rPr>
      </w:pPr>
    </w:p>
    <w:p>
      <w:pPr>
        <w:widowControl/>
        <w:spacing w:line="400" w:lineRule="exact"/>
        <w:jc w:val="left"/>
        <w:rPr>
          <w:rFonts w:ascii="宋体" w:hAnsi="宋体" w:cs="宋体"/>
          <w:b/>
          <w:kern w:val="0"/>
          <w:sz w:val="24"/>
        </w:rPr>
      </w:pPr>
    </w:p>
    <w:p>
      <w:pPr>
        <w:pStyle w:val="62"/>
        <w:spacing w:line="400" w:lineRule="exact"/>
        <w:ind w:firstLine="0"/>
        <w:jc w:val="both"/>
        <w:rPr>
          <w:rFonts w:hAnsi="宋体" w:cs="宋体"/>
          <w:b/>
          <w:szCs w:val="24"/>
        </w:rPr>
      </w:pPr>
    </w:p>
    <w:p>
      <w:pPr>
        <w:pStyle w:val="62"/>
        <w:spacing w:line="400" w:lineRule="exact"/>
        <w:ind w:firstLine="0"/>
        <w:jc w:val="center"/>
        <w:outlineLvl w:val="9"/>
        <w:rPr>
          <w:rFonts w:hAnsi="宋体" w:cs="宋体"/>
          <w:b/>
          <w:szCs w:val="24"/>
        </w:rPr>
      </w:pPr>
      <w:bookmarkStart w:id="1521" w:name="_Toc24240"/>
      <w:bookmarkStart w:id="1522" w:name="_Toc9527"/>
    </w:p>
    <w:p>
      <w:pPr>
        <w:rPr>
          <w:rFonts w:hAnsi="宋体" w:cs="宋体"/>
          <w:b/>
          <w:szCs w:val="24"/>
        </w:rPr>
      </w:pPr>
      <w:bookmarkStart w:id="1523" w:name="_Toc5212"/>
      <w:bookmarkStart w:id="1524" w:name="_Toc18274"/>
      <w:bookmarkStart w:id="1525" w:name="_Toc27834"/>
      <w:bookmarkStart w:id="1526" w:name="_Toc5616"/>
      <w:bookmarkStart w:id="1527" w:name="_Toc7802"/>
      <w:r>
        <w:rPr>
          <w:rFonts w:hint="eastAsia" w:hAnsi="宋体" w:cs="宋体"/>
          <w:b/>
          <w:szCs w:val="24"/>
        </w:rPr>
        <w:t>第二部分 合同一般条款</w:t>
      </w:r>
      <w:bookmarkEnd w:id="1520"/>
      <w:bookmarkEnd w:id="1521"/>
      <w:bookmarkEnd w:id="1522"/>
      <w:bookmarkEnd w:id="1523"/>
      <w:bookmarkEnd w:id="1524"/>
      <w:bookmarkEnd w:id="1525"/>
      <w:bookmarkEnd w:id="1526"/>
      <w:bookmarkEnd w:id="1527"/>
    </w:p>
    <w:p>
      <w:pPr>
        <w:spacing w:line="400" w:lineRule="exact"/>
        <w:ind w:firstLine="482" w:firstLineChars="200"/>
        <w:outlineLvl w:val="9"/>
        <w:rPr>
          <w:rFonts w:ascii="宋体" w:hAnsi="宋体" w:cs="宋体"/>
          <w:b/>
          <w:sz w:val="24"/>
        </w:rPr>
      </w:pPr>
      <w:bookmarkStart w:id="1528" w:name="_Toc279701240"/>
      <w:bookmarkStart w:id="1529" w:name="_Toc29024"/>
      <w:bookmarkStart w:id="1530" w:name="_Ref467378404"/>
      <w:bookmarkStart w:id="1531" w:name="_Toc6126"/>
      <w:bookmarkStart w:id="1532" w:name="_Toc5228"/>
      <w:bookmarkStart w:id="1533" w:name="_Ref467379214"/>
      <w:bookmarkStart w:id="1534" w:name="_Toc28701"/>
      <w:bookmarkStart w:id="1535" w:name="_Toc10827"/>
      <w:bookmarkStart w:id="1536" w:name="_Toc13844"/>
      <w:bookmarkStart w:id="1537" w:name="_Ref467379094"/>
      <w:bookmarkStart w:id="1538" w:name="_Toc17704"/>
      <w:bookmarkStart w:id="1539" w:name="_Toc9585"/>
      <w:bookmarkStart w:id="1540" w:name="_Ref467378499"/>
      <w:bookmarkStart w:id="1541" w:name="_Toc29074"/>
      <w:bookmarkStart w:id="1542" w:name="_Ref467379205"/>
      <w:bookmarkStart w:id="1543" w:name="_Ref467379101"/>
      <w:bookmarkStart w:id="1544" w:name="_Toc25079"/>
      <w:bookmarkStart w:id="1545" w:name="_Toc31297"/>
      <w:bookmarkStart w:id="1546" w:name="_Toc4990"/>
      <w:bookmarkStart w:id="1547" w:name="_Toc10653"/>
      <w:bookmarkStart w:id="1548" w:name="_Toc14754"/>
      <w:bookmarkStart w:id="1549" w:name="_Toc259093669"/>
      <w:bookmarkStart w:id="1550" w:name="_Toc5117"/>
      <w:bookmarkStart w:id="1551" w:name="_Toc487900349"/>
      <w:bookmarkStart w:id="1552" w:name="_Ref467379225"/>
      <w:bookmarkStart w:id="1553" w:name="_Toc13941"/>
      <w:bookmarkStart w:id="1554" w:name="_Toc21058"/>
      <w:bookmarkStart w:id="1555" w:name="_Ref467378463"/>
      <w:bookmarkStart w:id="1556" w:name="_Toc14021"/>
      <w:bookmarkStart w:id="1557" w:name="_Ref467379195"/>
      <w:bookmarkStart w:id="1558" w:name="_Toc16934"/>
      <w:bookmarkStart w:id="1559" w:name="_Ref467379109"/>
      <w:bookmarkStart w:id="1560" w:name="_Toc3817"/>
      <w:bookmarkStart w:id="1561" w:name="_Toc19680"/>
      <w:r>
        <w:rPr>
          <w:rFonts w:hint="eastAsia" w:ascii="宋体" w:hAnsi="宋体" w:cs="宋体"/>
          <w:b/>
          <w:sz w:val="24"/>
        </w:rPr>
        <w:t>2.1 定义</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p>
    <w:p>
      <w:pPr>
        <w:spacing w:line="400" w:lineRule="exact"/>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400" w:lineRule="exact"/>
        <w:ind w:firstLine="480" w:firstLineChars="200"/>
        <w:rPr>
          <w:rFonts w:ascii="宋体" w:hAnsi="宋体" w:cs="宋体"/>
          <w:sz w:val="24"/>
        </w:rPr>
      </w:pPr>
      <w:r>
        <w:rPr>
          <w:rFonts w:hint="eastAsia" w:ascii="宋体" w:hAnsi="宋体" w:cs="宋体"/>
          <w:sz w:val="24"/>
        </w:rPr>
        <w:t>2.1.1 “合同”系指采购人和成交供应商签订的载明双方当事人所达成的协议，并包括所有的附件、附录和构成合同的其他文件。</w:t>
      </w:r>
    </w:p>
    <w:p>
      <w:pPr>
        <w:spacing w:line="400" w:lineRule="exact"/>
        <w:ind w:firstLine="480" w:firstLineChars="200"/>
        <w:rPr>
          <w:rFonts w:ascii="宋体" w:hAnsi="宋体" w:cs="宋体"/>
          <w:sz w:val="24"/>
        </w:rPr>
      </w:pPr>
      <w:r>
        <w:rPr>
          <w:rFonts w:hint="eastAsia" w:ascii="宋体" w:hAnsi="宋体" w:cs="宋体"/>
          <w:sz w:val="24"/>
        </w:rPr>
        <w:t>2.1.2 “合同价”系指根据合同约定，成交供应商在完全履行合同义务后，采购人应支付给成交供应商的价格。</w:t>
      </w:r>
    </w:p>
    <w:p>
      <w:pPr>
        <w:spacing w:line="400" w:lineRule="exact"/>
        <w:ind w:firstLine="480" w:firstLineChars="200"/>
        <w:rPr>
          <w:rFonts w:ascii="宋体" w:hAnsi="宋体" w:cs="宋体"/>
          <w:sz w:val="24"/>
        </w:rPr>
      </w:pPr>
      <w:r>
        <w:rPr>
          <w:rFonts w:hint="eastAsia" w:ascii="宋体" w:hAnsi="宋体" w:cs="宋体"/>
          <w:sz w:val="24"/>
        </w:rPr>
        <w:t>2.1.3 “服务”系指成交供应商根据合同约定应向采购人履行的除货物和工程以外的其他政府采购对象，包括采购人自身需要的服务和向社会公众提供的公共服务。</w:t>
      </w:r>
    </w:p>
    <w:p>
      <w:pPr>
        <w:spacing w:line="400" w:lineRule="exact"/>
        <w:ind w:firstLine="480" w:firstLineChars="200"/>
        <w:rPr>
          <w:rFonts w:ascii="宋体" w:hAnsi="宋体" w:cs="宋体"/>
          <w:sz w:val="24"/>
        </w:rPr>
      </w:pPr>
      <w:bookmarkStart w:id="1562" w:name="_Ref467378840"/>
      <w:r>
        <w:rPr>
          <w:rFonts w:hint="eastAsia" w:ascii="宋体" w:hAnsi="宋体" w:cs="宋体"/>
          <w:sz w:val="24"/>
        </w:rPr>
        <w:t>2.1.4 “甲方”系指与成交供应商签署合同的采购人</w:t>
      </w:r>
      <w:bookmarkEnd w:id="1562"/>
      <w:r>
        <w:rPr>
          <w:rFonts w:hint="eastAsia" w:ascii="宋体" w:hAnsi="宋体" w:cs="宋体"/>
          <w:sz w:val="24"/>
        </w:rPr>
        <w:t>；采购人委托采购代理机构代表其与乙方签订合同的，采购人的授权委托书作为合同附件。</w:t>
      </w:r>
    </w:p>
    <w:p>
      <w:pPr>
        <w:spacing w:line="400" w:lineRule="exact"/>
        <w:ind w:firstLine="480" w:firstLineChars="200"/>
        <w:rPr>
          <w:rFonts w:ascii="宋体" w:hAnsi="宋体" w:cs="宋体"/>
          <w:sz w:val="24"/>
        </w:rPr>
      </w:pPr>
      <w:bookmarkStart w:id="1563" w:name="_Ref467379400"/>
      <w:r>
        <w:rPr>
          <w:rFonts w:hint="eastAsia" w:ascii="宋体" w:hAnsi="宋体" w:cs="宋体"/>
          <w:sz w:val="24"/>
        </w:rPr>
        <w:t>2.1.5 “乙方”系指根据合同约定提供服务的成交供应商</w:t>
      </w:r>
      <w:bookmarkEnd w:id="1563"/>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00" w:lineRule="exact"/>
        <w:ind w:firstLine="480" w:firstLineChars="200"/>
        <w:rPr>
          <w:rFonts w:ascii="宋体" w:hAnsi="宋体" w:cs="宋体"/>
          <w:sz w:val="24"/>
        </w:rPr>
      </w:pPr>
      <w:bookmarkStart w:id="1564" w:name="_Ref467379436"/>
      <w:r>
        <w:rPr>
          <w:rFonts w:hint="eastAsia" w:ascii="宋体" w:hAnsi="宋体" w:cs="宋体"/>
          <w:sz w:val="24"/>
        </w:rPr>
        <w:t>2.1.6 “现场”系指合同约定提供服务的地点。</w:t>
      </w:r>
      <w:bookmarkEnd w:id="1564"/>
    </w:p>
    <w:p>
      <w:pPr>
        <w:spacing w:line="400" w:lineRule="exact"/>
        <w:ind w:firstLine="482" w:firstLineChars="200"/>
        <w:outlineLvl w:val="9"/>
        <w:rPr>
          <w:rFonts w:ascii="宋体" w:hAnsi="宋体" w:cs="宋体"/>
          <w:b/>
          <w:sz w:val="24"/>
        </w:rPr>
      </w:pPr>
      <w:bookmarkStart w:id="1565" w:name="_Toc14469"/>
      <w:bookmarkStart w:id="1566" w:name="_Toc23289"/>
      <w:bookmarkStart w:id="1567" w:name="_Toc22493"/>
      <w:bookmarkStart w:id="1568" w:name="_Toc25980"/>
      <w:bookmarkStart w:id="1569" w:name="_Toc259093670"/>
      <w:bookmarkStart w:id="1570" w:name="_Toc8861"/>
      <w:bookmarkStart w:id="1571" w:name="_Toc2814"/>
      <w:bookmarkStart w:id="1572" w:name="_Toc3769"/>
      <w:bookmarkStart w:id="1573" w:name="_Toc279701241"/>
      <w:bookmarkStart w:id="1574" w:name="_Toc15686"/>
      <w:bookmarkStart w:id="1575" w:name="_Toc7411"/>
      <w:bookmarkStart w:id="1576" w:name="_Toc2440"/>
      <w:bookmarkStart w:id="1577" w:name="_Toc8936"/>
      <w:bookmarkStart w:id="1578" w:name="_Toc21068"/>
      <w:bookmarkStart w:id="1579" w:name="_Toc19539"/>
      <w:bookmarkStart w:id="1580" w:name="_Toc15954"/>
      <w:bookmarkStart w:id="1581" w:name="_Toc487900350"/>
      <w:bookmarkStart w:id="1582" w:name="_Toc16752"/>
      <w:bookmarkStart w:id="1583" w:name="_Toc24501"/>
      <w:bookmarkStart w:id="1584" w:name="_Toc31402"/>
      <w:bookmarkStart w:id="1585" w:name="_Toc28811"/>
      <w:bookmarkStart w:id="1586" w:name="_Toc4409"/>
      <w:bookmarkStart w:id="1587" w:name="_Toc10249"/>
      <w:r>
        <w:rPr>
          <w:rFonts w:hint="eastAsia" w:ascii="宋体" w:hAnsi="宋体" w:cs="宋体"/>
          <w:b/>
          <w:sz w:val="24"/>
        </w:rPr>
        <w:t>2.2 技术规范</w:t>
      </w:r>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p>
    <w:p>
      <w:pPr>
        <w:spacing w:line="400" w:lineRule="exact"/>
        <w:ind w:firstLine="480" w:firstLineChars="200"/>
        <w:rPr>
          <w:rFonts w:ascii="宋体" w:hAnsi="宋体" w:cs="宋体"/>
          <w:sz w:val="24"/>
        </w:rPr>
      </w:pPr>
      <w:r>
        <w:rPr>
          <w:rFonts w:hint="eastAsia" w:ascii="宋体" w:hAnsi="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0" w:lineRule="exact"/>
        <w:ind w:firstLine="482" w:firstLineChars="200"/>
        <w:outlineLvl w:val="9"/>
        <w:rPr>
          <w:rFonts w:ascii="宋体" w:hAnsi="宋体" w:cs="宋体"/>
          <w:b/>
          <w:sz w:val="24"/>
        </w:rPr>
      </w:pPr>
      <w:bookmarkStart w:id="1588" w:name="_Toc279701242"/>
      <w:bookmarkStart w:id="1589" w:name="_Toc27945"/>
      <w:bookmarkStart w:id="1590" w:name="_Toc29075"/>
      <w:bookmarkStart w:id="1591" w:name="_Toc22603"/>
      <w:bookmarkStart w:id="1592" w:name="_Toc9578"/>
      <w:bookmarkStart w:id="1593" w:name="_Toc24427"/>
      <w:bookmarkStart w:id="1594" w:name="_Toc24660"/>
      <w:bookmarkStart w:id="1595" w:name="_Toc21384"/>
      <w:bookmarkStart w:id="1596" w:name="_Toc32402"/>
      <w:bookmarkStart w:id="1597" w:name="_Toc4133"/>
      <w:bookmarkStart w:id="1598" w:name="_Toc1059"/>
      <w:bookmarkStart w:id="1599" w:name="_Toc12881"/>
      <w:bookmarkStart w:id="1600" w:name="_Toc22416"/>
      <w:bookmarkStart w:id="1601" w:name="_Toc30138"/>
      <w:bookmarkStart w:id="1602" w:name="_Toc9161"/>
      <w:bookmarkStart w:id="1603" w:name="_Toc259093671"/>
      <w:bookmarkStart w:id="1604" w:name="_Toc31307"/>
      <w:bookmarkStart w:id="1605" w:name="_Toc7280"/>
      <w:bookmarkStart w:id="1606" w:name="_Toc18357"/>
      <w:bookmarkStart w:id="1607" w:name="_Toc12412"/>
      <w:bookmarkStart w:id="1608" w:name="_Toc13673"/>
      <w:bookmarkStart w:id="1609" w:name="_Toc487900351"/>
      <w:r>
        <w:rPr>
          <w:rFonts w:hint="eastAsia" w:ascii="宋体" w:hAnsi="宋体" w:cs="宋体"/>
          <w:b/>
          <w:sz w:val="24"/>
        </w:rPr>
        <w:t>2.3 知识产权</w:t>
      </w:r>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p>
    <w:p>
      <w:pPr>
        <w:spacing w:line="400" w:lineRule="exact"/>
        <w:ind w:firstLine="480" w:firstLineChars="200"/>
        <w:rPr>
          <w:rFonts w:ascii="宋体" w:hAnsi="宋体" w:cs="宋体"/>
          <w:sz w:val="24"/>
        </w:rPr>
      </w:pPr>
      <w:r>
        <w:rPr>
          <w:rFonts w:hint="eastAsia" w:ascii="宋体" w:hAnsi="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400" w:lineRule="exact"/>
        <w:ind w:firstLine="480" w:firstLineChars="200"/>
        <w:rPr>
          <w:rFonts w:ascii="宋体" w:hAnsi="宋体" w:cs="宋体"/>
          <w:sz w:val="24"/>
        </w:rPr>
      </w:pPr>
      <w:r>
        <w:rPr>
          <w:rFonts w:hint="eastAsia" w:ascii="宋体" w:hAnsi="宋体" w:cs="宋体"/>
          <w:sz w:val="24"/>
        </w:rPr>
        <w:t>2.3.2 合同涉及技术成果的归属和收益的分成办法的，详见</w:t>
      </w:r>
      <w:r>
        <w:rPr>
          <w:rFonts w:hint="eastAsia" w:ascii="宋体" w:hAnsi="宋体" w:cs="宋体"/>
          <w:b/>
          <w:i/>
          <w:sz w:val="24"/>
          <w:u w:val="single"/>
        </w:rPr>
        <w:t>合同专用条款</w:t>
      </w:r>
      <w:r>
        <w:rPr>
          <w:rFonts w:hint="eastAsia" w:ascii="宋体" w:hAnsi="宋体" w:cs="宋体"/>
          <w:sz w:val="24"/>
        </w:rPr>
        <w:t>。</w:t>
      </w:r>
    </w:p>
    <w:p>
      <w:pPr>
        <w:spacing w:line="400" w:lineRule="exact"/>
        <w:ind w:firstLine="482" w:firstLineChars="200"/>
        <w:outlineLvl w:val="9"/>
        <w:rPr>
          <w:rFonts w:ascii="宋体" w:hAnsi="宋体" w:cs="宋体"/>
          <w:b/>
          <w:sz w:val="24"/>
        </w:rPr>
      </w:pPr>
      <w:bookmarkStart w:id="1610" w:name="_Toc24166"/>
      <w:bookmarkStart w:id="1611" w:name="_Toc17147"/>
      <w:bookmarkStart w:id="1612" w:name="_Toc30894"/>
      <w:bookmarkStart w:id="1613" w:name="_Toc8985"/>
      <w:bookmarkStart w:id="1614" w:name="_Toc16198"/>
      <w:r>
        <w:rPr>
          <w:rFonts w:hint="eastAsia" w:ascii="宋体" w:hAnsi="宋体" w:cs="宋体"/>
          <w:b/>
          <w:sz w:val="24"/>
        </w:rPr>
        <w:t>2.4 履约检查和问题反馈</w:t>
      </w:r>
      <w:bookmarkEnd w:id="1610"/>
      <w:bookmarkEnd w:id="1611"/>
      <w:bookmarkEnd w:id="1612"/>
      <w:bookmarkEnd w:id="1613"/>
      <w:bookmarkEnd w:id="1614"/>
    </w:p>
    <w:p>
      <w:pPr>
        <w:spacing w:line="400" w:lineRule="exact"/>
        <w:ind w:firstLine="480" w:firstLineChars="200"/>
        <w:rPr>
          <w:rFonts w:ascii="宋体" w:hAnsi="宋体" w:cs="宋体"/>
          <w:sz w:val="24"/>
        </w:rPr>
      </w:pPr>
      <w:bookmarkStart w:id="1615" w:name="_Ref467379657"/>
      <w:r>
        <w:rPr>
          <w:rFonts w:hint="eastAsia" w:ascii="宋体" w:hAnsi="宋体" w:cs="宋体"/>
          <w:sz w:val="24"/>
        </w:rPr>
        <w:t>2.4.1</w:t>
      </w:r>
      <w:bookmarkEnd w:id="1615"/>
      <w:bookmarkStart w:id="1616" w:name="_Toc186431854"/>
      <w:bookmarkStart w:id="1617" w:name="_Toc487900357"/>
      <w:bookmarkStart w:id="1618" w:name="_Toc279701247"/>
      <w:bookmarkStart w:id="1619" w:name="_Ref467379793"/>
      <w:bookmarkStart w:id="1620" w:name="_Toc259093676"/>
      <w:bookmarkStart w:id="1621" w:name="_Ref467379807"/>
      <w:r>
        <w:rPr>
          <w:rFonts w:hint="eastAsia" w:ascii="宋体" w:hAnsi="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400" w:lineRule="exact"/>
        <w:ind w:firstLine="480" w:firstLineChars="200"/>
        <w:rPr>
          <w:rFonts w:ascii="宋体" w:hAnsi="宋体" w:cs="宋体"/>
          <w:sz w:val="24"/>
        </w:rPr>
      </w:pPr>
      <w:r>
        <w:rPr>
          <w:rFonts w:hint="eastAsia" w:ascii="宋体" w:hAnsi="宋体" w:cs="宋体"/>
          <w:sz w:val="24"/>
        </w:rPr>
        <w:t>2.4.2 合同履行期间，甲方有权将履行过程中出现的问题反馈给乙方，双方当事人应以书面形式约定需要完善和改进的内容</w:t>
      </w:r>
      <w:bookmarkEnd w:id="1616"/>
      <w:bookmarkStart w:id="1622" w:name="_Toc186431855"/>
      <w:r>
        <w:rPr>
          <w:rFonts w:hint="eastAsia" w:ascii="宋体" w:hAnsi="宋体" w:cs="宋体"/>
          <w:sz w:val="24"/>
        </w:rPr>
        <w:t>。</w:t>
      </w:r>
    </w:p>
    <w:bookmarkEnd w:id="1622"/>
    <w:p>
      <w:pPr>
        <w:spacing w:line="400" w:lineRule="exact"/>
        <w:ind w:firstLine="482" w:firstLineChars="200"/>
        <w:outlineLvl w:val="9"/>
        <w:rPr>
          <w:rFonts w:ascii="宋体" w:hAnsi="宋体" w:cs="宋体"/>
          <w:b/>
          <w:sz w:val="24"/>
        </w:rPr>
      </w:pPr>
      <w:bookmarkStart w:id="1623" w:name="_Toc31494"/>
      <w:bookmarkStart w:id="1624" w:name="_Toc32670"/>
      <w:bookmarkStart w:id="1625" w:name="_Toc1334"/>
      <w:bookmarkStart w:id="1626" w:name="_Toc28557"/>
      <w:bookmarkStart w:id="1627" w:name="_Toc24314"/>
      <w:bookmarkStart w:id="1628" w:name="_Toc31233"/>
      <w:bookmarkStart w:id="1629" w:name="_Toc22073"/>
      <w:bookmarkStart w:id="1630" w:name="_Toc16045"/>
      <w:bookmarkStart w:id="1631" w:name="_Toc32043"/>
      <w:bookmarkStart w:id="1632" w:name="_Toc28361"/>
      <w:bookmarkStart w:id="1633" w:name="_Toc21474"/>
      <w:bookmarkStart w:id="1634" w:name="_Toc12450"/>
      <w:bookmarkStart w:id="1635" w:name="_Toc15447"/>
      <w:bookmarkStart w:id="1636" w:name="_Toc22011"/>
      <w:bookmarkStart w:id="1637" w:name="_Toc15567"/>
      <w:bookmarkStart w:id="1638" w:name="_Toc28169"/>
      <w:bookmarkStart w:id="1639" w:name="_Toc6504"/>
      <w:bookmarkStart w:id="1640" w:name="_Toc26555"/>
      <w:bookmarkStart w:id="1641" w:name="_Toc4237"/>
      <w:bookmarkStart w:id="1642" w:name="_Toc29724"/>
      <w:r>
        <w:rPr>
          <w:rFonts w:hint="eastAsia" w:ascii="宋体" w:hAnsi="宋体" w:cs="宋体"/>
          <w:b/>
          <w:sz w:val="24"/>
        </w:rPr>
        <w:t>2.5 结算方式和付款条件</w:t>
      </w:r>
      <w:bookmarkEnd w:id="1617"/>
      <w:bookmarkEnd w:id="1618"/>
      <w:bookmarkEnd w:id="1619"/>
      <w:bookmarkEnd w:id="1620"/>
      <w:bookmarkEnd w:id="1621"/>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p>
    <w:p>
      <w:pPr>
        <w:spacing w:line="400" w:lineRule="exact"/>
        <w:ind w:firstLine="480" w:firstLineChars="200"/>
        <w:rPr>
          <w:rFonts w:ascii="宋体" w:hAnsi="宋体" w:cs="宋体"/>
          <w:sz w:val="24"/>
        </w:rPr>
      </w:pPr>
      <w:r>
        <w:rPr>
          <w:rFonts w:hint="eastAsia" w:ascii="宋体" w:hAnsi="宋体" w:cs="宋体"/>
          <w:sz w:val="24"/>
        </w:rPr>
        <w:t>详见</w:t>
      </w:r>
      <w:r>
        <w:rPr>
          <w:rFonts w:hint="eastAsia" w:ascii="宋体" w:hAnsi="宋体" w:cs="宋体"/>
          <w:b/>
          <w:i/>
          <w:sz w:val="24"/>
          <w:u w:val="single"/>
        </w:rPr>
        <w:t>合同专用条款</w:t>
      </w:r>
      <w:r>
        <w:rPr>
          <w:rFonts w:hint="eastAsia" w:ascii="宋体" w:hAnsi="宋体" w:cs="宋体"/>
          <w:sz w:val="24"/>
        </w:rPr>
        <w:t>。</w:t>
      </w:r>
    </w:p>
    <w:p>
      <w:pPr>
        <w:spacing w:line="400" w:lineRule="exact"/>
        <w:ind w:firstLine="482" w:firstLineChars="200"/>
        <w:outlineLvl w:val="9"/>
        <w:rPr>
          <w:rFonts w:ascii="宋体" w:hAnsi="宋体" w:cs="宋体"/>
          <w:b/>
          <w:sz w:val="24"/>
        </w:rPr>
      </w:pPr>
      <w:bookmarkStart w:id="1643" w:name="_Toc279701248"/>
      <w:bookmarkStart w:id="1644" w:name="_Ref467379863"/>
      <w:bookmarkStart w:id="1645" w:name="_Toc259093677"/>
      <w:bookmarkStart w:id="1646" w:name="_Toc487900358"/>
      <w:bookmarkStart w:id="1647" w:name="_Ref467379852"/>
      <w:bookmarkStart w:id="1648" w:name="_Ref467379923"/>
      <w:bookmarkStart w:id="1649" w:name="_Toc13467"/>
      <w:bookmarkStart w:id="1650" w:name="_Toc3982"/>
      <w:bookmarkStart w:id="1651" w:name="_Toc23050"/>
      <w:bookmarkStart w:id="1652" w:name="_Toc20627"/>
      <w:bookmarkStart w:id="1653" w:name="_Toc18186"/>
      <w:bookmarkStart w:id="1654" w:name="_Toc23122"/>
      <w:bookmarkStart w:id="1655" w:name="_Toc29402"/>
      <w:bookmarkStart w:id="1656" w:name="_Toc16163"/>
      <w:bookmarkStart w:id="1657" w:name="_Toc9514"/>
      <w:bookmarkStart w:id="1658" w:name="_Toc31145"/>
      <w:bookmarkStart w:id="1659" w:name="_Toc30507"/>
      <w:bookmarkStart w:id="1660" w:name="_Toc6529"/>
      <w:bookmarkStart w:id="1661" w:name="_Toc19435"/>
      <w:bookmarkStart w:id="1662" w:name="_Toc25982"/>
      <w:bookmarkStart w:id="1663" w:name="_Toc23530"/>
      <w:bookmarkStart w:id="1664" w:name="_Toc18990"/>
      <w:bookmarkStart w:id="1665" w:name="_Toc8557"/>
      <w:bookmarkStart w:id="1666" w:name="_Toc13154"/>
      <w:bookmarkStart w:id="1667" w:name="_Toc472"/>
      <w:bookmarkStart w:id="1668" w:name="_Toc21748"/>
      <w:r>
        <w:rPr>
          <w:rFonts w:hint="eastAsia" w:ascii="宋体" w:hAnsi="宋体" w:cs="宋体"/>
          <w:b/>
          <w:sz w:val="24"/>
        </w:rPr>
        <w:t>2.6 技术资料</w:t>
      </w:r>
      <w:bookmarkEnd w:id="1643"/>
      <w:bookmarkEnd w:id="1644"/>
      <w:bookmarkEnd w:id="1645"/>
      <w:bookmarkEnd w:id="1646"/>
      <w:bookmarkEnd w:id="1647"/>
      <w:bookmarkEnd w:id="1648"/>
      <w:r>
        <w:rPr>
          <w:rFonts w:hint="eastAsia" w:ascii="宋体" w:hAnsi="宋体" w:cs="宋体"/>
          <w:b/>
          <w:sz w:val="24"/>
        </w:rPr>
        <w:t>和保密义务</w:t>
      </w:r>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p>
    <w:p>
      <w:pPr>
        <w:spacing w:line="400" w:lineRule="exact"/>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pPr>
        <w:spacing w:line="400" w:lineRule="exact"/>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pPr>
        <w:spacing w:line="400" w:lineRule="exact"/>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00" w:lineRule="exact"/>
        <w:ind w:firstLine="482" w:firstLineChars="200"/>
        <w:outlineLvl w:val="9"/>
        <w:rPr>
          <w:rFonts w:ascii="宋体" w:hAnsi="宋体" w:cs="宋体"/>
          <w:b/>
          <w:sz w:val="24"/>
        </w:rPr>
      </w:pPr>
      <w:bookmarkStart w:id="1669" w:name="_Toc30162"/>
      <w:bookmarkStart w:id="1670" w:name="_Toc20114"/>
      <w:bookmarkStart w:id="1671" w:name="_Toc385"/>
      <w:bookmarkStart w:id="1672" w:name="_Toc18372"/>
      <w:bookmarkStart w:id="1673" w:name="_Toc24552"/>
      <w:bookmarkStart w:id="1674" w:name="_Toc15010"/>
      <w:bookmarkStart w:id="1675" w:name="_Toc22614"/>
      <w:bookmarkStart w:id="1676" w:name="_Toc13112"/>
      <w:bookmarkStart w:id="1677" w:name="_Toc19069"/>
      <w:bookmarkStart w:id="1678" w:name="_Toc17396"/>
      <w:bookmarkStart w:id="1679" w:name="_Toc15953"/>
      <w:bookmarkStart w:id="1680" w:name="_Toc15582"/>
      <w:bookmarkStart w:id="1681" w:name="_Toc32183"/>
      <w:bookmarkStart w:id="1682" w:name="_Toc29716"/>
      <w:bookmarkStart w:id="1683" w:name="_Toc339"/>
      <w:bookmarkStart w:id="1684" w:name="_Toc1851"/>
      <w:bookmarkStart w:id="1685" w:name="_Toc279701252"/>
      <w:bookmarkStart w:id="1686" w:name="_Toc259093681"/>
      <w:bookmarkStart w:id="1687" w:name="_Toc487900362"/>
      <w:r>
        <w:rPr>
          <w:rFonts w:hint="eastAsia" w:ascii="宋体" w:hAnsi="宋体" w:cs="宋体"/>
          <w:b/>
          <w:sz w:val="24"/>
        </w:rPr>
        <w:t>2.7 质量保证</w:t>
      </w:r>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p>
    <w:p>
      <w:pPr>
        <w:spacing w:line="400" w:lineRule="exact"/>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pPr>
        <w:spacing w:line="400" w:lineRule="exact"/>
        <w:ind w:firstLine="480" w:firstLineChars="200"/>
        <w:rPr>
          <w:rFonts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pPr>
        <w:spacing w:line="400" w:lineRule="exact"/>
        <w:ind w:firstLine="482" w:firstLineChars="200"/>
        <w:outlineLvl w:val="9"/>
        <w:rPr>
          <w:rFonts w:ascii="宋体" w:hAnsi="宋体" w:cs="宋体"/>
          <w:b/>
          <w:sz w:val="24"/>
        </w:rPr>
      </w:pPr>
      <w:bookmarkStart w:id="1688" w:name="_Toc11272"/>
      <w:bookmarkStart w:id="1689" w:name="_Toc8481"/>
      <w:bookmarkStart w:id="1690" w:name="_Toc10485"/>
      <w:bookmarkStart w:id="1691" w:name="_Toc11034"/>
      <w:bookmarkStart w:id="1692" w:name="_Toc3568"/>
      <w:bookmarkStart w:id="1693" w:name="_Toc7710"/>
      <w:bookmarkStart w:id="1694" w:name="_Toc26197"/>
      <w:bookmarkStart w:id="1695" w:name="_Toc32424"/>
      <w:bookmarkStart w:id="1696" w:name="_Toc192"/>
      <w:bookmarkStart w:id="1697" w:name="_Toc30201"/>
      <w:bookmarkStart w:id="1698" w:name="_Toc28170"/>
      <w:bookmarkStart w:id="1699" w:name="_Toc1263"/>
      <w:bookmarkStart w:id="1700" w:name="_Toc22198"/>
      <w:bookmarkStart w:id="1701" w:name="_Toc10063"/>
      <w:bookmarkStart w:id="1702" w:name="_Toc14323"/>
      <w:bookmarkStart w:id="1703" w:name="_Toc20708"/>
      <w:r>
        <w:rPr>
          <w:rFonts w:hint="eastAsia" w:ascii="宋体" w:hAnsi="宋体" w:cs="宋体"/>
          <w:b/>
          <w:sz w:val="24"/>
        </w:rPr>
        <w:t>2.8 延迟</w:t>
      </w:r>
      <w:bookmarkEnd w:id="1685"/>
      <w:bookmarkEnd w:id="1686"/>
      <w:bookmarkEnd w:id="1687"/>
      <w:r>
        <w:rPr>
          <w:rFonts w:hint="eastAsia" w:ascii="宋体" w:hAnsi="宋体" w:cs="宋体"/>
          <w:b/>
          <w:sz w:val="24"/>
        </w:rPr>
        <w:t>履行</w:t>
      </w:r>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p>
    <w:p>
      <w:pPr>
        <w:spacing w:line="400" w:lineRule="exact"/>
        <w:ind w:firstLine="480" w:firstLineChars="200"/>
        <w:rPr>
          <w:rFonts w:ascii="宋体" w:hAnsi="宋体" w:cs="宋体"/>
          <w:sz w:val="24"/>
        </w:rPr>
      </w:pPr>
      <w:r>
        <w:rPr>
          <w:rFonts w:hint="eastAsia" w:ascii="宋体" w:hAnsi="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0" w:lineRule="exact"/>
        <w:ind w:firstLine="482" w:firstLineChars="200"/>
        <w:outlineLvl w:val="9"/>
        <w:rPr>
          <w:rFonts w:ascii="宋体" w:hAnsi="宋体" w:cs="宋体"/>
          <w:b/>
          <w:sz w:val="24"/>
        </w:rPr>
      </w:pPr>
      <w:bookmarkStart w:id="1704" w:name="_Toc12190"/>
      <w:bookmarkStart w:id="1705" w:name="_Toc12112"/>
      <w:bookmarkStart w:id="1706" w:name="_Toc10611"/>
      <w:bookmarkStart w:id="1707" w:name="_Toc7010"/>
      <w:bookmarkStart w:id="1708" w:name="_Toc25614"/>
      <w:bookmarkStart w:id="1709" w:name="_Toc13769"/>
      <w:bookmarkStart w:id="1710" w:name="_Toc20254"/>
      <w:bookmarkStart w:id="1711" w:name="_Toc27101"/>
      <w:bookmarkStart w:id="1712" w:name="_Toc25613"/>
      <w:bookmarkStart w:id="1713" w:name="_Toc10750"/>
      <w:bookmarkStart w:id="1714" w:name="_Toc3810"/>
      <w:bookmarkStart w:id="1715" w:name="_Toc5963"/>
      <w:bookmarkStart w:id="1716" w:name="_Toc14798"/>
      <w:bookmarkStart w:id="1717" w:name="_Toc28004"/>
      <w:bookmarkStart w:id="1718" w:name="_Toc28758"/>
      <w:bookmarkStart w:id="1719" w:name="_Toc3758"/>
      <w:bookmarkStart w:id="1720" w:name="_Toc32237"/>
      <w:bookmarkStart w:id="1721" w:name="_Ref467378121"/>
      <w:bookmarkStart w:id="1722" w:name="_Toc487900364"/>
      <w:bookmarkStart w:id="1723" w:name="_Toc259093683"/>
      <w:bookmarkStart w:id="1724" w:name="_Toc279701254"/>
      <w:r>
        <w:rPr>
          <w:rFonts w:hint="eastAsia" w:ascii="宋体" w:hAnsi="宋体" w:cs="宋体"/>
          <w:b/>
          <w:sz w:val="24"/>
        </w:rPr>
        <w:t>2.9 合同变更</w:t>
      </w:r>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spacing w:line="400" w:lineRule="exact"/>
        <w:ind w:firstLine="480" w:firstLineChars="200"/>
        <w:rPr>
          <w:rFonts w:ascii="宋体" w:hAnsi="宋体" w:cs="宋体"/>
          <w:sz w:val="24"/>
        </w:rPr>
      </w:pPr>
      <w:r>
        <w:rPr>
          <w:rFonts w:hint="eastAsia" w:ascii="宋体" w:hAnsi="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0" w:lineRule="exact"/>
        <w:ind w:firstLine="480" w:firstLineChars="200"/>
        <w:rPr>
          <w:rFonts w:ascii="宋体" w:hAnsi="宋体" w:cs="宋体"/>
          <w:sz w:val="24"/>
        </w:rPr>
      </w:pPr>
      <w:r>
        <w:rPr>
          <w:rFonts w:hint="eastAsia" w:ascii="宋体" w:hAnsi="宋体" w:cs="宋体"/>
          <w:sz w:val="24"/>
        </w:rPr>
        <w:t>2.9.2 合同继续履行将损害国家利益和社会公共利益的，双方当事人应当以书面形式变更合同。有过错的一方应当承担赔偿责任，双方当事人都有过错的，各自承担相应的责任。</w:t>
      </w:r>
      <w:bookmarkStart w:id="1725" w:name="_Toc259093688"/>
      <w:bookmarkStart w:id="1726" w:name="_Toc279701259"/>
      <w:bookmarkStart w:id="1727" w:name="_Toc487900369"/>
    </w:p>
    <w:p>
      <w:pPr>
        <w:spacing w:line="400" w:lineRule="exact"/>
        <w:ind w:firstLine="482" w:firstLineChars="200"/>
        <w:outlineLvl w:val="9"/>
        <w:rPr>
          <w:rFonts w:ascii="宋体" w:hAnsi="宋体" w:cs="宋体"/>
          <w:b/>
          <w:sz w:val="24"/>
        </w:rPr>
      </w:pPr>
      <w:bookmarkStart w:id="1728" w:name="_Toc6424"/>
      <w:bookmarkStart w:id="1729" w:name="_Toc8222"/>
      <w:bookmarkStart w:id="1730" w:name="_Toc23368"/>
      <w:bookmarkStart w:id="1731" w:name="_Toc30446"/>
      <w:bookmarkStart w:id="1732" w:name="_Toc28943"/>
      <w:bookmarkStart w:id="1733" w:name="_Toc17116"/>
      <w:bookmarkStart w:id="1734" w:name="_Toc1491"/>
      <w:bookmarkStart w:id="1735" w:name="_Toc4195"/>
      <w:bookmarkStart w:id="1736" w:name="_Toc18298"/>
      <w:bookmarkStart w:id="1737" w:name="_Toc26689"/>
      <w:bookmarkStart w:id="1738" w:name="_Toc24271"/>
      <w:bookmarkStart w:id="1739" w:name="_Toc14972"/>
      <w:bookmarkStart w:id="1740" w:name="_Toc32032"/>
      <w:bookmarkStart w:id="1741" w:name="_Toc25814"/>
      <w:bookmarkStart w:id="1742" w:name="_Toc10663"/>
      <w:bookmarkStart w:id="1743" w:name="_Toc17781"/>
      <w:bookmarkStart w:id="1744" w:name="_Toc6143"/>
      <w:bookmarkStart w:id="1745" w:name="_Toc42"/>
      <w:bookmarkStart w:id="1746" w:name="_Toc21830"/>
      <w:bookmarkStart w:id="1747" w:name="_Toc28640"/>
      <w:bookmarkStart w:id="1748" w:name="_Toc28111"/>
      <w:r>
        <w:rPr>
          <w:rFonts w:hint="eastAsia" w:ascii="宋体" w:hAnsi="宋体" w:cs="宋体"/>
          <w:b/>
          <w:sz w:val="24"/>
        </w:rPr>
        <w:t>2.10 合同转让</w:t>
      </w:r>
      <w:bookmarkEnd w:id="1725"/>
      <w:bookmarkEnd w:id="1726"/>
      <w:bookmarkEnd w:id="1727"/>
      <w:r>
        <w:rPr>
          <w:rFonts w:hint="eastAsia" w:ascii="宋体" w:hAnsi="宋体" w:cs="宋体"/>
          <w:b/>
          <w:sz w:val="24"/>
        </w:rPr>
        <w:t>和分包</w:t>
      </w:r>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p>
    <w:p>
      <w:pPr>
        <w:spacing w:line="400" w:lineRule="exact"/>
        <w:ind w:firstLine="480" w:firstLineChars="200"/>
        <w:rPr>
          <w:rFonts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0" w:lineRule="exact"/>
        <w:ind w:firstLine="482" w:firstLineChars="200"/>
        <w:outlineLvl w:val="9"/>
        <w:rPr>
          <w:rFonts w:ascii="宋体" w:hAnsi="宋体" w:cs="宋体"/>
          <w:b/>
          <w:sz w:val="24"/>
        </w:rPr>
      </w:pPr>
      <w:bookmarkStart w:id="1749" w:name="_Toc16582"/>
      <w:bookmarkStart w:id="1750" w:name="_Toc25571"/>
      <w:bookmarkStart w:id="1751" w:name="_Toc9705"/>
      <w:bookmarkStart w:id="1752" w:name="_Toc32374"/>
      <w:bookmarkStart w:id="1753" w:name="_Toc26633"/>
      <w:bookmarkStart w:id="1754" w:name="_Toc32622"/>
      <w:bookmarkStart w:id="1755" w:name="_Toc31065"/>
      <w:bookmarkStart w:id="1756" w:name="_Toc10912"/>
      <w:bookmarkStart w:id="1757" w:name="_Toc4720"/>
      <w:bookmarkStart w:id="1758" w:name="_Toc23855"/>
      <w:bookmarkStart w:id="1759" w:name="_Toc9508"/>
      <w:bookmarkStart w:id="1760" w:name="_Toc10203"/>
      <w:bookmarkStart w:id="1761" w:name="_Toc8431"/>
      <w:bookmarkStart w:id="1762" w:name="_Toc15171"/>
      <w:bookmarkStart w:id="1763" w:name="_Toc13090"/>
      <w:bookmarkStart w:id="1764" w:name="_Toc28437"/>
      <w:bookmarkStart w:id="1765" w:name="_Toc32494"/>
      <w:bookmarkStart w:id="1766" w:name="_Toc9462"/>
      <w:bookmarkStart w:id="1767" w:name="_Toc30847"/>
      <w:bookmarkStart w:id="1768" w:name="_Toc14371"/>
      <w:r>
        <w:rPr>
          <w:rFonts w:hint="eastAsia" w:ascii="宋体" w:hAnsi="宋体" w:cs="宋体"/>
          <w:b/>
          <w:sz w:val="24"/>
        </w:rPr>
        <w:t>2.11 不可抗力</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pPr>
        <w:spacing w:line="400" w:lineRule="exact"/>
        <w:ind w:firstLine="480" w:firstLineChars="200"/>
        <w:rPr>
          <w:rFonts w:ascii="宋体" w:hAnsi="宋体" w:cs="宋体"/>
          <w:sz w:val="24"/>
        </w:rPr>
      </w:pPr>
      <w:r>
        <w:rPr>
          <w:rFonts w:hint="eastAsia" w:ascii="宋体" w:hAnsi="宋体" w:cs="宋体"/>
          <w:sz w:val="24"/>
        </w:rPr>
        <w:t>2.11.1如果任何一方遭遇法律规定的不可抗力，致使合同履行受阻时，履行合同的期限应予延长，延长的期限应相当于不可抗力所影响的时间；</w:t>
      </w:r>
    </w:p>
    <w:p>
      <w:pPr>
        <w:spacing w:line="400" w:lineRule="exact"/>
        <w:ind w:firstLine="480" w:firstLineChars="200"/>
        <w:rPr>
          <w:rFonts w:ascii="宋体" w:hAnsi="宋体" w:cs="宋体"/>
          <w:sz w:val="24"/>
        </w:rPr>
      </w:pPr>
      <w:r>
        <w:rPr>
          <w:rFonts w:hint="eastAsia" w:ascii="宋体" w:hAnsi="宋体" w:cs="宋体"/>
          <w:sz w:val="24"/>
        </w:rPr>
        <w:t>2.11.2 因不可抗力致使不能实现合同目的的，当事人可以解除合同；</w:t>
      </w:r>
    </w:p>
    <w:p>
      <w:pPr>
        <w:spacing w:line="400" w:lineRule="exact"/>
        <w:ind w:firstLine="480" w:firstLineChars="200"/>
        <w:rPr>
          <w:rFonts w:ascii="宋体" w:hAnsi="宋体" w:cs="宋体"/>
          <w:sz w:val="24"/>
        </w:rPr>
      </w:pPr>
      <w:r>
        <w:rPr>
          <w:rFonts w:hint="eastAsia" w:ascii="宋体" w:hAnsi="宋体" w:cs="宋体"/>
          <w:sz w:val="24"/>
        </w:rPr>
        <w:t>2.11.3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pPr>
        <w:spacing w:line="400" w:lineRule="exact"/>
        <w:ind w:firstLine="480" w:firstLineChars="200"/>
        <w:rPr>
          <w:rFonts w:ascii="宋体" w:hAnsi="宋体" w:cs="宋体"/>
          <w:sz w:val="24"/>
        </w:rPr>
      </w:pPr>
      <w:r>
        <w:rPr>
          <w:rFonts w:hint="eastAsia" w:ascii="宋体" w:hAnsi="宋体" w:cs="宋体"/>
          <w:sz w:val="24"/>
        </w:rPr>
        <w:t>2.11.4受不可抗力影响的一方在不可抗力发生后，应在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pPr>
        <w:spacing w:line="400" w:lineRule="exact"/>
        <w:ind w:firstLine="482" w:firstLineChars="200"/>
        <w:outlineLvl w:val="9"/>
        <w:rPr>
          <w:rFonts w:ascii="宋体" w:hAnsi="宋体" w:cs="宋体"/>
          <w:b/>
          <w:sz w:val="24"/>
        </w:rPr>
      </w:pPr>
      <w:bookmarkStart w:id="1769" w:name="_Toc15000"/>
      <w:bookmarkStart w:id="1770" w:name="_Toc3156"/>
      <w:bookmarkStart w:id="1771" w:name="_Toc24465"/>
      <w:bookmarkStart w:id="1772" w:name="_Toc23854"/>
      <w:bookmarkStart w:id="1773" w:name="_Toc25783"/>
      <w:bookmarkStart w:id="1774" w:name="_Toc259093684"/>
      <w:bookmarkStart w:id="1775" w:name="_Toc15537"/>
      <w:bookmarkStart w:id="1776" w:name="_Toc12690"/>
      <w:bookmarkStart w:id="1777" w:name="_Toc14370"/>
      <w:bookmarkStart w:id="1778" w:name="_Toc6743"/>
      <w:bookmarkStart w:id="1779" w:name="_Toc219"/>
      <w:bookmarkStart w:id="1780" w:name="_Toc5513"/>
      <w:bookmarkStart w:id="1781" w:name="_Toc32181"/>
      <w:bookmarkStart w:id="1782" w:name="_Toc487900365"/>
      <w:bookmarkStart w:id="1783" w:name="_Toc1959"/>
      <w:bookmarkStart w:id="1784" w:name="_Toc23373"/>
      <w:bookmarkStart w:id="1785" w:name="_Toc11275"/>
      <w:bookmarkStart w:id="1786" w:name="_Toc14115"/>
      <w:bookmarkStart w:id="1787" w:name="_Toc279701255"/>
      <w:bookmarkStart w:id="1788" w:name="_Toc17127"/>
      <w:bookmarkStart w:id="1789" w:name="_Toc29544"/>
      <w:bookmarkStart w:id="1790" w:name="_Toc3638"/>
      <w:r>
        <w:rPr>
          <w:rFonts w:hint="eastAsia" w:ascii="宋体" w:hAnsi="宋体" w:cs="宋体"/>
          <w:b/>
          <w:sz w:val="24"/>
        </w:rPr>
        <w:t>2.12 税费</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pPr>
        <w:spacing w:line="40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与合同有关的一切税费，均按照中华人民共和国法律的相关规定缴纳。</w:t>
      </w:r>
    </w:p>
    <w:p>
      <w:pPr>
        <w:spacing w:line="400" w:lineRule="exact"/>
        <w:ind w:firstLine="482" w:firstLineChars="200"/>
        <w:outlineLvl w:val="9"/>
        <w:rPr>
          <w:rFonts w:ascii="宋体" w:hAnsi="宋体" w:cs="宋体"/>
          <w:b/>
          <w:sz w:val="24"/>
        </w:rPr>
      </w:pPr>
      <w:bookmarkStart w:id="1791" w:name="_Toc28176"/>
      <w:bookmarkStart w:id="1792" w:name="_Toc30105"/>
      <w:bookmarkStart w:id="1793" w:name="_Toc10398"/>
      <w:bookmarkStart w:id="1794" w:name="_Toc26883"/>
      <w:bookmarkStart w:id="1795" w:name="_Toc5894"/>
      <w:bookmarkStart w:id="1796" w:name="_Toc279701258"/>
      <w:bookmarkStart w:id="1797" w:name="_Toc24809"/>
      <w:bookmarkStart w:id="1798" w:name="_Toc14814"/>
      <w:bookmarkStart w:id="1799" w:name="_Toc259093687"/>
      <w:bookmarkStart w:id="1800" w:name="_Toc25525"/>
      <w:bookmarkStart w:id="1801" w:name="_Toc7315"/>
      <w:bookmarkStart w:id="1802" w:name="_Toc487900368"/>
      <w:bookmarkStart w:id="1803" w:name="_Toc31237"/>
      <w:bookmarkStart w:id="1804" w:name="_Toc12415"/>
      <w:bookmarkStart w:id="1805" w:name="_Toc15039"/>
      <w:bookmarkStart w:id="1806" w:name="_Toc27492"/>
      <w:bookmarkStart w:id="1807" w:name="_Toc14494"/>
      <w:bookmarkStart w:id="1808" w:name="_Toc3759"/>
      <w:bookmarkStart w:id="1809" w:name="_Toc31416"/>
      <w:bookmarkStart w:id="1810" w:name="_Toc19880"/>
      <w:bookmarkStart w:id="1811" w:name="_Toc7608"/>
      <w:bookmarkStart w:id="1812" w:name="_Toc1518"/>
      <w:bookmarkStart w:id="1813" w:name="_Toc4896"/>
      <w:r>
        <w:rPr>
          <w:rFonts w:hint="eastAsia" w:ascii="宋体" w:hAnsi="宋体" w:cs="宋体"/>
          <w:b/>
          <w:sz w:val="24"/>
        </w:rPr>
        <w:t>2.13 乙方破产</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p>
    <w:p>
      <w:pPr>
        <w:spacing w:line="40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0" w:lineRule="exact"/>
        <w:ind w:firstLine="482" w:firstLineChars="200"/>
        <w:outlineLvl w:val="9"/>
        <w:rPr>
          <w:rFonts w:ascii="宋体" w:hAnsi="宋体" w:cs="宋体"/>
          <w:b/>
          <w:sz w:val="24"/>
        </w:rPr>
      </w:pPr>
      <w:bookmarkStart w:id="1814" w:name="_Toc4845"/>
      <w:bookmarkStart w:id="1815" w:name="_Toc13236"/>
      <w:bookmarkStart w:id="1816" w:name="_Toc15650"/>
      <w:bookmarkStart w:id="1817" w:name="_Toc23323"/>
      <w:bookmarkStart w:id="1818" w:name="_Toc25766"/>
      <w:bookmarkStart w:id="1819" w:name="_Toc6032"/>
      <w:bookmarkStart w:id="1820" w:name="_Toc1675"/>
      <w:bookmarkStart w:id="1821" w:name="_Toc31298"/>
      <w:bookmarkStart w:id="1822" w:name="_Toc31607"/>
      <w:bookmarkStart w:id="1823" w:name="_Toc8069"/>
      <w:bookmarkStart w:id="1824" w:name="_Toc16867"/>
      <w:bookmarkStart w:id="1825" w:name="_Toc18650"/>
      <w:bookmarkStart w:id="1826" w:name="_Toc13317"/>
      <w:bookmarkStart w:id="1827" w:name="_Toc8059"/>
      <w:bookmarkStart w:id="1828" w:name="_Toc13023"/>
      <w:bookmarkStart w:id="1829" w:name="_Toc25092"/>
      <w:bookmarkStart w:id="1830" w:name="_Toc2016"/>
      <w:bookmarkStart w:id="1831" w:name="_Toc26320"/>
      <w:r>
        <w:rPr>
          <w:rFonts w:hint="eastAsia" w:ascii="宋体" w:hAnsi="宋体" w:cs="宋体"/>
          <w:b/>
          <w:sz w:val="24"/>
        </w:rPr>
        <w:t>2.14 合同中止、终止</w:t>
      </w:r>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p>
    <w:p>
      <w:pPr>
        <w:spacing w:line="400" w:lineRule="exact"/>
        <w:ind w:firstLine="480" w:firstLineChars="200"/>
        <w:rPr>
          <w:rFonts w:ascii="宋体" w:hAnsi="宋体" w:cs="宋体"/>
          <w:sz w:val="24"/>
        </w:rPr>
      </w:pPr>
      <w:r>
        <w:rPr>
          <w:rFonts w:hint="eastAsia" w:ascii="宋体" w:hAnsi="宋体" w:cs="宋体"/>
          <w:sz w:val="24"/>
        </w:rPr>
        <w:t>2.14.1 双方当事人不得擅自中止或者终止合同；</w:t>
      </w:r>
    </w:p>
    <w:p>
      <w:pPr>
        <w:spacing w:line="400" w:lineRule="exact"/>
        <w:ind w:firstLine="480" w:firstLineChars="200"/>
        <w:rPr>
          <w:rFonts w:ascii="宋体" w:hAnsi="宋体" w:cs="宋体"/>
          <w:sz w:val="24"/>
        </w:rPr>
      </w:pPr>
      <w:r>
        <w:rPr>
          <w:rFonts w:hint="eastAsia" w:ascii="宋体" w:hAnsi="宋体" w:cs="宋体"/>
          <w:sz w:val="24"/>
        </w:rPr>
        <w:t>2.14.2合同继续履行将损害国家利益和社会公共利益的，双方当事人应当中止或者终止合同。有过错的一方应当承担赔偿责任，双方当事人都有过错的，各自承担相应的责任。</w:t>
      </w:r>
    </w:p>
    <w:p>
      <w:pPr>
        <w:spacing w:line="400" w:lineRule="exact"/>
        <w:ind w:firstLine="482" w:firstLineChars="200"/>
        <w:outlineLvl w:val="9"/>
        <w:rPr>
          <w:rFonts w:ascii="宋体" w:hAnsi="宋体" w:cs="宋体"/>
          <w:b/>
          <w:sz w:val="24"/>
        </w:rPr>
      </w:pPr>
      <w:bookmarkStart w:id="1832" w:name="_Toc295"/>
      <w:bookmarkStart w:id="1833" w:name="_Toc16529"/>
      <w:bookmarkStart w:id="1834" w:name="_Toc25753"/>
      <w:bookmarkStart w:id="1835" w:name="_Toc14653"/>
      <w:bookmarkStart w:id="1836" w:name="_Toc12981"/>
      <w:bookmarkStart w:id="1837" w:name="_Toc5353"/>
      <w:bookmarkStart w:id="1838" w:name="_Toc25815"/>
      <w:bookmarkStart w:id="1839" w:name="_Toc17468"/>
      <w:bookmarkStart w:id="1840" w:name="_Toc31348"/>
      <w:bookmarkStart w:id="1841" w:name="_Toc25348"/>
      <w:bookmarkStart w:id="1842" w:name="_Toc30002"/>
      <w:bookmarkStart w:id="1843" w:name="_Toc25049"/>
      <w:bookmarkStart w:id="1844" w:name="_Toc22475"/>
      <w:bookmarkStart w:id="1845" w:name="_Toc1969"/>
      <w:bookmarkStart w:id="1846" w:name="_Toc22355"/>
      <w:bookmarkStart w:id="1847" w:name="_Toc17363"/>
      <w:bookmarkStart w:id="1848" w:name="_Toc14525"/>
      <w:bookmarkStart w:id="1849" w:name="_Toc12473"/>
      <w:bookmarkStart w:id="1850" w:name="_Toc6216"/>
      <w:r>
        <w:rPr>
          <w:rFonts w:hint="eastAsia" w:ascii="宋体" w:hAnsi="宋体" w:cs="宋体"/>
          <w:b/>
          <w:sz w:val="24"/>
        </w:rPr>
        <w:t>2.15 检验和验收</w:t>
      </w:r>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p>
    <w:p>
      <w:pPr>
        <w:tabs>
          <w:tab w:val="left" w:pos="360"/>
          <w:tab w:val="left" w:pos="540"/>
          <w:tab w:val="left" w:pos="1080"/>
        </w:tabs>
        <w:spacing w:line="400" w:lineRule="exact"/>
        <w:ind w:firstLine="480" w:firstLineChars="200"/>
        <w:rPr>
          <w:rFonts w:ascii="宋体" w:hAnsi="宋体" w:cs="宋体"/>
          <w:sz w:val="24"/>
        </w:rPr>
      </w:pPr>
      <w:r>
        <w:rPr>
          <w:rFonts w:hint="eastAsia" w:ascii="宋体" w:hAnsi="宋体" w:cs="宋体"/>
          <w:sz w:val="24"/>
        </w:rPr>
        <w:t>2.15.1 乙方按照</w:t>
      </w:r>
      <w:r>
        <w:rPr>
          <w:rFonts w:hint="eastAsia" w:ascii="宋体" w:hAnsi="宋体" w:cs="宋体"/>
          <w:b/>
          <w:i/>
          <w:sz w:val="24"/>
          <w:u w:val="single"/>
        </w:rPr>
        <w:t>合同专用条款</w:t>
      </w:r>
      <w:r>
        <w:rPr>
          <w:rFonts w:hint="eastAsia" w:ascii="宋体" w:hAnsi="宋体" w:cs="宋体"/>
          <w:sz w:val="24"/>
        </w:rPr>
        <w:t>的约定，定期提交服务报告，甲方按照</w:t>
      </w:r>
      <w:r>
        <w:rPr>
          <w:rFonts w:hint="eastAsia" w:ascii="宋体" w:hAnsi="宋体" w:cs="宋体"/>
          <w:b/>
          <w:i/>
          <w:sz w:val="24"/>
          <w:u w:val="single"/>
        </w:rPr>
        <w:t>合同专用条款</w:t>
      </w:r>
      <w:r>
        <w:rPr>
          <w:rFonts w:hint="eastAsia" w:ascii="宋体" w:hAnsi="宋体" w:cs="宋体"/>
          <w:sz w:val="24"/>
        </w:rPr>
        <w:t>的约定进行定期验收；</w:t>
      </w:r>
    </w:p>
    <w:p>
      <w:pPr>
        <w:tabs>
          <w:tab w:val="left" w:pos="360"/>
          <w:tab w:val="left" w:pos="540"/>
          <w:tab w:val="left" w:pos="1080"/>
        </w:tabs>
        <w:spacing w:line="400" w:lineRule="exact"/>
        <w:ind w:firstLine="480" w:firstLineChars="200"/>
        <w:rPr>
          <w:rFonts w:ascii="宋体" w:hAnsi="宋体" w:cs="宋体"/>
          <w:sz w:val="24"/>
        </w:rPr>
      </w:pPr>
      <w:r>
        <w:rPr>
          <w:rFonts w:hint="eastAsia" w:ascii="宋体" w:hAnsi="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400" w:lineRule="exact"/>
        <w:ind w:firstLine="480" w:firstLineChars="200"/>
        <w:rPr>
          <w:rFonts w:ascii="宋体" w:hAnsi="宋体" w:cs="宋体"/>
          <w:sz w:val="24"/>
        </w:rPr>
      </w:pPr>
      <w:r>
        <w:rPr>
          <w:rFonts w:hint="eastAsia" w:ascii="宋体" w:hAnsi="宋体" w:cs="宋体"/>
          <w:sz w:val="24"/>
        </w:rPr>
        <w:t>2.15.3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1721"/>
    <w:bookmarkEnd w:id="1722"/>
    <w:bookmarkEnd w:id="1723"/>
    <w:bookmarkEnd w:id="1724"/>
    <w:p>
      <w:pPr>
        <w:spacing w:line="400" w:lineRule="exact"/>
        <w:ind w:firstLine="482" w:firstLineChars="200"/>
        <w:outlineLvl w:val="9"/>
        <w:rPr>
          <w:rFonts w:ascii="宋体" w:hAnsi="宋体" w:cs="宋体"/>
          <w:b/>
          <w:sz w:val="24"/>
        </w:rPr>
      </w:pPr>
      <w:bookmarkStart w:id="1851" w:name="_Toc259093690"/>
      <w:bookmarkStart w:id="1852" w:name="_Toc487900371"/>
      <w:bookmarkStart w:id="1853" w:name="_Toc279701261"/>
      <w:bookmarkStart w:id="1854" w:name="_Toc166"/>
      <w:bookmarkStart w:id="1855" w:name="_Toc5337"/>
      <w:bookmarkStart w:id="1856" w:name="_Toc13544"/>
      <w:bookmarkStart w:id="1857" w:name="_Toc22987"/>
      <w:bookmarkStart w:id="1858" w:name="_Toc31892"/>
      <w:bookmarkStart w:id="1859" w:name="_Toc12666"/>
      <w:bookmarkStart w:id="1860" w:name="_Toc20016"/>
      <w:bookmarkStart w:id="1861" w:name="_Toc12542"/>
      <w:bookmarkStart w:id="1862" w:name="_Toc10819"/>
      <w:bookmarkStart w:id="1863" w:name="_Toc2308"/>
      <w:bookmarkStart w:id="1864" w:name="_Toc25198"/>
      <w:bookmarkStart w:id="1865" w:name="_Toc26095"/>
      <w:bookmarkStart w:id="1866" w:name="_Toc13486"/>
      <w:bookmarkStart w:id="1867" w:name="_Toc3309"/>
      <w:bookmarkStart w:id="1868" w:name="_Toc10525"/>
      <w:bookmarkStart w:id="1869" w:name="_Toc29667"/>
      <w:bookmarkStart w:id="1870" w:name="_Toc31877"/>
      <w:bookmarkStart w:id="1871" w:name="_Toc24400"/>
      <w:bookmarkStart w:id="1872" w:name="_Toc1691"/>
      <w:bookmarkStart w:id="1873" w:name="_Toc9808"/>
      <w:bookmarkStart w:id="1874" w:name="_Toc6307"/>
      <w:r>
        <w:rPr>
          <w:rFonts w:hint="eastAsia" w:ascii="宋体" w:hAnsi="宋体" w:cs="宋体"/>
          <w:b/>
          <w:sz w:val="24"/>
        </w:rPr>
        <w:t>2.16 通知</w:t>
      </w:r>
      <w:bookmarkEnd w:id="1851"/>
      <w:bookmarkEnd w:id="1852"/>
      <w:bookmarkEnd w:id="1853"/>
      <w:r>
        <w:rPr>
          <w:rFonts w:hint="eastAsia" w:ascii="宋体" w:hAnsi="宋体" w:cs="宋体"/>
          <w:b/>
          <w:sz w:val="24"/>
        </w:rPr>
        <w:t>和送达</w:t>
      </w:r>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p>
    <w:p>
      <w:pPr>
        <w:spacing w:line="400" w:lineRule="exact"/>
        <w:ind w:firstLine="480" w:firstLineChars="200"/>
        <w:rPr>
          <w:rFonts w:ascii="宋体" w:hAnsi="宋体" w:cs="宋体"/>
          <w:sz w:val="24"/>
        </w:rPr>
      </w:pPr>
      <w:bookmarkStart w:id="1875" w:name="_Toc7073"/>
      <w:bookmarkStart w:id="1876" w:name="_Toc259093691"/>
      <w:bookmarkStart w:id="1877" w:name="_Toc279701262"/>
      <w:bookmarkStart w:id="1878" w:name="_Toc487900372"/>
      <w:r>
        <w:rPr>
          <w:rFonts w:hint="eastAsia" w:ascii="宋体" w:hAnsi="宋体" w:cs="宋体"/>
          <w:sz w:val="24"/>
        </w:rPr>
        <w:t>2.16.1 任何一方因履行合同而以合同第一部分尾部所列明的</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个工作日内书面通知对方当事人，在对方当事人收到有关变更通知之前，变更前的约定送达方式或者地址仍视为有效。</w:t>
      </w:r>
      <w:bookmarkEnd w:id="1875"/>
    </w:p>
    <w:p>
      <w:pPr>
        <w:spacing w:line="400" w:lineRule="exact"/>
        <w:ind w:firstLine="480" w:firstLineChars="200"/>
        <w:rPr>
          <w:rFonts w:ascii="宋体" w:hAnsi="宋体" w:cs="宋体"/>
          <w:sz w:val="24"/>
        </w:rPr>
      </w:pPr>
      <w:bookmarkStart w:id="1879" w:name="_Toc27674"/>
      <w:bookmarkStart w:id="1880" w:name="_Toc18401"/>
      <w:r>
        <w:rPr>
          <w:rFonts w:hint="eastAsia" w:ascii="宋体" w:hAnsi="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1879"/>
      <w:bookmarkEnd w:id="1880"/>
    </w:p>
    <w:bookmarkEnd w:id="1876"/>
    <w:bookmarkEnd w:id="1877"/>
    <w:bookmarkEnd w:id="1878"/>
    <w:p>
      <w:pPr>
        <w:spacing w:line="400" w:lineRule="exact"/>
        <w:ind w:firstLine="482" w:firstLineChars="200"/>
        <w:outlineLvl w:val="9"/>
        <w:rPr>
          <w:rFonts w:ascii="宋体" w:hAnsi="宋体" w:cs="宋体"/>
          <w:b/>
          <w:sz w:val="24"/>
        </w:rPr>
      </w:pPr>
      <w:bookmarkStart w:id="1881" w:name="_Toc5063"/>
      <w:bookmarkStart w:id="1882" w:name="_Toc23378"/>
      <w:bookmarkStart w:id="1883" w:name="_Toc556"/>
      <w:bookmarkStart w:id="1884" w:name="_Toc13433"/>
      <w:bookmarkStart w:id="1885" w:name="_Toc20808"/>
      <w:bookmarkStart w:id="1886" w:name="_Toc10103"/>
      <w:bookmarkStart w:id="1887" w:name="_Toc21895"/>
      <w:bookmarkStart w:id="1888" w:name="_Toc27644"/>
      <w:bookmarkStart w:id="1889" w:name="_Toc28906"/>
      <w:bookmarkStart w:id="1890" w:name="_Toc18906"/>
      <w:bookmarkStart w:id="1891" w:name="_Toc8799"/>
      <w:bookmarkStart w:id="1892" w:name="_Toc31615"/>
      <w:bookmarkStart w:id="1893" w:name="_Toc487900373"/>
      <w:bookmarkStart w:id="1894" w:name="_Toc1701"/>
      <w:bookmarkStart w:id="1895" w:name="_Toc279701263"/>
      <w:bookmarkStart w:id="1896" w:name="_Toc259093692"/>
      <w:bookmarkStart w:id="1897" w:name="_Toc18708"/>
      <w:bookmarkStart w:id="1898" w:name="_Toc16009"/>
      <w:bookmarkStart w:id="1899" w:name="_Toc6073"/>
      <w:bookmarkStart w:id="1900" w:name="_Toc18929"/>
      <w:bookmarkStart w:id="1901" w:name="_Toc12254"/>
      <w:bookmarkStart w:id="1902" w:name="_Toc4407"/>
      <w:bookmarkStart w:id="1903" w:name="_Toc7739"/>
      <w:r>
        <w:rPr>
          <w:rFonts w:hint="eastAsia" w:ascii="宋体" w:hAnsi="宋体" w:cs="宋体"/>
          <w:b/>
          <w:sz w:val="24"/>
        </w:rPr>
        <w:t>2.17 合同使用的文字和适用的法律</w:t>
      </w:r>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p>
    <w:p>
      <w:pPr>
        <w:spacing w:line="400" w:lineRule="exact"/>
        <w:ind w:firstLine="480" w:firstLineChars="200"/>
        <w:rPr>
          <w:rFonts w:ascii="宋体" w:hAnsi="宋体" w:cs="宋体"/>
          <w:sz w:val="24"/>
        </w:rPr>
      </w:pPr>
      <w:r>
        <w:rPr>
          <w:rFonts w:hint="eastAsia" w:ascii="宋体" w:hAnsi="宋体" w:cs="宋体"/>
          <w:sz w:val="24"/>
        </w:rPr>
        <w:t>2.17.1 合同使用汉语书就、变更和解释；</w:t>
      </w:r>
    </w:p>
    <w:p>
      <w:pPr>
        <w:spacing w:line="400" w:lineRule="exact"/>
        <w:ind w:firstLine="480" w:firstLineChars="200"/>
        <w:rPr>
          <w:rFonts w:ascii="宋体" w:hAnsi="宋体" w:cs="宋体"/>
          <w:sz w:val="24"/>
        </w:rPr>
      </w:pPr>
      <w:r>
        <w:rPr>
          <w:rFonts w:hint="eastAsia" w:ascii="宋体" w:hAnsi="宋体" w:cs="宋体"/>
          <w:sz w:val="24"/>
        </w:rPr>
        <w:t>2.17.2 合同适用中华人民共和国法律。</w:t>
      </w:r>
    </w:p>
    <w:p>
      <w:pPr>
        <w:spacing w:line="400" w:lineRule="exact"/>
        <w:ind w:firstLine="482" w:firstLineChars="200"/>
        <w:outlineLvl w:val="9"/>
        <w:rPr>
          <w:rFonts w:ascii="宋体" w:hAnsi="宋体" w:cs="宋体"/>
          <w:b/>
          <w:sz w:val="24"/>
        </w:rPr>
      </w:pPr>
      <w:bookmarkStart w:id="1904" w:name="_Toc20271"/>
      <w:bookmarkStart w:id="1905" w:name="_Toc4369"/>
      <w:bookmarkStart w:id="1906" w:name="_Toc7323"/>
      <w:bookmarkStart w:id="1907" w:name="_Toc30312"/>
      <w:bookmarkStart w:id="1908" w:name="_Toc20559"/>
      <w:bookmarkStart w:id="1909" w:name="_Toc8715"/>
      <w:bookmarkStart w:id="1910" w:name="_Toc22266"/>
      <w:bookmarkStart w:id="1911" w:name="_Toc30096"/>
      <w:bookmarkStart w:id="1912" w:name="_Toc1492"/>
      <w:bookmarkStart w:id="1913" w:name="_Toc19240"/>
      <w:bookmarkStart w:id="1914" w:name="_Toc18902"/>
      <w:bookmarkStart w:id="1915" w:name="_Toc15033"/>
      <w:bookmarkStart w:id="1916" w:name="_Toc259093693"/>
      <w:bookmarkStart w:id="1917" w:name="_Toc32540"/>
      <w:bookmarkStart w:id="1918" w:name="_Toc27127"/>
      <w:bookmarkStart w:id="1919" w:name="_Toc13680"/>
      <w:bookmarkStart w:id="1920" w:name="_Toc15714"/>
      <w:bookmarkStart w:id="1921" w:name="_Toc279701264"/>
      <w:bookmarkStart w:id="1922" w:name="_Toc32512"/>
      <w:bookmarkStart w:id="1923" w:name="_Toc31884"/>
      <w:bookmarkStart w:id="1924" w:name="_Toc27403"/>
      <w:bookmarkStart w:id="1925" w:name="_Toc26691"/>
      <w:bookmarkStart w:id="1926" w:name="_Toc32673"/>
      <w:bookmarkStart w:id="1927" w:name="_Toc487900374"/>
      <w:r>
        <w:rPr>
          <w:rFonts w:hint="eastAsia" w:ascii="宋体" w:hAnsi="宋体" w:cs="宋体"/>
          <w:b/>
          <w:sz w:val="24"/>
        </w:rPr>
        <w:t>2.18 履约保证金</w:t>
      </w:r>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p>
    <w:p>
      <w:pPr>
        <w:spacing w:line="400" w:lineRule="exact"/>
        <w:ind w:firstLine="480" w:firstLineChars="200"/>
        <w:rPr>
          <w:rFonts w:ascii="宋体" w:hAnsi="宋体" w:cs="宋体"/>
          <w:sz w:val="24"/>
        </w:rPr>
      </w:pPr>
      <w:r>
        <w:rPr>
          <w:rFonts w:hint="eastAsia" w:ascii="宋体" w:hAnsi="宋体" w:cs="宋体"/>
          <w:sz w:val="24"/>
        </w:rPr>
        <w:t>2.18.1 采购文件要求乙方提交履约保证金的，乙方应按</w:t>
      </w:r>
      <w:r>
        <w:rPr>
          <w:rFonts w:hint="eastAsia" w:ascii="宋体" w:hAnsi="宋体" w:cs="宋体"/>
          <w:b/>
          <w:i/>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pPr>
        <w:spacing w:line="400" w:lineRule="exact"/>
        <w:ind w:firstLine="480" w:firstLineChars="200"/>
        <w:rPr>
          <w:rFonts w:ascii="宋体" w:hAnsi="宋体" w:cs="宋体"/>
          <w:sz w:val="24"/>
        </w:rPr>
      </w:pPr>
      <w:r>
        <w:rPr>
          <w:rFonts w:hint="eastAsia" w:ascii="宋体" w:hAnsi="宋体" w:cs="宋体"/>
          <w:sz w:val="24"/>
        </w:rPr>
        <w:t>2.18.2 履约保证金在</w:t>
      </w:r>
      <w:r>
        <w:rPr>
          <w:rFonts w:hint="eastAsia" w:ascii="宋体" w:hAnsi="宋体" w:cs="宋体"/>
          <w:b/>
          <w:i/>
          <w:sz w:val="24"/>
          <w:u w:val="single"/>
        </w:rPr>
        <w:t>合同专用条款</w:t>
      </w:r>
      <w:r>
        <w:rPr>
          <w:rFonts w:hint="eastAsia" w:ascii="宋体" w:hAnsi="宋体" w:cs="宋体"/>
          <w:sz w:val="24"/>
        </w:rPr>
        <w:t>约定期间内不予退还或者应完全有效，前述约定期间届满之日起</w:t>
      </w:r>
      <w:r>
        <w:rPr>
          <w:rFonts w:hint="eastAsia" w:ascii="宋体" w:hAnsi="宋体" w:cs="宋体"/>
          <w:sz w:val="24"/>
          <w:u w:val="single"/>
        </w:rPr>
        <w:t xml:space="preserve">    </w:t>
      </w:r>
      <w:r>
        <w:rPr>
          <w:rFonts w:hint="eastAsia" w:ascii="宋体" w:hAnsi="宋体" w:cs="宋体"/>
          <w:sz w:val="24"/>
        </w:rPr>
        <w:t>个工作日内，甲方应将履约保证金退还乙方；</w:t>
      </w:r>
    </w:p>
    <w:p>
      <w:pPr>
        <w:spacing w:line="400" w:lineRule="exact"/>
        <w:ind w:firstLine="480" w:firstLineChars="200"/>
        <w:rPr>
          <w:rFonts w:ascii="宋体" w:hAnsi="宋体" w:cs="宋体"/>
          <w:sz w:val="24"/>
        </w:rPr>
      </w:pPr>
      <w:r>
        <w:rPr>
          <w:rFonts w:hint="eastAsia" w:ascii="宋体" w:hAnsi="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27"/>
    <w:p>
      <w:pPr>
        <w:spacing w:line="400" w:lineRule="exact"/>
        <w:ind w:firstLine="482" w:firstLineChars="200"/>
        <w:outlineLvl w:val="9"/>
        <w:rPr>
          <w:rFonts w:ascii="宋体" w:hAnsi="宋体" w:cs="宋体"/>
          <w:b/>
          <w:sz w:val="24"/>
        </w:rPr>
      </w:pPr>
      <w:bookmarkStart w:id="1928" w:name="_Toc80"/>
      <w:bookmarkStart w:id="1929" w:name="_Toc15301"/>
      <w:bookmarkStart w:id="1930" w:name="_Toc2719"/>
      <w:bookmarkStart w:id="1931" w:name="_Toc16654"/>
      <w:bookmarkStart w:id="1932" w:name="_Toc17313"/>
      <w:bookmarkStart w:id="1933" w:name="_Toc6984"/>
      <w:r>
        <w:rPr>
          <w:rFonts w:hint="eastAsia" w:ascii="宋体" w:hAnsi="宋体" w:cs="宋体"/>
          <w:b/>
          <w:sz w:val="24"/>
        </w:rPr>
        <w:t>2.19 合同份数</w:t>
      </w:r>
      <w:bookmarkEnd w:id="1928"/>
      <w:bookmarkEnd w:id="1929"/>
      <w:bookmarkEnd w:id="1930"/>
      <w:bookmarkEnd w:id="1931"/>
      <w:bookmarkEnd w:id="1932"/>
      <w:bookmarkEnd w:id="1933"/>
    </w:p>
    <w:p>
      <w:pPr>
        <w:spacing w:line="40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bookmarkStart w:id="1934" w:name="_Toc331685784"/>
    </w:p>
    <w:p>
      <w:pPr>
        <w:spacing w:line="400" w:lineRule="exact"/>
        <w:ind w:firstLine="422" w:firstLineChars="200"/>
        <w:outlineLvl w:val="1"/>
        <w:rPr>
          <w:rFonts w:ascii="宋体" w:hAnsi="宋体" w:cs="宋体"/>
          <w:b/>
        </w:rPr>
      </w:pPr>
      <w:bookmarkStart w:id="1935" w:name="_Toc8762"/>
      <w:bookmarkStart w:id="1936" w:name="_Toc31802"/>
      <w:bookmarkStart w:id="1937" w:name="_Toc12485"/>
      <w:bookmarkStart w:id="1938" w:name="_Toc7421"/>
      <w:bookmarkStart w:id="1939" w:name="_Toc14053"/>
      <w:bookmarkStart w:id="1940" w:name="_Toc13582"/>
      <w:bookmarkStart w:id="1941" w:name="_Toc29326"/>
      <w:r>
        <w:rPr>
          <w:rFonts w:hint="eastAsia" w:ascii="宋体" w:hAnsi="宋体" w:cs="宋体"/>
          <w:b/>
        </w:rPr>
        <w:t>第三部分  合同专用条款</w:t>
      </w:r>
      <w:bookmarkEnd w:id="1934"/>
      <w:bookmarkEnd w:id="1935"/>
      <w:bookmarkEnd w:id="1936"/>
      <w:bookmarkEnd w:id="1937"/>
      <w:bookmarkEnd w:id="1938"/>
      <w:bookmarkEnd w:id="1939"/>
      <w:bookmarkEnd w:id="1940"/>
      <w:bookmarkEnd w:id="1941"/>
    </w:p>
    <w:p>
      <w:pPr>
        <w:spacing w:line="400" w:lineRule="exact"/>
        <w:ind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400" w:lineRule="exact"/>
              <w:jc w:val="center"/>
              <w:rPr>
                <w:rFonts w:ascii="宋体" w:hAnsi="宋体" w:cs="宋体"/>
                <w:b/>
                <w:sz w:val="24"/>
              </w:rPr>
            </w:pPr>
            <w:r>
              <w:rPr>
                <w:rFonts w:hint="eastAsia" w:ascii="宋体" w:hAnsi="宋体" w:cs="宋体"/>
                <w:b/>
                <w:sz w:val="24"/>
              </w:rPr>
              <w:t>条款号</w:t>
            </w:r>
          </w:p>
        </w:tc>
        <w:tc>
          <w:tcPr>
            <w:tcW w:w="7633" w:type="dxa"/>
            <w:vAlign w:val="center"/>
          </w:tcPr>
          <w:p>
            <w:pPr>
              <w:spacing w:line="400" w:lineRule="exact"/>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400" w:lineRule="exact"/>
              <w:rPr>
                <w:rFonts w:ascii="宋体" w:hAnsi="宋体" w:cs="宋体"/>
                <w:sz w:val="24"/>
              </w:rPr>
            </w:pPr>
          </w:p>
        </w:tc>
        <w:tc>
          <w:tcPr>
            <w:tcW w:w="7633" w:type="dxa"/>
            <w:vAlign w:val="center"/>
          </w:tcPr>
          <w:p>
            <w:pPr>
              <w:spacing w:line="400" w:lineRule="exact"/>
              <w:rPr>
                <w:rFonts w:ascii="宋体" w:hAnsi="宋体" w:cs="宋体"/>
                <w:sz w:val="24"/>
              </w:rPr>
            </w:pPr>
          </w:p>
        </w:tc>
      </w:tr>
    </w:tbl>
    <w:p>
      <w:pPr>
        <w:ind w:firstLine="450" w:firstLineChars="150"/>
        <w:rPr>
          <w:rFonts w:hint="eastAsia" w:ascii="仿宋" w:hAnsi="仿宋" w:eastAsia="仿宋" w:cs="宋体"/>
          <w:sz w:val="30"/>
          <w:szCs w:val="30"/>
          <w:u w:val="single"/>
        </w:rPr>
      </w:pPr>
    </w:p>
    <w:p>
      <w:pPr>
        <w:spacing w:line="220" w:lineRule="atLeast"/>
        <w:jc w:val="center"/>
        <w:rPr>
          <w:rFonts w:hint="eastAsia"/>
          <w:b/>
        </w:rPr>
      </w:pPr>
    </w:p>
    <w:p>
      <w:pPr>
        <w:rPr>
          <w:rFonts w:hint="eastAsia"/>
          <w:b/>
        </w:rPr>
      </w:pPr>
      <w:bookmarkStart w:id="1942" w:name="_Toc2110"/>
      <w:bookmarkStart w:id="1943" w:name="_Toc32391"/>
      <w:r>
        <w:rPr>
          <w:rFonts w:hint="eastAsia"/>
          <w:b/>
        </w:rPr>
        <w:br w:type="page"/>
      </w:r>
    </w:p>
    <w:p>
      <w:pPr>
        <w:spacing w:line="220" w:lineRule="atLeast"/>
        <w:jc w:val="center"/>
        <w:outlineLvl w:val="0"/>
        <w:rPr>
          <w:b/>
        </w:rPr>
      </w:pPr>
      <w:r>
        <w:rPr>
          <w:rFonts w:hint="eastAsia"/>
          <w:b/>
        </w:rPr>
        <w:t>附表：退投标保证金的函</w:t>
      </w:r>
      <w:bookmarkEnd w:id="1942"/>
      <w:bookmarkEnd w:id="1943"/>
    </w:p>
    <w:p>
      <w:pPr>
        <w:spacing w:line="220" w:lineRule="atLeast"/>
      </w:pPr>
    </w:p>
    <w:p>
      <w:pPr>
        <w:spacing w:line="220" w:lineRule="atLeast"/>
      </w:pPr>
      <w:r>
        <w:rPr>
          <w:rFonts w:hint="eastAsia"/>
        </w:rPr>
        <w:t xml:space="preserve">招标业务部（收）：               </w:t>
      </w:r>
    </w:p>
    <w:p>
      <w:pPr>
        <w:spacing w:line="220" w:lineRule="atLeast"/>
      </w:pPr>
      <w:r>
        <w:rPr>
          <w:rFonts w:hint="eastAsia"/>
        </w:rPr>
        <w:t>公司名称：</w:t>
      </w:r>
      <w:r>
        <w:rPr>
          <w:u w:val="single"/>
        </w:rPr>
        <w:t xml:space="preserve">    </w:t>
      </w:r>
      <w:r>
        <w:rPr>
          <w:rFonts w:hint="eastAsia"/>
          <w:u w:val="single"/>
        </w:rPr>
        <w:t xml:space="preserve">                                    </w:t>
      </w:r>
      <w:r>
        <w:t xml:space="preserve">        </w:t>
      </w:r>
    </w:p>
    <w:p>
      <w:pPr>
        <w:spacing w:line="220" w:lineRule="atLeast"/>
      </w:pPr>
      <w:r>
        <w:rPr>
          <w:rFonts w:hint="eastAsia"/>
        </w:rPr>
        <w:t>开户行名称：</w:t>
      </w:r>
      <w:r>
        <w:rPr>
          <w:u w:val="single"/>
        </w:rPr>
        <w:t xml:space="preserve">                                      </w:t>
      </w:r>
    </w:p>
    <w:p>
      <w:pPr>
        <w:spacing w:line="220" w:lineRule="atLeast"/>
        <w:rPr>
          <w:u w:val="single"/>
        </w:rPr>
      </w:pPr>
      <w:r>
        <w:rPr>
          <w:rFonts w:hint="eastAsia"/>
        </w:rPr>
        <w:t>行</w:t>
      </w:r>
      <w:r>
        <w:t xml:space="preserve">      </w:t>
      </w:r>
      <w:r>
        <w:rPr>
          <w:rFonts w:hint="eastAsia"/>
        </w:rPr>
        <w:t>号：</w:t>
      </w:r>
      <w:r>
        <w:rPr>
          <w:u w:val="single"/>
        </w:rPr>
        <w:t xml:space="preserve">                                      </w:t>
      </w:r>
    </w:p>
    <w:p>
      <w:pPr>
        <w:spacing w:line="220" w:lineRule="atLeast"/>
        <w:rPr>
          <w:u w:val="single"/>
        </w:rPr>
      </w:pPr>
      <w:r>
        <w:rPr>
          <w:rFonts w:hint="eastAsia"/>
        </w:rPr>
        <w:t>帐      号：</w:t>
      </w:r>
      <w:r>
        <w:rPr>
          <w:u w:val="single"/>
        </w:rPr>
        <w:t xml:space="preserve">                                      </w:t>
      </w:r>
    </w:p>
    <w:p>
      <w:pPr>
        <w:spacing w:line="220" w:lineRule="atLeast"/>
        <w:rPr>
          <w:u w:val="single"/>
        </w:rPr>
      </w:pPr>
      <w:r>
        <w:rPr>
          <w:rFonts w:hint="eastAsia"/>
        </w:rPr>
        <w:t>联系人姓名：</w:t>
      </w:r>
      <w:r>
        <w:rPr>
          <w:u w:val="single"/>
        </w:rPr>
        <w:t xml:space="preserve">                                      </w:t>
      </w:r>
    </w:p>
    <w:p>
      <w:pPr>
        <w:spacing w:line="220" w:lineRule="atLeast"/>
        <w:rPr>
          <w:u w:val="single"/>
        </w:rPr>
      </w:pPr>
      <w:r>
        <w:rPr>
          <w:rFonts w:hint="eastAsia"/>
        </w:rPr>
        <w:t>联系电话：</w:t>
      </w:r>
      <w:r>
        <w:rPr>
          <w:u w:val="single"/>
        </w:rPr>
        <w:t xml:space="preserve">                                        </w:t>
      </w:r>
    </w:p>
    <w:p>
      <w:pPr>
        <w:spacing w:line="220" w:lineRule="atLeast"/>
        <w:rPr>
          <w:u w:val="single"/>
        </w:rPr>
      </w:pPr>
      <w:r>
        <w:rPr>
          <w:rFonts w:hint="eastAsia"/>
        </w:rPr>
        <w:t>投标项目名称：</w:t>
      </w:r>
    </w:p>
    <w:p>
      <w:pPr>
        <w:spacing w:line="220" w:lineRule="atLeast"/>
        <w:rPr>
          <w:u w:val="single"/>
        </w:rPr>
      </w:pPr>
      <w:r>
        <w:rPr>
          <w:rFonts w:hint="eastAsia"/>
        </w:rPr>
        <w:t>投标项目编号：</w:t>
      </w:r>
    </w:p>
    <w:p>
      <w:pPr>
        <w:spacing w:line="220" w:lineRule="atLeast"/>
        <w:rPr>
          <w:u w:val="single"/>
        </w:rPr>
      </w:pPr>
      <w:r>
        <w:rPr>
          <w:rFonts w:hint="eastAsia"/>
        </w:rPr>
        <w:t>投标保证金的形式：</w:t>
      </w:r>
      <w:r>
        <w:rPr>
          <w:u w:val="single"/>
        </w:rPr>
        <w:t xml:space="preserve">     </w:t>
      </w:r>
      <w:r>
        <w:rPr>
          <w:rFonts w:hint="eastAsia"/>
          <w:u w:val="single"/>
        </w:rPr>
        <w:t xml:space="preserve"> </w:t>
      </w:r>
      <w:r>
        <w:rPr>
          <w:rFonts w:hint="eastAsia"/>
        </w:rPr>
        <w:t>（电汇、网银、现金存款单等）</w:t>
      </w:r>
    </w:p>
    <w:p>
      <w:pPr>
        <w:spacing w:line="220" w:lineRule="atLeast"/>
        <w:rPr>
          <w:u w:val="single"/>
        </w:rPr>
      </w:pPr>
      <w:r>
        <w:rPr>
          <w:rFonts w:hint="eastAsia"/>
        </w:rPr>
        <w:t>投标保证金的金额：</w:t>
      </w:r>
      <w:r>
        <w:rPr>
          <w:u w:val="single"/>
        </w:rPr>
        <w:t xml:space="preserve">                                </w:t>
      </w:r>
    </w:p>
    <w:p>
      <w:pPr>
        <w:spacing w:line="220" w:lineRule="atLeast"/>
      </w:pPr>
      <w:r>
        <w:rPr>
          <w:rFonts w:hint="eastAsia"/>
        </w:rPr>
        <w:t>（注：</w:t>
      </w:r>
      <w:r>
        <w:t>1</w:t>
      </w:r>
      <w:r>
        <w:rPr>
          <w:rFonts w:hint="eastAsia"/>
        </w:rPr>
        <w:t>、附汇款或缴款凭证复印件加盖公章；</w:t>
      </w:r>
      <w:r>
        <w:t>2</w:t>
      </w:r>
      <w:r>
        <w:rPr>
          <w:rFonts w:hint="eastAsia"/>
        </w:rPr>
        <w:t>、如果是个人姓名的汇款，请附汇款人的身份证复印件）</w:t>
      </w:r>
    </w:p>
    <w:p>
      <w:pPr>
        <w:spacing w:line="220" w:lineRule="atLeast"/>
      </w:pPr>
    </w:p>
    <w:p>
      <w:pPr>
        <w:spacing w:line="220" w:lineRule="atLeast"/>
      </w:pPr>
    </w:p>
    <w:p>
      <w:pPr>
        <w:spacing w:line="220" w:lineRule="atLeast"/>
        <w:rPr>
          <w:rFonts w:hint="eastAsia"/>
        </w:rPr>
      </w:pPr>
    </w:p>
    <w:p>
      <w:pPr>
        <w:spacing w:before="30" w:line="261" w:lineRule="auto"/>
        <w:ind w:left="62" w:right="108" w:firstLine="443"/>
        <w:rPr>
          <w:rFonts w:ascii="仿宋" w:hAnsi="仿宋" w:eastAsia="仿宋" w:cs="仿宋"/>
          <w:sz w:val="29"/>
          <w:szCs w:val="29"/>
        </w:rPr>
      </w:pPr>
      <w:r>
        <w:rPr>
          <w:rFonts w:hint="eastAsia"/>
        </w:rPr>
        <w:t>备注：请将以上退款信息加盖公章交至至新疆方通招标有限责任公司，我公司收到退款信息后，在</w:t>
      </w:r>
      <w:r>
        <w:t>3</w:t>
      </w:r>
      <w:r>
        <w:rPr>
          <w:rFonts w:hint="eastAsia"/>
        </w:rPr>
        <w:t>～</w:t>
      </w:r>
      <w:r>
        <w:t>5</w:t>
      </w:r>
      <w:r>
        <w:rPr>
          <w:rFonts w:hint="eastAsia"/>
        </w:rPr>
        <w:t>个工作日内，将投标保证金余额电汇至投标单位的基本账户，财务电话：</w:t>
      </w:r>
      <w:r>
        <w:t>0998-</w:t>
      </w:r>
      <w:r>
        <w:rPr>
          <w:rFonts w:hint="eastAsia"/>
        </w:rPr>
        <w:t>2553980。</w:t>
      </w:r>
    </w:p>
    <w:p>
      <w:pPr>
        <w:outlineLvl w:val="9"/>
        <w:rPr>
          <w:rFonts w:hint="eastAsia" w:ascii="宋体" w:hAnsi="宋体" w:eastAsia="宋体" w:cs="宋体"/>
          <w:color w:val="auto"/>
          <w:sz w:val="24"/>
          <w:szCs w:val="24"/>
          <w:highlight w:val="none"/>
        </w:rPr>
      </w:pPr>
    </w:p>
    <w:sectPr>
      <w:headerReference r:id="rId11" w:type="default"/>
      <w:footerReference r:id="rId12"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0000000000000000000"/>
    <w:charset w:val="00"/>
    <w:family w:val="roman"/>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2" w:lineRule="auto"/>
      <w:ind w:left="4835"/>
      <w:rPr>
        <w:rFonts w:ascii="宋体" w:hAnsi="宋体" w:eastAsia="宋体" w:cs="宋体"/>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64</w:t>
                    </w:r>
                    <w:r>
                      <w:fldChar w:fldCharType="end"/>
                    </w:r>
                  </w:p>
                </w:txbxContent>
              </v:textbox>
            </v:shape>
          </w:pict>
        </mc:Fallback>
      </mc:AlternateContent>
    </w:r>
  </w:p>
  <w:p>
    <w:pPr>
      <w:pStyle w:val="1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tabs>
        <w:tab w:val="clear" w:pos="4153"/>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0"/>
      </w:pBdr>
      <w:jc w:val="left"/>
    </w:pPr>
  </w:p>
  <w:p>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B00C2"/>
    <w:multiLevelType w:val="singleLevel"/>
    <w:tmpl w:val="856B00C2"/>
    <w:lvl w:ilvl="0" w:tentative="0">
      <w:start w:val="1"/>
      <w:numFmt w:val="decimal"/>
      <w:pStyle w:val="22"/>
      <w:lvlText w:val="%1."/>
      <w:lvlJc w:val="left"/>
      <w:pPr>
        <w:tabs>
          <w:tab w:val="left" w:pos="2040"/>
        </w:tabs>
        <w:ind w:left="2040" w:hanging="360"/>
      </w:pPr>
    </w:lvl>
  </w:abstractNum>
  <w:abstractNum w:abstractNumId="1">
    <w:nsid w:val="8B3D0104"/>
    <w:multiLevelType w:val="singleLevel"/>
    <w:tmpl w:val="8B3D0104"/>
    <w:lvl w:ilvl="0" w:tentative="0">
      <w:start w:val="3"/>
      <w:numFmt w:val="decimal"/>
      <w:lvlText w:val="%1."/>
      <w:lvlJc w:val="left"/>
      <w:pPr>
        <w:tabs>
          <w:tab w:val="left" w:pos="312"/>
        </w:tabs>
      </w:pPr>
    </w:lvl>
  </w:abstractNum>
  <w:abstractNum w:abstractNumId="2">
    <w:nsid w:val="00000001"/>
    <w:multiLevelType w:val="multilevel"/>
    <w:tmpl w:val="00000001"/>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0000006"/>
    <w:multiLevelType w:val="multilevel"/>
    <w:tmpl w:val="00000006"/>
    <w:lvl w:ilvl="0" w:tentative="0">
      <w:start w:val="1"/>
      <w:numFmt w:val="upperLetter"/>
      <w:pStyle w:val="40"/>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4">
    <w:nsid w:val="00000008"/>
    <w:multiLevelType w:val="multilevel"/>
    <w:tmpl w:val="00000008"/>
    <w:lvl w:ilvl="0" w:tentative="0">
      <w:start w:val="1"/>
      <w:numFmt w:val="decimal"/>
      <w:lvlText w:val="%1"/>
      <w:lvlJc w:val="left"/>
      <w:pPr>
        <w:ind w:left="432" w:hanging="432"/>
      </w:pPr>
      <w:rPr>
        <w:rFonts w:hint="eastAsia"/>
      </w:rPr>
    </w:lvl>
    <w:lvl w:ilvl="1" w:tentative="0">
      <w:start w:val="1"/>
      <w:numFmt w:val="decimal"/>
      <w:pStyle w:val="81"/>
      <w:lvlText w:val="%1.%2"/>
      <w:lvlJc w:val="left"/>
      <w:pPr>
        <w:ind w:left="576" w:hanging="576"/>
      </w:pPr>
      <w:rPr>
        <w:rFonts w:hint="eastAsia"/>
        <w:b/>
        <w:i w:val="0"/>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5">
    <w:nsid w:val="55828DFF"/>
    <w:multiLevelType w:val="multilevel"/>
    <w:tmpl w:val="55828DFF"/>
    <w:lvl w:ilvl="0" w:tentative="0">
      <w:start w:val="1"/>
      <w:numFmt w:val="decimal"/>
      <w:lvlText w:val="%1."/>
      <w:lvlJc w:val="left"/>
      <w:pPr>
        <w:tabs>
          <w:tab w:val="left" w:pos="432"/>
        </w:tabs>
        <w:ind w:left="432" w:hanging="432"/>
      </w:pPr>
      <w:rPr>
        <w:rFonts w:hint="default" w:ascii="Times New Roman" w:hAnsi="Times New Roman" w:cs="Times New Roman"/>
      </w:rPr>
    </w:lvl>
    <w:lvl w:ilvl="1" w:tentative="0">
      <w:start w:val="1"/>
      <w:numFmt w:val="decimal"/>
      <w:lvlText w:val="%1.%2."/>
      <w:lvlJc w:val="left"/>
      <w:pPr>
        <w:tabs>
          <w:tab w:val="left" w:pos="575"/>
        </w:tabs>
        <w:ind w:left="575" w:hanging="575"/>
      </w:pPr>
      <w:rPr>
        <w:rFonts w:hint="default" w:ascii="Times New Roman" w:hAnsi="Times New Roman" w:cs="Times New Roman"/>
        <w:lang w:val="en-US"/>
      </w:rPr>
    </w:lvl>
    <w:lvl w:ilvl="2" w:tentative="0">
      <w:start w:val="1"/>
      <w:numFmt w:val="decimal"/>
      <w:pStyle w:val="89"/>
      <w:lvlText w:val="%1.%2.%3."/>
      <w:lvlJc w:val="left"/>
      <w:pPr>
        <w:tabs>
          <w:tab w:val="left" w:pos="720"/>
        </w:tabs>
        <w:ind w:left="720" w:hanging="720"/>
      </w:pPr>
      <w:rPr>
        <w:rFonts w:hint="default" w:ascii="Times New Roman" w:hAnsi="Times New Roman" w:eastAsia="黑体" w:cs="Times New Roman"/>
        <w:b/>
        <w:bCs/>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90"/>
      <w:lvlText w:val="%1.%2.%3.%4."/>
      <w:lvlJc w:val="left"/>
      <w:pPr>
        <w:tabs>
          <w:tab w:val="left" w:pos="864"/>
        </w:tabs>
        <w:ind w:left="864" w:hanging="864"/>
      </w:pPr>
      <w:rPr>
        <w:rFonts w:hint="default" w:ascii="Times New Roman" w:hAnsi="Times New Roman" w:eastAsia="黑体" w:cs="Times New Roman"/>
        <w:lang w:val="en-US"/>
      </w:rPr>
    </w:lvl>
    <w:lvl w:ilvl="4" w:tentative="0">
      <w:start w:val="1"/>
      <w:numFmt w:val="decimal"/>
      <w:lvlText w:val="%1.%2.%3.%4.%5."/>
      <w:lvlJc w:val="left"/>
      <w:pPr>
        <w:tabs>
          <w:tab w:val="left" w:pos="1008"/>
        </w:tabs>
        <w:ind w:left="1008" w:hanging="1008"/>
      </w:pPr>
      <w:rPr>
        <w:rFonts w:hint="default" w:ascii="Times New Roman" w:hAnsi="Times New Roman" w:cs="Times New Roman"/>
      </w:rPr>
    </w:lvl>
    <w:lvl w:ilvl="5" w:tentative="0">
      <w:start w:val="1"/>
      <w:numFmt w:val="decimal"/>
      <w:lvlText w:val="%1.%2.%3.%4.%5.%6."/>
      <w:lvlJc w:val="left"/>
      <w:pPr>
        <w:tabs>
          <w:tab w:val="left" w:pos="1151"/>
        </w:tabs>
        <w:ind w:left="1151" w:hanging="1151"/>
      </w:pPr>
      <w:rPr>
        <w:rFonts w:hint="default" w:ascii="Times New Roman" w:hAnsi="Times New Roman" w:cs="Times New Roman"/>
      </w:rPr>
    </w:lvl>
    <w:lvl w:ilvl="6" w:tentative="0">
      <w:start w:val="1"/>
      <w:numFmt w:val="decimal"/>
      <w:lvlText w:val="%1.%2.%3.%4.%5.%6.%7."/>
      <w:lvlJc w:val="left"/>
      <w:pPr>
        <w:tabs>
          <w:tab w:val="left" w:pos="1296"/>
        </w:tabs>
        <w:ind w:left="1296" w:hanging="1296"/>
      </w:pPr>
      <w:rPr>
        <w:rFonts w:hint="default" w:ascii="Times New Roman" w:hAnsi="Times New Roman" w:cs="Times New Roman"/>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3"/>
        </w:tabs>
        <w:ind w:left="1583" w:hanging="1583"/>
      </w:pPr>
      <w:rPr>
        <w:rFonts w:hint="default"/>
      </w:rPr>
    </w:lvl>
  </w:abstractNum>
  <w:abstractNum w:abstractNumId="6">
    <w:nsid w:val="5B1BA988"/>
    <w:multiLevelType w:val="singleLevel"/>
    <w:tmpl w:val="5B1BA988"/>
    <w:lvl w:ilvl="0" w:tentative="0">
      <w:start w:val="1"/>
      <w:numFmt w:val="decimal"/>
      <w:suff w:val="nothing"/>
      <w:lvlText w:val="（%1）"/>
      <w:lvlJc w:val="left"/>
    </w:lvl>
  </w:abstractNum>
  <w:num w:numId="1">
    <w:abstractNumId w:val="0"/>
  </w:num>
  <w:num w:numId="2">
    <w:abstractNumId w:val="3"/>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Y2RhMjFjNzFmZGYwODMwMjcyYWI4ODdlNWRlMzIifQ=="/>
  </w:docVars>
  <w:rsids>
    <w:rsidRoot w:val="00000000"/>
    <w:rsid w:val="00081654"/>
    <w:rsid w:val="00186BF0"/>
    <w:rsid w:val="00281F65"/>
    <w:rsid w:val="00320039"/>
    <w:rsid w:val="003A4DB8"/>
    <w:rsid w:val="00417EF4"/>
    <w:rsid w:val="004D6899"/>
    <w:rsid w:val="005F037B"/>
    <w:rsid w:val="006360BD"/>
    <w:rsid w:val="0073763C"/>
    <w:rsid w:val="008E53B2"/>
    <w:rsid w:val="009E5347"/>
    <w:rsid w:val="00A010BF"/>
    <w:rsid w:val="00A20AC9"/>
    <w:rsid w:val="00A34580"/>
    <w:rsid w:val="00AE30B0"/>
    <w:rsid w:val="00B22F90"/>
    <w:rsid w:val="00B40FC0"/>
    <w:rsid w:val="00B5443F"/>
    <w:rsid w:val="00B71F65"/>
    <w:rsid w:val="00CA58C6"/>
    <w:rsid w:val="00DE5743"/>
    <w:rsid w:val="00E80370"/>
    <w:rsid w:val="010C0502"/>
    <w:rsid w:val="01113BE8"/>
    <w:rsid w:val="014632E9"/>
    <w:rsid w:val="014E721F"/>
    <w:rsid w:val="014F1DF2"/>
    <w:rsid w:val="01621A8C"/>
    <w:rsid w:val="017B2BE6"/>
    <w:rsid w:val="017B7CDB"/>
    <w:rsid w:val="0192652E"/>
    <w:rsid w:val="01AC75F0"/>
    <w:rsid w:val="01B36BD0"/>
    <w:rsid w:val="01D60B10"/>
    <w:rsid w:val="01E24E4B"/>
    <w:rsid w:val="023F0464"/>
    <w:rsid w:val="02445A7A"/>
    <w:rsid w:val="0247556A"/>
    <w:rsid w:val="02714395"/>
    <w:rsid w:val="02775E4F"/>
    <w:rsid w:val="0281282A"/>
    <w:rsid w:val="029F025E"/>
    <w:rsid w:val="02A00FF1"/>
    <w:rsid w:val="02A418D7"/>
    <w:rsid w:val="02BD2F28"/>
    <w:rsid w:val="02C933CD"/>
    <w:rsid w:val="02CB1CF7"/>
    <w:rsid w:val="02CD36F4"/>
    <w:rsid w:val="02DD1F30"/>
    <w:rsid w:val="02E44052"/>
    <w:rsid w:val="02E86A9C"/>
    <w:rsid w:val="030203C1"/>
    <w:rsid w:val="030D2310"/>
    <w:rsid w:val="032338E1"/>
    <w:rsid w:val="0328714A"/>
    <w:rsid w:val="032923D9"/>
    <w:rsid w:val="032D29B2"/>
    <w:rsid w:val="034F0B7A"/>
    <w:rsid w:val="03557E34"/>
    <w:rsid w:val="03635BA2"/>
    <w:rsid w:val="036A59B4"/>
    <w:rsid w:val="0370464D"/>
    <w:rsid w:val="037C7496"/>
    <w:rsid w:val="039B2F0B"/>
    <w:rsid w:val="039B6747"/>
    <w:rsid w:val="03A17621"/>
    <w:rsid w:val="03AF4EB5"/>
    <w:rsid w:val="03B15391"/>
    <w:rsid w:val="03B24C65"/>
    <w:rsid w:val="03CC1FC2"/>
    <w:rsid w:val="03D60954"/>
    <w:rsid w:val="03E00F19"/>
    <w:rsid w:val="03F139E0"/>
    <w:rsid w:val="03F66909"/>
    <w:rsid w:val="04071455"/>
    <w:rsid w:val="040C0819"/>
    <w:rsid w:val="0418202A"/>
    <w:rsid w:val="041B6CAE"/>
    <w:rsid w:val="042042C5"/>
    <w:rsid w:val="0422003D"/>
    <w:rsid w:val="042647B4"/>
    <w:rsid w:val="043F0538"/>
    <w:rsid w:val="0442248D"/>
    <w:rsid w:val="045B52FD"/>
    <w:rsid w:val="046917C8"/>
    <w:rsid w:val="048E7480"/>
    <w:rsid w:val="04926F71"/>
    <w:rsid w:val="04956A61"/>
    <w:rsid w:val="04C64E6C"/>
    <w:rsid w:val="04DA0DAB"/>
    <w:rsid w:val="04E11CA6"/>
    <w:rsid w:val="04E946B7"/>
    <w:rsid w:val="05151950"/>
    <w:rsid w:val="05241B93"/>
    <w:rsid w:val="052A61F4"/>
    <w:rsid w:val="052B035A"/>
    <w:rsid w:val="052E222C"/>
    <w:rsid w:val="05A401A4"/>
    <w:rsid w:val="05B13426"/>
    <w:rsid w:val="05B178CA"/>
    <w:rsid w:val="05B918D7"/>
    <w:rsid w:val="05E74AEF"/>
    <w:rsid w:val="05F0727E"/>
    <w:rsid w:val="05F9301F"/>
    <w:rsid w:val="06043E9E"/>
    <w:rsid w:val="060A6FDB"/>
    <w:rsid w:val="062513A7"/>
    <w:rsid w:val="065169B7"/>
    <w:rsid w:val="065232F6"/>
    <w:rsid w:val="066E1317"/>
    <w:rsid w:val="068B1EC9"/>
    <w:rsid w:val="068C3E93"/>
    <w:rsid w:val="069D39AB"/>
    <w:rsid w:val="06A27213"/>
    <w:rsid w:val="06A905A2"/>
    <w:rsid w:val="06B82B89"/>
    <w:rsid w:val="06BF5690"/>
    <w:rsid w:val="06C4362D"/>
    <w:rsid w:val="06CD0C1A"/>
    <w:rsid w:val="06ED4932"/>
    <w:rsid w:val="070677A2"/>
    <w:rsid w:val="070E48A8"/>
    <w:rsid w:val="07155A8F"/>
    <w:rsid w:val="072A6B99"/>
    <w:rsid w:val="07407ED7"/>
    <w:rsid w:val="07577514"/>
    <w:rsid w:val="07593D76"/>
    <w:rsid w:val="07623E5D"/>
    <w:rsid w:val="07666493"/>
    <w:rsid w:val="077A1B80"/>
    <w:rsid w:val="078F1CCE"/>
    <w:rsid w:val="07A11524"/>
    <w:rsid w:val="07A44D2D"/>
    <w:rsid w:val="07C1191B"/>
    <w:rsid w:val="07C92D30"/>
    <w:rsid w:val="07D459E5"/>
    <w:rsid w:val="080B2B96"/>
    <w:rsid w:val="080F6B2A"/>
    <w:rsid w:val="084B1AA8"/>
    <w:rsid w:val="08573CD6"/>
    <w:rsid w:val="086C1BEB"/>
    <w:rsid w:val="08752E31"/>
    <w:rsid w:val="088F0C53"/>
    <w:rsid w:val="08C1200F"/>
    <w:rsid w:val="08D60107"/>
    <w:rsid w:val="08D833C0"/>
    <w:rsid w:val="08E12275"/>
    <w:rsid w:val="08E13DC4"/>
    <w:rsid w:val="08E458C1"/>
    <w:rsid w:val="08E55999"/>
    <w:rsid w:val="08E873D7"/>
    <w:rsid w:val="08EE04EE"/>
    <w:rsid w:val="08F024B8"/>
    <w:rsid w:val="08F32F05"/>
    <w:rsid w:val="08FF2615"/>
    <w:rsid w:val="09016473"/>
    <w:rsid w:val="09033A4F"/>
    <w:rsid w:val="090441B5"/>
    <w:rsid w:val="090B72F2"/>
    <w:rsid w:val="090D0669"/>
    <w:rsid w:val="091B4EA8"/>
    <w:rsid w:val="091C0C95"/>
    <w:rsid w:val="091C32AD"/>
    <w:rsid w:val="09532A47"/>
    <w:rsid w:val="095347F5"/>
    <w:rsid w:val="095C0648"/>
    <w:rsid w:val="096125FF"/>
    <w:rsid w:val="097E5D15"/>
    <w:rsid w:val="0989582F"/>
    <w:rsid w:val="099A0675"/>
    <w:rsid w:val="09A03C4E"/>
    <w:rsid w:val="09A07FFE"/>
    <w:rsid w:val="09C52C20"/>
    <w:rsid w:val="09C6272F"/>
    <w:rsid w:val="09CD1222"/>
    <w:rsid w:val="09E029B5"/>
    <w:rsid w:val="09F61AD0"/>
    <w:rsid w:val="09FD66D9"/>
    <w:rsid w:val="0A3B1EE1"/>
    <w:rsid w:val="0A3D172D"/>
    <w:rsid w:val="0A546A76"/>
    <w:rsid w:val="0A5627EE"/>
    <w:rsid w:val="0A7333A0"/>
    <w:rsid w:val="0A960E3D"/>
    <w:rsid w:val="0AA00E18"/>
    <w:rsid w:val="0ADA0003"/>
    <w:rsid w:val="0AF04068"/>
    <w:rsid w:val="0AF50259"/>
    <w:rsid w:val="0B0C55A3"/>
    <w:rsid w:val="0B3D1979"/>
    <w:rsid w:val="0B432F08"/>
    <w:rsid w:val="0B5A00BC"/>
    <w:rsid w:val="0B6E381F"/>
    <w:rsid w:val="0B7A075E"/>
    <w:rsid w:val="0B8909A2"/>
    <w:rsid w:val="0B894DF9"/>
    <w:rsid w:val="0B8B2DEC"/>
    <w:rsid w:val="0BBC2B25"/>
    <w:rsid w:val="0BC07AD2"/>
    <w:rsid w:val="0BE27694"/>
    <w:rsid w:val="0C063DA0"/>
    <w:rsid w:val="0C1D5661"/>
    <w:rsid w:val="0C1E558E"/>
    <w:rsid w:val="0C1F363C"/>
    <w:rsid w:val="0C291FD0"/>
    <w:rsid w:val="0C300E1D"/>
    <w:rsid w:val="0C405504"/>
    <w:rsid w:val="0C4D19CF"/>
    <w:rsid w:val="0C522904"/>
    <w:rsid w:val="0C601702"/>
    <w:rsid w:val="0C7D0506"/>
    <w:rsid w:val="0C7F4408"/>
    <w:rsid w:val="0C8A49D1"/>
    <w:rsid w:val="0CCF6888"/>
    <w:rsid w:val="0CED6F2A"/>
    <w:rsid w:val="0CF84031"/>
    <w:rsid w:val="0D065FC8"/>
    <w:rsid w:val="0D0E1995"/>
    <w:rsid w:val="0D1310E7"/>
    <w:rsid w:val="0D4E3C51"/>
    <w:rsid w:val="0D5A43A4"/>
    <w:rsid w:val="0D837D9E"/>
    <w:rsid w:val="0D896A37"/>
    <w:rsid w:val="0D957AD2"/>
    <w:rsid w:val="0D9D2C7A"/>
    <w:rsid w:val="0DB42460"/>
    <w:rsid w:val="0DCD726B"/>
    <w:rsid w:val="0DDA54E4"/>
    <w:rsid w:val="0DE849A2"/>
    <w:rsid w:val="0DF91E0E"/>
    <w:rsid w:val="0E043EE4"/>
    <w:rsid w:val="0E0F38A2"/>
    <w:rsid w:val="0E2956A2"/>
    <w:rsid w:val="0E7C47EE"/>
    <w:rsid w:val="0EAA4EB7"/>
    <w:rsid w:val="0EB16245"/>
    <w:rsid w:val="0EB2020F"/>
    <w:rsid w:val="0EC5310D"/>
    <w:rsid w:val="0EEF72C3"/>
    <w:rsid w:val="0EF90F11"/>
    <w:rsid w:val="0EFE3455"/>
    <w:rsid w:val="0F113188"/>
    <w:rsid w:val="0F143C29"/>
    <w:rsid w:val="0F3853C5"/>
    <w:rsid w:val="0F4075C9"/>
    <w:rsid w:val="0F4935D9"/>
    <w:rsid w:val="0F5B0C93"/>
    <w:rsid w:val="0F5E2A0F"/>
    <w:rsid w:val="0F7617CD"/>
    <w:rsid w:val="0FB32592"/>
    <w:rsid w:val="0FC54741"/>
    <w:rsid w:val="0FD14C8B"/>
    <w:rsid w:val="0FD64CFF"/>
    <w:rsid w:val="0FF652C6"/>
    <w:rsid w:val="10000D77"/>
    <w:rsid w:val="10120F66"/>
    <w:rsid w:val="10162528"/>
    <w:rsid w:val="10246EEB"/>
    <w:rsid w:val="10280789"/>
    <w:rsid w:val="10321608"/>
    <w:rsid w:val="104574EA"/>
    <w:rsid w:val="105D6D13"/>
    <w:rsid w:val="10616D58"/>
    <w:rsid w:val="107B505A"/>
    <w:rsid w:val="108300B5"/>
    <w:rsid w:val="108D7DC6"/>
    <w:rsid w:val="10901321"/>
    <w:rsid w:val="109149C6"/>
    <w:rsid w:val="10950831"/>
    <w:rsid w:val="10961B97"/>
    <w:rsid w:val="10A34A6C"/>
    <w:rsid w:val="10B84B6F"/>
    <w:rsid w:val="10BE4C49"/>
    <w:rsid w:val="10C7057C"/>
    <w:rsid w:val="10E020BE"/>
    <w:rsid w:val="10EA3C90"/>
    <w:rsid w:val="112A6783"/>
    <w:rsid w:val="112F74B4"/>
    <w:rsid w:val="11375FBE"/>
    <w:rsid w:val="11503189"/>
    <w:rsid w:val="115F151F"/>
    <w:rsid w:val="116C28F7"/>
    <w:rsid w:val="11806BCC"/>
    <w:rsid w:val="119245C3"/>
    <w:rsid w:val="11AB78C4"/>
    <w:rsid w:val="11C50105"/>
    <w:rsid w:val="11CE678B"/>
    <w:rsid w:val="11CF74C4"/>
    <w:rsid w:val="11D30BC8"/>
    <w:rsid w:val="11E50F2B"/>
    <w:rsid w:val="11FF376C"/>
    <w:rsid w:val="123C676E"/>
    <w:rsid w:val="12492972"/>
    <w:rsid w:val="12525F91"/>
    <w:rsid w:val="12592360"/>
    <w:rsid w:val="126637EB"/>
    <w:rsid w:val="1285528C"/>
    <w:rsid w:val="128937E3"/>
    <w:rsid w:val="128B14A3"/>
    <w:rsid w:val="12A460C1"/>
    <w:rsid w:val="12AC5303"/>
    <w:rsid w:val="12BB3B36"/>
    <w:rsid w:val="12C5641C"/>
    <w:rsid w:val="12DD1CFF"/>
    <w:rsid w:val="12E12E71"/>
    <w:rsid w:val="12ED5CBA"/>
    <w:rsid w:val="12EF37E0"/>
    <w:rsid w:val="12F11306"/>
    <w:rsid w:val="12FC31D3"/>
    <w:rsid w:val="130D010A"/>
    <w:rsid w:val="131905E4"/>
    <w:rsid w:val="133631BD"/>
    <w:rsid w:val="13373D29"/>
    <w:rsid w:val="135F0966"/>
    <w:rsid w:val="136E0BA9"/>
    <w:rsid w:val="1377365B"/>
    <w:rsid w:val="13785584"/>
    <w:rsid w:val="13857617"/>
    <w:rsid w:val="138D4967"/>
    <w:rsid w:val="1393060F"/>
    <w:rsid w:val="139A6651"/>
    <w:rsid w:val="13A16876"/>
    <w:rsid w:val="13AA4965"/>
    <w:rsid w:val="13B16CE7"/>
    <w:rsid w:val="13B642FE"/>
    <w:rsid w:val="13BA2040"/>
    <w:rsid w:val="13BB1914"/>
    <w:rsid w:val="13C44C6D"/>
    <w:rsid w:val="13DB225F"/>
    <w:rsid w:val="13E1581F"/>
    <w:rsid w:val="13EB21F9"/>
    <w:rsid w:val="13EF73B4"/>
    <w:rsid w:val="13F866C4"/>
    <w:rsid w:val="14027543"/>
    <w:rsid w:val="140530B1"/>
    <w:rsid w:val="141C5039"/>
    <w:rsid w:val="142A5FDC"/>
    <w:rsid w:val="142B2A40"/>
    <w:rsid w:val="142E0338"/>
    <w:rsid w:val="143B3D82"/>
    <w:rsid w:val="144E4536"/>
    <w:rsid w:val="146E4BD8"/>
    <w:rsid w:val="14700951"/>
    <w:rsid w:val="148651F0"/>
    <w:rsid w:val="149169E7"/>
    <w:rsid w:val="14A878C0"/>
    <w:rsid w:val="14AD5701"/>
    <w:rsid w:val="14D329F2"/>
    <w:rsid w:val="150B2427"/>
    <w:rsid w:val="151B6B0E"/>
    <w:rsid w:val="15290693"/>
    <w:rsid w:val="15325C06"/>
    <w:rsid w:val="153D570D"/>
    <w:rsid w:val="15603F4B"/>
    <w:rsid w:val="156F0C08"/>
    <w:rsid w:val="157334D1"/>
    <w:rsid w:val="157E5D47"/>
    <w:rsid w:val="15825156"/>
    <w:rsid w:val="158E5532"/>
    <w:rsid w:val="15973CBB"/>
    <w:rsid w:val="159A283B"/>
    <w:rsid w:val="15A44D56"/>
    <w:rsid w:val="15B900D5"/>
    <w:rsid w:val="15B905DD"/>
    <w:rsid w:val="15C727F2"/>
    <w:rsid w:val="15D078F9"/>
    <w:rsid w:val="15EF58A5"/>
    <w:rsid w:val="161B48EC"/>
    <w:rsid w:val="16421E79"/>
    <w:rsid w:val="16552373"/>
    <w:rsid w:val="166626C1"/>
    <w:rsid w:val="166B7621"/>
    <w:rsid w:val="1679118E"/>
    <w:rsid w:val="1683496B"/>
    <w:rsid w:val="16A00DA8"/>
    <w:rsid w:val="16A13043"/>
    <w:rsid w:val="16B02706"/>
    <w:rsid w:val="16C36D84"/>
    <w:rsid w:val="16D57BCB"/>
    <w:rsid w:val="170D15F4"/>
    <w:rsid w:val="171037CA"/>
    <w:rsid w:val="17123F41"/>
    <w:rsid w:val="17131521"/>
    <w:rsid w:val="17384C14"/>
    <w:rsid w:val="17393C13"/>
    <w:rsid w:val="175B20CB"/>
    <w:rsid w:val="176A116E"/>
    <w:rsid w:val="176F6C9D"/>
    <w:rsid w:val="17793FC0"/>
    <w:rsid w:val="17797B1C"/>
    <w:rsid w:val="177D47A8"/>
    <w:rsid w:val="178A7F7B"/>
    <w:rsid w:val="179018DD"/>
    <w:rsid w:val="17930AF4"/>
    <w:rsid w:val="17961E8F"/>
    <w:rsid w:val="17A65C04"/>
    <w:rsid w:val="17A728DB"/>
    <w:rsid w:val="17B4792A"/>
    <w:rsid w:val="17C82214"/>
    <w:rsid w:val="17C972FA"/>
    <w:rsid w:val="17D81723"/>
    <w:rsid w:val="18023FB5"/>
    <w:rsid w:val="1820443C"/>
    <w:rsid w:val="187A3B4C"/>
    <w:rsid w:val="187C5B16"/>
    <w:rsid w:val="188B14FF"/>
    <w:rsid w:val="18955D2D"/>
    <w:rsid w:val="189F33C8"/>
    <w:rsid w:val="18AF6446"/>
    <w:rsid w:val="18CB43A7"/>
    <w:rsid w:val="18D13587"/>
    <w:rsid w:val="18D46B77"/>
    <w:rsid w:val="18DF7E53"/>
    <w:rsid w:val="18F51424"/>
    <w:rsid w:val="190A28AF"/>
    <w:rsid w:val="19172397"/>
    <w:rsid w:val="19203773"/>
    <w:rsid w:val="19282810"/>
    <w:rsid w:val="19442DF9"/>
    <w:rsid w:val="194505FE"/>
    <w:rsid w:val="19483C4A"/>
    <w:rsid w:val="195A1EDE"/>
    <w:rsid w:val="196F6835"/>
    <w:rsid w:val="19856C4C"/>
    <w:rsid w:val="19866520"/>
    <w:rsid w:val="198D5B01"/>
    <w:rsid w:val="19940C3D"/>
    <w:rsid w:val="1998697F"/>
    <w:rsid w:val="19A03A86"/>
    <w:rsid w:val="19A0795C"/>
    <w:rsid w:val="19A90B8D"/>
    <w:rsid w:val="19D92AF4"/>
    <w:rsid w:val="19F35C26"/>
    <w:rsid w:val="1A0538E9"/>
    <w:rsid w:val="1A084B70"/>
    <w:rsid w:val="1A1456AB"/>
    <w:rsid w:val="1A163D48"/>
    <w:rsid w:val="1A19736B"/>
    <w:rsid w:val="1A203775"/>
    <w:rsid w:val="1A226249"/>
    <w:rsid w:val="1A383B94"/>
    <w:rsid w:val="1A46462D"/>
    <w:rsid w:val="1A554870"/>
    <w:rsid w:val="1A705133"/>
    <w:rsid w:val="1AD0039B"/>
    <w:rsid w:val="1AD03EF7"/>
    <w:rsid w:val="1AE254F2"/>
    <w:rsid w:val="1AEB0D31"/>
    <w:rsid w:val="1B121D3A"/>
    <w:rsid w:val="1B1B5E81"/>
    <w:rsid w:val="1B222DFA"/>
    <w:rsid w:val="1B2435A0"/>
    <w:rsid w:val="1B254CC7"/>
    <w:rsid w:val="1B274760"/>
    <w:rsid w:val="1B497395"/>
    <w:rsid w:val="1B4D19EC"/>
    <w:rsid w:val="1B50328A"/>
    <w:rsid w:val="1B614635"/>
    <w:rsid w:val="1B6D1746"/>
    <w:rsid w:val="1B7D5F3C"/>
    <w:rsid w:val="1BB630C1"/>
    <w:rsid w:val="1BC17CE4"/>
    <w:rsid w:val="1BE0267C"/>
    <w:rsid w:val="1C2C1601"/>
    <w:rsid w:val="1C2F2E9F"/>
    <w:rsid w:val="1C38492A"/>
    <w:rsid w:val="1C485D0F"/>
    <w:rsid w:val="1C4F0B8B"/>
    <w:rsid w:val="1C5F46E4"/>
    <w:rsid w:val="1C60574F"/>
    <w:rsid w:val="1C6276B3"/>
    <w:rsid w:val="1C662D65"/>
    <w:rsid w:val="1C753007"/>
    <w:rsid w:val="1C9A2A0F"/>
    <w:rsid w:val="1CA92C5C"/>
    <w:rsid w:val="1CD87093"/>
    <w:rsid w:val="1CF07981"/>
    <w:rsid w:val="1CF87BD9"/>
    <w:rsid w:val="1CFB5A88"/>
    <w:rsid w:val="1D01040A"/>
    <w:rsid w:val="1D012A8E"/>
    <w:rsid w:val="1D230C56"/>
    <w:rsid w:val="1D285447"/>
    <w:rsid w:val="1D38412F"/>
    <w:rsid w:val="1D5E4D92"/>
    <w:rsid w:val="1D632E00"/>
    <w:rsid w:val="1D7A5D3C"/>
    <w:rsid w:val="1D8D4321"/>
    <w:rsid w:val="1D954F84"/>
    <w:rsid w:val="1D9C6BA7"/>
    <w:rsid w:val="1DC85359"/>
    <w:rsid w:val="1DD95F2A"/>
    <w:rsid w:val="1DDC3E11"/>
    <w:rsid w:val="1DE2466D"/>
    <w:rsid w:val="1DFE521F"/>
    <w:rsid w:val="1E081BFA"/>
    <w:rsid w:val="1E14234D"/>
    <w:rsid w:val="1E171883"/>
    <w:rsid w:val="1E1965DF"/>
    <w:rsid w:val="1E360515"/>
    <w:rsid w:val="1E3C6860"/>
    <w:rsid w:val="1E5E3995"/>
    <w:rsid w:val="1E613D0C"/>
    <w:rsid w:val="1E6A65D5"/>
    <w:rsid w:val="1E8618AA"/>
    <w:rsid w:val="1E8E65A3"/>
    <w:rsid w:val="1E982F7E"/>
    <w:rsid w:val="1E9A6CF6"/>
    <w:rsid w:val="1ED27475"/>
    <w:rsid w:val="1ED3045A"/>
    <w:rsid w:val="1ED45E22"/>
    <w:rsid w:val="1ED523DA"/>
    <w:rsid w:val="1ED61CF8"/>
    <w:rsid w:val="1EE879B6"/>
    <w:rsid w:val="1EF34149"/>
    <w:rsid w:val="1EF503D0"/>
    <w:rsid w:val="1F073C5F"/>
    <w:rsid w:val="1F0B3750"/>
    <w:rsid w:val="1F4153C3"/>
    <w:rsid w:val="1F444276"/>
    <w:rsid w:val="1F585820"/>
    <w:rsid w:val="1F7B107E"/>
    <w:rsid w:val="1F8E4D0D"/>
    <w:rsid w:val="1F8E612F"/>
    <w:rsid w:val="1F933265"/>
    <w:rsid w:val="1F933745"/>
    <w:rsid w:val="1F941997"/>
    <w:rsid w:val="1F9C6A9E"/>
    <w:rsid w:val="1FA83694"/>
    <w:rsid w:val="1FB65DB1"/>
    <w:rsid w:val="1FC2498B"/>
    <w:rsid w:val="1FFC578E"/>
    <w:rsid w:val="1FFE1506"/>
    <w:rsid w:val="1FFE5062"/>
    <w:rsid w:val="201C198C"/>
    <w:rsid w:val="203767C6"/>
    <w:rsid w:val="2039253E"/>
    <w:rsid w:val="2043516B"/>
    <w:rsid w:val="20923F96"/>
    <w:rsid w:val="2096528F"/>
    <w:rsid w:val="209B6D55"/>
    <w:rsid w:val="209F6845"/>
    <w:rsid w:val="20A42F05"/>
    <w:rsid w:val="20A774A8"/>
    <w:rsid w:val="20AB6760"/>
    <w:rsid w:val="20C067BC"/>
    <w:rsid w:val="20DA787E"/>
    <w:rsid w:val="21134B3E"/>
    <w:rsid w:val="215533A8"/>
    <w:rsid w:val="215E22A9"/>
    <w:rsid w:val="215E79BE"/>
    <w:rsid w:val="216E2542"/>
    <w:rsid w:val="21821CC3"/>
    <w:rsid w:val="21863561"/>
    <w:rsid w:val="21983295"/>
    <w:rsid w:val="219A0DBB"/>
    <w:rsid w:val="21A734D8"/>
    <w:rsid w:val="21A80E9D"/>
    <w:rsid w:val="21C8620E"/>
    <w:rsid w:val="21CB2917"/>
    <w:rsid w:val="21DA1AFF"/>
    <w:rsid w:val="21E169EA"/>
    <w:rsid w:val="2207555D"/>
    <w:rsid w:val="222D7D43"/>
    <w:rsid w:val="225B49EE"/>
    <w:rsid w:val="22675C42"/>
    <w:rsid w:val="227E06DD"/>
    <w:rsid w:val="22813E3B"/>
    <w:rsid w:val="22D4654E"/>
    <w:rsid w:val="22E907A2"/>
    <w:rsid w:val="22EE3A71"/>
    <w:rsid w:val="22F17100"/>
    <w:rsid w:val="23137077"/>
    <w:rsid w:val="23261B35"/>
    <w:rsid w:val="23330577"/>
    <w:rsid w:val="2338088B"/>
    <w:rsid w:val="233F31F6"/>
    <w:rsid w:val="234A6048"/>
    <w:rsid w:val="23573852"/>
    <w:rsid w:val="235E2BD1"/>
    <w:rsid w:val="235F22BC"/>
    <w:rsid w:val="235F2990"/>
    <w:rsid w:val="2378337E"/>
    <w:rsid w:val="239179D6"/>
    <w:rsid w:val="23BC3AB0"/>
    <w:rsid w:val="23F67FA6"/>
    <w:rsid w:val="240069B4"/>
    <w:rsid w:val="241035B6"/>
    <w:rsid w:val="2429545C"/>
    <w:rsid w:val="244D3098"/>
    <w:rsid w:val="246F2824"/>
    <w:rsid w:val="249441E7"/>
    <w:rsid w:val="24997A50"/>
    <w:rsid w:val="249C4BBB"/>
    <w:rsid w:val="24AE5C38"/>
    <w:rsid w:val="24D6035C"/>
    <w:rsid w:val="25267DED"/>
    <w:rsid w:val="252E056F"/>
    <w:rsid w:val="25361296"/>
    <w:rsid w:val="2536529E"/>
    <w:rsid w:val="25381017"/>
    <w:rsid w:val="253F23A5"/>
    <w:rsid w:val="254B5DAB"/>
    <w:rsid w:val="254D531C"/>
    <w:rsid w:val="256421C0"/>
    <w:rsid w:val="256C6F12"/>
    <w:rsid w:val="258E20A6"/>
    <w:rsid w:val="25902676"/>
    <w:rsid w:val="25A42208"/>
    <w:rsid w:val="25DA0320"/>
    <w:rsid w:val="25DE2665"/>
    <w:rsid w:val="25E116AE"/>
    <w:rsid w:val="25E91C5D"/>
    <w:rsid w:val="25F0544D"/>
    <w:rsid w:val="25F34F3E"/>
    <w:rsid w:val="25F82554"/>
    <w:rsid w:val="26061B44"/>
    <w:rsid w:val="26192BF6"/>
    <w:rsid w:val="262275D1"/>
    <w:rsid w:val="26345C82"/>
    <w:rsid w:val="263712CE"/>
    <w:rsid w:val="263C68E5"/>
    <w:rsid w:val="267B565F"/>
    <w:rsid w:val="267C3185"/>
    <w:rsid w:val="267E514F"/>
    <w:rsid w:val="268A7650"/>
    <w:rsid w:val="26997893"/>
    <w:rsid w:val="26AA4381"/>
    <w:rsid w:val="26AB7EF8"/>
    <w:rsid w:val="26B20955"/>
    <w:rsid w:val="26CA4055"/>
    <w:rsid w:val="26CC5EBA"/>
    <w:rsid w:val="2700271D"/>
    <w:rsid w:val="27277595"/>
    <w:rsid w:val="27286E18"/>
    <w:rsid w:val="27425F9F"/>
    <w:rsid w:val="2756664D"/>
    <w:rsid w:val="2758774E"/>
    <w:rsid w:val="276C144B"/>
    <w:rsid w:val="27750300"/>
    <w:rsid w:val="277D0F63"/>
    <w:rsid w:val="27A75FE0"/>
    <w:rsid w:val="27A97FAA"/>
    <w:rsid w:val="27B8643F"/>
    <w:rsid w:val="27C13545"/>
    <w:rsid w:val="2803474D"/>
    <w:rsid w:val="280B47C0"/>
    <w:rsid w:val="281776AC"/>
    <w:rsid w:val="282D5367"/>
    <w:rsid w:val="284B3BC6"/>
    <w:rsid w:val="28645A37"/>
    <w:rsid w:val="287700A8"/>
    <w:rsid w:val="288527C5"/>
    <w:rsid w:val="28893937"/>
    <w:rsid w:val="28A16ED3"/>
    <w:rsid w:val="28CA642A"/>
    <w:rsid w:val="28DB4EF1"/>
    <w:rsid w:val="29011C0D"/>
    <w:rsid w:val="29213387"/>
    <w:rsid w:val="29315676"/>
    <w:rsid w:val="29336BF5"/>
    <w:rsid w:val="29515CEB"/>
    <w:rsid w:val="29521364"/>
    <w:rsid w:val="295D5ECC"/>
    <w:rsid w:val="29681708"/>
    <w:rsid w:val="29763724"/>
    <w:rsid w:val="2984482A"/>
    <w:rsid w:val="2996630C"/>
    <w:rsid w:val="29B64C00"/>
    <w:rsid w:val="29D82DC8"/>
    <w:rsid w:val="2A112973"/>
    <w:rsid w:val="2A135BAE"/>
    <w:rsid w:val="2A1C2CB5"/>
    <w:rsid w:val="2A241B69"/>
    <w:rsid w:val="2A2B114A"/>
    <w:rsid w:val="2A391AB9"/>
    <w:rsid w:val="2A522E74"/>
    <w:rsid w:val="2A573CED"/>
    <w:rsid w:val="2A720B27"/>
    <w:rsid w:val="2A742AF1"/>
    <w:rsid w:val="2A7A3E7F"/>
    <w:rsid w:val="2A950CB9"/>
    <w:rsid w:val="2A9A007E"/>
    <w:rsid w:val="2AA07B14"/>
    <w:rsid w:val="2AAF7153"/>
    <w:rsid w:val="2AD43590"/>
    <w:rsid w:val="2AD510B6"/>
    <w:rsid w:val="2AF53506"/>
    <w:rsid w:val="2B1240B8"/>
    <w:rsid w:val="2B1716CE"/>
    <w:rsid w:val="2B2A31B0"/>
    <w:rsid w:val="2B3109E2"/>
    <w:rsid w:val="2B6352AF"/>
    <w:rsid w:val="2B69403C"/>
    <w:rsid w:val="2B726B8A"/>
    <w:rsid w:val="2BC5112A"/>
    <w:rsid w:val="2BDE737B"/>
    <w:rsid w:val="2BE45A54"/>
    <w:rsid w:val="2BFE65D6"/>
    <w:rsid w:val="2BFF63EA"/>
    <w:rsid w:val="2C1A1476"/>
    <w:rsid w:val="2C1F4CDE"/>
    <w:rsid w:val="2C333511"/>
    <w:rsid w:val="2C477D91"/>
    <w:rsid w:val="2C6F1ADB"/>
    <w:rsid w:val="2C9A25B7"/>
    <w:rsid w:val="2CAB0E29"/>
    <w:rsid w:val="2CAB6572"/>
    <w:rsid w:val="2CAE39BA"/>
    <w:rsid w:val="2CB573F1"/>
    <w:rsid w:val="2CED26E7"/>
    <w:rsid w:val="2CF0667B"/>
    <w:rsid w:val="2D18318D"/>
    <w:rsid w:val="2D300EFC"/>
    <w:rsid w:val="2D3F513B"/>
    <w:rsid w:val="2D6A3D37"/>
    <w:rsid w:val="2D742E08"/>
    <w:rsid w:val="2DB11400"/>
    <w:rsid w:val="2DC97D1C"/>
    <w:rsid w:val="2DD85145"/>
    <w:rsid w:val="2DEB5BE1"/>
    <w:rsid w:val="2DF14458"/>
    <w:rsid w:val="2DF45CF7"/>
    <w:rsid w:val="2E0B376C"/>
    <w:rsid w:val="2E1B4BAE"/>
    <w:rsid w:val="2E254102"/>
    <w:rsid w:val="2E304F81"/>
    <w:rsid w:val="2E312AA7"/>
    <w:rsid w:val="2E316A88"/>
    <w:rsid w:val="2E3879E0"/>
    <w:rsid w:val="2E4A2DDA"/>
    <w:rsid w:val="2E5721D6"/>
    <w:rsid w:val="2E592537"/>
    <w:rsid w:val="2E870919"/>
    <w:rsid w:val="2E9F5C62"/>
    <w:rsid w:val="2EA8315E"/>
    <w:rsid w:val="2EB1632E"/>
    <w:rsid w:val="2EB57CA5"/>
    <w:rsid w:val="2EBE07DF"/>
    <w:rsid w:val="2EDE49DD"/>
    <w:rsid w:val="2EED10C4"/>
    <w:rsid w:val="2EF3743D"/>
    <w:rsid w:val="2F0106CB"/>
    <w:rsid w:val="2F1777F0"/>
    <w:rsid w:val="2F19499B"/>
    <w:rsid w:val="2F2A7575"/>
    <w:rsid w:val="2F3445FD"/>
    <w:rsid w:val="2F4E399B"/>
    <w:rsid w:val="2F4F1437"/>
    <w:rsid w:val="2F580D5E"/>
    <w:rsid w:val="2F633F94"/>
    <w:rsid w:val="2F6E42FA"/>
    <w:rsid w:val="2F8108E2"/>
    <w:rsid w:val="2F8D2B4C"/>
    <w:rsid w:val="2F972DDE"/>
    <w:rsid w:val="2FB35E69"/>
    <w:rsid w:val="2FC16BFF"/>
    <w:rsid w:val="2FF40284"/>
    <w:rsid w:val="301D32E3"/>
    <w:rsid w:val="3049232A"/>
    <w:rsid w:val="305603A6"/>
    <w:rsid w:val="30654D09"/>
    <w:rsid w:val="306A22A0"/>
    <w:rsid w:val="3086532C"/>
    <w:rsid w:val="308B51BC"/>
    <w:rsid w:val="30936FF5"/>
    <w:rsid w:val="30963095"/>
    <w:rsid w:val="309C45E7"/>
    <w:rsid w:val="30A12166"/>
    <w:rsid w:val="30A13BD7"/>
    <w:rsid w:val="30B71989"/>
    <w:rsid w:val="30CA0702"/>
    <w:rsid w:val="30D51E0F"/>
    <w:rsid w:val="310F320C"/>
    <w:rsid w:val="311D630A"/>
    <w:rsid w:val="31313A34"/>
    <w:rsid w:val="315C0D08"/>
    <w:rsid w:val="317F1A54"/>
    <w:rsid w:val="31C364EC"/>
    <w:rsid w:val="31CC4FC0"/>
    <w:rsid w:val="31D41044"/>
    <w:rsid w:val="31D64091"/>
    <w:rsid w:val="31D976DD"/>
    <w:rsid w:val="31EE6F31"/>
    <w:rsid w:val="31F77B64"/>
    <w:rsid w:val="31FB5844"/>
    <w:rsid w:val="31FB7654"/>
    <w:rsid w:val="31FD1366"/>
    <w:rsid w:val="32153953"/>
    <w:rsid w:val="32186458"/>
    <w:rsid w:val="32195D2C"/>
    <w:rsid w:val="321E77E6"/>
    <w:rsid w:val="32236BAB"/>
    <w:rsid w:val="3243731A"/>
    <w:rsid w:val="32780945"/>
    <w:rsid w:val="32894E5A"/>
    <w:rsid w:val="328E591A"/>
    <w:rsid w:val="32B1065A"/>
    <w:rsid w:val="32BF4B25"/>
    <w:rsid w:val="32C74EEE"/>
    <w:rsid w:val="32D0288E"/>
    <w:rsid w:val="32F02F31"/>
    <w:rsid w:val="32F26CA9"/>
    <w:rsid w:val="330469DC"/>
    <w:rsid w:val="332E1CAB"/>
    <w:rsid w:val="3341378C"/>
    <w:rsid w:val="33490375"/>
    <w:rsid w:val="336456CD"/>
    <w:rsid w:val="337F6063"/>
    <w:rsid w:val="33833DA5"/>
    <w:rsid w:val="339733AC"/>
    <w:rsid w:val="33A13E34"/>
    <w:rsid w:val="33BB353F"/>
    <w:rsid w:val="33D44600"/>
    <w:rsid w:val="33EA7980"/>
    <w:rsid w:val="33F94067"/>
    <w:rsid w:val="33FD557F"/>
    <w:rsid w:val="34082B44"/>
    <w:rsid w:val="341669C7"/>
    <w:rsid w:val="341A3513"/>
    <w:rsid w:val="342F1837"/>
    <w:rsid w:val="347C7A35"/>
    <w:rsid w:val="34931DC5"/>
    <w:rsid w:val="349B3370"/>
    <w:rsid w:val="34A02734"/>
    <w:rsid w:val="34B41D3C"/>
    <w:rsid w:val="34D04DC8"/>
    <w:rsid w:val="34E24AFB"/>
    <w:rsid w:val="34F226A3"/>
    <w:rsid w:val="34FC3E0F"/>
    <w:rsid w:val="351C2BB8"/>
    <w:rsid w:val="352E7D40"/>
    <w:rsid w:val="353802ED"/>
    <w:rsid w:val="35380BBF"/>
    <w:rsid w:val="3538296D"/>
    <w:rsid w:val="353A713F"/>
    <w:rsid w:val="35513922"/>
    <w:rsid w:val="356E0679"/>
    <w:rsid w:val="357F059C"/>
    <w:rsid w:val="357F5BD0"/>
    <w:rsid w:val="358D3C5A"/>
    <w:rsid w:val="3592002F"/>
    <w:rsid w:val="35AA397D"/>
    <w:rsid w:val="35BF4E3C"/>
    <w:rsid w:val="35F43F4A"/>
    <w:rsid w:val="35F63E63"/>
    <w:rsid w:val="36056CF3"/>
    <w:rsid w:val="36472C31"/>
    <w:rsid w:val="36581519"/>
    <w:rsid w:val="365C3BAD"/>
    <w:rsid w:val="366072AB"/>
    <w:rsid w:val="366150EE"/>
    <w:rsid w:val="366A4DA8"/>
    <w:rsid w:val="36703DC4"/>
    <w:rsid w:val="3676199F"/>
    <w:rsid w:val="367F7DF8"/>
    <w:rsid w:val="36941E25"/>
    <w:rsid w:val="36AB243C"/>
    <w:rsid w:val="36BB0808"/>
    <w:rsid w:val="36BF3346"/>
    <w:rsid w:val="36C33AFE"/>
    <w:rsid w:val="36C95B54"/>
    <w:rsid w:val="36D30B9F"/>
    <w:rsid w:val="36DA1F2E"/>
    <w:rsid w:val="36E508D2"/>
    <w:rsid w:val="37133692"/>
    <w:rsid w:val="37140E86"/>
    <w:rsid w:val="37206361"/>
    <w:rsid w:val="3728009E"/>
    <w:rsid w:val="374A67D1"/>
    <w:rsid w:val="376E08C8"/>
    <w:rsid w:val="378F1341"/>
    <w:rsid w:val="37914E1C"/>
    <w:rsid w:val="379876F3"/>
    <w:rsid w:val="37B02C8E"/>
    <w:rsid w:val="37B81B43"/>
    <w:rsid w:val="380958D5"/>
    <w:rsid w:val="381C6576"/>
    <w:rsid w:val="3825367C"/>
    <w:rsid w:val="384B0C09"/>
    <w:rsid w:val="38530FF4"/>
    <w:rsid w:val="38575DB5"/>
    <w:rsid w:val="385F3BBA"/>
    <w:rsid w:val="386E183D"/>
    <w:rsid w:val="387168C2"/>
    <w:rsid w:val="388243D6"/>
    <w:rsid w:val="38AE5AAE"/>
    <w:rsid w:val="38AF73EA"/>
    <w:rsid w:val="38BE211F"/>
    <w:rsid w:val="38C5558A"/>
    <w:rsid w:val="38DD71EC"/>
    <w:rsid w:val="38EA0422"/>
    <w:rsid w:val="391334D5"/>
    <w:rsid w:val="391978EF"/>
    <w:rsid w:val="39364146"/>
    <w:rsid w:val="3950297B"/>
    <w:rsid w:val="3962620A"/>
    <w:rsid w:val="396C52DB"/>
    <w:rsid w:val="397A17A6"/>
    <w:rsid w:val="39891B3E"/>
    <w:rsid w:val="398A1150"/>
    <w:rsid w:val="39C60B71"/>
    <w:rsid w:val="39D0617D"/>
    <w:rsid w:val="39E13A83"/>
    <w:rsid w:val="39FF1E0A"/>
    <w:rsid w:val="3A0A0D7C"/>
    <w:rsid w:val="3A0D43C8"/>
    <w:rsid w:val="3A105C66"/>
    <w:rsid w:val="3A135A35"/>
    <w:rsid w:val="3A1C460B"/>
    <w:rsid w:val="3A2B6F44"/>
    <w:rsid w:val="3A347BA7"/>
    <w:rsid w:val="3A445910"/>
    <w:rsid w:val="3A573895"/>
    <w:rsid w:val="3A613026"/>
    <w:rsid w:val="3A886145"/>
    <w:rsid w:val="3AB17012"/>
    <w:rsid w:val="3ABB3136"/>
    <w:rsid w:val="3ABF22C1"/>
    <w:rsid w:val="3AFB60DC"/>
    <w:rsid w:val="3B286FE0"/>
    <w:rsid w:val="3B2F65C0"/>
    <w:rsid w:val="3B583D69"/>
    <w:rsid w:val="3B5D2AB7"/>
    <w:rsid w:val="3B6B615A"/>
    <w:rsid w:val="3B7B3C9E"/>
    <w:rsid w:val="3B7F22D6"/>
    <w:rsid w:val="3B9A1EA4"/>
    <w:rsid w:val="3B9A52EF"/>
    <w:rsid w:val="3BB15227"/>
    <w:rsid w:val="3BBC42F8"/>
    <w:rsid w:val="3BBF7944"/>
    <w:rsid w:val="3BE54A14"/>
    <w:rsid w:val="3BF750E1"/>
    <w:rsid w:val="3C0C4D5B"/>
    <w:rsid w:val="3C293BC2"/>
    <w:rsid w:val="3C2B3BF6"/>
    <w:rsid w:val="3C2F4ACA"/>
    <w:rsid w:val="3C3F6EED"/>
    <w:rsid w:val="3C495460"/>
    <w:rsid w:val="3C6F3118"/>
    <w:rsid w:val="3C74613C"/>
    <w:rsid w:val="3C7A58FA"/>
    <w:rsid w:val="3C7E2B25"/>
    <w:rsid w:val="3C8B3CCA"/>
    <w:rsid w:val="3CA01012"/>
    <w:rsid w:val="3CAA05F4"/>
    <w:rsid w:val="3CAD3C40"/>
    <w:rsid w:val="3CB202D6"/>
    <w:rsid w:val="3CB52AF5"/>
    <w:rsid w:val="3CD613E9"/>
    <w:rsid w:val="3CE401C5"/>
    <w:rsid w:val="3CE91981"/>
    <w:rsid w:val="3D163594"/>
    <w:rsid w:val="3D207281"/>
    <w:rsid w:val="3D2C2DB7"/>
    <w:rsid w:val="3D303A6E"/>
    <w:rsid w:val="3D672041"/>
    <w:rsid w:val="3D6A7D83"/>
    <w:rsid w:val="3D7B789B"/>
    <w:rsid w:val="3D82382C"/>
    <w:rsid w:val="3DB00D18"/>
    <w:rsid w:val="3DC9653B"/>
    <w:rsid w:val="3DC96858"/>
    <w:rsid w:val="3DD1395F"/>
    <w:rsid w:val="3DD31EFC"/>
    <w:rsid w:val="3DEB4E28"/>
    <w:rsid w:val="3DF94B88"/>
    <w:rsid w:val="3E1C2E2C"/>
    <w:rsid w:val="3E2D328B"/>
    <w:rsid w:val="3E444130"/>
    <w:rsid w:val="3E45258B"/>
    <w:rsid w:val="3E8F7AA2"/>
    <w:rsid w:val="3ECA2888"/>
    <w:rsid w:val="3EDA1E89"/>
    <w:rsid w:val="3EE55332"/>
    <w:rsid w:val="3EEB4326"/>
    <w:rsid w:val="3EF47905"/>
    <w:rsid w:val="3EFC4A0B"/>
    <w:rsid w:val="3F1B7587"/>
    <w:rsid w:val="3F2006FA"/>
    <w:rsid w:val="3F2432A9"/>
    <w:rsid w:val="3F2C3542"/>
    <w:rsid w:val="3F316DAB"/>
    <w:rsid w:val="3F367F1D"/>
    <w:rsid w:val="3F4C7741"/>
    <w:rsid w:val="3F514D57"/>
    <w:rsid w:val="3F520ACF"/>
    <w:rsid w:val="3F6F38B1"/>
    <w:rsid w:val="3F815597"/>
    <w:rsid w:val="3F8C0675"/>
    <w:rsid w:val="3FA53259"/>
    <w:rsid w:val="3FB65236"/>
    <w:rsid w:val="3FBE071F"/>
    <w:rsid w:val="3FFA0F65"/>
    <w:rsid w:val="400E7381"/>
    <w:rsid w:val="40104C12"/>
    <w:rsid w:val="403B61BE"/>
    <w:rsid w:val="403C77B5"/>
    <w:rsid w:val="403D6568"/>
    <w:rsid w:val="404C2CAF"/>
    <w:rsid w:val="40552625"/>
    <w:rsid w:val="40784565"/>
    <w:rsid w:val="408745C2"/>
    <w:rsid w:val="40A62E81"/>
    <w:rsid w:val="40AF442B"/>
    <w:rsid w:val="40B21825"/>
    <w:rsid w:val="40BA4B7E"/>
    <w:rsid w:val="40BD01A1"/>
    <w:rsid w:val="40C94DC1"/>
    <w:rsid w:val="40CD3FF4"/>
    <w:rsid w:val="40D6411C"/>
    <w:rsid w:val="40EB2F89"/>
    <w:rsid w:val="40F77B80"/>
    <w:rsid w:val="4105337E"/>
    <w:rsid w:val="4108613C"/>
    <w:rsid w:val="411F101A"/>
    <w:rsid w:val="412532A9"/>
    <w:rsid w:val="413C5593"/>
    <w:rsid w:val="41511589"/>
    <w:rsid w:val="415957F8"/>
    <w:rsid w:val="41670862"/>
    <w:rsid w:val="41760AA5"/>
    <w:rsid w:val="41993698"/>
    <w:rsid w:val="419E624E"/>
    <w:rsid w:val="41AA4BF2"/>
    <w:rsid w:val="41CA7043"/>
    <w:rsid w:val="41E35FAA"/>
    <w:rsid w:val="41F3622B"/>
    <w:rsid w:val="41F6443A"/>
    <w:rsid w:val="41FF65A5"/>
    <w:rsid w:val="42067245"/>
    <w:rsid w:val="42417305"/>
    <w:rsid w:val="424B0183"/>
    <w:rsid w:val="424C6071"/>
    <w:rsid w:val="425773AB"/>
    <w:rsid w:val="426B6130"/>
    <w:rsid w:val="42816EC0"/>
    <w:rsid w:val="42B62EBF"/>
    <w:rsid w:val="42BF13A8"/>
    <w:rsid w:val="42C73FA3"/>
    <w:rsid w:val="42D303DE"/>
    <w:rsid w:val="42D81D62"/>
    <w:rsid w:val="42DC004C"/>
    <w:rsid w:val="42E163F2"/>
    <w:rsid w:val="42F92679"/>
    <w:rsid w:val="42FB3958"/>
    <w:rsid w:val="42FD6AEA"/>
    <w:rsid w:val="43066BB7"/>
    <w:rsid w:val="430F26D4"/>
    <w:rsid w:val="43170066"/>
    <w:rsid w:val="432A251A"/>
    <w:rsid w:val="432A61EE"/>
    <w:rsid w:val="43713C1A"/>
    <w:rsid w:val="43714A4A"/>
    <w:rsid w:val="4372194D"/>
    <w:rsid w:val="43BD0C0D"/>
    <w:rsid w:val="43D30AB1"/>
    <w:rsid w:val="43E04ECE"/>
    <w:rsid w:val="43FB34E3"/>
    <w:rsid w:val="4416031D"/>
    <w:rsid w:val="44224F14"/>
    <w:rsid w:val="44242BF2"/>
    <w:rsid w:val="44295A18"/>
    <w:rsid w:val="443600D1"/>
    <w:rsid w:val="44422052"/>
    <w:rsid w:val="4446213C"/>
    <w:rsid w:val="444E4E5B"/>
    <w:rsid w:val="44501A81"/>
    <w:rsid w:val="445B0426"/>
    <w:rsid w:val="447A4D50"/>
    <w:rsid w:val="448C0A90"/>
    <w:rsid w:val="44915BF6"/>
    <w:rsid w:val="44A1052F"/>
    <w:rsid w:val="44B85878"/>
    <w:rsid w:val="44D0671E"/>
    <w:rsid w:val="44E16B7D"/>
    <w:rsid w:val="44E560B2"/>
    <w:rsid w:val="44F57952"/>
    <w:rsid w:val="44F763A1"/>
    <w:rsid w:val="45097E82"/>
    <w:rsid w:val="451A5BEB"/>
    <w:rsid w:val="452254A5"/>
    <w:rsid w:val="45380515"/>
    <w:rsid w:val="453942C3"/>
    <w:rsid w:val="453F3F6E"/>
    <w:rsid w:val="4541177A"/>
    <w:rsid w:val="454C6212"/>
    <w:rsid w:val="455870C9"/>
    <w:rsid w:val="455A248C"/>
    <w:rsid w:val="455B692F"/>
    <w:rsid w:val="455C26A8"/>
    <w:rsid w:val="455E01CE"/>
    <w:rsid w:val="45701CAF"/>
    <w:rsid w:val="4586275D"/>
    <w:rsid w:val="45A100BA"/>
    <w:rsid w:val="45CC4274"/>
    <w:rsid w:val="45DE620E"/>
    <w:rsid w:val="45E958C2"/>
    <w:rsid w:val="45EB67D2"/>
    <w:rsid w:val="4609638B"/>
    <w:rsid w:val="46144D30"/>
    <w:rsid w:val="46160AA8"/>
    <w:rsid w:val="463B406B"/>
    <w:rsid w:val="46412573"/>
    <w:rsid w:val="464F7B16"/>
    <w:rsid w:val="46525488"/>
    <w:rsid w:val="46554453"/>
    <w:rsid w:val="465B1E84"/>
    <w:rsid w:val="46804174"/>
    <w:rsid w:val="468C64C8"/>
    <w:rsid w:val="46A75BA4"/>
    <w:rsid w:val="46B9431C"/>
    <w:rsid w:val="46D83FB0"/>
    <w:rsid w:val="46DC584E"/>
    <w:rsid w:val="46DD15C6"/>
    <w:rsid w:val="46DF0E9A"/>
    <w:rsid w:val="46F069CC"/>
    <w:rsid w:val="46FD0452"/>
    <w:rsid w:val="46FE1EC1"/>
    <w:rsid w:val="46FF24EF"/>
    <w:rsid w:val="47173339"/>
    <w:rsid w:val="471D19C3"/>
    <w:rsid w:val="4726180B"/>
    <w:rsid w:val="473A2575"/>
    <w:rsid w:val="473B6AF6"/>
    <w:rsid w:val="47631ACB"/>
    <w:rsid w:val="47681176"/>
    <w:rsid w:val="476D22CC"/>
    <w:rsid w:val="477C0DDF"/>
    <w:rsid w:val="478B23DE"/>
    <w:rsid w:val="47905353"/>
    <w:rsid w:val="479271AB"/>
    <w:rsid w:val="479903C6"/>
    <w:rsid w:val="479B74B7"/>
    <w:rsid w:val="47AF0CB0"/>
    <w:rsid w:val="47C14A44"/>
    <w:rsid w:val="47ED5839"/>
    <w:rsid w:val="47EE3876"/>
    <w:rsid w:val="47FC0C33"/>
    <w:rsid w:val="482B052A"/>
    <w:rsid w:val="482F19AD"/>
    <w:rsid w:val="48321BFE"/>
    <w:rsid w:val="483B2A48"/>
    <w:rsid w:val="483D40CA"/>
    <w:rsid w:val="4840005F"/>
    <w:rsid w:val="484F2050"/>
    <w:rsid w:val="487A3570"/>
    <w:rsid w:val="487F60CE"/>
    <w:rsid w:val="48AB372A"/>
    <w:rsid w:val="48D24757"/>
    <w:rsid w:val="48DF1625"/>
    <w:rsid w:val="48E71DE0"/>
    <w:rsid w:val="48E955FE"/>
    <w:rsid w:val="48F50E49"/>
    <w:rsid w:val="49184B37"/>
    <w:rsid w:val="494476DB"/>
    <w:rsid w:val="49494CF1"/>
    <w:rsid w:val="49583186"/>
    <w:rsid w:val="49650D95"/>
    <w:rsid w:val="49775F25"/>
    <w:rsid w:val="49830203"/>
    <w:rsid w:val="498521CD"/>
    <w:rsid w:val="498875C7"/>
    <w:rsid w:val="499A72FA"/>
    <w:rsid w:val="49A81A17"/>
    <w:rsid w:val="49B900C8"/>
    <w:rsid w:val="49B948C6"/>
    <w:rsid w:val="49C36851"/>
    <w:rsid w:val="4A143551"/>
    <w:rsid w:val="4A3B4F46"/>
    <w:rsid w:val="4A4060F4"/>
    <w:rsid w:val="4A5971B6"/>
    <w:rsid w:val="4A5C2802"/>
    <w:rsid w:val="4A857FAB"/>
    <w:rsid w:val="4A871F75"/>
    <w:rsid w:val="4A9457E6"/>
    <w:rsid w:val="4A9F72BE"/>
    <w:rsid w:val="4AC16991"/>
    <w:rsid w:val="4AC24D5B"/>
    <w:rsid w:val="4ACB602B"/>
    <w:rsid w:val="4ACE1952"/>
    <w:rsid w:val="4AEC1DD8"/>
    <w:rsid w:val="4AEC6DA7"/>
    <w:rsid w:val="4AF8659B"/>
    <w:rsid w:val="4B0F4B86"/>
    <w:rsid w:val="4B200A28"/>
    <w:rsid w:val="4B35377F"/>
    <w:rsid w:val="4B4E4840"/>
    <w:rsid w:val="4B582164"/>
    <w:rsid w:val="4B585BB2"/>
    <w:rsid w:val="4B6E6C91"/>
    <w:rsid w:val="4B7324F9"/>
    <w:rsid w:val="4B8137BE"/>
    <w:rsid w:val="4B814C16"/>
    <w:rsid w:val="4B8169C4"/>
    <w:rsid w:val="4B8270B7"/>
    <w:rsid w:val="4B863FDA"/>
    <w:rsid w:val="4B882CCA"/>
    <w:rsid w:val="4B897627"/>
    <w:rsid w:val="4B9009B5"/>
    <w:rsid w:val="4BA803F5"/>
    <w:rsid w:val="4BC06985"/>
    <w:rsid w:val="4BD9235C"/>
    <w:rsid w:val="4BEF63DD"/>
    <w:rsid w:val="4C1710D6"/>
    <w:rsid w:val="4C172E84"/>
    <w:rsid w:val="4C266B6F"/>
    <w:rsid w:val="4C3C0B3D"/>
    <w:rsid w:val="4C417533"/>
    <w:rsid w:val="4C493FB8"/>
    <w:rsid w:val="4C4A14AC"/>
    <w:rsid w:val="4C545E87"/>
    <w:rsid w:val="4C7D77B7"/>
    <w:rsid w:val="4CAF54B5"/>
    <w:rsid w:val="4CCB5621"/>
    <w:rsid w:val="4CD6614F"/>
    <w:rsid w:val="4CD945DE"/>
    <w:rsid w:val="4CDB65A8"/>
    <w:rsid w:val="4CDE39A2"/>
    <w:rsid w:val="4D021466"/>
    <w:rsid w:val="4D147D15"/>
    <w:rsid w:val="4D203FBB"/>
    <w:rsid w:val="4D2C6E03"/>
    <w:rsid w:val="4D3D7270"/>
    <w:rsid w:val="4D491763"/>
    <w:rsid w:val="4D5E6D65"/>
    <w:rsid w:val="4D626BB3"/>
    <w:rsid w:val="4D6537ED"/>
    <w:rsid w:val="4D7A191D"/>
    <w:rsid w:val="4D7C3266"/>
    <w:rsid w:val="4D840509"/>
    <w:rsid w:val="4D8F712B"/>
    <w:rsid w:val="4D9B2972"/>
    <w:rsid w:val="4D9F75D5"/>
    <w:rsid w:val="4DAB7D28"/>
    <w:rsid w:val="4DB43081"/>
    <w:rsid w:val="4DC87D7D"/>
    <w:rsid w:val="4DDD1EDB"/>
    <w:rsid w:val="4DE80F7C"/>
    <w:rsid w:val="4DEB1F11"/>
    <w:rsid w:val="4DFD3E60"/>
    <w:rsid w:val="4E015B9A"/>
    <w:rsid w:val="4E1B3100"/>
    <w:rsid w:val="4E1C0C26"/>
    <w:rsid w:val="4E1C52A3"/>
    <w:rsid w:val="4E230DF5"/>
    <w:rsid w:val="4E2D698F"/>
    <w:rsid w:val="4E330B17"/>
    <w:rsid w:val="4E807407"/>
    <w:rsid w:val="4EA330F5"/>
    <w:rsid w:val="4EA8070C"/>
    <w:rsid w:val="4EB470B0"/>
    <w:rsid w:val="4EB87B5E"/>
    <w:rsid w:val="4EC866B8"/>
    <w:rsid w:val="4ECE7984"/>
    <w:rsid w:val="4ED137BE"/>
    <w:rsid w:val="4EDD3D64"/>
    <w:rsid w:val="4EE81AFA"/>
    <w:rsid w:val="4EF63225"/>
    <w:rsid w:val="4F0F2539"/>
    <w:rsid w:val="4F26273B"/>
    <w:rsid w:val="4F2F0FF2"/>
    <w:rsid w:val="4F440434"/>
    <w:rsid w:val="4F561F16"/>
    <w:rsid w:val="4F565CBB"/>
    <w:rsid w:val="4F6E725F"/>
    <w:rsid w:val="4F740E0E"/>
    <w:rsid w:val="4F7C7BCE"/>
    <w:rsid w:val="4F845501"/>
    <w:rsid w:val="4F894099"/>
    <w:rsid w:val="4F8A253C"/>
    <w:rsid w:val="4F950C90"/>
    <w:rsid w:val="4F9667B6"/>
    <w:rsid w:val="4FA16D29"/>
    <w:rsid w:val="4FAB04B3"/>
    <w:rsid w:val="4FCC21D8"/>
    <w:rsid w:val="4FD572DE"/>
    <w:rsid w:val="4FDC066D"/>
    <w:rsid w:val="4FE5334A"/>
    <w:rsid w:val="4FE70E6E"/>
    <w:rsid w:val="4FE87012"/>
    <w:rsid w:val="4FF9723D"/>
    <w:rsid w:val="4FFF25AD"/>
    <w:rsid w:val="50077ED7"/>
    <w:rsid w:val="500A32CB"/>
    <w:rsid w:val="502142D2"/>
    <w:rsid w:val="502E0831"/>
    <w:rsid w:val="502F155F"/>
    <w:rsid w:val="50354221"/>
    <w:rsid w:val="504A0F22"/>
    <w:rsid w:val="504A72AE"/>
    <w:rsid w:val="50726BE2"/>
    <w:rsid w:val="50870E47"/>
    <w:rsid w:val="50977777"/>
    <w:rsid w:val="50B11AF9"/>
    <w:rsid w:val="50EF2A55"/>
    <w:rsid w:val="50F24D94"/>
    <w:rsid w:val="50FE4613"/>
    <w:rsid w:val="51711289"/>
    <w:rsid w:val="517174DB"/>
    <w:rsid w:val="51840FBC"/>
    <w:rsid w:val="51856C95"/>
    <w:rsid w:val="51864D34"/>
    <w:rsid w:val="51894824"/>
    <w:rsid w:val="518E3BE9"/>
    <w:rsid w:val="51A11B6E"/>
    <w:rsid w:val="51B00003"/>
    <w:rsid w:val="51B11685"/>
    <w:rsid w:val="51C836E8"/>
    <w:rsid w:val="51D84E64"/>
    <w:rsid w:val="521F2A93"/>
    <w:rsid w:val="5227392D"/>
    <w:rsid w:val="522B58DB"/>
    <w:rsid w:val="52397FF8"/>
    <w:rsid w:val="523C53F3"/>
    <w:rsid w:val="524E0305"/>
    <w:rsid w:val="524F15CA"/>
    <w:rsid w:val="526D37FE"/>
    <w:rsid w:val="5288688A"/>
    <w:rsid w:val="528C45CC"/>
    <w:rsid w:val="529841B0"/>
    <w:rsid w:val="52AB2578"/>
    <w:rsid w:val="52AB64C9"/>
    <w:rsid w:val="52AC3333"/>
    <w:rsid w:val="52C04276"/>
    <w:rsid w:val="52C534B2"/>
    <w:rsid w:val="52C673B2"/>
    <w:rsid w:val="52D63A99"/>
    <w:rsid w:val="52E71802"/>
    <w:rsid w:val="52F65D6E"/>
    <w:rsid w:val="52F91536"/>
    <w:rsid w:val="52FF4DD7"/>
    <w:rsid w:val="530C1269"/>
    <w:rsid w:val="53193986"/>
    <w:rsid w:val="53206AC2"/>
    <w:rsid w:val="533A0733"/>
    <w:rsid w:val="534559D2"/>
    <w:rsid w:val="536410A5"/>
    <w:rsid w:val="53B25492"/>
    <w:rsid w:val="53EE096F"/>
    <w:rsid w:val="540D34EB"/>
    <w:rsid w:val="541C1980"/>
    <w:rsid w:val="541C54DC"/>
    <w:rsid w:val="542919A7"/>
    <w:rsid w:val="542E2280"/>
    <w:rsid w:val="543071D9"/>
    <w:rsid w:val="54336424"/>
    <w:rsid w:val="5438608E"/>
    <w:rsid w:val="543C5B7E"/>
    <w:rsid w:val="543D5452"/>
    <w:rsid w:val="54436F0C"/>
    <w:rsid w:val="54493DF7"/>
    <w:rsid w:val="544C75C8"/>
    <w:rsid w:val="544F0695"/>
    <w:rsid w:val="54B020C8"/>
    <w:rsid w:val="54BF40B9"/>
    <w:rsid w:val="54CD67D6"/>
    <w:rsid w:val="54D14506"/>
    <w:rsid w:val="54D33745"/>
    <w:rsid w:val="54E3249D"/>
    <w:rsid w:val="54EB4EAE"/>
    <w:rsid w:val="55056B6F"/>
    <w:rsid w:val="550B72FE"/>
    <w:rsid w:val="55342CF9"/>
    <w:rsid w:val="55564A1D"/>
    <w:rsid w:val="5563538C"/>
    <w:rsid w:val="55801A9A"/>
    <w:rsid w:val="55992B5C"/>
    <w:rsid w:val="55A21A11"/>
    <w:rsid w:val="55B300C2"/>
    <w:rsid w:val="55BD1A84"/>
    <w:rsid w:val="55E711DA"/>
    <w:rsid w:val="55EC5382"/>
    <w:rsid w:val="55EF275F"/>
    <w:rsid w:val="55F67FAE"/>
    <w:rsid w:val="56026815"/>
    <w:rsid w:val="5606673C"/>
    <w:rsid w:val="5627460C"/>
    <w:rsid w:val="566118CC"/>
    <w:rsid w:val="566B5F8F"/>
    <w:rsid w:val="566D200C"/>
    <w:rsid w:val="567A473C"/>
    <w:rsid w:val="567E3100"/>
    <w:rsid w:val="56A63783"/>
    <w:rsid w:val="56A812A9"/>
    <w:rsid w:val="56A874FB"/>
    <w:rsid w:val="56D54068"/>
    <w:rsid w:val="56EF512A"/>
    <w:rsid w:val="56F36D7A"/>
    <w:rsid w:val="57234DD3"/>
    <w:rsid w:val="5725579B"/>
    <w:rsid w:val="5726041F"/>
    <w:rsid w:val="57405985"/>
    <w:rsid w:val="574134AB"/>
    <w:rsid w:val="574376B4"/>
    <w:rsid w:val="57500440"/>
    <w:rsid w:val="57560D05"/>
    <w:rsid w:val="575907F5"/>
    <w:rsid w:val="577B69BD"/>
    <w:rsid w:val="578421FC"/>
    <w:rsid w:val="579E08FE"/>
    <w:rsid w:val="579F1996"/>
    <w:rsid w:val="57B62A48"/>
    <w:rsid w:val="57B9742D"/>
    <w:rsid w:val="57C873E9"/>
    <w:rsid w:val="57DA0C4C"/>
    <w:rsid w:val="57E02CC4"/>
    <w:rsid w:val="5814296E"/>
    <w:rsid w:val="5815081C"/>
    <w:rsid w:val="582726A1"/>
    <w:rsid w:val="582901C7"/>
    <w:rsid w:val="582A571D"/>
    <w:rsid w:val="586D4038"/>
    <w:rsid w:val="58731BEA"/>
    <w:rsid w:val="58824ECF"/>
    <w:rsid w:val="588540F9"/>
    <w:rsid w:val="5886386C"/>
    <w:rsid w:val="588854DF"/>
    <w:rsid w:val="58A27F7A"/>
    <w:rsid w:val="58B86E28"/>
    <w:rsid w:val="58DA5965"/>
    <w:rsid w:val="58E6255C"/>
    <w:rsid w:val="58F5279F"/>
    <w:rsid w:val="59071FB3"/>
    <w:rsid w:val="590F1AB3"/>
    <w:rsid w:val="591744C4"/>
    <w:rsid w:val="591764DD"/>
    <w:rsid w:val="591A1FE8"/>
    <w:rsid w:val="593E7CA2"/>
    <w:rsid w:val="59433CDD"/>
    <w:rsid w:val="59480B21"/>
    <w:rsid w:val="594A4ECB"/>
    <w:rsid w:val="595C45CC"/>
    <w:rsid w:val="5967369D"/>
    <w:rsid w:val="596B480F"/>
    <w:rsid w:val="597E2795"/>
    <w:rsid w:val="598558D1"/>
    <w:rsid w:val="598D29D8"/>
    <w:rsid w:val="598D6C40"/>
    <w:rsid w:val="599124C8"/>
    <w:rsid w:val="5999137D"/>
    <w:rsid w:val="599D70BF"/>
    <w:rsid w:val="59A85A64"/>
    <w:rsid w:val="59C70328"/>
    <w:rsid w:val="59EF71EF"/>
    <w:rsid w:val="5A117165"/>
    <w:rsid w:val="5A1E1882"/>
    <w:rsid w:val="5A1F7AD4"/>
    <w:rsid w:val="5A5B4884"/>
    <w:rsid w:val="5A663955"/>
    <w:rsid w:val="5A6951F3"/>
    <w:rsid w:val="5A6A06F6"/>
    <w:rsid w:val="5A731BCE"/>
    <w:rsid w:val="5A7E7F78"/>
    <w:rsid w:val="5A80128B"/>
    <w:rsid w:val="5A851901"/>
    <w:rsid w:val="5A864A50"/>
    <w:rsid w:val="5A955FE8"/>
    <w:rsid w:val="5AA1673B"/>
    <w:rsid w:val="5AD51B54"/>
    <w:rsid w:val="5ADE4336"/>
    <w:rsid w:val="5AE623A0"/>
    <w:rsid w:val="5AE67453"/>
    <w:rsid w:val="5AFE2B5B"/>
    <w:rsid w:val="5B0E7B48"/>
    <w:rsid w:val="5B101B12"/>
    <w:rsid w:val="5B275E78"/>
    <w:rsid w:val="5B286E5C"/>
    <w:rsid w:val="5B3752F1"/>
    <w:rsid w:val="5B3A12E0"/>
    <w:rsid w:val="5B3C43F9"/>
    <w:rsid w:val="5B411CCC"/>
    <w:rsid w:val="5B455011"/>
    <w:rsid w:val="5B4F689D"/>
    <w:rsid w:val="5B7C4AB2"/>
    <w:rsid w:val="5B871A54"/>
    <w:rsid w:val="5B8E1F77"/>
    <w:rsid w:val="5B953D21"/>
    <w:rsid w:val="5BC528FD"/>
    <w:rsid w:val="5BDB3ECE"/>
    <w:rsid w:val="5BE508A9"/>
    <w:rsid w:val="5C0E31E0"/>
    <w:rsid w:val="5C2515ED"/>
    <w:rsid w:val="5C294C3A"/>
    <w:rsid w:val="5C371101"/>
    <w:rsid w:val="5C6C6ABA"/>
    <w:rsid w:val="5CCB7A9F"/>
    <w:rsid w:val="5CE9261B"/>
    <w:rsid w:val="5D03088A"/>
    <w:rsid w:val="5D2B6790"/>
    <w:rsid w:val="5D373386"/>
    <w:rsid w:val="5D4B0BE0"/>
    <w:rsid w:val="5D6F0D72"/>
    <w:rsid w:val="5D7C348F"/>
    <w:rsid w:val="5D812854"/>
    <w:rsid w:val="5D814602"/>
    <w:rsid w:val="5DA721EE"/>
    <w:rsid w:val="5DDA44C4"/>
    <w:rsid w:val="5DDC5CDC"/>
    <w:rsid w:val="5DE828D3"/>
    <w:rsid w:val="5DED1C97"/>
    <w:rsid w:val="5E036058"/>
    <w:rsid w:val="5E0D4729"/>
    <w:rsid w:val="5E0D5F05"/>
    <w:rsid w:val="5E225DE5"/>
    <w:rsid w:val="5E27164D"/>
    <w:rsid w:val="5E4541A5"/>
    <w:rsid w:val="5E581806"/>
    <w:rsid w:val="5E622188"/>
    <w:rsid w:val="5E6A0C09"/>
    <w:rsid w:val="5E7D301B"/>
    <w:rsid w:val="5E841F66"/>
    <w:rsid w:val="5E850121"/>
    <w:rsid w:val="5E8C325E"/>
    <w:rsid w:val="5EA902B4"/>
    <w:rsid w:val="5ECF75EF"/>
    <w:rsid w:val="5ED846F5"/>
    <w:rsid w:val="5ED864A3"/>
    <w:rsid w:val="5EF157B7"/>
    <w:rsid w:val="5F014280"/>
    <w:rsid w:val="5F021772"/>
    <w:rsid w:val="5F04373C"/>
    <w:rsid w:val="5F0B4ACB"/>
    <w:rsid w:val="5F0C5367"/>
    <w:rsid w:val="5F1F2324"/>
    <w:rsid w:val="5F36189D"/>
    <w:rsid w:val="5F3833E6"/>
    <w:rsid w:val="5F555D46"/>
    <w:rsid w:val="5F571ABE"/>
    <w:rsid w:val="5F583601"/>
    <w:rsid w:val="5F61742A"/>
    <w:rsid w:val="5F9871DA"/>
    <w:rsid w:val="5F9F3465"/>
    <w:rsid w:val="5FB00017"/>
    <w:rsid w:val="5FD21144"/>
    <w:rsid w:val="5FD255E8"/>
    <w:rsid w:val="5FD96977"/>
    <w:rsid w:val="5FE57916"/>
    <w:rsid w:val="5FF67EAC"/>
    <w:rsid w:val="5FFE018B"/>
    <w:rsid w:val="60013D7F"/>
    <w:rsid w:val="60196D73"/>
    <w:rsid w:val="60213E7A"/>
    <w:rsid w:val="60363DC9"/>
    <w:rsid w:val="603C56C2"/>
    <w:rsid w:val="603E4B8A"/>
    <w:rsid w:val="604A2DD9"/>
    <w:rsid w:val="604E1113"/>
    <w:rsid w:val="6058765C"/>
    <w:rsid w:val="606A75CF"/>
    <w:rsid w:val="60804663"/>
    <w:rsid w:val="608C39E9"/>
    <w:rsid w:val="60917251"/>
    <w:rsid w:val="6098238E"/>
    <w:rsid w:val="609B1E7E"/>
    <w:rsid w:val="60BF4EB3"/>
    <w:rsid w:val="60E27AAD"/>
    <w:rsid w:val="60E539A3"/>
    <w:rsid w:val="60E6759D"/>
    <w:rsid w:val="60F17F09"/>
    <w:rsid w:val="60F33A68"/>
    <w:rsid w:val="60FD0443"/>
    <w:rsid w:val="61047A23"/>
    <w:rsid w:val="611D0AE5"/>
    <w:rsid w:val="612F525A"/>
    <w:rsid w:val="61364C91"/>
    <w:rsid w:val="613A1697"/>
    <w:rsid w:val="6151138E"/>
    <w:rsid w:val="61581B1D"/>
    <w:rsid w:val="61883922"/>
    <w:rsid w:val="61907509"/>
    <w:rsid w:val="61994610"/>
    <w:rsid w:val="619A2136"/>
    <w:rsid w:val="619E75CA"/>
    <w:rsid w:val="61D355A0"/>
    <w:rsid w:val="61DC62AA"/>
    <w:rsid w:val="61E403FB"/>
    <w:rsid w:val="61F47A98"/>
    <w:rsid w:val="61FE4473"/>
    <w:rsid w:val="62001846"/>
    <w:rsid w:val="620140DF"/>
    <w:rsid w:val="6206189C"/>
    <w:rsid w:val="620F042E"/>
    <w:rsid w:val="622A170C"/>
    <w:rsid w:val="623A42B8"/>
    <w:rsid w:val="625C50B7"/>
    <w:rsid w:val="62620EA5"/>
    <w:rsid w:val="626647B3"/>
    <w:rsid w:val="627E55B4"/>
    <w:rsid w:val="62970423"/>
    <w:rsid w:val="62BD1642"/>
    <w:rsid w:val="62C54E4A"/>
    <w:rsid w:val="62D1763C"/>
    <w:rsid w:val="62D376AD"/>
    <w:rsid w:val="62F12229"/>
    <w:rsid w:val="630261E5"/>
    <w:rsid w:val="631C1015"/>
    <w:rsid w:val="6329551F"/>
    <w:rsid w:val="632A16A7"/>
    <w:rsid w:val="63302D52"/>
    <w:rsid w:val="6345051E"/>
    <w:rsid w:val="63471D15"/>
    <w:rsid w:val="634C4DBD"/>
    <w:rsid w:val="636B26DB"/>
    <w:rsid w:val="63784A9C"/>
    <w:rsid w:val="637F15E3"/>
    <w:rsid w:val="63956756"/>
    <w:rsid w:val="63B147CB"/>
    <w:rsid w:val="63B55005"/>
    <w:rsid w:val="63BA086D"/>
    <w:rsid w:val="63CC3CF3"/>
    <w:rsid w:val="63CF41AF"/>
    <w:rsid w:val="63DC6A36"/>
    <w:rsid w:val="64124205"/>
    <w:rsid w:val="64145061"/>
    <w:rsid w:val="64165252"/>
    <w:rsid w:val="64191A38"/>
    <w:rsid w:val="64416899"/>
    <w:rsid w:val="644F5459"/>
    <w:rsid w:val="6456039C"/>
    <w:rsid w:val="64570C2A"/>
    <w:rsid w:val="64713622"/>
    <w:rsid w:val="64715A0E"/>
    <w:rsid w:val="64721DC1"/>
    <w:rsid w:val="6490508C"/>
    <w:rsid w:val="64A137DB"/>
    <w:rsid w:val="64DB0657"/>
    <w:rsid w:val="64E558BE"/>
    <w:rsid w:val="651E4E2C"/>
    <w:rsid w:val="65286A1A"/>
    <w:rsid w:val="654C1999"/>
    <w:rsid w:val="655A60B2"/>
    <w:rsid w:val="655B7737"/>
    <w:rsid w:val="656E2178"/>
    <w:rsid w:val="658514DA"/>
    <w:rsid w:val="658E3D60"/>
    <w:rsid w:val="65AC2438"/>
    <w:rsid w:val="65B71508"/>
    <w:rsid w:val="65BA4B55"/>
    <w:rsid w:val="65BA6903"/>
    <w:rsid w:val="65C638F5"/>
    <w:rsid w:val="65ED4F48"/>
    <w:rsid w:val="65F71905"/>
    <w:rsid w:val="65F938CF"/>
    <w:rsid w:val="66081D64"/>
    <w:rsid w:val="66124586"/>
    <w:rsid w:val="6616725E"/>
    <w:rsid w:val="66187ACD"/>
    <w:rsid w:val="661B13ED"/>
    <w:rsid w:val="662465C8"/>
    <w:rsid w:val="665A1CA4"/>
    <w:rsid w:val="665F56FC"/>
    <w:rsid w:val="66737EE4"/>
    <w:rsid w:val="668141DE"/>
    <w:rsid w:val="66C24F70"/>
    <w:rsid w:val="66CB4350"/>
    <w:rsid w:val="66ED4AB6"/>
    <w:rsid w:val="66FE4F15"/>
    <w:rsid w:val="67006EDF"/>
    <w:rsid w:val="6712451C"/>
    <w:rsid w:val="67284C27"/>
    <w:rsid w:val="673715D0"/>
    <w:rsid w:val="67557EB5"/>
    <w:rsid w:val="675C1FE7"/>
    <w:rsid w:val="67670D0C"/>
    <w:rsid w:val="6771220F"/>
    <w:rsid w:val="67864576"/>
    <w:rsid w:val="678E6299"/>
    <w:rsid w:val="67A96C2F"/>
    <w:rsid w:val="67C021CA"/>
    <w:rsid w:val="67D8681C"/>
    <w:rsid w:val="67EB36EB"/>
    <w:rsid w:val="67ED1A09"/>
    <w:rsid w:val="67F02AB0"/>
    <w:rsid w:val="680700DC"/>
    <w:rsid w:val="68126ECA"/>
    <w:rsid w:val="6820259D"/>
    <w:rsid w:val="682E35D8"/>
    <w:rsid w:val="68490412"/>
    <w:rsid w:val="685C6397"/>
    <w:rsid w:val="685D03F9"/>
    <w:rsid w:val="685F7C35"/>
    <w:rsid w:val="686C6B6B"/>
    <w:rsid w:val="68813268"/>
    <w:rsid w:val="68BC6E36"/>
    <w:rsid w:val="68BE1741"/>
    <w:rsid w:val="68BF71FB"/>
    <w:rsid w:val="68C82C22"/>
    <w:rsid w:val="6905258B"/>
    <w:rsid w:val="6924318E"/>
    <w:rsid w:val="69273E73"/>
    <w:rsid w:val="693115D2"/>
    <w:rsid w:val="693B7D5A"/>
    <w:rsid w:val="694A2693"/>
    <w:rsid w:val="694C1F68"/>
    <w:rsid w:val="695D4175"/>
    <w:rsid w:val="696C085C"/>
    <w:rsid w:val="69794D27"/>
    <w:rsid w:val="698E07D2"/>
    <w:rsid w:val="69951B60"/>
    <w:rsid w:val="69BA15C7"/>
    <w:rsid w:val="69C55155"/>
    <w:rsid w:val="69F30635"/>
    <w:rsid w:val="6A042842"/>
    <w:rsid w:val="6A097E59"/>
    <w:rsid w:val="6A465C5D"/>
    <w:rsid w:val="6A51640E"/>
    <w:rsid w:val="6A6B466F"/>
    <w:rsid w:val="6A786D8C"/>
    <w:rsid w:val="6A863A05"/>
    <w:rsid w:val="6A883473"/>
    <w:rsid w:val="6AA67D9D"/>
    <w:rsid w:val="6AB9187F"/>
    <w:rsid w:val="6ABB4EF4"/>
    <w:rsid w:val="6AC344AB"/>
    <w:rsid w:val="6AC55036"/>
    <w:rsid w:val="6ACE4BFE"/>
    <w:rsid w:val="6ADF1E70"/>
    <w:rsid w:val="6AE13432"/>
    <w:rsid w:val="6AEB2C75"/>
    <w:rsid w:val="6AFE3735"/>
    <w:rsid w:val="6B014FD4"/>
    <w:rsid w:val="6B050FEE"/>
    <w:rsid w:val="6B252A70"/>
    <w:rsid w:val="6B2667E8"/>
    <w:rsid w:val="6B421874"/>
    <w:rsid w:val="6B460C38"/>
    <w:rsid w:val="6B482C03"/>
    <w:rsid w:val="6B4E7C5A"/>
    <w:rsid w:val="6B531AB3"/>
    <w:rsid w:val="6B560266"/>
    <w:rsid w:val="6B5B7BB3"/>
    <w:rsid w:val="6B5C220A"/>
    <w:rsid w:val="6B647ACE"/>
    <w:rsid w:val="6B7834E8"/>
    <w:rsid w:val="6B9051F9"/>
    <w:rsid w:val="6B9876E6"/>
    <w:rsid w:val="6B991B92"/>
    <w:rsid w:val="6BC7621D"/>
    <w:rsid w:val="6BCA055A"/>
    <w:rsid w:val="6BCE6D20"/>
    <w:rsid w:val="6BD34BC2"/>
    <w:rsid w:val="6BE75F78"/>
    <w:rsid w:val="6BF012D0"/>
    <w:rsid w:val="6C045D80"/>
    <w:rsid w:val="6C0C513D"/>
    <w:rsid w:val="6C1A459F"/>
    <w:rsid w:val="6C1B3E73"/>
    <w:rsid w:val="6C347ED9"/>
    <w:rsid w:val="6C360CAD"/>
    <w:rsid w:val="6C445178"/>
    <w:rsid w:val="6C4B378C"/>
    <w:rsid w:val="6C4B3F13"/>
    <w:rsid w:val="6C4C0AD1"/>
    <w:rsid w:val="6C4D758C"/>
    <w:rsid w:val="6C597133"/>
    <w:rsid w:val="6C8B724B"/>
    <w:rsid w:val="6C8E5108"/>
    <w:rsid w:val="6C937EAD"/>
    <w:rsid w:val="6C944351"/>
    <w:rsid w:val="6C9E6F7E"/>
    <w:rsid w:val="6CCF0D79"/>
    <w:rsid w:val="6CDA3D2E"/>
    <w:rsid w:val="6CEE1E7E"/>
    <w:rsid w:val="6CF3576D"/>
    <w:rsid w:val="6D0226C3"/>
    <w:rsid w:val="6D0F5D7A"/>
    <w:rsid w:val="6D166445"/>
    <w:rsid w:val="6D203E37"/>
    <w:rsid w:val="6D3452D3"/>
    <w:rsid w:val="6D4E1FD9"/>
    <w:rsid w:val="6D605FE2"/>
    <w:rsid w:val="6D745F31"/>
    <w:rsid w:val="6D8018C0"/>
    <w:rsid w:val="6D9143ED"/>
    <w:rsid w:val="6D960677"/>
    <w:rsid w:val="6D9E6CE0"/>
    <w:rsid w:val="6DA77C55"/>
    <w:rsid w:val="6DAA54AF"/>
    <w:rsid w:val="6DB14A8F"/>
    <w:rsid w:val="6DCA36D7"/>
    <w:rsid w:val="6DCE4C80"/>
    <w:rsid w:val="6DFA4688"/>
    <w:rsid w:val="6DFA6436"/>
    <w:rsid w:val="6E0472B5"/>
    <w:rsid w:val="6E166FE8"/>
    <w:rsid w:val="6E1B63AC"/>
    <w:rsid w:val="6E1D0376"/>
    <w:rsid w:val="6E213562"/>
    <w:rsid w:val="6E3A4A84"/>
    <w:rsid w:val="6E511637"/>
    <w:rsid w:val="6E535B46"/>
    <w:rsid w:val="6E557448"/>
    <w:rsid w:val="6E7F2DDF"/>
    <w:rsid w:val="6E7F3A9C"/>
    <w:rsid w:val="6ED24CBD"/>
    <w:rsid w:val="6ED870F8"/>
    <w:rsid w:val="6EE20FB0"/>
    <w:rsid w:val="6EE5266B"/>
    <w:rsid w:val="6F0B01CF"/>
    <w:rsid w:val="6F0C75E9"/>
    <w:rsid w:val="6F0F1F10"/>
    <w:rsid w:val="6F127BBD"/>
    <w:rsid w:val="6F1C23DC"/>
    <w:rsid w:val="6F235519"/>
    <w:rsid w:val="6F34175B"/>
    <w:rsid w:val="6F343BCA"/>
    <w:rsid w:val="6F413BF1"/>
    <w:rsid w:val="6F82139A"/>
    <w:rsid w:val="6F8A37EA"/>
    <w:rsid w:val="6F9603E0"/>
    <w:rsid w:val="6FA7614A"/>
    <w:rsid w:val="6FBB7EE7"/>
    <w:rsid w:val="6FC860C0"/>
    <w:rsid w:val="6FD41ABE"/>
    <w:rsid w:val="6FE13847"/>
    <w:rsid w:val="701F6C1E"/>
    <w:rsid w:val="702A0B29"/>
    <w:rsid w:val="7034110A"/>
    <w:rsid w:val="70347EC5"/>
    <w:rsid w:val="7037325E"/>
    <w:rsid w:val="70386C15"/>
    <w:rsid w:val="704C0A9F"/>
    <w:rsid w:val="705362D1"/>
    <w:rsid w:val="705636CC"/>
    <w:rsid w:val="70716758"/>
    <w:rsid w:val="70756248"/>
    <w:rsid w:val="707D6EAA"/>
    <w:rsid w:val="70877D29"/>
    <w:rsid w:val="70BA5135"/>
    <w:rsid w:val="70C865BA"/>
    <w:rsid w:val="70D0347E"/>
    <w:rsid w:val="70E37655"/>
    <w:rsid w:val="70EE5FFA"/>
    <w:rsid w:val="710359C7"/>
    <w:rsid w:val="7104581E"/>
    <w:rsid w:val="710C4F64"/>
    <w:rsid w:val="712832BA"/>
    <w:rsid w:val="712E7CE0"/>
    <w:rsid w:val="7141684A"/>
    <w:rsid w:val="71494FDF"/>
    <w:rsid w:val="714B2F5B"/>
    <w:rsid w:val="714D518E"/>
    <w:rsid w:val="715B3690"/>
    <w:rsid w:val="716342F2"/>
    <w:rsid w:val="719B7F30"/>
    <w:rsid w:val="719E532A"/>
    <w:rsid w:val="71A306A7"/>
    <w:rsid w:val="71A37C91"/>
    <w:rsid w:val="71BB56FA"/>
    <w:rsid w:val="71D96521"/>
    <w:rsid w:val="72281098"/>
    <w:rsid w:val="723B0DCB"/>
    <w:rsid w:val="724F424E"/>
    <w:rsid w:val="72677E12"/>
    <w:rsid w:val="728B1D53"/>
    <w:rsid w:val="729C3F60"/>
    <w:rsid w:val="72A44BC2"/>
    <w:rsid w:val="72BD5C84"/>
    <w:rsid w:val="72D66D46"/>
    <w:rsid w:val="72EB27F1"/>
    <w:rsid w:val="72EB459F"/>
    <w:rsid w:val="72EC51B3"/>
    <w:rsid w:val="72ED34B8"/>
    <w:rsid w:val="72FA32DB"/>
    <w:rsid w:val="73010267"/>
    <w:rsid w:val="730758BC"/>
    <w:rsid w:val="73136182"/>
    <w:rsid w:val="73221F8B"/>
    <w:rsid w:val="73281C56"/>
    <w:rsid w:val="733028FA"/>
    <w:rsid w:val="733046A8"/>
    <w:rsid w:val="73315854"/>
    <w:rsid w:val="7349146F"/>
    <w:rsid w:val="73571C35"/>
    <w:rsid w:val="735E2268"/>
    <w:rsid w:val="735F0AE9"/>
    <w:rsid w:val="73657957"/>
    <w:rsid w:val="737C6D64"/>
    <w:rsid w:val="73834F73"/>
    <w:rsid w:val="73B01345"/>
    <w:rsid w:val="73B47087"/>
    <w:rsid w:val="73C3551C"/>
    <w:rsid w:val="73CA68AB"/>
    <w:rsid w:val="73D9089C"/>
    <w:rsid w:val="73DE4A8A"/>
    <w:rsid w:val="73FE6554"/>
    <w:rsid w:val="74235FBB"/>
    <w:rsid w:val="74244BBD"/>
    <w:rsid w:val="7440091B"/>
    <w:rsid w:val="74441AFF"/>
    <w:rsid w:val="7491438D"/>
    <w:rsid w:val="74961CFE"/>
    <w:rsid w:val="749F246B"/>
    <w:rsid w:val="74AF784E"/>
    <w:rsid w:val="74B02D01"/>
    <w:rsid w:val="74BF0D5E"/>
    <w:rsid w:val="74D37CCA"/>
    <w:rsid w:val="74DC2D7E"/>
    <w:rsid w:val="74F0721D"/>
    <w:rsid w:val="74FD680C"/>
    <w:rsid w:val="750162FC"/>
    <w:rsid w:val="75267B11"/>
    <w:rsid w:val="752E2E69"/>
    <w:rsid w:val="75387844"/>
    <w:rsid w:val="753C330D"/>
    <w:rsid w:val="75457333"/>
    <w:rsid w:val="757E794D"/>
    <w:rsid w:val="758A05A4"/>
    <w:rsid w:val="75901BFB"/>
    <w:rsid w:val="75970A0E"/>
    <w:rsid w:val="759876DF"/>
    <w:rsid w:val="75A4312B"/>
    <w:rsid w:val="75A46F31"/>
    <w:rsid w:val="75A8117E"/>
    <w:rsid w:val="75E55C1E"/>
    <w:rsid w:val="75E83018"/>
    <w:rsid w:val="75F24464"/>
    <w:rsid w:val="75FA70B8"/>
    <w:rsid w:val="76197675"/>
    <w:rsid w:val="761E2EDE"/>
    <w:rsid w:val="761E6A3A"/>
    <w:rsid w:val="762A2599"/>
    <w:rsid w:val="7641097A"/>
    <w:rsid w:val="76465CA4"/>
    <w:rsid w:val="76527883"/>
    <w:rsid w:val="76593F16"/>
    <w:rsid w:val="76676633"/>
    <w:rsid w:val="767A147A"/>
    <w:rsid w:val="767D5E56"/>
    <w:rsid w:val="768D2719"/>
    <w:rsid w:val="76967AE3"/>
    <w:rsid w:val="76AF3B36"/>
    <w:rsid w:val="76C53359"/>
    <w:rsid w:val="76CC293A"/>
    <w:rsid w:val="76DB2B7D"/>
    <w:rsid w:val="76E01F41"/>
    <w:rsid w:val="76F77172"/>
    <w:rsid w:val="771852A8"/>
    <w:rsid w:val="77312D10"/>
    <w:rsid w:val="77471AC4"/>
    <w:rsid w:val="77587D9F"/>
    <w:rsid w:val="77664B3C"/>
    <w:rsid w:val="77737259"/>
    <w:rsid w:val="778E31B0"/>
    <w:rsid w:val="779A47E6"/>
    <w:rsid w:val="77A711E5"/>
    <w:rsid w:val="77B27D81"/>
    <w:rsid w:val="77B75C63"/>
    <w:rsid w:val="77BF1197"/>
    <w:rsid w:val="77D0645A"/>
    <w:rsid w:val="77DC095A"/>
    <w:rsid w:val="77EC380F"/>
    <w:rsid w:val="77F122C3"/>
    <w:rsid w:val="77FA431C"/>
    <w:rsid w:val="78000AED"/>
    <w:rsid w:val="78006D3F"/>
    <w:rsid w:val="78153E6C"/>
    <w:rsid w:val="782347DB"/>
    <w:rsid w:val="784F3822"/>
    <w:rsid w:val="785B6A4B"/>
    <w:rsid w:val="78700AEC"/>
    <w:rsid w:val="78720118"/>
    <w:rsid w:val="78817E80"/>
    <w:rsid w:val="78881314"/>
    <w:rsid w:val="78E81581"/>
    <w:rsid w:val="78E937B9"/>
    <w:rsid w:val="78FE4D5E"/>
    <w:rsid w:val="791B49FB"/>
    <w:rsid w:val="792425B9"/>
    <w:rsid w:val="794970F6"/>
    <w:rsid w:val="794A0ECC"/>
    <w:rsid w:val="7950774B"/>
    <w:rsid w:val="795A13EC"/>
    <w:rsid w:val="796C5667"/>
    <w:rsid w:val="79752E15"/>
    <w:rsid w:val="797D616D"/>
    <w:rsid w:val="798F3A5E"/>
    <w:rsid w:val="799F634B"/>
    <w:rsid w:val="79AC0800"/>
    <w:rsid w:val="79B25E17"/>
    <w:rsid w:val="79BD47BC"/>
    <w:rsid w:val="79CB512B"/>
    <w:rsid w:val="79EB30D7"/>
    <w:rsid w:val="79FF3026"/>
    <w:rsid w:val="7A146E06"/>
    <w:rsid w:val="7A1532E7"/>
    <w:rsid w:val="7A2D36EF"/>
    <w:rsid w:val="7A41010A"/>
    <w:rsid w:val="7A4A15A8"/>
    <w:rsid w:val="7A4C5587"/>
    <w:rsid w:val="7A552488"/>
    <w:rsid w:val="7A6335B5"/>
    <w:rsid w:val="7A635363"/>
    <w:rsid w:val="7A862E00"/>
    <w:rsid w:val="7A8D0632"/>
    <w:rsid w:val="7A9C77AE"/>
    <w:rsid w:val="7AB73F37"/>
    <w:rsid w:val="7ABE2599"/>
    <w:rsid w:val="7AD43DCB"/>
    <w:rsid w:val="7ADE09A6"/>
    <w:rsid w:val="7AE51608"/>
    <w:rsid w:val="7AE53FCA"/>
    <w:rsid w:val="7AEE7323"/>
    <w:rsid w:val="7AF8058E"/>
    <w:rsid w:val="7AF81F4F"/>
    <w:rsid w:val="7B2A7C2F"/>
    <w:rsid w:val="7B486307"/>
    <w:rsid w:val="7B684125"/>
    <w:rsid w:val="7B7A2964"/>
    <w:rsid w:val="7B7D31C4"/>
    <w:rsid w:val="7B8E776C"/>
    <w:rsid w:val="7B9375BF"/>
    <w:rsid w:val="7B9E0996"/>
    <w:rsid w:val="7BC2430B"/>
    <w:rsid w:val="7BDC53CD"/>
    <w:rsid w:val="7BE97AEA"/>
    <w:rsid w:val="7BEB7BB7"/>
    <w:rsid w:val="7C013085"/>
    <w:rsid w:val="7C057E14"/>
    <w:rsid w:val="7C1253BC"/>
    <w:rsid w:val="7C1B1A99"/>
    <w:rsid w:val="7C1D1CA8"/>
    <w:rsid w:val="7C224DAA"/>
    <w:rsid w:val="7C370855"/>
    <w:rsid w:val="7C423191"/>
    <w:rsid w:val="7C4D1E27"/>
    <w:rsid w:val="7C6113AE"/>
    <w:rsid w:val="7C61562B"/>
    <w:rsid w:val="7C792C1C"/>
    <w:rsid w:val="7C8C718A"/>
    <w:rsid w:val="7C961A20"/>
    <w:rsid w:val="7C9B6DD9"/>
    <w:rsid w:val="7C9E2B82"/>
    <w:rsid w:val="7CB1685A"/>
    <w:rsid w:val="7CCC5441"/>
    <w:rsid w:val="7CDB7433"/>
    <w:rsid w:val="7D0746CC"/>
    <w:rsid w:val="7D0A5F6A"/>
    <w:rsid w:val="7D0C35D2"/>
    <w:rsid w:val="7D0C3A90"/>
    <w:rsid w:val="7D3157E6"/>
    <w:rsid w:val="7D340266"/>
    <w:rsid w:val="7D585741"/>
    <w:rsid w:val="7D741635"/>
    <w:rsid w:val="7D7A4E9D"/>
    <w:rsid w:val="7D837FCA"/>
    <w:rsid w:val="7DAE0FEB"/>
    <w:rsid w:val="7DCC76C3"/>
    <w:rsid w:val="7DD1096F"/>
    <w:rsid w:val="7DD56578"/>
    <w:rsid w:val="7DE10D4F"/>
    <w:rsid w:val="7DEA19F0"/>
    <w:rsid w:val="7DEF65D0"/>
    <w:rsid w:val="7E124581"/>
    <w:rsid w:val="7E176B90"/>
    <w:rsid w:val="7E1F77F3"/>
    <w:rsid w:val="7E2272E3"/>
    <w:rsid w:val="7E3A287F"/>
    <w:rsid w:val="7E3A378D"/>
    <w:rsid w:val="7E406D3B"/>
    <w:rsid w:val="7E703D97"/>
    <w:rsid w:val="7EAC1F50"/>
    <w:rsid w:val="7EE06F82"/>
    <w:rsid w:val="7EF651B9"/>
    <w:rsid w:val="7EF97A8A"/>
    <w:rsid w:val="7F067F7C"/>
    <w:rsid w:val="7F0A2251"/>
    <w:rsid w:val="7F1B26B0"/>
    <w:rsid w:val="7F2E0730"/>
    <w:rsid w:val="7F3D0A9C"/>
    <w:rsid w:val="7F4365A6"/>
    <w:rsid w:val="7F4A7452"/>
    <w:rsid w:val="7F601E71"/>
    <w:rsid w:val="7F686F78"/>
    <w:rsid w:val="7F767868"/>
    <w:rsid w:val="7F8E4463"/>
    <w:rsid w:val="7F912972"/>
    <w:rsid w:val="7FA53B5B"/>
    <w:rsid w:val="7FCB5E84"/>
    <w:rsid w:val="7FD34D39"/>
    <w:rsid w:val="7FF01672"/>
    <w:rsid w:val="7FF11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43"/>
    <w:qFormat/>
    <w:uiPriority w:val="0"/>
    <w:pPr>
      <w:keepNext/>
      <w:keepLines/>
      <w:autoSpaceDE w:val="0"/>
      <w:autoSpaceDN w:val="0"/>
      <w:adjustRightInd w:val="0"/>
      <w:spacing w:before="240" w:after="120" w:line="300" w:lineRule="auto"/>
      <w:jc w:val="center"/>
      <w:outlineLvl w:val="0"/>
    </w:pPr>
    <w:rPr>
      <w:rFonts w:ascii="宋体"/>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spacing w:before="360" w:after="120"/>
      <w:jc w:val="left"/>
      <w:outlineLvl w:val="2"/>
    </w:pPr>
    <w:rPr>
      <w:rFonts w:ascii="宋体" w:hAnsi="Times New Roman" w:eastAsia="宋体"/>
      <w:sz w:val="24"/>
      <w:u w:val="single"/>
    </w:rPr>
  </w:style>
  <w:style w:type="paragraph" w:styleId="6">
    <w:name w:val="heading 4"/>
    <w:basedOn w:val="1"/>
    <w:next w:val="1"/>
    <w:qFormat/>
    <w:uiPriority w:val="0"/>
    <w:pPr>
      <w:keepNext/>
      <w:keepLines/>
      <w:spacing w:before="280" w:beforeAutospacing="0" w:after="290" w:afterAutospacing="0" w:line="372" w:lineRule="auto"/>
      <w:outlineLvl w:val="3"/>
    </w:pPr>
    <w:rPr>
      <w:rFonts w:ascii="Arial" w:hAnsi="Arial" w:eastAsia="黑体"/>
      <w:b/>
      <w:sz w:val="28"/>
    </w:rPr>
  </w:style>
  <w:style w:type="character" w:default="1" w:styleId="32">
    <w:name w:val="Default Paragraph Font"/>
    <w:qFormat/>
    <w:uiPriority w:val="1"/>
  </w:style>
  <w:style w:type="table" w:default="1" w:styleId="30">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7">
    <w:name w:val="Normal Indent"/>
    <w:basedOn w:val="1"/>
    <w:next w:val="8"/>
    <w:qFormat/>
    <w:uiPriority w:val="0"/>
    <w:pPr>
      <w:autoSpaceDE w:val="0"/>
      <w:autoSpaceDN w:val="0"/>
      <w:adjustRightInd w:val="0"/>
      <w:ind w:firstLine="420"/>
      <w:jc w:val="left"/>
    </w:pPr>
    <w:rPr>
      <w:rFonts w:ascii="宋体" w:hAnsi="Times New Roman"/>
      <w:kern w:val="0"/>
      <w:sz w:val="24"/>
      <w:szCs w:val="20"/>
    </w:rPr>
  </w:style>
  <w:style w:type="paragraph" w:styleId="8">
    <w:name w:val="toa heading"/>
    <w:basedOn w:val="1"/>
    <w:next w:val="1"/>
    <w:qFormat/>
    <w:uiPriority w:val="0"/>
    <w:pPr>
      <w:widowControl/>
      <w:spacing w:before="120"/>
      <w:ind w:firstLine="3584"/>
    </w:pPr>
  </w:style>
  <w:style w:type="paragraph" w:styleId="9">
    <w:name w:val="index 5"/>
    <w:basedOn w:val="1"/>
    <w:next w:val="1"/>
    <w:semiHidden/>
    <w:qFormat/>
    <w:uiPriority w:val="0"/>
    <w:pPr>
      <w:ind w:left="800" w:leftChars="800"/>
    </w:pPr>
  </w:style>
  <w:style w:type="paragraph" w:styleId="10">
    <w:name w:val="annotation text"/>
    <w:basedOn w:val="1"/>
    <w:link w:val="68"/>
    <w:qFormat/>
    <w:uiPriority w:val="0"/>
    <w:pPr>
      <w:jc w:val="left"/>
    </w:pPr>
  </w:style>
  <w:style w:type="paragraph" w:styleId="11">
    <w:name w:val="Body Text Indent"/>
    <w:basedOn w:val="1"/>
    <w:next w:val="12"/>
    <w:qFormat/>
    <w:uiPriority w:val="0"/>
    <w:pPr>
      <w:spacing w:line="360" w:lineRule="auto"/>
      <w:ind w:firstLine="570"/>
    </w:pPr>
    <w:rPr>
      <w:rFonts w:ascii="Times New Roman" w:hAnsi="Times New Roman"/>
      <w:sz w:val="24"/>
    </w:rPr>
  </w:style>
  <w:style w:type="paragraph" w:styleId="12">
    <w:name w:val="Body Text First Indent 2"/>
    <w:basedOn w:val="11"/>
    <w:next w:val="7"/>
    <w:qFormat/>
    <w:uiPriority w:val="0"/>
    <w:pPr>
      <w:ind w:firstLine="420" w:firstLineChars="200"/>
    </w:pPr>
  </w:style>
  <w:style w:type="paragraph" w:styleId="13">
    <w:name w:val="List 2"/>
    <w:basedOn w:val="1"/>
    <w:qFormat/>
    <w:uiPriority w:val="0"/>
    <w:pPr>
      <w:ind w:left="100" w:leftChars="200" w:hanging="200" w:hangingChars="200"/>
      <w:contextualSpacing/>
    </w:pPr>
  </w:style>
  <w:style w:type="paragraph" w:styleId="14">
    <w:name w:val="toc 3"/>
    <w:basedOn w:val="1"/>
    <w:next w:val="1"/>
    <w:qFormat/>
    <w:uiPriority w:val="0"/>
    <w:pPr>
      <w:ind w:left="840" w:leftChars="400"/>
    </w:pPr>
  </w:style>
  <w:style w:type="paragraph" w:styleId="15">
    <w:name w:val="Plain Text"/>
    <w:basedOn w:val="1"/>
    <w:next w:val="16"/>
    <w:qFormat/>
    <w:uiPriority w:val="0"/>
    <w:rPr>
      <w:rFonts w:ascii="宋体" w:hAnsi="Courier New"/>
      <w:szCs w:val="20"/>
    </w:rPr>
  </w:style>
  <w:style w:type="paragraph" w:styleId="16">
    <w:name w:val="index 7"/>
    <w:basedOn w:val="1"/>
    <w:next w:val="1"/>
    <w:qFormat/>
    <w:uiPriority w:val="0"/>
    <w:pPr>
      <w:autoSpaceDE/>
      <w:autoSpaceDN/>
      <w:adjustRightInd/>
      <w:ind w:left="1200" w:leftChars="1200"/>
    </w:pPr>
    <w:rPr>
      <w:color w:val="auto"/>
      <w:kern w:val="2"/>
      <w:szCs w:val="24"/>
    </w:rPr>
  </w:style>
  <w:style w:type="paragraph" w:styleId="17">
    <w:name w:val="Date"/>
    <w:basedOn w:val="1"/>
    <w:next w:val="1"/>
    <w:qFormat/>
    <w:uiPriority w:val="0"/>
    <w:pPr>
      <w:ind w:left="100" w:leftChars="2500"/>
    </w:pPr>
    <w:rPr>
      <w:rFonts w:ascii="仿宋_GB2312" w:hAnsi="Courier New" w:eastAsia="仿宋_GB2312"/>
      <w:kern w:val="0"/>
      <w:sz w:val="24"/>
    </w:rPr>
  </w:style>
  <w:style w:type="paragraph" w:styleId="18">
    <w:name w:val="Balloon Text"/>
    <w:basedOn w:val="1"/>
    <w:link w:val="67"/>
    <w:qFormat/>
    <w:uiPriority w:val="0"/>
    <w:rPr>
      <w:sz w:val="18"/>
      <w:szCs w:val="18"/>
    </w:rPr>
  </w:style>
  <w:style w:type="paragraph" w:styleId="19">
    <w:name w:val="footer"/>
    <w:basedOn w:val="1"/>
    <w:qFormat/>
    <w:uiPriority w:val="0"/>
    <w:pPr>
      <w:tabs>
        <w:tab w:val="center" w:pos="4153"/>
        <w:tab w:val="right" w:pos="8306"/>
      </w:tabs>
      <w:autoSpaceDE w:val="0"/>
      <w:autoSpaceDN w:val="0"/>
      <w:adjustRightInd w:val="0"/>
      <w:snapToGrid w:val="0"/>
      <w:jc w:val="left"/>
    </w:pPr>
    <w:rPr>
      <w:rFonts w:ascii="宋体" w:hAnsi="Times New Roman"/>
      <w:kern w:val="0"/>
      <w:sz w:val="18"/>
      <w:szCs w:val="20"/>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1">
    <w:name w:val="toc 1"/>
    <w:basedOn w:val="1"/>
    <w:next w:val="1"/>
    <w:qFormat/>
    <w:uiPriority w:val="0"/>
    <w:rPr>
      <w:rFonts w:ascii="Times New Roman" w:hAnsi="Times New Roman"/>
    </w:rPr>
  </w:style>
  <w:style w:type="paragraph" w:styleId="22">
    <w:name w:val="List Number 5"/>
    <w:basedOn w:val="1"/>
    <w:uiPriority w:val="0"/>
    <w:pPr>
      <w:numPr>
        <w:ilvl w:val="0"/>
        <w:numId w:val="1"/>
      </w:numPr>
    </w:pPr>
  </w:style>
  <w:style w:type="paragraph" w:styleId="23">
    <w:name w:val="footnote text"/>
    <w:basedOn w:val="1"/>
    <w:qFormat/>
    <w:uiPriority w:val="0"/>
    <w:pPr>
      <w:snapToGrid w:val="0"/>
      <w:jc w:val="left"/>
    </w:pPr>
    <w:rPr>
      <w:rFonts w:ascii="Times New Roman" w:hAnsi="Times New Roman"/>
      <w:sz w:val="18"/>
    </w:rPr>
  </w:style>
  <w:style w:type="paragraph" w:styleId="24">
    <w:name w:val="Body Text Indent 3"/>
    <w:basedOn w:val="1"/>
    <w:unhideWhenUsed/>
    <w:qFormat/>
    <w:uiPriority w:val="0"/>
    <w:pPr>
      <w:spacing w:after="120" w:line="440" w:lineRule="exact"/>
      <w:ind w:left="200" w:leftChars="200" w:firstLine="480" w:firstLineChars="200"/>
    </w:pPr>
    <w:rPr>
      <w:rFonts w:ascii="Times New Roman" w:hAnsi="Times New Roman" w:eastAsia="微软雅黑" w:cs="Arial"/>
      <w:sz w:val="16"/>
      <w:szCs w:val="16"/>
    </w:rPr>
  </w:style>
  <w:style w:type="paragraph" w:styleId="25">
    <w:name w:val="toc 2"/>
    <w:basedOn w:val="1"/>
    <w:next w:val="1"/>
    <w:qFormat/>
    <w:uiPriority w:val="0"/>
    <w:pPr>
      <w:ind w:left="420" w:leftChars="200"/>
    </w:pPr>
    <w:rPr>
      <w:rFonts w:ascii="Times New Roman" w:hAnsi="Times New Roman"/>
    </w:rPr>
  </w:style>
  <w:style w:type="paragraph" w:styleId="26">
    <w:name w:val="Normal (Web)"/>
    <w:basedOn w:val="1"/>
    <w:next w:val="1"/>
    <w:qFormat/>
    <w:uiPriority w:val="0"/>
    <w:pPr>
      <w:spacing w:beforeAutospacing="1" w:afterAutospacing="1"/>
      <w:jc w:val="left"/>
    </w:pPr>
    <w:rPr>
      <w:kern w:val="0"/>
      <w:sz w:val="24"/>
    </w:rPr>
  </w:style>
  <w:style w:type="paragraph" w:styleId="27">
    <w:name w:val="Title"/>
    <w:basedOn w:val="13"/>
    <w:next w:val="1"/>
    <w:qFormat/>
    <w:uiPriority w:val="10"/>
    <w:pPr>
      <w:spacing w:before="240" w:after="60"/>
      <w:jc w:val="center"/>
      <w:outlineLvl w:val="0"/>
    </w:pPr>
    <w:rPr>
      <w:rFonts w:ascii="Calibri Light" w:hAnsi="Calibri Light" w:eastAsia="宋体" w:cs="宋体"/>
      <w:b/>
      <w:bCs/>
      <w:sz w:val="32"/>
      <w:szCs w:val="32"/>
    </w:rPr>
  </w:style>
  <w:style w:type="paragraph" w:styleId="28">
    <w:name w:val="annotation subject"/>
    <w:basedOn w:val="10"/>
    <w:next w:val="10"/>
    <w:link w:val="69"/>
    <w:qFormat/>
    <w:uiPriority w:val="0"/>
    <w:rPr>
      <w:b/>
      <w:bCs/>
    </w:rPr>
  </w:style>
  <w:style w:type="paragraph" w:styleId="29">
    <w:name w:val="Body Text First Indent"/>
    <w:basedOn w:val="2"/>
    <w:next w:val="1"/>
    <w:qFormat/>
    <w:uiPriority w:val="0"/>
    <w:pPr>
      <w:spacing w:after="120" w:line="240" w:lineRule="auto"/>
      <w:ind w:firstLine="420" w:firstLineChars="100"/>
    </w:pPr>
    <w:rPr>
      <w:rFonts w:ascii="Calibri" w:hAnsi="Calibri"/>
      <w:sz w:val="18"/>
      <w:szCs w:val="18"/>
    </w:rPr>
  </w:style>
  <w:style w:type="table" w:styleId="31">
    <w:name w:val="Table Grid"/>
    <w:basedOn w:val="3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basedOn w:val="32"/>
    <w:qFormat/>
    <w:uiPriority w:val="0"/>
    <w:rPr>
      <w:b/>
      <w:bCs/>
    </w:rPr>
  </w:style>
  <w:style w:type="character" w:styleId="34">
    <w:name w:val="page number"/>
    <w:basedOn w:val="32"/>
    <w:qFormat/>
    <w:uiPriority w:val="0"/>
    <w:rPr>
      <w:rFonts w:ascii="Times New Roman" w:hAnsi="Times New Roman" w:eastAsia="宋体" w:cs="Times New Roman"/>
    </w:rPr>
  </w:style>
  <w:style w:type="character" w:styleId="35">
    <w:name w:val="Hyperlink"/>
    <w:basedOn w:val="32"/>
    <w:qFormat/>
    <w:uiPriority w:val="0"/>
    <w:rPr>
      <w:color w:val="0000FF"/>
      <w:u w:val="single"/>
    </w:rPr>
  </w:style>
  <w:style w:type="character" w:styleId="36">
    <w:name w:val="annotation reference"/>
    <w:basedOn w:val="32"/>
    <w:qFormat/>
    <w:uiPriority w:val="0"/>
    <w:rPr>
      <w:sz w:val="21"/>
      <w:szCs w:val="21"/>
    </w:rPr>
  </w:style>
  <w:style w:type="paragraph" w:styleId="37">
    <w:name w:val="Quote"/>
    <w:basedOn w:val="1"/>
    <w:next w:val="1"/>
    <w:qFormat/>
    <w:uiPriority w:val="29"/>
    <w:pPr>
      <w:spacing w:beforeLines="50" w:afterLines="50" w:line="360" w:lineRule="auto"/>
    </w:pPr>
    <w:rPr>
      <w:i/>
      <w:iCs/>
      <w:color w:val="000000"/>
      <w:sz w:val="21"/>
      <w:szCs w:val="24"/>
      <w:lang w:val="zh-CN"/>
    </w:rPr>
  </w:style>
  <w:style w:type="paragraph" w:customStyle="1" w:styleId="38">
    <w:name w:val="正文王森"/>
    <w:basedOn w:val="1"/>
    <w:qFormat/>
    <w:uiPriority w:val="0"/>
    <w:pPr>
      <w:spacing w:line="360" w:lineRule="auto"/>
      <w:ind w:firstLine="480" w:firstLineChars="200"/>
    </w:pPr>
    <w:rPr>
      <w:rFonts w:ascii="黑体" w:hAnsi="黑体" w:eastAsia="黑体"/>
      <w:sz w:val="24"/>
    </w:rPr>
  </w:style>
  <w:style w:type="paragraph" w:customStyle="1" w:styleId="39">
    <w:name w:val="List2"/>
    <w:basedOn w:val="1"/>
    <w:qFormat/>
    <w:uiPriority w:val="0"/>
    <w:pPr>
      <w:widowControl/>
      <w:ind w:left="100" w:leftChars="200" w:hanging="200" w:hangingChars="200"/>
      <w:contextualSpacing/>
      <w:textAlignment w:val="baseline"/>
    </w:pPr>
  </w:style>
  <w:style w:type="paragraph" w:customStyle="1" w:styleId="40">
    <w:name w:val="Heading3"/>
    <w:basedOn w:val="1"/>
    <w:next w:val="1"/>
    <w:qFormat/>
    <w:uiPriority w:val="0"/>
    <w:pPr>
      <w:keepNext/>
      <w:numPr>
        <w:ilvl w:val="0"/>
        <w:numId w:val="2"/>
      </w:numPr>
      <w:jc w:val="both"/>
      <w:textAlignment w:val="baseline"/>
    </w:pPr>
    <w:rPr>
      <w:rFonts w:cs="Times New Roman"/>
      <w:b/>
      <w:bCs/>
      <w:kern w:val="2"/>
      <w:sz w:val="28"/>
      <w:szCs w:val="24"/>
      <w:lang w:val="en-US" w:eastAsia="zh-CN" w:bidi="ar-SA"/>
    </w:rPr>
  </w:style>
  <w:style w:type="paragraph" w:customStyle="1" w:styleId="41">
    <w:name w:val="BodyText"/>
    <w:basedOn w:val="1"/>
    <w:qFormat/>
    <w:uiPriority w:val="0"/>
    <w:pPr>
      <w:spacing w:after="120"/>
    </w:pPr>
  </w:style>
  <w:style w:type="paragraph" w:customStyle="1" w:styleId="42">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character" w:customStyle="1" w:styleId="43">
    <w:name w:val="标题 1 Char"/>
    <w:link w:val="3"/>
    <w:qFormat/>
    <w:uiPriority w:val="0"/>
    <w:rPr>
      <w:rFonts w:ascii="宋体"/>
      <w:b/>
      <w:kern w:val="44"/>
      <w:sz w:val="32"/>
      <w:szCs w:val="20"/>
    </w:rPr>
  </w:style>
  <w:style w:type="paragraph" w:customStyle="1" w:styleId="44">
    <w:name w:val="No Spacing_3b93350b-94da-44fa-8143-641484b951a0"/>
    <w:link w:val="61"/>
    <w:qFormat/>
    <w:uiPriority w:val="1"/>
    <w:pPr>
      <w:widowControl w:val="0"/>
      <w:jc w:val="both"/>
    </w:pPr>
    <w:rPr>
      <w:rFonts w:ascii="Calibri" w:hAnsi="Calibri" w:eastAsia="宋体" w:cs="Times New Roman"/>
      <w:kern w:val="2"/>
      <w:sz w:val="21"/>
      <w:szCs w:val="24"/>
      <w:lang w:val="en-US" w:eastAsia="zh-CN" w:bidi="ar-SA"/>
    </w:rPr>
  </w:style>
  <w:style w:type="character" w:customStyle="1" w:styleId="45">
    <w:name w:val="NormalCharacter"/>
    <w:qFormat/>
    <w:uiPriority w:val="0"/>
    <w:rPr>
      <w:rFonts w:ascii="Calibri" w:hAnsi="Calibri" w:eastAsia="宋体" w:cs="Times New Roman"/>
      <w:kern w:val="2"/>
      <w:sz w:val="21"/>
      <w:szCs w:val="24"/>
      <w:lang w:val="en-US" w:eastAsia="zh-CN" w:bidi="ar-SA"/>
    </w:rPr>
  </w:style>
  <w:style w:type="paragraph" w:customStyle="1" w:styleId="46">
    <w:name w:val="图例"/>
    <w:basedOn w:val="1"/>
    <w:qFormat/>
    <w:uiPriority w:val="0"/>
    <w:pPr>
      <w:spacing w:before="120" w:after="120" w:line="360" w:lineRule="auto"/>
      <w:jc w:val="center"/>
    </w:pPr>
    <w:rPr>
      <w:rFonts w:eastAsia="仿宋_GB2312"/>
      <w:b/>
      <w:sz w:val="24"/>
    </w:rPr>
  </w:style>
  <w:style w:type="paragraph" w:customStyle="1" w:styleId="47">
    <w:name w:val="列出段落1"/>
    <w:basedOn w:val="1"/>
    <w:qFormat/>
    <w:uiPriority w:val="0"/>
    <w:pPr>
      <w:ind w:firstLine="420" w:firstLineChars="200"/>
    </w:pPr>
  </w:style>
  <w:style w:type="paragraph" w:customStyle="1" w:styleId="48">
    <w:name w:val="List Paragraph_7aecd6e6-fc70-4df6-be05-ef790174fbad"/>
    <w:basedOn w:val="1"/>
    <w:qFormat/>
    <w:uiPriority w:val="34"/>
    <w:pPr>
      <w:ind w:firstLine="420" w:firstLineChars="200"/>
    </w:pPr>
  </w:style>
  <w:style w:type="paragraph" w:customStyle="1" w:styleId="49">
    <w:name w:val="正文-manu"/>
    <w:basedOn w:val="1"/>
    <w:qFormat/>
    <w:uiPriority w:val="0"/>
    <w:pPr>
      <w:spacing w:line="300" w:lineRule="auto"/>
    </w:pPr>
    <w:rPr>
      <w:b/>
      <w:snapToGrid w:val="0"/>
      <w:kern w:val="0"/>
      <w:sz w:val="24"/>
      <w:szCs w:val="20"/>
    </w:rPr>
  </w:style>
  <w:style w:type="character" w:customStyle="1" w:styleId="50">
    <w:name w:val="font01"/>
    <w:basedOn w:val="32"/>
    <w:qFormat/>
    <w:uiPriority w:val="0"/>
    <w:rPr>
      <w:rFonts w:hint="default" w:ascii="Arial" w:hAnsi="Arial" w:cs="Arial"/>
      <w:color w:val="000000"/>
      <w:sz w:val="22"/>
      <w:szCs w:val="22"/>
      <w:u w:val="none"/>
    </w:rPr>
  </w:style>
  <w:style w:type="character" w:customStyle="1" w:styleId="51">
    <w:name w:val="font41"/>
    <w:basedOn w:val="32"/>
    <w:qFormat/>
    <w:uiPriority w:val="0"/>
    <w:rPr>
      <w:rFonts w:hint="eastAsia" w:ascii="宋体" w:hAnsi="宋体" w:eastAsia="宋体" w:cs="宋体"/>
      <w:color w:val="000000"/>
      <w:sz w:val="22"/>
      <w:szCs w:val="22"/>
      <w:u w:val="none"/>
    </w:rPr>
  </w:style>
  <w:style w:type="character" w:customStyle="1" w:styleId="52">
    <w:name w:val="font51"/>
    <w:basedOn w:val="32"/>
    <w:qFormat/>
    <w:uiPriority w:val="0"/>
    <w:rPr>
      <w:rFonts w:hint="eastAsia" w:ascii="宋体" w:hAnsi="宋体" w:eastAsia="宋体" w:cs="宋体"/>
      <w:color w:val="000000"/>
      <w:sz w:val="22"/>
      <w:szCs w:val="22"/>
      <w:u w:val="none"/>
    </w:rPr>
  </w:style>
  <w:style w:type="character" w:customStyle="1" w:styleId="53">
    <w:name w:val="font31"/>
    <w:basedOn w:val="32"/>
    <w:qFormat/>
    <w:uiPriority w:val="0"/>
    <w:rPr>
      <w:rFonts w:hint="default" w:ascii="Arial" w:hAnsi="Arial" w:cs="Arial"/>
      <w:b/>
      <w:color w:val="000000"/>
      <w:sz w:val="22"/>
      <w:szCs w:val="22"/>
      <w:u w:val="none"/>
    </w:rPr>
  </w:style>
  <w:style w:type="character" w:customStyle="1" w:styleId="54">
    <w:name w:val="font91"/>
    <w:basedOn w:val="32"/>
    <w:qFormat/>
    <w:uiPriority w:val="0"/>
    <w:rPr>
      <w:rFonts w:hint="default" w:ascii="Arial" w:hAnsi="Arial" w:cs="Arial"/>
      <w:color w:val="000000"/>
      <w:sz w:val="22"/>
      <w:szCs w:val="22"/>
      <w:u w:val="none"/>
    </w:rPr>
  </w:style>
  <w:style w:type="character" w:customStyle="1" w:styleId="55">
    <w:name w:val="font81"/>
    <w:basedOn w:val="32"/>
    <w:qFormat/>
    <w:uiPriority w:val="0"/>
    <w:rPr>
      <w:rFonts w:hint="eastAsia" w:ascii="宋体" w:hAnsi="宋体" w:eastAsia="宋体" w:cs="宋体"/>
      <w:color w:val="000000"/>
      <w:sz w:val="22"/>
      <w:szCs w:val="22"/>
      <w:u w:val="none"/>
    </w:rPr>
  </w:style>
  <w:style w:type="character" w:customStyle="1" w:styleId="56">
    <w:name w:val="font21"/>
    <w:basedOn w:val="32"/>
    <w:qFormat/>
    <w:uiPriority w:val="0"/>
    <w:rPr>
      <w:rFonts w:ascii="微软雅黑" w:hAnsi="微软雅黑" w:eastAsia="微软雅黑" w:cs="微软雅黑"/>
      <w:b/>
      <w:color w:val="000000"/>
      <w:sz w:val="24"/>
      <w:szCs w:val="24"/>
      <w:u w:val="none"/>
    </w:rPr>
  </w:style>
  <w:style w:type="character" w:customStyle="1" w:styleId="57">
    <w:name w:val="font61"/>
    <w:basedOn w:val="32"/>
    <w:qFormat/>
    <w:uiPriority w:val="0"/>
    <w:rPr>
      <w:rFonts w:hint="default" w:ascii="Times New Roman" w:hAnsi="Times New Roman" w:cs="Times New Roman"/>
      <w:b/>
      <w:color w:val="000000"/>
      <w:sz w:val="24"/>
      <w:szCs w:val="24"/>
      <w:u w:val="none"/>
    </w:rPr>
  </w:style>
  <w:style w:type="character" w:customStyle="1" w:styleId="58">
    <w:name w:val="font71"/>
    <w:basedOn w:val="32"/>
    <w:qFormat/>
    <w:uiPriority w:val="0"/>
    <w:rPr>
      <w:rFonts w:hint="eastAsia" w:ascii="微软雅黑" w:hAnsi="微软雅黑" w:eastAsia="微软雅黑" w:cs="微软雅黑"/>
      <w:color w:val="000000"/>
      <w:sz w:val="24"/>
      <w:szCs w:val="24"/>
      <w:u w:val="none"/>
    </w:rPr>
  </w:style>
  <w:style w:type="character" w:customStyle="1" w:styleId="59">
    <w:name w:val="font101"/>
    <w:basedOn w:val="32"/>
    <w:qFormat/>
    <w:uiPriority w:val="0"/>
    <w:rPr>
      <w:rFonts w:hint="default" w:ascii="Times New Roman" w:hAnsi="Times New Roman" w:cs="Times New Roman"/>
      <w:color w:val="000000"/>
      <w:sz w:val="24"/>
      <w:szCs w:val="24"/>
      <w:u w:val="none"/>
    </w:rPr>
  </w:style>
  <w:style w:type="paragraph" w:customStyle="1" w:styleId="60">
    <w:name w:val="_Style 1"/>
    <w:basedOn w:val="1"/>
    <w:qFormat/>
    <w:uiPriority w:val="34"/>
    <w:pPr>
      <w:ind w:firstLine="420" w:firstLineChars="200"/>
    </w:pPr>
  </w:style>
  <w:style w:type="character" w:customStyle="1" w:styleId="61">
    <w:name w:val="无间隔 Char"/>
    <w:link w:val="44"/>
    <w:qFormat/>
    <w:uiPriority w:val="1"/>
    <w:rPr>
      <w:rFonts w:ascii="Calibri" w:hAnsi="Calibri" w:eastAsia="宋体" w:cs="Times New Roman"/>
      <w:kern w:val="2"/>
      <w:sz w:val="21"/>
      <w:szCs w:val="24"/>
      <w:lang w:val="en-US" w:eastAsia="zh-CN" w:bidi="ar-SA"/>
    </w:rPr>
  </w:style>
  <w:style w:type="paragraph" w:customStyle="1" w:styleId="62">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63">
    <w:name w:val="索引 11"/>
    <w:basedOn w:val="1"/>
    <w:next w:val="1"/>
    <w:qFormat/>
    <w:uiPriority w:val="0"/>
    <w:pPr>
      <w:spacing w:line="360" w:lineRule="auto"/>
    </w:pPr>
    <w:rPr>
      <w:rFonts w:ascii="仿宋_GB2312" w:eastAsia="仿宋_GB2312"/>
      <w:sz w:val="24"/>
      <w:szCs w:val="20"/>
    </w:rPr>
  </w:style>
  <w:style w:type="paragraph" w:customStyle="1" w:styleId="64">
    <w:name w:val="纯文本1"/>
    <w:basedOn w:val="1"/>
    <w:qFormat/>
    <w:uiPriority w:val="0"/>
    <w:rPr>
      <w:rFonts w:ascii="宋体" w:hAnsi="Courier New"/>
      <w:kern w:val="0"/>
      <w:sz w:val="20"/>
      <w:szCs w:val="20"/>
    </w:rPr>
  </w:style>
  <w:style w:type="paragraph" w:customStyle="1" w:styleId="65">
    <w:name w:val="段"/>
    <w:next w:val="1"/>
    <w:qFormat/>
    <w:uiPriority w:val="0"/>
    <w:pPr>
      <w:autoSpaceDE w:val="0"/>
      <w:autoSpaceDN w:val="0"/>
      <w:ind w:firstLine="420" w:firstLineChars="200"/>
      <w:jc w:val="both"/>
    </w:pPr>
    <w:rPr>
      <w:rFonts w:ascii="宋体" w:hAnsi="Calibri" w:eastAsia="宋体" w:cs="Times New Roman"/>
      <w:kern w:val="2"/>
      <w:sz w:val="21"/>
      <w:szCs w:val="21"/>
      <w:lang w:val="en-US" w:eastAsia="zh-CN" w:bidi="ar-SA"/>
    </w:rPr>
  </w:style>
  <w:style w:type="paragraph" w:customStyle="1" w:styleId="66">
    <w:name w:val="石墨文档正文"/>
    <w:qFormat/>
    <w:uiPriority w:val="0"/>
    <w:rPr>
      <w:rFonts w:ascii="微软雅黑" w:hAnsi="微软雅黑" w:eastAsia="微软雅黑" w:cs="微软雅黑"/>
      <w:sz w:val="24"/>
      <w:szCs w:val="24"/>
      <w:lang w:val="en-US" w:eastAsia="zh-CN" w:bidi="ar-SA"/>
    </w:rPr>
  </w:style>
  <w:style w:type="character" w:customStyle="1" w:styleId="67">
    <w:name w:val="批注框文本 Char"/>
    <w:basedOn w:val="32"/>
    <w:link w:val="18"/>
    <w:qFormat/>
    <w:uiPriority w:val="0"/>
    <w:rPr>
      <w:kern w:val="2"/>
      <w:sz w:val="18"/>
      <w:szCs w:val="18"/>
    </w:rPr>
  </w:style>
  <w:style w:type="character" w:customStyle="1" w:styleId="68">
    <w:name w:val="批注文字 Char"/>
    <w:basedOn w:val="32"/>
    <w:link w:val="10"/>
    <w:qFormat/>
    <w:uiPriority w:val="0"/>
    <w:rPr>
      <w:kern w:val="2"/>
      <w:sz w:val="21"/>
      <w:szCs w:val="24"/>
    </w:rPr>
  </w:style>
  <w:style w:type="character" w:customStyle="1" w:styleId="69">
    <w:name w:val="批注主题 Char"/>
    <w:basedOn w:val="68"/>
    <w:link w:val="28"/>
    <w:qFormat/>
    <w:uiPriority w:val="0"/>
    <w:rPr>
      <w:b/>
      <w:bCs/>
      <w:kern w:val="2"/>
      <w:sz w:val="21"/>
      <w:szCs w:val="24"/>
    </w:rPr>
  </w:style>
  <w:style w:type="paragraph" w:customStyle="1" w:styleId="70">
    <w:name w:val="CL标准正文首行缩进2字"/>
    <w:qFormat/>
    <w:uiPriority w:val="0"/>
    <w:pPr>
      <w:widowControl w:val="0"/>
      <w:spacing w:line="360" w:lineRule="auto"/>
      <w:ind w:firstLine="200"/>
      <w:jc w:val="both"/>
    </w:pPr>
    <w:rPr>
      <w:rFonts w:ascii="Arial" w:hAnsi="Arial" w:eastAsia="宋体" w:cs="Arial Unicode MS"/>
      <w:color w:val="000000"/>
      <w:kern w:val="2"/>
      <w:sz w:val="21"/>
      <w:szCs w:val="21"/>
      <w:u w:color="000000"/>
      <w:lang w:val="en-US" w:eastAsia="zh-CN" w:bidi="ar-SA"/>
    </w:rPr>
  </w:style>
  <w:style w:type="table" w:customStyle="1" w:styleId="71">
    <w:name w:val="Table Normal1"/>
    <w:qFormat/>
    <w:uiPriority w:val="0"/>
    <w:rPr>
      <w:rFonts w:ascii="Times New Roman" w:hAnsi="Times New Roman" w:cs="Times New Roman"/>
    </w:rPr>
    <w:tblPr>
      <w:tblCellMar>
        <w:top w:w="0" w:type="dxa"/>
        <w:left w:w="0" w:type="dxa"/>
        <w:bottom w:w="0" w:type="dxa"/>
        <w:right w:w="0" w:type="dxa"/>
      </w:tblCellMar>
    </w:tblPr>
  </w:style>
  <w:style w:type="paragraph" w:customStyle="1" w:styleId="7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73">
    <w:name w:val="p1"/>
    <w:basedOn w:val="1"/>
    <w:qFormat/>
    <w:uiPriority w:val="0"/>
    <w:pPr>
      <w:spacing w:before="0" w:beforeAutospacing="0" w:after="0" w:afterAutospacing="0"/>
      <w:ind w:left="0" w:right="0"/>
      <w:jc w:val="left"/>
    </w:pPr>
    <w:rPr>
      <w:rFonts w:ascii="pingfang sc" w:hAnsi="pingfang sc" w:eastAsia="pingfang sc" w:cs="pingfang sc"/>
      <w:kern w:val="0"/>
      <w:sz w:val="26"/>
      <w:szCs w:val="26"/>
      <w:lang w:val="en-US" w:eastAsia="zh-CN"/>
    </w:rPr>
  </w:style>
  <w:style w:type="character" w:customStyle="1" w:styleId="74">
    <w:name w:val="s1"/>
    <w:basedOn w:val="32"/>
    <w:qFormat/>
    <w:uiPriority w:val="0"/>
    <w:rPr>
      <w:rFonts w:ascii="pingfang sc" w:hAnsi="pingfang sc" w:eastAsia="pingfang sc" w:cs="pingfang sc"/>
      <w:sz w:val="40"/>
      <w:szCs w:val="40"/>
    </w:rPr>
  </w:style>
  <w:style w:type="character" w:customStyle="1" w:styleId="75">
    <w:name w:val="trans"/>
    <w:qFormat/>
    <w:uiPriority w:val="99"/>
  </w:style>
  <w:style w:type="paragraph" w:customStyle="1" w:styleId="76">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7">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shd w:val="clear" w:color="auto" w:fill="auto"/>
      <w:vertAlign w:val="baseline"/>
    </w:rPr>
  </w:style>
  <w:style w:type="character" w:customStyle="1" w:styleId="78">
    <w:name w:val="PageNumber"/>
    <w:qFormat/>
    <w:uiPriority w:val="99"/>
    <w:rPr>
      <w:rFonts w:cs="Times New Roman"/>
    </w:rPr>
  </w:style>
  <w:style w:type="paragraph" w:customStyle="1" w:styleId="79">
    <w:name w:val="样式1"/>
    <w:basedOn w:val="4"/>
    <w:qFormat/>
    <w:uiPriority w:val="0"/>
    <w:pPr>
      <w:spacing w:before="100" w:beforeAutospacing="1" w:after="100" w:afterAutospacing="1"/>
      <w:ind w:right="100" w:rightChars="100"/>
    </w:pPr>
    <w:rPr>
      <w:sz w:val="21"/>
    </w:rPr>
  </w:style>
  <w:style w:type="paragraph" w:customStyle="1" w:styleId="80">
    <w:name w:val="UserStyle_15"/>
    <w:basedOn w:val="81"/>
    <w:qFormat/>
    <w:uiPriority w:val="0"/>
    <w:pPr>
      <w:keepNext/>
      <w:widowControl/>
      <w:numPr>
        <w:ilvl w:val="1"/>
        <w:numId w:val="3"/>
      </w:numPr>
      <w:spacing w:before="100" w:beforeAutospacing="1" w:after="100" w:afterAutospacing="1"/>
      <w:ind w:left="1710" w:right="100" w:rightChars="100"/>
      <w:textAlignment w:val="baseline"/>
    </w:pPr>
    <w:rPr>
      <w:rFonts w:ascii="Cambria" w:hAnsi="Cambria" w:cs="Times New Roman"/>
      <w:sz w:val="21"/>
      <w:szCs w:val="28"/>
      <w:lang w:bidi="ar-SA"/>
    </w:rPr>
  </w:style>
  <w:style w:type="paragraph" w:customStyle="1" w:styleId="81">
    <w:name w:val="Heading2"/>
    <w:basedOn w:val="1"/>
    <w:next w:val="1"/>
    <w:qFormat/>
    <w:uiPriority w:val="0"/>
    <w:pPr>
      <w:keepNext/>
      <w:widowControl/>
      <w:numPr>
        <w:ilvl w:val="1"/>
        <w:numId w:val="3"/>
      </w:numPr>
      <w:spacing w:before="240" w:after="60"/>
      <w:textAlignment w:val="baseline"/>
    </w:pPr>
    <w:rPr>
      <w:rFonts w:ascii="Cambria" w:hAnsi="Cambria" w:cs="Times New Roman"/>
      <w:b/>
      <w:bCs/>
      <w:i/>
      <w:iCs/>
      <w:sz w:val="28"/>
      <w:szCs w:val="28"/>
      <w:lang w:bidi="ar-SA"/>
    </w:rPr>
  </w:style>
  <w:style w:type="character" w:customStyle="1" w:styleId="82">
    <w:name w:val="UserStyle_2"/>
    <w:link w:val="83"/>
    <w:qFormat/>
    <w:uiPriority w:val="0"/>
    <w:rPr>
      <w:kern w:val="0"/>
      <w:sz w:val="20"/>
      <w:szCs w:val="24"/>
      <w:lang w:val="en-US" w:eastAsia="zh-CN" w:bidi="ar-SA"/>
    </w:rPr>
  </w:style>
  <w:style w:type="paragraph" w:customStyle="1" w:styleId="83">
    <w:name w:val="UserStyle_3"/>
    <w:basedOn w:val="1"/>
    <w:link w:val="82"/>
    <w:qFormat/>
    <w:uiPriority w:val="0"/>
    <w:pPr>
      <w:jc w:val="both"/>
      <w:textAlignment w:val="baseline"/>
    </w:pPr>
    <w:rPr>
      <w:kern w:val="0"/>
      <w:sz w:val="20"/>
      <w:szCs w:val="24"/>
      <w:lang w:val="en-US" w:eastAsia="zh-CN" w:bidi="ar-SA"/>
    </w:rPr>
  </w:style>
  <w:style w:type="paragraph" w:customStyle="1" w:styleId="84">
    <w:name w:val="List Paragraph1"/>
    <w:basedOn w:val="1"/>
    <w:qFormat/>
    <w:uiPriority w:val="0"/>
    <w:pPr>
      <w:ind w:firstLine="420" w:firstLineChars="200"/>
    </w:pPr>
  </w:style>
  <w:style w:type="paragraph" w:customStyle="1" w:styleId="85">
    <w:name w:val="List Paragraph"/>
    <w:basedOn w:val="1"/>
    <w:qFormat/>
    <w:uiPriority w:val="34"/>
    <w:pPr>
      <w:ind w:firstLine="420" w:firstLineChars="200"/>
    </w:pPr>
  </w:style>
  <w:style w:type="paragraph" w:styleId="8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Times New Roman"/>
      <w:kern w:val="0"/>
      <w:sz w:val="24"/>
      <w:szCs w:val="24"/>
    </w:rPr>
  </w:style>
  <w:style w:type="paragraph" w:customStyle="1" w:styleId="88">
    <w:name w:val="TOC Heading"/>
    <w:basedOn w:val="3"/>
    <w:next w:val="1"/>
    <w:semiHidden/>
    <w:unhideWhenUsed/>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89">
    <w:name w:val="标题33"/>
    <w:basedOn w:val="5"/>
    <w:next w:val="38"/>
    <w:qFormat/>
    <w:uiPriority w:val="0"/>
    <w:pPr>
      <w:numPr>
        <w:ilvl w:val="2"/>
        <w:numId w:val="4"/>
      </w:numPr>
      <w:tabs>
        <w:tab w:val="clear" w:pos="720"/>
      </w:tabs>
    </w:pPr>
    <w:rPr>
      <w:rFonts w:hAnsi="黑体" w:eastAsia="黑体"/>
      <w:sz w:val="30"/>
      <w:szCs w:val="30"/>
    </w:rPr>
  </w:style>
  <w:style w:type="paragraph" w:customStyle="1" w:styleId="90">
    <w:name w:val="标题44"/>
    <w:basedOn w:val="6"/>
    <w:next w:val="38"/>
    <w:qFormat/>
    <w:uiPriority w:val="0"/>
    <w:pPr>
      <w:numPr>
        <w:ilvl w:val="3"/>
        <w:numId w:val="4"/>
      </w:numPr>
    </w:pPr>
    <w:rPr>
      <w:sz w:val="30"/>
      <w:szCs w:val="30"/>
    </w:rPr>
  </w:style>
  <w:style w:type="paragraph" w:customStyle="1" w:styleId="91">
    <w:name w:val="表格文字"/>
    <w:basedOn w:val="1"/>
    <w:qFormat/>
    <w:uiPriority w:val="0"/>
    <w:pPr>
      <w:spacing w:before="25" w:after="25"/>
      <w:jc w:val="left"/>
    </w:pPr>
    <w:rPr>
      <w:bCs/>
      <w:spacing w:val="10"/>
      <w:kern w:val="0"/>
      <w:sz w:val="24"/>
    </w:rPr>
  </w:style>
  <w:style w:type="paragraph" w:customStyle="1" w:styleId="92">
    <w:name w:val="p0"/>
    <w:basedOn w:val="1"/>
    <w:qFormat/>
    <w:uiPriority w:val="0"/>
    <w:pPr>
      <w:widowControl/>
    </w:pPr>
    <w:rPr>
      <w:kern w:val="0"/>
      <w:szCs w:val="21"/>
    </w:rPr>
  </w:style>
  <w:style w:type="character" w:customStyle="1" w:styleId="93">
    <w:name w:val="font11"/>
    <w:basedOn w:val="32"/>
    <w:qFormat/>
    <w:uiPriority w:val="0"/>
    <w:rPr>
      <w:rFonts w:hint="eastAsia" w:ascii="宋体" w:hAnsi="宋体" w:eastAsia="宋体" w:cs="宋体"/>
      <w:color w:val="333333"/>
      <w:sz w:val="24"/>
      <w:szCs w:val="24"/>
      <w:u w:val="none"/>
    </w:rPr>
  </w:style>
  <w:style w:type="table" w:customStyle="1" w:styleId="94">
    <w:name w:val="Table Normal"/>
    <w:semiHidden/>
    <w:unhideWhenUsed/>
    <w:qFormat/>
    <w:uiPriority w:val="0"/>
    <w:tblPr>
      <w:tblCellMar>
        <w:top w:w="0" w:type="dxa"/>
        <w:left w:w="0" w:type="dxa"/>
        <w:bottom w:w="0" w:type="dxa"/>
        <w:right w:w="0" w:type="dxa"/>
      </w:tblCellMar>
    </w:tblPr>
  </w:style>
  <w:style w:type="paragraph" w:customStyle="1" w:styleId="95">
    <w:name w:val="ParaAttribute13"/>
    <w:qFormat/>
    <w:uiPriority w:val="0"/>
    <w:pPr>
      <w:widowControl w:val="0"/>
      <w:wordWrap w:val="0"/>
      <w:ind w:left="-106"/>
    </w:pPr>
    <w:rPr>
      <w:rFonts w:ascii="Times New Roman" w:hAnsi="Times New Roman" w:eastAsia="Batang" w:cs="Times New Roman"/>
      <w:sz w:val="21"/>
      <w:szCs w:val="22"/>
      <w:lang w:val="en-US" w:eastAsia="zh-CN" w:bidi="ar-SA"/>
    </w:rPr>
  </w:style>
  <w:style w:type="character" w:customStyle="1" w:styleId="96">
    <w:name w:val="CharAttribute0"/>
    <w:qFormat/>
    <w:uiPriority w:val="0"/>
    <w:rPr>
      <w:rFonts w:ascii="Times New Roman" w:eastAsia="宋体"/>
      <w:sz w:val="21"/>
    </w:rPr>
  </w:style>
  <w:style w:type="paragraph" w:customStyle="1" w:styleId="97">
    <w:name w:val="普通(网站)1"/>
    <w:basedOn w:val="1"/>
    <w:qFormat/>
    <w:uiPriority w:val="2"/>
    <w:pPr>
      <w:spacing w:before="75" w:after="75"/>
      <w:ind w:left="0" w:right="0" w:firstLine="0"/>
      <w:jc w:val="left"/>
    </w:pPr>
    <w:rPr>
      <w:kern w:val="0"/>
      <w:sz w:val="24"/>
      <w:lang w:val="en-US" w:eastAsia="zh-CN" w:bidi="ar"/>
    </w:rPr>
  </w:style>
  <w:style w:type="character" w:customStyle="1" w:styleId="98">
    <w:name w:val="font121"/>
    <w:basedOn w:val="32"/>
    <w:qFormat/>
    <w:uiPriority w:val="0"/>
    <w:rPr>
      <w:rFonts w:hint="default" w:ascii="Times New Roman" w:hAnsi="Times New Roman" w:cs="Times New Roman"/>
      <w:b/>
      <w:bCs/>
      <w:color w:val="000000"/>
      <w:sz w:val="22"/>
      <w:szCs w:val="22"/>
      <w:u w:val="none"/>
    </w:rPr>
  </w:style>
  <w:style w:type="character" w:customStyle="1" w:styleId="99">
    <w:name w:val="font131"/>
    <w:basedOn w:val="32"/>
    <w:qFormat/>
    <w:uiPriority w:val="0"/>
    <w:rPr>
      <w:rFonts w:hint="eastAsia" w:ascii="宋体" w:hAnsi="宋体" w:eastAsia="宋体" w:cs="宋体"/>
      <w:b/>
      <w:bCs/>
      <w:color w:val="FF0000"/>
      <w:sz w:val="22"/>
      <w:szCs w:val="22"/>
      <w:u w:val="none"/>
    </w:rPr>
  </w:style>
  <w:style w:type="paragraph" w:customStyle="1" w:styleId="100">
    <w:name w:val="Table Paragraph"/>
    <w:basedOn w:val="1"/>
    <w:qFormat/>
    <w:uiPriority w:val="1"/>
    <w:pPr>
      <w:spacing w:before="85"/>
      <w:jc w:val="center"/>
    </w:pPr>
    <w:rPr>
      <w:rFonts w:ascii="宋体" w:hAnsi="宋体" w:eastAsia="宋体" w:cs="宋体"/>
      <w:lang w:val="zh-CN" w:eastAsia="zh-CN" w:bidi="zh-CN"/>
    </w:rPr>
  </w:style>
  <w:style w:type="paragraph" w:customStyle="1" w:styleId="101">
    <w:name w:val="p15"/>
    <w:basedOn w:val="1"/>
    <w:qFormat/>
    <w:uiPriority w:val="0"/>
    <w:pPr>
      <w:snapToGrid/>
      <w:spacing w:after="0"/>
    </w:pPr>
    <w:rPr>
      <w:rFonts w:ascii="Arial Unicode MS" w:hAnsi="Arial Unicode MS" w:eastAsia="宋体" w:cs="宋体"/>
      <w:color w:val="000000"/>
      <w:sz w:val="24"/>
      <w:szCs w:val="24"/>
    </w:rPr>
  </w:style>
  <w:style w:type="paragraph" w:customStyle="1" w:styleId="102">
    <w:name w:val="正"/>
    <w:basedOn w:val="1"/>
    <w:qFormat/>
    <w:uiPriority w:val="0"/>
    <w:pPr>
      <w:ind w:firstLine="525"/>
    </w:pPr>
    <w:rPr>
      <w:spacing w:val="20"/>
      <w:szCs w:val="20"/>
    </w:rPr>
  </w:style>
  <w:style w:type="paragraph" w:customStyle="1" w:styleId="103">
    <w:name w:val="Normal"/>
    <w:next w:val="10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4">
    <w:name w:val="Footnote Text"/>
    <w:basedOn w:val="103"/>
    <w:qFormat/>
    <w:uiPriority w:val="0"/>
    <w:pPr>
      <w:snapToGrid w:val="0"/>
      <w:jc w:val="left"/>
    </w:pPr>
    <w:rPr>
      <w:sz w:val="18"/>
      <w:szCs w:val="18"/>
    </w:rPr>
  </w:style>
  <w:style w:type="paragraph" w:customStyle="1" w:styleId="105">
    <w:name w:val="表格"/>
    <w:basedOn w:val="1"/>
    <w:qFormat/>
    <w:uiPriority w:val="1"/>
    <w:pPr>
      <w:autoSpaceDE w:val="0"/>
      <w:autoSpaceDN w:val="0"/>
      <w:spacing w:line="360" w:lineRule="auto"/>
      <w:jc w:val="left"/>
    </w:pPr>
    <w:rPr>
      <w:rFonts w:ascii="宋体" w:hAnsi="宋体" w:eastAsia="宋体" w:cs="宋体"/>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45763</Words>
  <Characters>49669</Characters>
  <Paragraphs>2159</Paragraphs>
  <TotalTime>42</TotalTime>
  <ScaleCrop>false</ScaleCrop>
  <LinksUpToDate>false</LinksUpToDate>
  <CharactersWithSpaces>54206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2021-06-23T11:44:00Z</dcterms:created>
  <dc:creator>WPS_1542621076</dc:creator>
  <cp:lastModifiedBy>柚子果酱</cp:lastModifiedBy>
  <cp:lastPrinted>2023-09-26T10:25:09Z</cp:lastPrinted>
  <dcterms:modified xsi:type="dcterms:W3CDTF">2023-09-26T10:27:41Z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30075880CA204CDAA18E30D8BDAEFF18_13</vt:lpwstr>
  </property>
</Properties>
</file>