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黑体" w:hAnsi="黑体" w:eastAsia="黑体"/>
          <w:sz w:val="28"/>
          <w:szCs w:val="28"/>
        </w:rPr>
      </w:pPr>
    </w:p>
    <w:p>
      <w:pPr>
        <w:spacing w:line="500" w:lineRule="exact"/>
        <w:jc w:val="center"/>
        <w:rPr>
          <w:rFonts w:ascii="黑体" w:hAnsi="黑体" w:eastAsia="黑体"/>
          <w:sz w:val="44"/>
          <w:szCs w:val="44"/>
        </w:rPr>
      </w:pPr>
    </w:p>
    <w:p>
      <w:pPr>
        <w:adjustRightInd w:val="0"/>
        <w:snapToGrid w:val="0"/>
        <w:spacing w:line="360" w:lineRule="auto"/>
        <w:jc w:val="center"/>
        <w:outlineLvl w:val="0"/>
        <w:rPr>
          <w:rFonts w:ascii="宋体" w:hAnsi="宋体" w:cs="宋体"/>
          <w:b/>
          <w:bCs/>
          <w:color w:val="000000"/>
          <w:sz w:val="48"/>
          <w:szCs w:val="48"/>
        </w:rPr>
      </w:pPr>
      <w:bookmarkStart w:id="0" w:name="_Toc16359"/>
      <w:r>
        <w:rPr>
          <w:rFonts w:hint="eastAsia" w:ascii="宋体" w:hAnsi="宋体" w:cs="宋体"/>
          <w:b/>
          <w:bCs/>
          <w:color w:val="000000"/>
          <w:sz w:val="48"/>
          <w:szCs w:val="48"/>
        </w:rPr>
        <w:t>哈密市西河街道老旧小区改造（一期）项目-规划编制、初步设计和施工图设计</w:t>
      </w:r>
      <w:bookmarkEnd w:id="0"/>
    </w:p>
    <w:p>
      <w:pPr>
        <w:spacing w:line="520" w:lineRule="exact"/>
        <w:jc w:val="center"/>
        <w:rPr>
          <w:rFonts w:ascii="黑体" w:hAnsi="黑体" w:eastAsia="黑体"/>
          <w:sz w:val="96"/>
          <w:szCs w:val="96"/>
        </w:rPr>
      </w:pPr>
    </w:p>
    <w:p>
      <w:pPr>
        <w:pStyle w:val="35"/>
        <w:ind w:firstLine="3092" w:firstLineChars="1100"/>
        <w:jc w:val="both"/>
        <w:rPr>
          <w:rFonts w:ascii="宋体" w:hAnsi="宋体" w:eastAsia="宋体" w:cs="宋体"/>
          <w:color w:val="auto"/>
          <w:sz w:val="28"/>
          <w:szCs w:val="44"/>
          <w:highlight w:val="yellow"/>
        </w:rPr>
      </w:pPr>
      <w:bookmarkStart w:id="1" w:name="_Toc12274"/>
      <w:bookmarkStart w:id="2" w:name="_Toc31965"/>
      <w:bookmarkStart w:id="3" w:name="_Toc30024"/>
      <w:bookmarkStart w:id="4" w:name="_Toc9441"/>
      <w:bookmarkStart w:id="5" w:name="_Toc11015"/>
      <w:bookmarkStart w:id="6" w:name="_Toc10601"/>
      <w:bookmarkStart w:id="7" w:name="_Toc20918"/>
      <w:bookmarkStart w:id="8" w:name="_Toc7204"/>
      <w:bookmarkStart w:id="9" w:name="_Toc16886"/>
      <w:r>
        <w:rPr>
          <w:rFonts w:hint="eastAsia" w:ascii="宋体" w:hAnsi="宋体" w:eastAsia="宋体" w:cs="宋体"/>
          <w:color w:val="auto"/>
          <w:sz w:val="28"/>
          <w:szCs w:val="44"/>
        </w:rPr>
        <w:t>项目编号：</w:t>
      </w:r>
      <w:bookmarkEnd w:id="1"/>
      <w:bookmarkEnd w:id="2"/>
      <w:bookmarkEnd w:id="3"/>
      <w:bookmarkEnd w:id="4"/>
      <w:bookmarkEnd w:id="5"/>
      <w:bookmarkEnd w:id="6"/>
      <w:bookmarkEnd w:id="7"/>
      <w:bookmarkEnd w:id="8"/>
      <w:bookmarkEnd w:id="9"/>
      <w:r>
        <w:rPr>
          <w:rFonts w:hint="eastAsia" w:ascii="宋体" w:hAnsi="宋体" w:eastAsia="宋体" w:cs="宋体"/>
          <w:color w:val="auto"/>
          <w:sz w:val="28"/>
          <w:szCs w:val="44"/>
        </w:rPr>
        <w:t xml:space="preserve">XJKC-ZB-2023（052）      </w:t>
      </w:r>
    </w:p>
    <w:p>
      <w:pPr>
        <w:pStyle w:val="48"/>
        <w:outlineLvl w:val="9"/>
      </w:pPr>
    </w:p>
    <w:p>
      <w:pPr>
        <w:adjustRightInd w:val="0"/>
        <w:snapToGrid w:val="0"/>
        <w:spacing w:line="360" w:lineRule="auto"/>
        <w:jc w:val="center"/>
        <w:rPr>
          <w:rFonts w:ascii="宋体" w:hAnsi="宋体" w:cs="宋体"/>
          <w:b/>
          <w:sz w:val="72"/>
          <w:szCs w:val="84"/>
        </w:rPr>
      </w:pPr>
      <w:r>
        <w:rPr>
          <w:rFonts w:hint="eastAsia" w:ascii="宋体" w:hAnsi="宋体" w:cs="宋体"/>
          <w:b/>
          <w:sz w:val="72"/>
          <w:szCs w:val="84"/>
        </w:rPr>
        <w:t>公 开 招 标</w:t>
      </w:r>
    </w:p>
    <w:p>
      <w:pPr>
        <w:pStyle w:val="35"/>
        <w:outlineLvl w:val="9"/>
      </w:pPr>
    </w:p>
    <w:p>
      <w:pPr>
        <w:pStyle w:val="35"/>
        <w:jc w:val="both"/>
        <w:outlineLvl w:val="9"/>
      </w:pPr>
    </w:p>
    <w:p>
      <w:pPr>
        <w:autoSpaceDE w:val="0"/>
        <w:autoSpaceDN w:val="0"/>
        <w:adjustRightInd w:val="0"/>
        <w:ind w:firstLine="320" w:firstLineChars="100"/>
        <w:jc w:val="left"/>
        <w:outlineLvl w:val="0"/>
        <w:rPr>
          <w:rFonts w:ascii="宋体" w:hAnsi="宋体" w:cs="宋体"/>
          <w:b/>
          <w:kern w:val="0"/>
          <w:sz w:val="30"/>
          <w:szCs w:val="30"/>
          <w:u w:val="single"/>
        </w:rPr>
      </w:pPr>
      <w:r>
        <w:rPr>
          <w:rFonts w:ascii="黑体" w:hAnsi="黑体" w:eastAsia="黑体"/>
          <w:sz w:val="32"/>
          <w:szCs w:val="32"/>
        </w:rPr>
        <w:t xml:space="preserve"> </w:t>
      </w:r>
      <w:r>
        <w:rPr>
          <w:rFonts w:hint="eastAsia" w:ascii="黑体" w:hAnsi="黑体" w:eastAsia="黑体"/>
          <w:sz w:val="32"/>
          <w:szCs w:val="32"/>
        </w:rPr>
        <w:t xml:space="preserve"> </w:t>
      </w:r>
      <w:bookmarkStart w:id="10" w:name="_Toc14506"/>
      <w:bookmarkStart w:id="11" w:name="_Toc11485"/>
      <w:bookmarkStart w:id="12" w:name="_Toc25400"/>
      <w:bookmarkStart w:id="13" w:name="_Toc24598"/>
      <w:bookmarkStart w:id="14" w:name="_Toc30605"/>
      <w:bookmarkStart w:id="15" w:name="_Toc23659"/>
      <w:bookmarkStart w:id="16" w:name="_Toc26058"/>
      <w:bookmarkStart w:id="17" w:name="_Toc18349"/>
      <w:r>
        <w:rPr>
          <w:rFonts w:hint="eastAsia" w:ascii="宋体" w:hAnsi="宋体" w:cs="宋体"/>
          <w:b/>
          <w:kern w:val="0"/>
          <w:sz w:val="30"/>
          <w:szCs w:val="30"/>
        </w:rPr>
        <w:t>建设单位：</w:t>
      </w:r>
      <w:r>
        <w:rPr>
          <w:rFonts w:hint="eastAsia" w:ascii="宋体" w:hAnsi="宋体" w:cs="宋体"/>
          <w:b/>
          <w:kern w:val="0"/>
          <w:sz w:val="30"/>
          <w:szCs w:val="30"/>
          <w:u w:val="single"/>
        </w:rPr>
        <w:t xml:space="preserve">      哈密市住房和城乡建设局</w:t>
      </w:r>
      <w:bookmarkEnd w:id="10"/>
      <w:bookmarkEnd w:id="11"/>
      <w:bookmarkEnd w:id="12"/>
      <w:bookmarkEnd w:id="13"/>
      <w:bookmarkEnd w:id="14"/>
      <w:bookmarkEnd w:id="15"/>
      <w:bookmarkEnd w:id="16"/>
      <w:bookmarkEnd w:id="17"/>
      <w:r>
        <w:rPr>
          <w:rFonts w:hint="eastAsia" w:ascii="宋体" w:hAnsi="宋体" w:cs="宋体"/>
          <w:b/>
          <w:kern w:val="0"/>
          <w:sz w:val="30"/>
          <w:szCs w:val="30"/>
          <w:u w:val="single"/>
        </w:rPr>
        <w:t xml:space="preserve">       </w:t>
      </w:r>
    </w:p>
    <w:p>
      <w:pPr>
        <w:autoSpaceDE w:val="0"/>
        <w:autoSpaceDN w:val="0"/>
        <w:adjustRightInd w:val="0"/>
        <w:ind w:firstLine="301" w:firstLineChars="100"/>
        <w:jc w:val="left"/>
        <w:rPr>
          <w:rFonts w:ascii="宋体" w:hAnsi="宋体" w:cs="宋体"/>
          <w:b/>
          <w:kern w:val="0"/>
          <w:sz w:val="30"/>
          <w:szCs w:val="30"/>
          <w:u w:val="single"/>
        </w:rPr>
      </w:pPr>
    </w:p>
    <w:p>
      <w:pPr>
        <w:tabs>
          <w:tab w:val="left" w:pos="5250"/>
        </w:tabs>
        <w:autoSpaceDE w:val="0"/>
        <w:autoSpaceDN w:val="0"/>
        <w:adjustRightInd w:val="0"/>
        <w:ind w:firstLine="602" w:firstLineChars="200"/>
        <w:jc w:val="left"/>
        <w:rPr>
          <w:rFonts w:ascii="宋体" w:hAnsi="宋体" w:cs="宋体"/>
          <w:b/>
          <w:kern w:val="0"/>
          <w:sz w:val="30"/>
          <w:szCs w:val="30"/>
          <w:u w:val="single"/>
        </w:rPr>
      </w:pPr>
      <w:r>
        <w:rPr>
          <w:rFonts w:hint="eastAsia" w:ascii="宋体" w:hAnsi="宋体" w:cs="宋体"/>
          <w:b/>
          <w:kern w:val="0"/>
          <w:sz w:val="30"/>
          <w:szCs w:val="30"/>
        </w:rPr>
        <w:t>联系人：</w:t>
      </w:r>
      <w:r>
        <w:rPr>
          <w:rFonts w:hint="eastAsia" w:ascii="宋体" w:hAnsi="宋体" w:cs="宋体"/>
          <w:b/>
          <w:kern w:val="0"/>
          <w:sz w:val="30"/>
          <w:szCs w:val="30"/>
          <w:u w:val="single"/>
        </w:rPr>
        <w:t xml:space="preserve">高  健  </w:t>
      </w:r>
      <w:r>
        <w:rPr>
          <w:rFonts w:hint="eastAsia" w:ascii="宋体" w:hAnsi="宋体" w:cs="宋体"/>
          <w:b/>
          <w:kern w:val="0"/>
          <w:sz w:val="30"/>
          <w:szCs w:val="30"/>
        </w:rPr>
        <w:t xml:space="preserve">            联系电话：</w:t>
      </w:r>
      <w:r>
        <w:rPr>
          <w:rFonts w:hint="eastAsia" w:ascii="宋体" w:hAnsi="宋体" w:cs="宋体"/>
          <w:b/>
          <w:kern w:val="0"/>
          <w:sz w:val="30"/>
          <w:szCs w:val="30"/>
          <w:u w:val="single"/>
        </w:rPr>
        <w:t>18199788771</w:t>
      </w:r>
    </w:p>
    <w:p>
      <w:pPr>
        <w:autoSpaceDE w:val="0"/>
        <w:autoSpaceDN w:val="0"/>
        <w:adjustRightInd w:val="0"/>
        <w:jc w:val="left"/>
        <w:rPr>
          <w:rFonts w:ascii="宋体" w:hAnsi="宋体" w:cs="宋体"/>
          <w:b/>
          <w:kern w:val="0"/>
          <w:sz w:val="30"/>
          <w:szCs w:val="30"/>
        </w:rPr>
      </w:pPr>
    </w:p>
    <w:p>
      <w:pPr>
        <w:autoSpaceDE w:val="0"/>
        <w:autoSpaceDN w:val="0"/>
        <w:adjustRightInd w:val="0"/>
        <w:jc w:val="left"/>
        <w:rPr>
          <w:rFonts w:ascii="宋体" w:hAnsi="宋体" w:cs="宋体"/>
          <w:b/>
          <w:kern w:val="0"/>
          <w:sz w:val="30"/>
          <w:szCs w:val="30"/>
        </w:rPr>
      </w:pPr>
    </w:p>
    <w:p>
      <w:pPr>
        <w:autoSpaceDE w:val="0"/>
        <w:autoSpaceDN w:val="0"/>
        <w:adjustRightInd w:val="0"/>
        <w:jc w:val="left"/>
        <w:rPr>
          <w:rFonts w:ascii="宋体" w:hAnsi="宋体" w:cs="宋体"/>
          <w:b/>
          <w:kern w:val="0"/>
          <w:sz w:val="30"/>
          <w:szCs w:val="30"/>
        </w:rPr>
      </w:pPr>
    </w:p>
    <w:p>
      <w:pPr>
        <w:autoSpaceDE w:val="0"/>
        <w:autoSpaceDN w:val="0"/>
        <w:adjustRightInd w:val="0"/>
        <w:ind w:firstLine="602" w:firstLineChars="200"/>
        <w:jc w:val="left"/>
        <w:rPr>
          <w:rFonts w:ascii="宋体" w:hAnsi="宋体" w:cs="宋体"/>
          <w:b/>
          <w:sz w:val="30"/>
          <w:szCs w:val="30"/>
        </w:rPr>
      </w:pPr>
      <w:r>
        <w:rPr>
          <w:rFonts w:hint="eastAsia" w:ascii="宋体" w:hAnsi="宋体" w:cs="宋体"/>
          <w:b/>
          <w:kern w:val="0"/>
          <w:sz w:val="30"/>
          <w:szCs w:val="30"/>
        </w:rPr>
        <w:t>招标代理机构：</w:t>
      </w:r>
      <w:r>
        <w:rPr>
          <w:rFonts w:hint="eastAsia" w:ascii="宋体" w:hAnsi="宋体" w:cs="宋体"/>
          <w:b/>
          <w:kern w:val="0"/>
          <w:sz w:val="30"/>
          <w:szCs w:val="30"/>
          <w:u w:val="single"/>
        </w:rPr>
        <w:t xml:space="preserve">   新疆科辰工程项目管理有限公司     </w:t>
      </w:r>
    </w:p>
    <w:p>
      <w:pPr>
        <w:autoSpaceDE w:val="0"/>
        <w:autoSpaceDN w:val="0"/>
        <w:adjustRightInd w:val="0"/>
        <w:rPr>
          <w:rFonts w:ascii="宋体" w:hAnsi="宋体" w:cs="宋体"/>
          <w:b/>
          <w:kern w:val="0"/>
          <w:sz w:val="30"/>
          <w:szCs w:val="30"/>
        </w:rPr>
      </w:pPr>
    </w:p>
    <w:p>
      <w:pPr>
        <w:ind w:firstLine="602" w:firstLineChars="200"/>
        <w:rPr>
          <w:rFonts w:ascii="宋体" w:hAnsi="宋体" w:cs="宋体"/>
          <w:b/>
          <w:kern w:val="0"/>
          <w:sz w:val="30"/>
          <w:szCs w:val="30"/>
          <w:u w:val="single"/>
        </w:rPr>
      </w:pPr>
      <w:r>
        <w:rPr>
          <w:rFonts w:hint="eastAsia" w:ascii="宋体" w:hAnsi="宋体" w:cs="宋体"/>
          <w:b/>
          <w:kern w:val="0"/>
          <w:sz w:val="30"/>
          <w:szCs w:val="30"/>
        </w:rPr>
        <w:t>项目负责人：</w:t>
      </w:r>
      <w:r>
        <w:rPr>
          <w:rFonts w:hint="eastAsia" w:ascii="宋体" w:hAnsi="宋体" w:cs="宋体"/>
          <w:b/>
          <w:kern w:val="0"/>
          <w:sz w:val="30"/>
          <w:szCs w:val="30"/>
          <w:u w:val="single"/>
        </w:rPr>
        <w:t xml:space="preserve">  魏潇潇   </w:t>
      </w:r>
      <w:r>
        <w:rPr>
          <w:rFonts w:hint="eastAsia" w:ascii="宋体" w:hAnsi="宋体" w:cs="宋体"/>
          <w:b/>
          <w:kern w:val="0"/>
          <w:sz w:val="30"/>
          <w:szCs w:val="30"/>
        </w:rPr>
        <w:t xml:space="preserve">     联系电话：</w:t>
      </w:r>
      <w:r>
        <w:rPr>
          <w:rFonts w:hint="eastAsia" w:ascii="宋体" w:hAnsi="宋体" w:cs="宋体"/>
          <w:b/>
          <w:kern w:val="0"/>
          <w:sz w:val="30"/>
          <w:szCs w:val="30"/>
          <w:u w:val="single"/>
        </w:rPr>
        <w:t xml:space="preserve"> 18299365190 </w:t>
      </w:r>
    </w:p>
    <w:p>
      <w:pPr>
        <w:adjustRightInd w:val="0"/>
        <w:snapToGrid w:val="0"/>
        <w:spacing w:line="360" w:lineRule="auto"/>
        <w:rPr>
          <w:rFonts w:ascii="宋体" w:hAnsi="宋体" w:cs="宋体"/>
          <w:b/>
          <w:sz w:val="40"/>
          <w:szCs w:val="30"/>
        </w:rPr>
      </w:pPr>
      <w:r>
        <w:rPr>
          <w:rFonts w:hint="eastAsia" w:ascii="宋体" w:hAnsi="宋体" w:cs="宋体"/>
          <w:b/>
          <w:sz w:val="40"/>
          <w:szCs w:val="30"/>
        </w:rPr>
        <w:t xml:space="preserve"> </w:t>
      </w:r>
    </w:p>
    <w:p>
      <w:pPr>
        <w:pStyle w:val="35"/>
        <w:outlineLvl w:val="9"/>
      </w:pPr>
    </w:p>
    <w:p>
      <w:pPr>
        <w:autoSpaceDE w:val="0"/>
        <w:autoSpaceDN w:val="0"/>
        <w:adjustRightInd w:val="0"/>
        <w:spacing w:before="240" w:beforeLines="100" w:line="480" w:lineRule="auto"/>
        <w:jc w:val="center"/>
      </w:pPr>
      <w:r>
        <w:rPr>
          <w:rFonts w:hint="eastAsia" w:ascii="宋体" w:hAnsi="宋体" w:cs="宋体"/>
          <w:b/>
          <w:color w:val="000000"/>
          <w:sz w:val="30"/>
          <w:szCs w:val="30"/>
        </w:rPr>
        <w:t>二〇二三年九月</w:t>
      </w:r>
    </w:p>
    <w:p>
      <w:pPr>
        <w:pStyle w:val="365"/>
        <w:tabs>
          <w:tab w:val="right" w:leader="dot" w:pos="9411"/>
        </w:tabs>
        <w:jc w:val="center"/>
      </w:pPr>
    </w:p>
    <w:p/>
    <w:p>
      <w:pPr>
        <w:tabs>
          <w:tab w:val="left" w:pos="1058"/>
        </w:tabs>
        <w:jc w:val="left"/>
        <w:rPr>
          <w:sz w:val="28"/>
          <w:szCs w:val="28"/>
        </w:rPr>
      </w:pPr>
      <w:r>
        <w:rPr>
          <w:rFonts w:hint="eastAsia"/>
        </w:rPr>
        <w:tab/>
      </w:r>
    </w:p>
    <w:p>
      <w:pPr>
        <w:jc w:val="center"/>
        <w:rPr>
          <w:sz w:val="36"/>
          <w:szCs w:val="36"/>
        </w:rPr>
      </w:pPr>
      <w:r>
        <w:rPr>
          <w:rFonts w:ascii="宋体" w:hAnsi="宋体"/>
          <w:sz w:val="36"/>
          <w:szCs w:val="36"/>
        </w:rPr>
        <w:t>目录</w:t>
      </w:r>
    </w:p>
    <w:p>
      <w:pPr>
        <w:pStyle w:val="24"/>
        <w:tabs>
          <w:tab w:val="right" w:leader="dot" w:pos="9411"/>
        </w:tabs>
        <w:rPr>
          <w:sz w:val="32"/>
          <w:szCs w:val="40"/>
        </w:rPr>
      </w:pPr>
      <w:r>
        <w:rPr>
          <w:rFonts w:hint="eastAsia"/>
          <w:sz w:val="44"/>
          <w:szCs w:val="44"/>
        </w:rPr>
        <w:fldChar w:fldCharType="begin"/>
      </w:r>
      <w:r>
        <w:rPr>
          <w:rFonts w:hint="eastAsia"/>
          <w:sz w:val="44"/>
          <w:szCs w:val="44"/>
        </w:rPr>
        <w:instrText xml:space="preserve">TOC \o "1-1" \h \u </w:instrText>
      </w:r>
      <w:r>
        <w:rPr>
          <w:rFonts w:hint="eastAsia"/>
          <w:sz w:val="44"/>
          <w:szCs w:val="44"/>
        </w:rPr>
        <w:fldChar w:fldCharType="separate"/>
      </w:r>
    </w:p>
    <w:p>
      <w:pPr>
        <w:pStyle w:val="24"/>
        <w:tabs>
          <w:tab w:val="right" w:leader="dot" w:pos="9411"/>
        </w:tabs>
        <w:rPr>
          <w:sz w:val="32"/>
          <w:szCs w:val="40"/>
        </w:rPr>
      </w:pPr>
      <w:r>
        <w:fldChar w:fldCharType="begin"/>
      </w:r>
      <w:r>
        <w:instrText xml:space="preserve"> HYPERLINK \l "_Toc23658" </w:instrText>
      </w:r>
      <w:r>
        <w:fldChar w:fldCharType="separate"/>
      </w:r>
      <w:r>
        <w:rPr>
          <w:rFonts w:hint="eastAsia" w:ascii="宋体" w:hAnsi="宋体" w:cs="宋体"/>
          <w:bCs/>
          <w:kern w:val="0"/>
          <w:sz w:val="32"/>
          <w:szCs w:val="72"/>
        </w:rPr>
        <w:t xml:space="preserve">第一章  </w:t>
      </w:r>
      <w:r>
        <w:rPr>
          <w:rFonts w:hint="eastAsia" w:ascii="宋体" w:hAnsi="宋体" w:cs="宋体"/>
          <w:bCs/>
          <w:sz w:val="32"/>
          <w:szCs w:val="72"/>
        </w:rPr>
        <w:t>公开招标公告</w:t>
      </w:r>
      <w:r>
        <w:rPr>
          <w:sz w:val="32"/>
          <w:szCs w:val="40"/>
        </w:rPr>
        <w:tab/>
      </w:r>
      <w:r>
        <w:rPr>
          <w:sz w:val="32"/>
          <w:szCs w:val="40"/>
        </w:rPr>
        <w:fldChar w:fldCharType="begin"/>
      </w:r>
      <w:r>
        <w:rPr>
          <w:sz w:val="32"/>
          <w:szCs w:val="40"/>
        </w:rPr>
        <w:instrText xml:space="preserve"> PAGEREF _Toc23658 \h </w:instrText>
      </w:r>
      <w:r>
        <w:rPr>
          <w:sz w:val="32"/>
          <w:szCs w:val="40"/>
        </w:rPr>
        <w:fldChar w:fldCharType="separate"/>
      </w:r>
      <w:r>
        <w:rPr>
          <w:sz w:val="32"/>
          <w:szCs w:val="40"/>
        </w:rPr>
        <w:t>1</w:t>
      </w:r>
      <w:r>
        <w:rPr>
          <w:sz w:val="32"/>
          <w:szCs w:val="40"/>
        </w:rPr>
        <w:fldChar w:fldCharType="end"/>
      </w:r>
      <w:r>
        <w:rPr>
          <w:sz w:val="32"/>
          <w:szCs w:val="40"/>
        </w:rPr>
        <w:fldChar w:fldCharType="end"/>
      </w:r>
    </w:p>
    <w:p>
      <w:pPr>
        <w:pStyle w:val="24"/>
        <w:tabs>
          <w:tab w:val="right" w:leader="dot" w:pos="9411"/>
        </w:tabs>
        <w:rPr>
          <w:sz w:val="32"/>
          <w:szCs w:val="40"/>
        </w:rPr>
      </w:pPr>
    </w:p>
    <w:p>
      <w:pPr>
        <w:pStyle w:val="24"/>
        <w:tabs>
          <w:tab w:val="right" w:leader="dot" w:pos="9411"/>
        </w:tabs>
        <w:rPr>
          <w:sz w:val="32"/>
          <w:szCs w:val="44"/>
        </w:rPr>
      </w:pPr>
      <w:r>
        <w:fldChar w:fldCharType="begin"/>
      </w:r>
      <w:r>
        <w:instrText xml:space="preserve"> HYPERLINK \l "_Toc11009" </w:instrText>
      </w:r>
      <w:r>
        <w:fldChar w:fldCharType="separate"/>
      </w:r>
      <w:r>
        <w:rPr>
          <w:rFonts w:hint="eastAsia" w:ascii="宋体" w:hAnsi="宋体" w:cs="宋体"/>
          <w:bCs/>
          <w:kern w:val="0"/>
          <w:sz w:val="32"/>
          <w:szCs w:val="72"/>
        </w:rPr>
        <w:t>第二章  投标人须知</w:t>
      </w:r>
      <w:r>
        <w:rPr>
          <w:sz w:val="32"/>
          <w:szCs w:val="40"/>
        </w:rPr>
        <w:tab/>
      </w:r>
      <w:r>
        <w:rPr>
          <w:sz w:val="32"/>
          <w:szCs w:val="40"/>
        </w:rPr>
        <w:fldChar w:fldCharType="begin"/>
      </w:r>
      <w:r>
        <w:rPr>
          <w:sz w:val="32"/>
          <w:szCs w:val="40"/>
        </w:rPr>
        <w:instrText xml:space="preserve"> PAGEREF _Toc11009 \h </w:instrText>
      </w:r>
      <w:r>
        <w:rPr>
          <w:sz w:val="32"/>
          <w:szCs w:val="40"/>
        </w:rPr>
        <w:fldChar w:fldCharType="separate"/>
      </w:r>
      <w:r>
        <w:rPr>
          <w:sz w:val="32"/>
          <w:szCs w:val="40"/>
        </w:rPr>
        <w:t>4</w:t>
      </w:r>
      <w:r>
        <w:rPr>
          <w:sz w:val="32"/>
          <w:szCs w:val="40"/>
        </w:rPr>
        <w:fldChar w:fldCharType="end"/>
      </w:r>
      <w:r>
        <w:rPr>
          <w:sz w:val="32"/>
          <w:szCs w:val="40"/>
        </w:rPr>
        <w:fldChar w:fldCharType="end"/>
      </w:r>
    </w:p>
    <w:p>
      <w:pPr>
        <w:rPr>
          <w:sz w:val="20"/>
          <w:szCs w:val="21"/>
        </w:rPr>
      </w:pPr>
    </w:p>
    <w:p>
      <w:pPr>
        <w:pStyle w:val="24"/>
        <w:tabs>
          <w:tab w:val="right" w:leader="dot" w:pos="9411"/>
        </w:tabs>
        <w:rPr>
          <w:sz w:val="32"/>
          <w:szCs w:val="44"/>
        </w:rPr>
      </w:pPr>
      <w:r>
        <w:fldChar w:fldCharType="begin"/>
      </w:r>
      <w:r>
        <w:instrText xml:space="preserve"> HYPERLINK \l "_Toc7729" </w:instrText>
      </w:r>
      <w:r>
        <w:fldChar w:fldCharType="separate"/>
      </w:r>
      <w:r>
        <w:rPr>
          <w:rFonts w:hint="eastAsia" w:ascii="宋体" w:hAnsi="宋体" w:cs="宋体"/>
          <w:bCs/>
          <w:kern w:val="0"/>
          <w:sz w:val="32"/>
          <w:szCs w:val="72"/>
        </w:rPr>
        <w:t>第三章  评审方法（综合评分法）</w:t>
      </w:r>
      <w:r>
        <w:rPr>
          <w:sz w:val="32"/>
          <w:szCs w:val="40"/>
        </w:rPr>
        <w:tab/>
      </w:r>
      <w:r>
        <w:rPr>
          <w:sz w:val="32"/>
          <w:szCs w:val="40"/>
        </w:rPr>
        <w:fldChar w:fldCharType="begin"/>
      </w:r>
      <w:r>
        <w:rPr>
          <w:sz w:val="32"/>
          <w:szCs w:val="40"/>
        </w:rPr>
        <w:instrText xml:space="preserve"> PAGEREF _Toc7729 \h </w:instrText>
      </w:r>
      <w:r>
        <w:rPr>
          <w:sz w:val="32"/>
          <w:szCs w:val="40"/>
        </w:rPr>
        <w:fldChar w:fldCharType="separate"/>
      </w:r>
      <w:r>
        <w:rPr>
          <w:sz w:val="32"/>
          <w:szCs w:val="40"/>
        </w:rPr>
        <w:t>27</w:t>
      </w:r>
      <w:r>
        <w:rPr>
          <w:sz w:val="32"/>
          <w:szCs w:val="40"/>
        </w:rPr>
        <w:fldChar w:fldCharType="end"/>
      </w:r>
      <w:r>
        <w:rPr>
          <w:sz w:val="32"/>
          <w:szCs w:val="40"/>
        </w:rPr>
        <w:fldChar w:fldCharType="end"/>
      </w:r>
    </w:p>
    <w:p>
      <w:pPr>
        <w:rPr>
          <w:sz w:val="20"/>
          <w:szCs w:val="21"/>
        </w:rPr>
      </w:pPr>
    </w:p>
    <w:p>
      <w:pPr>
        <w:pStyle w:val="24"/>
        <w:tabs>
          <w:tab w:val="right" w:leader="dot" w:pos="9411"/>
        </w:tabs>
        <w:rPr>
          <w:sz w:val="32"/>
          <w:szCs w:val="44"/>
        </w:rPr>
      </w:pPr>
      <w:r>
        <w:fldChar w:fldCharType="begin"/>
      </w:r>
      <w:r>
        <w:instrText xml:space="preserve"> HYPERLINK \l "_Toc27681" </w:instrText>
      </w:r>
      <w:r>
        <w:fldChar w:fldCharType="separate"/>
      </w:r>
      <w:r>
        <w:rPr>
          <w:rFonts w:hint="eastAsia" w:ascii="宋体" w:hAnsi="宋体" w:cs="宋体"/>
          <w:bCs/>
          <w:kern w:val="0"/>
          <w:sz w:val="32"/>
          <w:szCs w:val="72"/>
        </w:rPr>
        <w:t>第四章  采购项目需求</w:t>
      </w:r>
      <w:r>
        <w:rPr>
          <w:sz w:val="32"/>
          <w:szCs w:val="40"/>
        </w:rPr>
        <w:tab/>
      </w:r>
      <w:r>
        <w:rPr>
          <w:sz w:val="32"/>
          <w:szCs w:val="40"/>
        </w:rPr>
        <w:fldChar w:fldCharType="begin"/>
      </w:r>
      <w:r>
        <w:rPr>
          <w:sz w:val="32"/>
          <w:szCs w:val="40"/>
        </w:rPr>
        <w:instrText xml:space="preserve"> PAGEREF _Toc27681 \h </w:instrText>
      </w:r>
      <w:r>
        <w:rPr>
          <w:sz w:val="32"/>
          <w:szCs w:val="40"/>
        </w:rPr>
        <w:fldChar w:fldCharType="separate"/>
      </w:r>
      <w:r>
        <w:rPr>
          <w:sz w:val="32"/>
          <w:szCs w:val="40"/>
        </w:rPr>
        <w:t>32</w:t>
      </w:r>
      <w:r>
        <w:rPr>
          <w:sz w:val="32"/>
          <w:szCs w:val="40"/>
        </w:rPr>
        <w:fldChar w:fldCharType="end"/>
      </w:r>
      <w:r>
        <w:rPr>
          <w:sz w:val="32"/>
          <w:szCs w:val="40"/>
        </w:rPr>
        <w:fldChar w:fldCharType="end"/>
      </w:r>
    </w:p>
    <w:p>
      <w:pPr>
        <w:rPr>
          <w:sz w:val="20"/>
          <w:szCs w:val="21"/>
        </w:rPr>
      </w:pPr>
    </w:p>
    <w:p>
      <w:pPr>
        <w:pStyle w:val="24"/>
        <w:tabs>
          <w:tab w:val="right" w:leader="dot" w:pos="9411"/>
        </w:tabs>
        <w:rPr>
          <w:sz w:val="32"/>
          <w:szCs w:val="44"/>
        </w:rPr>
      </w:pPr>
      <w:r>
        <w:fldChar w:fldCharType="begin"/>
      </w:r>
      <w:r>
        <w:instrText xml:space="preserve"> HYPERLINK \l "_Toc10868" </w:instrText>
      </w:r>
      <w:r>
        <w:fldChar w:fldCharType="separate"/>
      </w:r>
      <w:r>
        <w:rPr>
          <w:rFonts w:hint="eastAsia" w:ascii="宋体" w:hAnsi="宋体" w:cs="宋体"/>
          <w:sz w:val="32"/>
          <w:szCs w:val="72"/>
        </w:rPr>
        <w:t>第五章  服务合同</w:t>
      </w:r>
      <w:r>
        <w:rPr>
          <w:sz w:val="32"/>
          <w:szCs w:val="40"/>
        </w:rPr>
        <w:tab/>
      </w:r>
      <w:r>
        <w:rPr>
          <w:sz w:val="32"/>
          <w:szCs w:val="40"/>
        </w:rPr>
        <w:fldChar w:fldCharType="begin"/>
      </w:r>
      <w:r>
        <w:rPr>
          <w:sz w:val="32"/>
          <w:szCs w:val="40"/>
        </w:rPr>
        <w:instrText xml:space="preserve"> PAGEREF _Toc10868 \h </w:instrText>
      </w:r>
      <w:r>
        <w:rPr>
          <w:sz w:val="32"/>
          <w:szCs w:val="40"/>
        </w:rPr>
        <w:fldChar w:fldCharType="separate"/>
      </w:r>
      <w:r>
        <w:rPr>
          <w:sz w:val="32"/>
          <w:szCs w:val="40"/>
        </w:rPr>
        <w:t>35</w:t>
      </w:r>
      <w:r>
        <w:rPr>
          <w:sz w:val="32"/>
          <w:szCs w:val="40"/>
        </w:rPr>
        <w:fldChar w:fldCharType="end"/>
      </w:r>
      <w:r>
        <w:rPr>
          <w:sz w:val="32"/>
          <w:szCs w:val="40"/>
        </w:rPr>
        <w:fldChar w:fldCharType="end"/>
      </w:r>
    </w:p>
    <w:p>
      <w:pPr>
        <w:rPr>
          <w:sz w:val="20"/>
          <w:szCs w:val="21"/>
        </w:rPr>
      </w:pPr>
    </w:p>
    <w:p>
      <w:pPr>
        <w:pStyle w:val="24"/>
        <w:tabs>
          <w:tab w:val="right" w:leader="dot" w:pos="9411"/>
        </w:tabs>
        <w:rPr>
          <w:sz w:val="32"/>
          <w:szCs w:val="40"/>
        </w:rPr>
      </w:pPr>
      <w:r>
        <w:fldChar w:fldCharType="begin"/>
      </w:r>
      <w:r>
        <w:instrText xml:space="preserve"> HYPERLINK \l "_Toc303" </w:instrText>
      </w:r>
      <w:r>
        <w:fldChar w:fldCharType="separate"/>
      </w:r>
      <w:r>
        <w:rPr>
          <w:rFonts w:hint="eastAsia" w:ascii="宋体" w:hAnsi="宋体" w:cs="宋体"/>
          <w:sz w:val="32"/>
          <w:szCs w:val="48"/>
        </w:rPr>
        <w:t>第六章  投标文件封皮格式</w:t>
      </w:r>
      <w:r>
        <w:rPr>
          <w:sz w:val="32"/>
          <w:szCs w:val="40"/>
        </w:rPr>
        <w:tab/>
      </w:r>
      <w:r>
        <w:rPr>
          <w:sz w:val="32"/>
          <w:szCs w:val="40"/>
        </w:rPr>
        <w:fldChar w:fldCharType="begin"/>
      </w:r>
      <w:r>
        <w:rPr>
          <w:sz w:val="32"/>
          <w:szCs w:val="40"/>
        </w:rPr>
        <w:instrText xml:space="preserve"> PAGEREF _Toc303 \h </w:instrText>
      </w:r>
      <w:r>
        <w:rPr>
          <w:sz w:val="32"/>
          <w:szCs w:val="40"/>
        </w:rPr>
        <w:fldChar w:fldCharType="separate"/>
      </w:r>
      <w:r>
        <w:rPr>
          <w:sz w:val="32"/>
          <w:szCs w:val="40"/>
        </w:rPr>
        <w:t>40</w:t>
      </w:r>
      <w:r>
        <w:rPr>
          <w:sz w:val="32"/>
          <w:szCs w:val="40"/>
        </w:rPr>
        <w:fldChar w:fldCharType="end"/>
      </w:r>
      <w:r>
        <w:rPr>
          <w:sz w:val="32"/>
          <w:szCs w:val="40"/>
        </w:rPr>
        <w:fldChar w:fldCharType="end"/>
      </w:r>
    </w:p>
    <w:p>
      <w:pPr>
        <w:pStyle w:val="35"/>
        <w:jc w:val="both"/>
        <w:outlineLvl w:val="9"/>
        <w:rPr>
          <w:sz w:val="56"/>
          <w:szCs w:val="56"/>
        </w:rPr>
        <w:sectPr>
          <w:pgSz w:w="11905" w:h="16838"/>
          <w:pgMar w:top="1217" w:right="1247" w:bottom="1417" w:left="1247" w:header="851" w:footer="850" w:gutter="0"/>
          <w:pgNumType w:fmt="numberInDash" w:start="0"/>
          <w:cols w:space="720" w:num="1"/>
          <w:docGrid w:linePitch="312" w:charSpace="0"/>
        </w:sectPr>
      </w:pPr>
      <w:r>
        <w:rPr>
          <w:rFonts w:hint="eastAsia"/>
          <w:sz w:val="40"/>
          <w:szCs w:val="44"/>
        </w:rPr>
        <w:fldChar w:fldCharType="end"/>
      </w:r>
    </w:p>
    <w:p>
      <w:pPr>
        <w:spacing w:line="500" w:lineRule="exact"/>
        <w:rPr>
          <w:rFonts w:ascii="黑体" w:hAnsi="黑体" w:eastAsia="黑体"/>
          <w:sz w:val="28"/>
          <w:szCs w:val="28"/>
        </w:rPr>
      </w:pPr>
    </w:p>
    <w:p>
      <w:pPr>
        <w:jc w:val="center"/>
        <w:outlineLvl w:val="0"/>
        <w:rPr>
          <w:rFonts w:ascii="宋体" w:hAnsi="宋体" w:cs="宋体"/>
          <w:b/>
          <w:bCs/>
          <w:sz w:val="36"/>
          <w:szCs w:val="44"/>
        </w:rPr>
      </w:pPr>
      <w:bookmarkStart w:id="18" w:name="_Toc9038"/>
      <w:bookmarkStart w:id="19" w:name="_Toc23658"/>
      <w:bookmarkStart w:id="20" w:name="_Toc7596"/>
      <w:bookmarkStart w:id="21" w:name="_Toc23780"/>
      <w:bookmarkStart w:id="22" w:name="_Toc28389"/>
      <w:bookmarkStart w:id="23" w:name="_Toc24899"/>
      <w:bookmarkStart w:id="24" w:name="_Toc24138"/>
      <w:r>
        <w:rPr>
          <w:rFonts w:hint="eastAsia" w:ascii="宋体" w:hAnsi="宋体" w:cs="宋体"/>
          <w:b/>
          <w:bCs/>
          <w:kern w:val="0"/>
          <w:sz w:val="36"/>
          <w:szCs w:val="44"/>
        </w:rPr>
        <w:t xml:space="preserve">第一章 </w:t>
      </w:r>
      <w:r>
        <w:rPr>
          <w:rFonts w:hint="eastAsia" w:ascii="宋体" w:hAnsi="宋体" w:cs="宋体"/>
          <w:b/>
          <w:bCs/>
          <w:sz w:val="36"/>
          <w:szCs w:val="44"/>
        </w:rPr>
        <w:t>公开招标公告</w:t>
      </w:r>
      <w:bookmarkEnd w:id="18"/>
      <w:bookmarkEnd w:id="19"/>
      <w:bookmarkEnd w:id="20"/>
      <w:bookmarkEnd w:id="21"/>
    </w:p>
    <w:bookmarkEnd w:id="22"/>
    <w:bookmarkEnd w:id="23"/>
    <w:bookmarkEnd w:id="24"/>
    <w:p>
      <w:pPr>
        <w:widowControl/>
        <w:spacing w:line="500" w:lineRule="exact"/>
        <w:ind w:right="105"/>
        <w:jc w:val="center"/>
        <w:outlineLvl w:val="0"/>
        <w:rPr>
          <w:rFonts w:ascii="宋体" w:hAnsi="宋体" w:cs="宋体"/>
          <w:b/>
          <w:bCs/>
          <w:sz w:val="36"/>
          <w:szCs w:val="44"/>
        </w:rPr>
      </w:pPr>
      <w:bookmarkStart w:id="25" w:name="_Hlt519045778"/>
      <w:bookmarkEnd w:id="25"/>
      <w:bookmarkStart w:id="26" w:name="_Toc423337551"/>
      <w:bookmarkEnd w:id="26"/>
      <w:bookmarkStart w:id="27" w:name="_Hlt509650027"/>
      <w:bookmarkEnd w:id="27"/>
      <w:bookmarkStart w:id="28" w:name="_Toc7709"/>
      <w:bookmarkStart w:id="29" w:name="_Toc423337552"/>
      <w:r>
        <w:rPr>
          <w:rFonts w:hint="eastAsia" w:ascii="宋体" w:hAnsi="宋体" w:cs="宋体"/>
          <w:b/>
          <w:bCs/>
          <w:kern w:val="0"/>
          <w:sz w:val="36"/>
          <w:szCs w:val="44"/>
        </w:rPr>
        <w:t>哈密市西河街道老旧小区改造（一期）项目-规划编制、初步设计和施工图设计</w:t>
      </w:r>
      <w:bookmarkEnd w:id="28"/>
    </w:p>
    <w:p>
      <w:pPr>
        <w:pBdr>
          <w:top w:val="single" w:color="000000" w:sz="4" w:space="1"/>
          <w:left w:val="single" w:color="000000" w:sz="4" w:space="4"/>
          <w:bottom w:val="single" w:color="000000" w:sz="4" w:space="1"/>
          <w:right w:val="single" w:color="000000" w:sz="4" w:space="5"/>
        </w:pBdr>
        <w:spacing w:line="500" w:lineRule="exact"/>
        <w:rPr>
          <w:rFonts w:ascii="宋体" w:hAnsi="宋体"/>
          <w:b/>
          <w:bCs/>
          <w:sz w:val="24"/>
          <w:szCs w:val="24"/>
        </w:rPr>
      </w:pPr>
      <w:r>
        <w:rPr>
          <w:rFonts w:hint="eastAsia" w:ascii="宋体" w:hAnsi="宋体"/>
          <w:b/>
          <w:bCs/>
          <w:sz w:val="24"/>
          <w:szCs w:val="24"/>
        </w:rPr>
        <w:t>项目概况</w:t>
      </w:r>
    </w:p>
    <w:p>
      <w:pPr>
        <w:pBdr>
          <w:top w:val="single" w:color="000000" w:sz="4" w:space="1"/>
          <w:left w:val="single" w:color="000000" w:sz="4" w:space="4"/>
          <w:bottom w:val="single" w:color="000000" w:sz="4" w:space="1"/>
          <w:right w:val="single" w:color="000000" w:sz="4" w:space="5"/>
        </w:pBdr>
        <w:spacing w:line="500" w:lineRule="exact"/>
        <w:ind w:firstLine="480" w:firstLineChars="200"/>
        <w:rPr>
          <w:rFonts w:ascii="宋体" w:hAnsi="宋体"/>
          <w:sz w:val="24"/>
          <w:szCs w:val="24"/>
          <w:u w:val="single"/>
        </w:rPr>
      </w:pPr>
      <w:r>
        <w:rPr>
          <w:rFonts w:hint="eastAsia" w:ascii="宋体" w:hAnsi="宋体"/>
          <w:sz w:val="24"/>
          <w:szCs w:val="24"/>
          <w:u w:val="single"/>
        </w:rPr>
        <w:t>哈密市西河街道老旧小区改造（一期）项目-规划编制、初步设计和施工图设计</w:t>
      </w:r>
      <w:r>
        <w:rPr>
          <w:rFonts w:hint="eastAsia" w:ascii="宋体" w:hAnsi="宋体"/>
          <w:sz w:val="24"/>
          <w:szCs w:val="24"/>
        </w:rPr>
        <w:t>的各潜在投标人</w:t>
      </w:r>
      <w:r>
        <w:rPr>
          <w:rFonts w:hint="eastAsia" w:ascii="宋体" w:hAnsi="宋体" w:cs="宋体"/>
          <w:color w:val="000000"/>
          <w:sz w:val="24"/>
          <w:szCs w:val="24"/>
        </w:rPr>
        <w:t>应在新疆政府采购网（http://www.ccgp-xinjiang.gov.cn）政采云平台线上获取招标文件</w:t>
      </w:r>
      <w:r>
        <w:rPr>
          <w:rFonts w:hint="eastAsia" w:ascii="宋体" w:hAnsi="宋体"/>
          <w:sz w:val="24"/>
          <w:szCs w:val="24"/>
        </w:rPr>
        <w:t>，并于</w:t>
      </w:r>
      <w:r>
        <w:rPr>
          <w:rFonts w:hint="eastAsia" w:ascii="宋体" w:hAnsi="宋体"/>
          <w:sz w:val="24"/>
          <w:szCs w:val="24"/>
          <w:u w:val="single"/>
        </w:rPr>
        <w:t>2023年10月1</w:t>
      </w:r>
      <w:r>
        <w:rPr>
          <w:rFonts w:hint="eastAsia" w:ascii="宋体" w:hAnsi="宋体"/>
          <w:sz w:val="24"/>
          <w:szCs w:val="24"/>
          <w:u w:val="single"/>
          <w:lang w:val="en-US" w:eastAsia="zh-CN"/>
        </w:rPr>
        <w:t>8</w:t>
      </w:r>
      <w:r>
        <w:rPr>
          <w:rFonts w:hint="eastAsia" w:ascii="宋体" w:hAnsi="宋体"/>
          <w:sz w:val="24"/>
          <w:szCs w:val="24"/>
          <w:u w:val="single"/>
        </w:rPr>
        <w:t>日10点30分</w:t>
      </w:r>
      <w:r>
        <w:rPr>
          <w:rFonts w:hint="eastAsia" w:ascii="宋体" w:hAnsi="宋体"/>
          <w:sz w:val="24"/>
          <w:szCs w:val="24"/>
        </w:rPr>
        <w:t>（北京时间）前递交响应</w:t>
      </w:r>
      <w:r>
        <w:rPr>
          <w:rFonts w:hint="eastAsia" w:ascii="宋体" w:hAnsi="宋体"/>
          <w:bCs/>
          <w:sz w:val="24"/>
          <w:szCs w:val="24"/>
        </w:rPr>
        <w:t>文件</w:t>
      </w:r>
      <w:r>
        <w:rPr>
          <w:rFonts w:hint="eastAsia" w:ascii="宋体" w:hAnsi="宋体"/>
          <w:sz w:val="24"/>
          <w:szCs w:val="24"/>
        </w:rPr>
        <w:t>。</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一、项目基本情况：</w:t>
      </w:r>
    </w:p>
    <w:p>
      <w:pPr>
        <w:widowControl/>
        <w:spacing w:line="500" w:lineRule="exact"/>
        <w:ind w:left="105" w:leftChars="50" w:right="105" w:firstLine="410" w:firstLineChars="171"/>
        <w:rPr>
          <w:rFonts w:ascii="宋体" w:hAnsi="宋体"/>
          <w:sz w:val="24"/>
          <w:szCs w:val="24"/>
        </w:rPr>
      </w:pPr>
      <w:r>
        <w:rPr>
          <w:rFonts w:hint="eastAsia" w:ascii="宋体" w:hAnsi="宋体"/>
          <w:sz w:val="24"/>
          <w:szCs w:val="24"/>
        </w:rPr>
        <w:t xml:space="preserve">项目编号： XJKC-ZB-2023（052）          </w:t>
      </w:r>
    </w:p>
    <w:p>
      <w:pPr>
        <w:widowControl/>
        <w:spacing w:line="500" w:lineRule="exact"/>
        <w:ind w:left="105" w:leftChars="50" w:right="105" w:firstLine="410" w:firstLineChars="171"/>
        <w:rPr>
          <w:rFonts w:ascii="宋体" w:hAnsi="宋体"/>
          <w:sz w:val="24"/>
          <w:szCs w:val="24"/>
        </w:rPr>
      </w:pPr>
      <w:r>
        <w:rPr>
          <w:rFonts w:hint="eastAsia" w:ascii="宋体" w:hAnsi="宋体"/>
          <w:sz w:val="24"/>
          <w:szCs w:val="24"/>
        </w:rPr>
        <w:t>项目名称：哈密市西河街道老旧小区改造（一期）项目-规划编制、初步设计和施工图设计</w:t>
      </w:r>
    </w:p>
    <w:p>
      <w:pPr>
        <w:widowControl/>
        <w:spacing w:line="500" w:lineRule="exact"/>
        <w:ind w:left="105" w:leftChars="50" w:right="105" w:firstLine="410" w:firstLineChars="171"/>
        <w:rPr>
          <w:rFonts w:ascii="宋体" w:hAnsi="宋体"/>
          <w:sz w:val="24"/>
          <w:szCs w:val="24"/>
        </w:rPr>
      </w:pPr>
      <w:r>
        <w:rPr>
          <w:rFonts w:hint="eastAsia" w:ascii="宋体" w:hAnsi="宋体"/>
          <w:sz w:val="24"/>
          <w:szCs w:val="24"/>
        </w:rPr>
        <w:t>招标范围</w:t>
      </w:r>
      <w:r>
        <w:rPr>
          <w:rFonts w:hint="eastAsia" w:ascii="宋体" w:hAnsi="宋体" w:cs="宋体"/>
          <w:sz w:val="24"/>
        </w:rPr>
        <w:t>：规划编制（修建性详细规划）、初步设计、施工图设计</w:t>
      </w:r>
      <w:r>
        <w:rPr>
          <w:rFonts w:hint="eastAsia" w:ascii="宋体" w:hAnsi="宋体"/>
          <w:sz w:val="24"/>
        </w:rPr>
        <w:t xml:space="preserve"> </w:t>
      </w:r>
      <w:r>
        <w:rPr>
          <w:rFonts w:hint="eastAsia" w:ascii="宋体" w:hAnsi="宋体"/>
          <w:sz w:val="24"/>
          <w:szCs w:val="24"/>
        </w:rPr>
        <w:t xml:space="preserve">         </w:t>
      </w:r>
    </w:p>
    <w:p>
      <w:pPr>
        <w:widowControl/>
        <w:spacing w:line="500" w:lineRule="exact"/>
        <w:ind w:left="105" w:leftChars="50" w:right="105" w:firstLine="410" w:firstLineChars="171"/>
        <w:rPr>
          <w:rFonts w:ascii="宋体" w:hAnsi="宋体"/>
          <w:sz w:val="24"/>
          <w:szCs w:val="24"/>
        </w:rPr>
      </w:pPr>
      <w:r>
        <w:rPr>
          <w:rFonts w:hint="eastAsia" w:ascii="宋体" w:hAnsi="宋体"/>
          <w:sz w:val="24"/>
          <w:szCs w:val="24"/>
        </w:rPr>
        <w:t>预算金额（元）：8320000.00</w:t>
      </w:r>
    </w:p>
    <w:p>
      <w:pPr>
        <w:pStyle w:val="35"/>
        <w:tabs>
          <w:tab w:val="left" w:pos="718"/>
        </w:tabs>
        <w:ind w:firstLine="480" w:firstLineChars="200"/>
        <w:jc w:val="left"/>
      </w:pPr>
      <w:bookmarkStart w:id="30" w:name="_Toc26562"/>
      <w:bookmarkStart w:id="31" w:name="_Toc23190"/>
      <w:bookmarkStart w:id="32" w:name="_Toc15474"/>
      <w:bookmarkStart w:id="33" w:name="_Toc12879"/>
      <w:bookmarkStart w:id="34" w:name="_Toc24093"/>
      <w:bookmarkStart w:id="35" w:name="_Toc4327"/>
      <w:bookmarkStart w:id="36" w:name="_Toc9137"/>
      <w:bookmarkStart w:id="37" w:name="_Toc7158"/>
      <w:bookmarkStart w:id="38" w:name="_Toc13639"/>
      <w:r>
        <w:rPr>
          <w:rFonts w:hint="eastAsia" w:ascii="宋体" w:hAnsi="宋体" w:eastAsia="宋体"/>
          <w:b w:val="0"/>
          <w:bCs w:val="0"/>
          <w:color w:val="auto"/>
        </w:rPr>
        <w:t>控制价（元）：8320000.00</w:t>
      </w:r>
      <w:bookmarkEnd w:id="30"/>
      <w:bookmarkEnd w:id="31"/>
      <w:bookmarkEnd w:id="32"/>
      <w:bookmarkEnd w:id="33"/>
      <w:bookmarkEnd w:id="34"/>
      <w:bookmarkEnd w:id="35"/>
      <w:bookmarkEnd w:id="36"/>
      <w:bookmarkEnd w:id="37"/>
      <w:bookmarkEnd w:id="38"/>
    </w:p>
    <w:p>
      <w:pPr>
        <w:spacing w:line="500" w:lineRule="exact"/>
        <w:ind w:firstLine="480" w:firstLineChars="200"/>
        <w:rPr>
          <w:rFonts w:ascii="宋体" w:hAnsi="宋体"/>
          <w:bCs/>
          <w:kern w:val="0"/>
          <w:sz w:val="24"/>
          <w:szCs w:val="24"/>
        </w:rPr>
      </w:pPr>
      <w:r>
        <w:rPr>
          <w:rFonts w:hint="eastAsia" w:ascii="宋体" w:hAnsi="宋体"/>
          <w:bCs/>
          <w:kern w:val="0"/>
          <w:sz w:val="24"/>
          <w:szCs w:val="24"/>
        </w:rPr>
        <w:t>服务期限：本设计服务周期自本工程合同签订之日起，至项目成果验收合格之日止。其中，总设计周期为90个日历日。</w:t>
      </w:r>
    </w:p>
    <w:p>
      <w:pPr>
        <w:adjustRightInd w:val="0"/>
        <w:spacing w:line="360" w:lineRule="exact"/>
        <w:ind w:firstLine="480" w:firstLineChars="200"/>
        <w:jc w:val="left"/>
        <w:rPr>
          <w:rFonts w:ascii="宋体" w:hAnsi="宋体"/>
          <w:bCs/>
          <w:kern w:val="0"/>
          <w:sz w:val="24"/>
          <w:szCs w:val="24"/>
        </w:rPr>
      </w:pPr>
      <w:r>
        <w:rPr>
          <w:rFonts w:hint="eastAsia" w:ascii="宋体" w:hAnsi="宋体" w:cs="宋体"/>
          <w:color w:val="000000"/>
          <w:sz w:val="24"/>
          <w:szCs w:val="24"/>
        </w:rPr>
        <w:t>本项目（否）接受联合体投标。</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二、申请人的资格条件：</w:t>
      </w:r>
    </w:p>
    <w:p>
      <w:pPr>
        <w:pStyle w:val="217"/>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1.满足《中华人民共和国政府采购法》第二十二条规定。</w:t>
      </w:r>
    </w:p>
    <w:p>
      <w:pPr>
        <w:adjustRightInd w:val="0"/>
        <w:spacing w:line="360" w:lineRule="exact"/>
        <w:ind w:firstLine="480" w:firstLineChars="200"/>
        <w:jc w:val="left"/>
        <w:rPr>
          <w:rFonts w:ascii="宋体" w:hAnsi="宋体" w:cs="宋体"/>
          <w:sz w:val="24"/>
          <w:szCs w:val="24"/>
        </w:rPr>
      </w:pPr>
      <w:r>
        <w:rPr>
          <w:rFonts w:hint="eastAsia" w:ascii="宋体" w:hAnsi="宋体" w:cs="宋体"/>
          <w:sz w:val="24"/>
          <w:szCs w:val="24"/>
        </w:rPr>
        <w:t>2.落实政府采购政策需满足的资格要求:无。</w:t>
      </w:r>
    </w:p>
    <w:p>
      <w:pPr>
        <w:pStyle w:val="363"/>
        <w:spacing w:line="360" w:lineRule="auto"/>
        <w:ind w:firstLine="480" w:firstLineChars="200"/>
        <w:rPr>
          <w:rFonts w:ascii="宋体" w:hAnsi="宋体"/>
          <w:sz w:val="24"/>
          <w:szCs w:val="24"/>
        </w:rPr>
      </w:pPr>
      <w:r>
        <w:rPr>
          <w:rFonts w:hint="eastAsia" w:ascii="宋体" w:hAnsi="宋体"/>
          <w:sz w:val="24"/>
          <w:szCs w:val="24"/>
        </w:rPr>
        <w:t>3.本项目的特定资格要求：</w:t>
      </w:r>
    </w:p>
    <w:p>
      <w:pPr>
        <w:widowControl/>
        <w:spacing w:line="460" w:lineRule="exact"/>
        <w:ind w:firstLine="480" w:firstLineChars="200"/>
        <w:jc w:val="left"/>
        <w:rPr>
          <w:rFonts w:ascii="宋体" w:hAnsi="宋体" w:cs="宋体"/>
          <w:color w:val="000000"/>
          <w:kern w:val="0"/>
          <w:sz w:val="24"/>
          <w:szCs w:val="24"/>
          <w:lang w:bidi="ar"/>
        </w:rPr>
      </w:pPr>
      <w:r>
        <w:rPr>
          <w:rFonts w:hint="eastAsia" w:ascii="宋体" w:hAnsi="宋体" w:cs="宋体"/>
          <w:sz w:val="24"/>
          <w:szCs w:val="24"/>
        </w:rPr>
        <w:t>（1）</w:t>
      </w:r>
      <w:r>
        <w:rPr>
          <w:rFonts w:hint="eastAsia" w:ascii="宋体" w:hAnsi="宋体" w:cs="宋体"/>
          <w:color w:val="000000"/>
          <w:kern w:val="0"/>
          <w:sz w:val="24"/>
          <w:szCs w:val="24"/>
          <w:lang w:bidi="ar"/>
        </w:rPr>
        <w:t>供应商应具备有效的城乡规划编制甲级资质和工程设计建筑行业（建筑工程）甲级及以上资质。</w:t>
      </w:r>
    </w:p>
    <w:p>
      <w:pPr>
        <w:pStyle w:val="88"/>
        <w:spacing w:before="0" w:beforeAutospacing="0" w:after="0" w:afterAutospacing="0" w:line="360" w:lineRule="auto"/>
        <w:jc w:val="both"/>
        <w:rPr>
          <w:b/>
          <w:kern w:val="36"/>
        </w:rPr>
      </w:pPr>
      <w:r>
        <w:rPr>
          <w:rFonts w:hint="eastAsia"/>
          <w:b/>
          <w:kern w:val="36"/>
        </w:rPr>
        <w:t>三、获取招标文件（投标人报名时间）</w:t>
      </w:r>
    </w:p>
    <w:p>
      <w:pPr>
        <w:adjustRightInd w:val="0"/>
        <w:spacing w:line="360" w:lineRule="auto"/>
        <w:ind w:firstLine="480" w:firstLineChars="200"/>
        <w:jc w:val="left"/>
        <w:rPr>
          <w:rFonts w:ascii="宋体" w:hAnsi="宋体" w:cs="宋体"/>
          <w:color w:val="000000"/>
          <w:sz w:val="24"/>
          <w:szCs w:val="24"/>
        </w:rPr>
      </w:pPr>
      <w:r>
        <w:rPr>
          <w:rFonts w:hint="eastAsia" w:asciiTheme="minorEastAsia" w:hAnsiTheme="minorEastAsia" w:eastAsiaTheme="minorEastAsia" w:cstheme="minorEastAsia"/>
          <w:kern w:val="0"/>
          <w:sz w:val="24"/>
          <w:szCs w:val="24"/>
        </w:rPr>
        <w:t>时间：</w:t>
      </w:r>
      <w:r>
        <w:rPr>
          <w:rFonts w:hint="eastAsia" w:ascii="宋体" w:hAnsi="宋体" w:cs="宋体"/>
          <w:color w:val="000000"/>
          <w:sz w:val="24"/>
          <w:szCs w:val="24"/>
        </w:rPr>
        <w:t>2023年09月</w:t>
      </w:r>
      <w:r>
        <w:rPr>
          <w:rFonts w:hint="eastAsia" w:ascii="宋体" w:hAnsi="宋体" w:cs="宋体"/>
          <w:color w:val="000000"/>
          <w:sz w:val="24"/>
          <w:szCs w:val="24"/>
          <w:lang w:val="en-US" w:eastAsia="zh-CN"/>
        </w:rPr>
        <w:t>28</w:t>
      </w:r>
      <w:r>
        <w:rPr>
          <w:rFonts w:hint="eastAsia" w:ascii="宋体" w:hAnsi="宋体" w:cs="宋体"/>
          <w:color w:val="000000"/>
          <w:sz w:val="24"/>
          <w:szCs w:val="24"/>
        </w:rPr>
        <w:t>日至2023年10月</w:t>
      </w:r>
      <w:r>
        <w:rPr>
          <w:rFonts w:hint="eastAsia" w:ascii="宋体" w:hAnsi="宋体" w:cs="宋体"/>
          <w:color w:val="000000"/>
          <w:sz w:val="24"/>
          <w:szCs w:val="24"/>
          <w:lang w:val="en-US" w:eastAsia="zh-CN"/>
        </w:rPr>
        <w:t>11</w:t>
      </w:r>
      <w:r>
        <w:rPr>
          <w:rFonts w:hint="eastAsia" w:ascii="宋体" w:hAnsi="宋体" w:cs="宋体"/>
          <w:color w:val="000000"/>
          <w:sz w:val="24"/>
          <w:szCs w:val="24"/>
        </w:rPr>
        <w:t>日，上午09:30-13:30，下午</w:t>
      </w:r>
      <w:r>
        <w:rPr>
          <w:rFonts w:hint="eastAsia" w:ascii="宋体" w:hAnsi="宋体" w:cs="宋体"/>
          <w:color w:val="000000"/>
          <w:sz w:val="24"/>
          <w:szCs w:val="24"/>
          <w:lang w:val="en-US" w:eastAsia="zh-CN"/>
        </w:rPr>
        <w:t>15</w:t>
      </w:r>
      <w:r>
        <w:rPr>
          <w:rFonts w:hint="eastAsia" w:ascii="宋体" w:hAnsi="宋体" w:cs="宋体"/>
          <w:color w:val="000000"/>
          <w:sz w:val="24"/>
          <w:szCs w:val="24"/>
        </w:rPr>
        <w:t>:</w:t>
      </w:r>
      <w:r>
        <w:rPr>
          <w:rFonts w:hint="eastAsia" w:ascii="宋体" w:hAnsi="宋体" w:cs="宋体"/>
          <w:color w:val="000000"/>
          <w:sz w:val="24"/>
          <w:szCs w:val="24"/>
          <w:lang w:val="en-US" w:eastAsia="zh-CN"/>
        </w:rPr>
        <w:t>30</w:t>
      </w:r>
      <w:r>
        <w:rPr>
          <w:rFonts w:hint="eastAsia" w:ascii="宋体" w:hAnsi="宋体" w:cs="宋体"/>
          <w:color w:val="000000"/>
          <w:sz w:val="24"/>
          <w:szCs w:val="24"/>
        </w:rPr>
        <w:t>-19:30（北京时间，法定节假日除外）。</w:t>
      </w:r>
    </w:p>
    <w:p>
      <w:pPr>
        <w:adjustRightInd w:val="0"/>
        <w:spacing w:line="360" w:lineRule="auto"/>
        <w:ind w:firstLine="480" w:firstLineChars="200"/>
        <w:jc w:val="left"/>
        <w:rPr>
          <w:rFonts w:ascii="宋体" w:hAnsi="宋体" w:cs="宋体"/>
          <w:color w:val="000000"/>
          <w:sz w:val="24"/>
          <w:szCs w:val="24"/>
        </w:rPr>
      </w:pPr>
      <w:r>
        <w:rPr>
          <w:rFonts w:hint="eastAsia" w:asciiTheme="minorEastAsia" w:hAnsiTheme="minorEastAsia" w:eastAsiaTheme="minorEastAsia" w:cstheme="minorEastAsia"/>
          <w:kern w:val="0"/>
          <w:sz w:val="24"/>
          <w:szCs w:val="24"/>
        </w:rPr>
        <w:t>地点：</w:t>
      </w:r>
      <w:r>
        <w:rPr>
          <w:rFonts w:hint="eastAsia" w:ascii="宋体" w:hAnsi="宋体" w:cs="宋体"/>
          <w:color w:val="000000"/>
          <w:sz w:val="24"/>
          <w:szCs w:val="24"/>
        </w:rPr>
        <w:t>新疆政府采购网（http://www.ccgp-xinjiang.gov.cn）政采云平台线上获取</w:t>
      </w:r>
    </w:p>
    <w:p>
      <w:pPr>
        <w:pStyle w:val="10"/>
        <w:spacing w:line="360" w:lineRule="auto"/>
        <w:ind w:firstLine="480" w:firstLineChars="200"/>
        <w:rPr>
          <w:rFonts w:ascii="宋体" w:hAnsi="宋体" w:cs="宋体"/>
          <w:color w:val="000000"/>
          <w:sz w:val="24"/>
        </w:rPr>
      </w:pPr>
      <w:r>
        <w:rPr>
          <w:rFonts w:hint="eastAsia" w:ascii="宋体" w:hAnsi="宋体" w:cs="宋体"/>
          <w:color w:val="000000"/>
          <w:sz w:val="24"/>
        </w:rPr>
        <w:t>方式：</w:t>
      </w:r>
      <w:r>
        <w:rPr>
          <w:rFonts w:hint="eastAsia" w:ascii="宋体" w:hAnsi="宋体" w:cs="宋体"/>
          <w:sz w:val="24"/>
        </w:rPr>
        <w:t>供应商登录政采云平台https://www.zcygov.cn/在线申请获取采购文件（进入“项目采购”应用，在获取采购文件菜单中选择项目，申请获取采购文件）。</w:t>
      </w:r>
    </w:p>
    <w:p>
      <w:pPr>
        <w:adjustRightInd w:val="0"/>
        <w:spacing w:line="360" w:lineRule="auto"/>
        <w:ind w:firstLine="480" w:firstLineChars="200"/>
        <w:jc w:val="left"/>
        <w:rPr>
          <w:rFonts w:asciiTheme="minorEastAsia" w:hAnsiTheme="minorEastAsia" w:eastAsiaTheme="minorEastAsia" w:cstheme="minorEastAsia"/>
          <w:kern w:val="0"/>
          <w:sz w:val="24"/>
          <w:szCs w:val="24"/>
        </w:rPr>
      </w:pPr>
      <w:r>
        <w:rPr>
          <w:rFonts w:hint="eastAsia" w:ascii="宋体" w:hAnsi="宋体" w:cs="宋体"/>
          <w:color w:val="000000"/>
          <w:sz w:val="24"/>
          <w:szCs w:val="24"/>
        </w:rPr>
        <w:t xml:space="preserve">售价（元）：0.00  </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四、投标截止时间和开标时间、地点</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提交投标文件截止时间：2023年10月</w:t>
      </w:r>
      <w:r>
        <w:rPr>
          <w:rFonts w:hint="eastAsia" w:ascii="宋体" w:hAnsi="宋体" w:cs="宋体"/>
          <w:color w:val="000000"/>
          <w:sz w:val="24"/>
          <w:szCs w:val="24"/>
          <w:lang w:val="en-US" w:eastAsia="zh-CN"/>
        </w:rPr>
        <w:t>18</w:t>
      </w:r>
      <w:r>
        <w:rPr>
          <w:rFonts w:hint="eastAsia" w:ascii="宋体" w:hAnsi="宋体" w:cs="宋体"/>
          <w:color w:val="000000"/>
          <w:sz w:val="24"/>
          <w:szCs w:val="24"/>
        </w:rPr>
        <w:t>日 10:30（北京时间）</w:t>
      </w:r>
    </w:p>
    <w:p>
      <w:pPr>
        <w:pStyle w:val="31"/>
        <w:spacing w:before="0" w:beforeAutospacing="0" w:after="0" w:afterAutospacing="0" w:line="408" w:lineRule="auto"/>
        <w:ind w:firstLine="480" w:firstLineChars="200"/>
        <w:rPr>
          <w:szCs w:val="24"/>
        </w:rPr>
      </w:pPr>
      <w:r>
        <w:rPr>
          <w:rFonts w:hint="eastAsia" w:ascii="宋体" w:hAnsi="宋体" w:cs="宋体"/>
          <w:color w:val="000000"/>
          <w:szCs w:val="24"/>
        </w:rPr>
        <w:t>投标地点：新疆政府采购网（http://www.ccgp-xinjiang.gov.cn）</w:t>
      </w:r>
      <w:r>
        <w:rPr>
          <w:rFonts w:hint="eastAsia"/>
          <w:szCs w:val="24"/>
        </w:rPr>
        <w:t>政采云平台）</w:t>
      </w:r>
    </w:p>
    <w:p>
      <w:pPr>
        <w:pStyle w:val="31"/>
        <w:spacing w:before="0" w:beforeAutospacing="0" w:after="0" w:afterAutospacing="0" w:line="360" w:lineRule="auto"/>
        <w:ind w:firstLine="480" w:firstLineChars="200"/>
        <w:rPr>
          <w:rFonts w:ascii="宋体" w:hAnsi="宋体" w:cs="宋体"/>
          <w:color w:val="000000"/>
          <w:szCs w:val="24"/>
        </w:rPr>
      </w:pPr>
      <w:r>
        <w:rPr>
          <w:rFonts w:hint="eastAsia"/>
          <w:szCs w:val="24"/>
        </w:rPr>
        <w:t>（逾期未上传的或不符合规定的投标文件将被拒绝接收）</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开标时间：2023年10月</w:t>
      </w:r>
      <w:r>
        <w:rPr>
          <w:rFonts w:hint="eastAsia" w:ascii="宋体" w:hAnsi="宋体" w:cs="宋体"/>
          <w:color w:val="000000"/>
          <w:sz w:val="24"/>
          <w:szCs w:val="24"/>
          <w:lang w:val="en-US" w:eastAsia="zh-CN"/>
        </w:rPr>
        <w:t>18</w:t>
      </w:r>
      <w:r>
        <w:rPr>
          <w:rFonts w:hint="eastAsia" w:ascii="宋体" w:hAnsi="宋体" w:cs="宋体"/>
          <w:color w:val="000000"/>
          <w:sz w:val="24"/>
          <w:szCs w:val="24"/>
        </w:rPr>
        <w:t>日 10:30（北京时间）</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开标地点：政采云平台http://www.zcygov.cn  </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五、公告期限</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自本公告发布之日起5个工作日。</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六、其他补充事宜</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1、本项目实行网上投标，采用电子投标文件。若供应商参与投标，自行承担投标一 </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切费用。 </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2、各供应商应在开标前应确保成为新疆维吾尔自治区政府采购网正式注册入库供应商，并完成 CA 数字证书申领。因未注册入库、未办理 CA 数字证书等原因造成无法投标或投标失败等后果由供应商自行承担。 </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3、本项目为电子招投标，供应商需要使用 CA 加密设备，有意向参与新疆区域电子开评标的供应商，请访问新疆数字证书认证中心官方网（https://www.xjca.com.cn/）或下载新疆政务通 APP 自行进行申领。如需咨询，请联系新疆 CA 服务热线 0991-2819290 </w:t>
      </w:r>
    </w:p>
    <w:p>
      <w:pPr>
        <w:adjustRightIn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4、供应商将政采云电子交易客户端下载、安装完成后，可通过账号密码或 CA 登录客户端进行投标文件制作。在使用政采云投标客户端时，建议使用 WIN7 及以上操作系统。客户端请至新疆政府采购网（http://www.ccgp-xinjiang.gov.cn/）下载专区查看，如有问题可拨打政采云客户服务热线 95763 进行咨询。如因供应商自身原因导致在规定时间内 无法正常解密的（如：浏览器故障、未安装相关驱动、网络故障、加密 CA 与解密 CA 不一致等），采购中心/代理机构不予异常处理，视为供应商自动弃标。 </w:t>
      </w:r>
    </w:p>
    <w:p>
      <w:pPr>
        <w:adjustRightInd w:val="0"/>
        <w:spacing w:line="360" w:lineRule="auto"/>
        <w:ind w:firstLine="480" w:firstLineChars="200"/>
        <w:jc w:val="left"/>
      </w:pPr>
      <w:r>
        <w:rPr>
          <w:rFonts w:hint="eastAsia" w:ascii="宋体" w:hAnsi="宋体" w:cs="宋体"/>
          <w:color w:val="000000"/>
          <w:sz w:val="24"/>
          <w:szCs w:val="24"/>
        </w:rPr>
        <w:t>5、供应商操作指南详见新疆政府采购网（http://www.ccgp-x</w:t>
      </w:r>
      <w:r>
        <w:rPr>
          <w:rFonts w:hint="eastAsia" w:ascii="宋体" w:hAnsi="宋体" w:cs="宋体"/>
          <w:color w:val="000000"/>
          <w:kern w:val="0"/>
          <w:sz w:val="24"/>
          <w:szCs w:val="24"/>
          <w:lang w:bidi="ar"/>
        </w:rPr>
        <w:t xml:space="preserve">injiang.gov.cn/）— </w:t>
      </w:r>
    </w:p>
    <w:p>
      <w:pPr>
        <w:widowControl/>
        <w:jc w:val="left"/>
        <w:rPr>
          <w:rFonts w:ascii="宋体" w:hAnsi="宋体" w:cs="宋体"/>
          <w:color w:val="000000"/>
          <w:sz w:val="24"/>
          <w:szCs w:val="24"/>
        </w:rPr>
      </w:pPr>
      <w:r>
        <w:rPr>
          <w:rFonts w:hint="eastAsia" w:ascii="宋体" w:hAnsi="宋体" w:cs="宋体"/>
          <w:color w:val="000000"/>
          <w:kern w:val="0"/>
          <w:sz w:val="24"/>
          <w:szCs w:val="24"/>
          <w:lang w:bidi="ar"/>
        </w:rPr>
        <w:t>办事指南—操作指南。</w:t>
      </w:r>
      <w:r>
        <w:rPr>
          <w:rFonts w:hint="eastAsia" w:ascii="宋体" w:hAnsi="宋体" w:cs="宋体"/>
          <w:color w:val="000000"/>
          <w:sz w:val="24"/>
          <w:szCs w:val="24"/>
        </w:rPr>
        <w:t xml:space="preserve"> </w:t>
      </w:r>
    </w:p>
    <w:p>
      <w:pPr>
        <w:pStyle w:val="31"/>
        <w:widowControl/>
        <w:rPr>
          <w:rFonts w:ascii="宋体" w:hAnsi="宋体"/>
          <w:b/>
          <w:kern w:val="36"/>
          <w:szCs w:val="24"/>
        </w:rPr>
      </w:pPr>
      <w:r>
        <w:rPr>
          <w:rFonts w:hint="eastAsia" w:ascii="宋体" w:hAnsi="宋体" w:cs="宋体"/>
          <w:color w:val="000000"/>
          <w:szCs w:val="24"/>
        </w:rPr>
        <w:tab/>
      </w:r>
      <w:r>
        <w:rPr>
          <w:rFonts w:hint="eastAsia" w:ascii="宋体" w:hAnsi="宋体"/>
          <w:b/>
          <w:kern w:val="36"/>
          <w:szCs w:val="24"/>
        </w:rPr>
        <w:t>特别提示：</w:t>
      </w:r>
    </w:p>
    <w:p>
      <w:pPr>
        <w:spacing w:line="500" w:lineRule="exact"/>
        <w:ind w:firstLine="480" w:firstLineChars="200"/>
        <w:rPr>
          <w:rFonts w:ascii="宋体" w:hAnsi="宋体"/>
          <w:bCs/>
          <w:kern w:val="0"/>
          <w:sz w:val="24"/>
          <w:szCs w:val="24"/>
        </w:rPr>
      </w:pPr>
      <w:r>
        <w:rPr>
          <w:rFonts w:hint="eastAsia" w:ascii="宋体" w:hAnsi="宋体"/>
          <w:bCs/>
          <w:kern w:val="0"/>
          <w:sz w:val="24"/>
          <w:szCs w:val="24"/>
        </w:rPr>
        <w:t>1、采购限额标准以上，200万元以下的货物和服务采购项目、400万元以下的工程采购项目，适宜由中小企业提供的，采购人应当专门面向中小企业采购。</w:t>
      </w:r>
    </w:p>
    <w:p>
      <w:pPr>
        <w:spacing w:line="500" w:lineRule="exact"/>
        <w:ind w:firstLine="480" w:firstLineChars="200"/>
        <w:rPr>
          <w:rFonts w:ascii="宋体" w:hAnsi="宋体"/>
          <w:bCs/>
          <w:kern w:val="0"/>
          <w:sz w:val="24"/>
          <w:szCs w:val="24"/>
        </w:rPr>
      </w:pPr>
      <w:r>
        <w:rPr>
          <w:rFonts w:hint="eastAsia" w:ascii="宋体" w:hAnsi="宋体"/>
          <w:bCs/>
          <w:kern w:val="0"/>
          <w:sz w:val="24"/>
          <w:szCs w:val="24"/>
        </w:rPr>
        <w:t>2、超过200万元的货物和服务采购项目，预留该部分采购项目预算总额的30%以上专门面向中小企业采购，其中预留给小微企业的比例不低于60%。</w:t>
      </w:r>
    </w:p>
    <w:p>
      <w:pPr>
        <w:spacing w:line="500" w:lineRule="exact"/>
        <w:ind w:firstLine="480" w:firstLineChars="200"/>
        <w:rPr>
          <w:rFonts w:ascii="宋体" w:hAnsi="宋体"/>
          <w:bCs/>
          <w:kern w:val="0"/>
          <w:sz w:val="24"/>
          <w:szCs w:val="24"/>
        </w:rPr>
      </w:pPr>
      <w:r>
        <w:rPr>
          <w:rFonts w:hint="eastAsia" w:ascii="宋体" w:hAnsi="宋体"/>
          <w:bCs/>
          <w:kern w:val="0"/>
          <w:sz w:val="24"/>
          <w:szCs w:val="24"/>
        </w:rPr>
        <w:t>3、超过400万元的工程采购项目中适宜由中小企业提供的，预留该部分采购项目预算总额的40%以上专门面向中小企业采购，其中预留给小微企业的比例不低于60%。</w:t>
      </w:r>
    </w:p>
    <w:p>
      <w:pPr>
        <w:spacing w:line="500" w:lineRule="exact"/>
        <w:ind w:firstLine="480" w:firstLineChars="200"/>
        <w:rPr>
          <w:rFonts w:ascii="宋体" w:hAnsi="宋体"/>
          <w:bCs/>
          <w:kern w:val="0"/>
          <w:sz w:val="24"/>
          <w:szCs w:val="24"/>
        </w:rPr>
      </w:pPr>
      <w:r>
        <w:rPr>
          <w:rFonts w:hint="eastAsia" w:ascii="宋体" w:hAnsi="宋体"/>
          <w:bCs/>
          <w:kern w:val="0"/>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spacing w:line="500" w:lineRule="exact"/>
        <w:ind w:firstLine="480" w:firstLineChars="200"/>
        <w:rPr>
          <w:rFonts w:ascii="宋体" w:hAnsi="宋体"/>
          <w:b/>
          <w:kern w:val="36"/>
          <w:sz w:val="24"/>
          <w:szCs w:val="24"/>
        </w:rPr>
      </w:pPr>
      <w:r>
        <w:rPr>
          <w:rFonts w:hint="eastAsia" w:ascii="宋体" w:hAnsi="宋体"/>
          <w:bCs/>
          <w:kern w:val="0"/>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widowControl/>
        <w:spacing w:line="500" w:lineRule="exact"/>
        <w:ind w:left="105" w:right="105"/>
        <w:rPr>
          <w:rFonts w:ascii="宋体" w:hAnsi="宋体"/>
          <w:b/>
          <w:kern w:val="36"/>
          <w:sz w:val="24"/>
          <w:szCs w:val="24"/>
        </w:rPr>
      </w:pPr>
      <w:r>
        <w:rPr>
          <w:rFonts w:hint="eastAsia" w:ascii="宋体" w:hAnsi="宋体"/>
          <w:b/>
          <w:kern w:val="36"/>
          <w:sz w:val="24"/>
          <w:szCs w:val="24"/>
        </w:rPr>
        <w:t>七、对本次招标提出询问，请按以下方式联系</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1.采购人信息</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名    称：哈密市住房和城乡建设局</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    址：哈密市伊州区</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联系人：高 健</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联系电话：18199788771</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2.采购代理机构信息</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名    称：新疆科辰工程项目管理有限公司</w:t>
      </w:r>
    </w:p>
    <w:p>
      <w:pPr>
        <w:spacing w:line="360" w:lineRule="auto"/>
        <w:ind w:right="-218" w:rightChars="-104"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    址：新疆乌鲁木齐市水磨沟区红光山路2588号绿地中心201/205商业，商务办公楼20层办公8室</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联系人：魏潇潇</w:t>
      </w:r>
    </w:p>
    <w:p>
      <w:pPr>
        <w:spacing w:line="360"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联系方式：18299365190</w:t>
      </w:r>
    </w:p>
    <w:p>
      <w:pPr>
        <w:pStyle w:val="35"/>
        <w:outlineLvl w:val="9"/>
      </w:pPr>
    </w:p>
    <w:bookmarkEnd w:id="29"/>
    <w:p>
      <w:pPr>
        <w:pStyle w:val="49"/>
        <w:outlineLvl w:val="9"/>
        <w:sectPr>
          <w:headerReference r:id="rId3" w:type="default"/>
          <w:footerReference r:id="rId4" w:type="default"/>
          <w:pgSz w:w="11906" w:h="16838"/>
          <w:pgMar w:top="0" w:right="779" w:bottom="1247" w:left="1247" w:header="851" w:footer="992" w:gutter="0"/>
          <w:pgNumType w:start="1"/>
          <w:cols w:space="720" w:num="1"/>
          <w:docGrid w:type="lines" w:linePitch="312" w:charSpace="0"/>
        </w:sectPr>
      </w:pPr>
      <w:bookmarkStart w:id="39" w:name="_Toc519068566"/>
      <w:bookmarkEnd w:id="39"/>
    </w:p>
    <w:p>
      <w:pPr>
        <w:widowControl/>
        <w:spacing w:line="500" w:lineRule="exact"/>
        <w:ind w:right="105"/>
        <w:jc w:val="center"/>
        <w:outlineLvl w:val="0"/>
        <w:rPr>
          <w:rFonts w:ascii="宋体" w:hAnsi="宋体" w:cs="宋体"/>
          <w:b/>
          <w:bCs/>
          <w:kern w:val="0"/>
          <w:sz w:val="36"/>
          <w:szCs w:val="44"/>
        </w:rPr>
      </w:pPr>
      <w:bookmarkStart w:id="40" w:name="_Toc22439"/>
      <w:bookmarkStart w:id="41" w:name="_Toc13453"/>
      <w:bookmarkStart w:id="42" w:name="_Toc660"/>
      <w:r>
        <w:rPr>
          <w:rFonts w:hint="eastAsia" w:ascii="宋体" w:hAnsi="宋体" w:cs="宋体"/>
          <w:b/>
          <w:bCs/>
          <w:kern w:val="0"/>
          <w:sz w:val="36"/>
          <w:szCs w:val="44"/>
        </w:rPr>
        <w:t xml:space="preserve">  </w:t>
      </w:r>
      <w:bookmarkStart w:id="43" w:name="_Toc14002"/>
      <w:bookmarkStart w:id="44" w:name="_Toc12709"/>
      <w:bookmarkStart w:id="45" w:name="_Toc16599"/>
      <w:bookmarkStart w:id="46" w:name="_Toc5877"/>
      <w:bookmarkStart w:id="47" w:name="_Toc11009"/>
      <w:r>
        <w:rPr>
          <w:rFonts w:hint="eastAsia" w:ascii="宋体" w:hAnsi="宋体" w:cs="宋体"/>
          <w:b/>
          <w:bCs/>
          <w:kern w:val="0"/>
          <w:sz w:val="36"/>
          <w:szCs w:val="44"/>
        </w:rPr>
        <w:t>第二章  投标人须知</w:t>
      </w:r>
      <w:bookmarkEnd w:id="40"/>
      <w:bookmarkEnd w:id="41"/>
      <w:bookmarkEnd w:id="42"/>
      <w:bookmarkEnd w:id="43"/>
      <w:bookmarkEnd w:id="44"/>
      <w:bookmarkEnd w:id="45"/>
      <w:bookmarkEnd w:id="46"/>
      <w:bookmarkEnd w:id="47"/>
    </w:p>
    <w:p>
      <w:pPr>
        <w:widowControl/>
        <w:spacing w:line="500" w:lineRule="exact"/>
        <w:ind w:right="105"/>
        <w:jc w:val="center"/>
        <w:outlineLvl w:val="0"/>
        <w:rPr>
          <w:rFonts w:ascii="宋体" w:hAnsi="宋体" w:cs="宋体"/>
          <w:sz w:val="30"/>
          <w:szCs w:val="30"/>
        </w:rPr>
      </w:pPr>
      <w:bookmarkStart w:id="48" w:name="_Toc2331"/>
      <w:bookmarkStart w:id="49" w:name="_Toc25401"/>
      <w:bookmarkStart w:id="50" w:name="_Toc31345"/>
      <w:bookmarkStart w:id="51" w:name="_Toc4512"/>
      <w:bookmarkStart w:id="52" w:name="_Toc8877"/>
      <w:bookmarkStart w:id="53" w:name="_Toc14901"/>
      <w:bookmarkStart w:id="54" w:name="_Toc19857"/>
      <w:r>
        <w:rPr>
          <w:rFonts w:hint="eastAsia" w:ascii="宋体" w:hAnsi="宋体" w:cs="宋体"/>
          <w:b/>
          <w:color w:val="000000"/>
          <w:sz w:val="32"/>
          <w:szCs w:val="32"/>
        </w:rPr>
        <w:t>投标人须知前附表</w:t>
      </w:r>
      <w:bookmarkEnd w:id="48"/>
      <w:bookmarkEnd w:id="49"/>
      <w:bookmarkEnd w:id="50"/>
      <w:bookmarkEnd w:id="51"/>
      <w:bookmarkEnd w:id="52"/>
      <w:bookmarkEnd w:id="53"/>
      <w:bookmarkEnd w:id="54"/>
    </w:p>
    <w:tbl>
      <w:tblPr>
        <w:tblStyle w:val="33"/>
        <w:tblpPr w:leftFromText="180" w:rightFromText="180" w:vertAnchor="text" w:horzAnchor="page" w:tblpX="1330" w:tblpY="876"/>
        <w:tblOverlap w:val="never"/>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475"/>
        <w:gridCol w:w="1305"/>
        <w:gridCol w:w="6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bookmarkStart w:id="55" w:name="_Toc63519658"/>
            <w:bookmarkStart w:id="56" w:name="_Toc48751457"/>
            <w:bookmarkStart w:id="57" w:name="_Toc256000002"/>
            <w:r>
              <w:rPr>
                <w:rFonts w:hint="eastAsia" w:ascii="宋体" w:hAnsi="宋体" w:eastAsia="宋体" w:cs="宋体"/>
                <w:b/>
                <w:color w:val="000000"/>
                <w:kern w:val="0"/>
                <w:sz w:val="24"/>
              </w:rPr>
              <w:t>序号</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内容</w:t>
            </w:r>
          </w:p>
        </w:tc>
        <w:tc>
          <w:tcPr>
            <w:tcW w:w="6318" w:type="dxa"/>
            <w:vAlign w:val="center"/>
          </w:tcPr>
          <w:p>
            <w:pPr>
              <w:pStyle w:val="366"/>
              <w:keepNext w:val="0"/>
              <w:keepLines w:val="0"/>
              <w:spacing w:before="0" w:after="0" w:line="360" w:lineRule="auto"/>
              <w:jc w:val="center"/>
              <w:outlineLvl w:val="9"/>
              <w:rPr>
                <w:rFonts w:ascii="宋体" w:hAnsi="宋体"/>
                <w:bCs w:val="0"/>
                <w:color w:val="000000"/>
                <w:sz w:val="24"/>
                <w:szCs w:val="24"/>
              </w:rPr>
            </w:pPr>
            <w:r>
              <w:rPr>
                <w:rFonts w:hint="eastAsia" w:ascii="宋体" w:hAnsi="宋体"/>
                <w:bCs w:val="0"/>
                <w:color w:val="000000"/>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w:t>
            </w:r>
          </w:p>
        </w:tc>
        <w:tc>
          <w:tcPr>
            <w:tcW w:w="2780" w:type="dxa"/>
            <w:gridSpan w:val="2"/>
            <w:vAlign w:val="center"/>
          </w:tcPr>
          <w:p>
            <w:pPr>
              <w:pStyle w:val="366"/>
              <w:keepNext w:val="0"/>
              <w:keepLines w:val="0"/>
              <w:spacing w:before="0" w:after="0" w:line="360" w:lineRule="auto"/>
              <w:jc w:val="center"/>
              <w:outlineLvl w:val="9"/>
              <w:rPr>
                <w:rFonts w:ascii="宋体" w:hAnsi="宋体"/>
                <w:bCs w:val="0"/>
                <w:color w:val="000000"/>
                <w:sz w:val="24"/>
                <w:szCs w:val="24"/>
              </w:rPr>
            </w:pPr>
            <w:r>
              <w:rPr>
                <w:rFonts w:hint="eastAsia" w:ascii="宋体" w:hAnsi="宋体"/>
                <w:bCs w:val="0"/>
                <w:color w:val="000000"/>
                <w:sz w:val="24"/>
                <w:szCs w:val="24"/>
              </w:rPr>
              <w:t>项目名称</w:t>
            </w:r>
          </w:p>
        </w:tc>
        <w:tc>
          <w:tcPr>
            <w:tcW w:w="6318" w:type="dxa"/>
            <w:vAlign w:val="center"/>
          </w:tcPr>
          <w:p>
            <w:pPr>
              <w:widowControl/>
              <w:spacing w:line="500" w:lineRule="exact"/>
              <w:ind w:right="105"/>
              <w:rPr>
                <w:rFonts w:ascii="宋体" w:hAnsi="宋体" w:cs="宋体"/>
                <w:color w:val="000000"/>
                <w:sz w:val="24"/>
              </w:rPr>
            </w:pPr>
            <w:r>
              <w:rPr>
                <w:rFonts w:hint="eastAsia" w:ascii="宋体" w:hAnsi="宋体"/>
                <w:sz w:val="24"/>
                <w:szCs w:val="24"/>
              </w:rPr>
              <w:t>哈密市西河街道老旧小区改造（一期）项目-规划编制、初步设计和施工图设计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w:t>
            </w:r>
          </w:p>
        </w:tc>
        <w:tc>
          <w:tcPr>
            <w:tcW w:w="2780" w:type="dxa"/>
            <w:gridSpan w:val="2"/>
            <w:vAlign w:val="center"/>
          </w:tcPr>
          <w:p>
            <w:pPr>
              <w:pStyle w:val="366"/>
              <w:keepNext w:val="0"/>
              <w:keepLines w:val="0"/>
              <w:spacing w:before="0" w:after="0" w:line="360" w:lineRule="auto"/>
              <w:jc w:val="center"/>
              <w:outlineLvl w:val="9"/>
              <w:rPr>
                <w:rFonts w:ascii="宋体" w:hAnsi="宋体"/>
                <w:bCs w:val="0"/>
                <w:color w:val="000000"/>
                <w:sz w:val="24"/>
                <w:szCs w:val="24"/>
              </w:rPr>
            </w:pPr>
            <w:r>
              <w:rPr>
                <w:rFonts w:hint="eastAsia" w:ascii="宋体" w:hAnsi="宋体"/>
                <w:bCs w:val="0"/>
                <w:color w:val="000000"/>
                <w:sz w:val="24"/>
                <w:szCs w:val="24"/>
              </w:rPr>
              <w:t>采购人</w:t>
            </w:r>
          </w:p>
        </w:tc>
        <w:tc>
          <w:tcPr>
            <w:tcW w:w="6318" w:type="dxa"/>
            <w:vAlign w:val="center"/>
          </w:tcPr>
          <w:p>
            <w:pPr>
              <w:spacing w:line="360" w:lineRule="auto"/>
              <w:rPr>
                <w:rFonts w:asciiTheme="majorEastAsia" w:hAnsiTheme="majorEastAsia" w:eastAsiaTheme="majorEastAsia" w:cstheme="majorEastAsia"/>
                <w:sz w:val="24"/>
                <w:szCs w:val="24"/>
              </w:rPr>
            </w:pPr>
            <w:r>
              <w:rPr>
                <w:rFonts w:hint="eastAsia" w:ascii="宋体" w:hAnsi="宋体" w:cs="宋体"/>
                <w:color w:val="000000"/>
                <w:sz w:val="24"/>
              </w:rPr>
              <w:t>名称：</w:t>
            </w:r>
            <w:r>
              <w:rPr>
                <w:rFonts w:hint="eastAsia" w:asciiTheme="majorEastAsia" w:hAnsiTheme="majorEastAsia" w:eastAsiaTheme="majorEastAsia" w:cstheme="majorEastAsia"/>
                <w:sz w:val="24"/>
                <w:szCs w:val="24"/>
              </w:rPr>
              <w:t>哈密市住房和城乡建设局</w:t>
            </w:r>
          </w:p>
          <w:p>
            <w:pPr>
              <w:spacing w:line="360" w:lineRule="auto"/>
              <w:rPr>
                <w:rFonts w:asciiTheme="majorEastAsia" w:hAnsiTheme="majorEastAsia" w:eastAsiaTheme="majorEastAsia" w:cstheme="majorEastAsia"/>
                <w:sz w:val="24"/>
                <w:szCs w:val="24"/>
              </w:rPr>
            </w:pPr>
            <w:r>
              <w:rPr>
                <w:rFonts w:hint="eastAsia" w:ascii="宋体" w:hAnsi="宋体" w:cs="宋体"/>
                <w:color w:val="000000"/>
                <w:sz w:val="24"/>
              </w:rPr>
              <w:t>地址：</w:t>
            </w:r>
            <w:r>
              <w:rPr>
                <w:rFonts w:hint="eastAsia" w:asciiTheme="majorEastAsia" w:hAnsiTheme="majorEastAsia" w:eastAsiaTheme="majorEastAsia" w:cstheme="majorEastAsia"/>
                <w:sz w:val="24"/>
                <w:szCs w:val="24"/>
              </w:rPr>
              <w:t>哈密市伊州区</w:t>
            </w:r>
          </w:p>
          <w:p>
            <w:pPr>
              <w:spacing w:line="360" w:lineRule="auto"/>
              <w:rPr>
                <w:rFonts w:ascii="宋体" w:hAnsi="宋体" w:cs="宋体"/>
                <w:color w:val="000000"/>
                <w:sz w:val="24"/>
              </w:rPr>
            </w:pPr>
            <w:r>
              <w:rPr>
                <w:rFonts w:hint="eastAsia" w:ascii="宋体" w:hAnsi="宋体" w:cs="宋体"/>
                <w:color w:val="000000"/>
                <w:sz w:val="24"/>
              </w:rPr>
              <w:t>联系人：</w:t>
            </w:r>
            <w:r>
              <w:rPr>
                <w:rFonts w:hint="eastAsia" w:asciiTheme="majorEastAsia" w:hAnsiTheme="majorEastAsia" w:eastAsiaTheme="majorEastAsia" w:cstheme="majorEastAsia"/>
                <w:sz w:val="24"/>
                <w:szCs w:val="24"/>
              </w:rPr>
              <w:t>高 健</w:t>
            </w:r>
          </w:p>
          <w:p>
            <w:pPr>
              <w:spacing w:line="360" w:lineRule="auto"/>
              <w:rPr>
                <w:rFonts w:ascii="宋体" w:hAnsi="宋体" w:cs="宋体"/>
                <w:color w:val="000000"/>
                <w:sz w:val="24"/>
              </w:rPr>
            </w:pPr>
            <w:r>
              <w:rPr>
                <w:rFonts w:hint="eastAsia" w:ascii="宋体" w:hAnsi="宋体" w:cs="宋体"/>
                <w:color w:val="000000"/>
                <w:sz w:val="24"/>
              </w:rPr>
              <w:t>联系电话：</w:t>
            </w:r>
            <w:r>
              <w:rPr>
                <w:rFonts w:hint="eastAsia" w:asciiTheme="majorEastAsia" w:hAnsiTheme="majorEastAsia" w:eastAsiaTheme="majorEastAsia" w:cstheme="majorEastAsia"/>
                <w:sz w:val="24"/>
                <w:szCs w:val="24"/>
              </w:rPr>
              <w:t>18199788771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3</w:t>
            </w:r>
          </w:p>
        </w:tc>
        <w:tc>
          <w:tcPr>
            <w:tcW w:w="2780" w:type="dxa"/>
            <w:gridSpan w:val="2"/>
            <w:vAlign w:val="center"/>
          </w:tcPr>
          <w:p>
            <w:pPr>
              <w:pStyle w:val="37"/>
              <w:spacing w:line="360" w:lineRule="auto"/>
              <w:jc w:val="center"/>
              <w:rPr>
                <w:rFonts w:ascii="宋体" w:hAnsi="宋体" w:eastAsia="宋体" w:cs="宋体"/>
                <w:b/>
                <w:color w:val="000000"/>
                <w:kern w:val="0"/>
                <w:sz w:val="24"/>
                <w:highlight w:val="yellow"/>
              </w:rPr>
            </w:pPr>
            <w:r>
              <w:rPr>
                <w:rFonts w:hint="eastAsia" w:ascii="宋体" w:hAnsi="宋体" w:eastAsia="宋体" w:cs="宋体"/>
                <w:b/>
                <w:color w:val="000000"/>
                <w:kern w:val="0"/>
                <w:sz w:val="24"/>
              </w:rPr>
              <w:t>采购代理机构</w:t>
            </w:r>
          </w:p>
        </w:tc>
        <w:tc>
          <w:tcPr>
            <w:tcW w:w="6318" w:type="dxa"/>
            <w:vAlign w:val="center"/>
          </w:tcPr>
          <w:p>
            <w:pPr>
              <w:spacing w:line="360" w:lineRule="auto"/>
              <w:rPr>
                <w:rFonts w:ascii="宋体" w:hAnsi="宋体" w:cs="宋体"/>
                <w:color w:val="000000"/>
                <w:sz w:val="24"/>
              </w:rPr>
            </w:pPr>
            <w:r>
              <w:rPr>
                <w:rFonts w:hint="eastAsia" w:ascii="宋体" w:hAnsi="宋体" w:cs="宋体"/>
                <w:color w:val="000000"/>
                <w:sz w:val="24"/>
              </w:rPr>
              <w:t>名称：新疆科辰工程项目管理有限公司</w:t>
            </w:r>
          </w:p>
          <w:p>
            <w:pPr>
              <w:spacing w:line="360" w:lineRule="auto"/>
              <w:rPr>
                <w:rFonts w:ascii="宋体" w:hAnsi="宋体" w:cs="宋体"/>
                <w:color w:val="000000"/>
                <w:sz w:val="24"/>
              </w:rPr>
            </w:pPr>
            <w:r>
              <w:rPr>
                <w:rFonts w:hint="eastAsia" w:ascii="宋体" w:hAnsi="宋体" w:cs="宋体"/>
                <w:color w:val="000000"/>
                <w:sz w:val="24"/>
              </w:rPr>
              <w:t>地址：新疆乌鲁木齐市水磨沟区红光山路2588号绿地中心201/205商业，商务办公楼20层办公8室</w:t>
            </w:r>
          </w:p>
          <w:p>
            <w:pPr>
              <w:spacing w:line="360" w:lineRule="auto"/>
              <w:rPr>
                <w:rFonts w:ascii="宋体" w:hAnsi="宋体" w:cs="宋体"/>
                <w:color w:val="000000"/>
                <w:sz w:val="24"/>
              </w:rPr>
            </w:pPr>
            <w:r>
              <w:rPr>
                <w:rFonts w:hint="eastAsia" w:ascii="宋体" w:hAnsi="宋体" w:cs="宋体"/>
                <w:color w:val="000000"/>
                <w:sz w:val="24"/>
              </w:rPr>
              <w:t>联系人：</w:t>
            </w:r>
            <w:r>
              <w:rPr>
                <w:rFonts w:hint="eastAsia" w:asciiTheme="majorEastAsia" w:hAnsiTheme="majorEastAsia" w:eastAsiaTheme="majorEastAsia" w:cstheme="majorEastAsia"/>
                <w:sz w:val="24"/>
                <w:szCs w:val="24"/>
              </w:rPr>
              <w:t>魏潇潇</w:t>
            </w:r>
          </w:p>
          <w:p>
            <w:pPr>
              <w:spacing w:line="360" w:lineRule="auto"/>
              <w:rPr>
                <w:rFonts w:ascii="宋体" w:hAnsi="宋体" w:cs="宋体"/>
                <w:color w:val="000000"/>
                <w:sz w:val="24"/>
              </w:rPr>
            </w:pPr>
            <w:r>
              <w:rPr>
                <w:rFonts w:hint="eastAsia" w:ascii="宋体" w:hAnsi="宋体" w:cs="宋体"/>
                <w:color w:val="000000"/>
                <w:sz w:val="24"/>
              </w:rPr>
              <w:t>联系电话：18299365190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4</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采购内容</w:t>
            </w:r>
          </w:p>
        </w:tc>
        <w:tc>
          <w:tcPr>
            <w:tcW w:w="6318" w:type="dxa"/>
            <w:vAlign w:val="center"/>
          </w:tcPr>
          <w:p>
            <w:pPr>
              <w:pStyle w:val="37"/>
              <w:spacing w:line="360" w:lineRule="auto"/>
              <w:rPr>
                <w:rFonts w:ascii="宋体" w:hAnsi="宋体" w:eastAsia="宋体" w:cs="宋体"/>
                <w:kern w:val="0"/>
                <w:sz w:val="24"/>
              </w:rPr>
            </w:pPr>
            <w:r>
              <w:rPr>
                <w:rFonts w:hint="eastAsia" w:ascii="宋体" w:hAnsi="宋体" w:eastAsia="宋体" w:cs="宋体"/>
                <w:sz w:val="24"/>
              </w:rPr>
              <w:t>规划编制（修建性详细规划）、初步设计、施工图设计</w:t>
            </w:r>
            <w:r>
              <w:rPr>
                <w:rFonts w:hint="eastAsia" w:ascii="宋体" w:hAns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5</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投标人资格要求</w:t>
            </w:r>
          </w:p>
        </w:tc>
        <w:tc>
          <w:tcPr>
            <w:tcW w:w="6318" w:type="dxa"/>
            <w:vAlign w:val="center"/>
          </w:tcPr>
          <w:p>
            <w:pPr>
              <w:pStyle w:val="217"/>
              <w:numPr>
                <w:ilvl w:val="0"/>
                <w:numId w:val="18"/>
              </w:numPr>
              <w:spacing w:line="360" w:lineRule="auto"/>
              <w:rPr>
                <w:rFonts w:ascii="宋体" w:hAnsi="宋体" w:eastAsia="宋体" w:cs="宋体"/>
                <w:sz w:val="24"/>
                <w:szCs w:val="24"/>
              </w:rPr>
            </w:pPr>
            <w:r>
              <w:rPr>
                <w:rFonts w:hint="eastAsia" w:ascii="宋体" w:hAnsi="宋体" w:eastAsia="宋体" w:cs="宋体"/>
                <w:sz w:val="24"/>
                <w:szCs w:val="24"/>
              </w:rPr>
              <w:t>满足《中华人民共和国政府采购法》第二十二条规定。</w:t>
            </w:r>
          </w:p>
          <w:p>
            <w:pPr>
              <w:pStyle w:val="363"/>
              <w:spacing w:line="360" w:lineRule="auto"/>
              <w:rPr>
                <w:rFonts w:ascii="宋体" w:hAnsi="宋体" w:cs="宋体"/>
                <w:sz w:val="24"/>
                <w:szCs w:val="24"/>
              </w:rPr>
            </w:pPr>
            <w:r>
              <w:rPr>
                <w:rFonts w:hint="eastAsia" w:ascii="宋体" w:hAnsi="宋体" w:cs="宋体"/>
                <w:sz w:val="24"/>
                <w:szCs w:val="24"/>
              </w:rPr>
              <w:t>（1）具有独立承担民事责任的能力；（提供合法有效的法人营业执照）；</w:t>
            </w:r>
          </w:p>
          <w:p>
            <w:pPr>
              <w:pStyle w:val="363"/>
              <w:spacing w:line="360" w:lineRule="auto"/>
              <w:rPr>
                <w:rFonts w:ascii="宋体" w:hAnsi="宋体" w:cs="宋体"/>
                <w:sz w:val="24"/>
                <w:szCs w:val="24"/>
              </w:rPr>
            </w:pPr>
            <w:r>
              <w:rPr>
                <w:rFonts w:hint="eastAsia" w:ascii="宋体" w:hAnsi="宋体" w:cs="宋体"/>
                <w:sz w:val="24"/>
                <w:szCs w:val="24"/>
              </w:rPr>
              <w:t>（2）具有良好的商业信誉和健全的财务会计制度（提供2022年财务审计报告或2022年财务报表，新成立不足一年的公司无需提供）；</w:t>
            </w:r>
          </w:p>
          <w:p>
            <w:pPr>
              <w:pStyle w:val="363"/>
              <w:spacing w:line="360" w:lineRule="auto"/>
              <w:rPr>
                <w:rFonts w:ascii="宋体" w:hAnsi="宋体" w:cs="宋体"/>
                <w:sz w:val="24"/>
                <w:szCs w:val="24"/>
              </w:rPr>
            </w:pPr>
            <w:r>
              <w:rPr>
                <w:rFonts w:hint="eastAsia" w:ascii="宋体" w:hAnsi="宋体" w:cs="宋体"/>
                <w:sz w:val="24"/>
                <w:szCs w:val="24"/>
              </w:rPr>
              <w:t>（3）具有履行合同所必需的设备和专业技术能力；（根据项目需求提供履行合同所必需的设备和专业技术能力的加盖单位公章的书面承诺函）；</w:t>
            </w:r>
          </w:p>
          <w:p>
            <w:pPr>
              <w:pStyle w:val="363"/>
              <w:spacing w:line="360" w:lineRule="auto"/>
              <w:rPr>
                <w:rFonts w:ascii="宋体" w:hAnsi="宋体" w:cs="宋体"/>
                <w:sz w:val="24"/>
                <w:szCs w:val="24"/>
              </w:rPr>
            </w:pPr>
            <w:r>
              <w:rPr>
                <w:rFonts w:hint="eastAsia" w:ascii="宋体" w:hAnsi="宋体" w:cs="宋体"/>
                <w:sz w:val="24"/>
                <w:szCs w:val="24"/>
              </w:rPr>
              <w:t>（4）有依法缴纳税收和社会保障资金的良好记录；（提供参加本次政府采购活动前近半年内任意一个月的依法缴纳税收和社会保障资金的相关材料）；</w:t>
            </w:r>
          </w:p>
          <w:p>
            <w:pPr>
              <w:pStyle w:val="363"/>
              <w:spacing w:line="360" w:lineRule="auto"/>
              <w:rPr>
                <w:rFonts w:ascii="宋体" w:hAnsi="宋体" w:cs="宋体"/>
                <w:sz w:val="24"/>
                <w:szCs w:val="24"/>
              </w:rPr>
            </w:pPr>
            <w:r>
              <w:rPr>
                <w:rFonts w:hint="eastAsia" w:ascii="宋体" w:hAnsi="宋体" w:cs="宋体"/>
                <w:sz w:val="24"/>
                <w:szCs w:val="24"/>
              </w:rPr>
              <w:t>（5）参加政府采购活动前三年内，在经营活动中没有重大违法记录；（提供参加本次政府采购活动前3年内在经营活动中没有重大违法记录的书面承诺函并加盖单位公章）；</w:t>
            </w:r>
          </w:p>
          <w:p>
            <w:pPr>
              <w:pStyle w:val="363"/>
              <w:spacing w:line="360" w:lineRule="auto"/>
            </w:pPr>
            <w:r>
              <w:rPr>
                <w:rFonts w:hint="eastAsia" w:ascii="宋体" w:hAnsi="宋体" w:cs="宋体"/>
                <w:sz w:val="24"/>
                <w:szCs w:val="24"/>
              </w:rPr>
              <w:t>（6）法律、行政法规规定的其他条件。根据《财政部关于在政府采购活动中查询及使用信用记录有关问题的通知》（财库﹝2016﹞125号）的要求，凡拟参加本次招标项目的投标人，如在“信用中国”网站（www.creditchina.gov.cn） 被列入失信被执行人、重大税收违法失信主体（搜索栏输入单位全称-点击总公司-截图）、中国政府采购网（http://www.ccgp.gov.cn/search/cr/）严重违法失信行为记录名单的（尚在处罚期内的），将拒绝其参加本次招标活动；</w:t>
            </w:r>
          </w:p>
          <w:p>
            <w:pPr>
              <w:adjustRightInd w:val="0"/>
              <w:spacing w:line="360" w:lineRule="exact"/>
              <w:jc w:val="left"/>
              <w:rPr>
                <w:rFonts w:ascii="宋体" w:hAnsi="宋体" w:cs="宋体"/>
                <w:sz w:val="24"/>
                <w:szCs w:val="24"/>
              </w:rPr>
            </w:pPr>
            <w:r>
              <w:rPr>
                <w:rFonts w:hint="eastAsia" w:ascii="宋体" w:hAnsi="宋体" w:cs="宋体"/>
                <w:sz w:val="24"/>
                <w:szCs w:val="24"/>
              </w:rPr>
              <w:t>2.落实政府采购政策需满足的资格要求:无。</w:t>
            </w:r>
          </w:p>
          <w:p>
            <w:pPr>
              <w:pStyle w:val="363"/>
              <w:spacing w:line="360" w:lineRule="auto"/>
              <w:rPr>
                <w:rFonts w:ascii="宋体" w:hAnsi="宋体"/>
                <w:sz w:val="24"/>
                <w:szCs w:val="24"/>
              </w:rPr>
            </w:pPr>
            <w:r>
              <w:rPr>
                <w:rFonts w:hint="eastAsia" w:ascii="宋体" w:hAnsi="宋体"/>
                <w:sz w:val="24"/>
                <w:szCs w:val="24"/>
              </w:rPr>
              <w:t>3.本项目的特定资格要求：</w:t>
            </w:r>
          </w:p>
          <w:p>
            <w:pPr>
              <w:widowControl/>
              <w:spacing w:line="460" w:lineRule="exact"/>
              <w:jc w:val="left"/>
              <w:rPr>
                <w:sz w:val="24"/>
                <w:szCs w:val="24"/>
              </w:rPr>
            </w:pPr>
            <w:r>
              <w:rPr>
                <w:rFonts w:hint="eastAsia" w:ascii="宋体" w:hAnsi="宋体" w:cs="宋体"/>
                <w:color w:val="000000"/>
                <w:kern w:val="0"/>
                <w:sz w:val="24"/>
                <w:szCs w:val="24"/>
                <w:lang w:bidi="ar"/>
              </w:rPr>
              <w:t>（1）供应商应具备有效的城乡规划编制甲级资质和工程设计建筑行业（建筑工程）甲级及以上资质。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restart"/>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6</w:t>
            </w:r>
          </w:p>
        </w:tc>
        <w:tc>
          <w:tcPr>
            <w:tcW w:w="1475" w:type="dxa"/>
            <w:vMerge w:val="restart"/>
            <w:vAlign w:val="center"/>
          </w:tcPr>
          <w:p>
            <w:pPr>
              <w:pStyle w:val="37"/>
              <w:spacing w:line="360" w:lineRule="auto"/>
              <w:jc w:val="center"/>
              <w:rPr>
                <w:rFonts w:ascii="宋体" w:hAnsi="宋体" w:eastAsia="宋体" w:cs="宋体"/>
                <w:color w:val="000000"/>
                <w:sz w:val="24"/>
              </w:rPr>
            </w:pPr>
            <w:r>
              <w:rPr>
                <w:rFonts w:hint="eastAsia" w:ascii="宋体" w:hAnsi="宋体" w:eastAsia="宋体" w:cs="宋体"/>
                <w:b/>
                <w:color w:val="000000"/>
                <w:kern w:val="0"/>
                <w:sz w:val="24"/>
              </w:rPr>
              <w:t>投标文件的组成部分</w:t>
            </w:r>
          </w:p>
        </w:tc>
        <w:tc>
          <w:tcPr>
            <w:tcW w:w="1305"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封面</w:t>
            </w:r>
          </w:p>
        </w:tc>
        <w:tc>
          <w:tcPr>
            <w:tcW w:w="6318" w:type="dxa"/>
            <w:vAlign w:val="center"/>
          </w:tcPr>
          <w:p>
            <w:pPr>
              <w:pStyle w:val="37"/>
              <w:spacing w:line="360" w:lineRule="auto"/>
              <w:rPr>
                <w:rFonts w:ascii="宋体" w:hAnsi="宋体" w:eastAsia="宋体" w:cs="宋体"/>
                <w:color w:val="000000"/>
                <w:kern w:val="0"/>
                <w:sz w:val="24"/>
                <w:highlight w:val="yellow"/>
              </w:rPr>
            </w:pPr>
            <w:r>
              <w:rPr>
                <w:rFonts w:hint="eastAsia" w:ascii="宋体" w:hAnsi="宋体" w:eastAsia="宋体" w:cs="宋体"/>
                <w:color w:val="000000"/>
                <w:kern w:val="0"/>
                <w:sz w:val="24"/>
              </w:rPr>
              <w:t>投标文件封面；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9" w:type="dxa"/>
            <w:vMerge w:val="continue"/>
            <w:vAlign w:val="center"/>
          </w:tcPr>
          <w:p>
            <w:pPr>
              <w:pStyle w:val="37"/>
              <w:spacing w:line="360" w:lineRule="auto"/>
              <w:jc w:val="center"/>
              <w:rPr>
                <w:rFonts w:ascii="宋体" w:hAnsi="宋体" w:eastAsia="宋体" w:cs="宋体"/>
                <w:b/>
                <w:color w:val="000000"/>
                <w:kern w:val="0"/>
                <w:sz w:val="24"/>
              </w:rPr>
            </w:pPr>
          </w:p>
        </w:tc>
        <w:tc>
          <w:tcPr>
            <w:tcW w:w="1475" w:type="dxa"/>
            <w:vMerge w:val="continue"/>
            <w:vAlign w:val="center"/>
          </w:tcPr>
          <w:p>
            <w:pPr>
              <w:pStyle w:val="37"/>
              <w:spacing w:line="360" w:lineRule="auto"/>
              <w:jc w:val="center"/>
              <w:rPr>
                <w:rFonts w:ascii="宋体" w:hAnsi="宋体" w:eastAsia="宋体" w:cs="宋体"/>
                <w:b/>
                <w:color w:val="000000"/>
                <w:kern w:val="0"/>
                <w:sz w:val="24"/>
              </w:rPr>
            </w:pPr>
          </w:p>
        </w:tc>
        <w:tc>
          <w:tcPr>
            <w:tcW w:w="1305"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商</w:t>
            </w:r>
          </w:p>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务</w:t>
            </w:r>
          </w:p>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文</w:t>
            </w:r>
          </w:p>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件</w:t>
            </w:r>
          </w:p>
        </w:tc>
        <w:tc>
          <w:tcPr>
            <w:tcW w:w="6318" w:type="dxa"/>
            <w:vAlign w:val="center"/>
          </w:tcPr>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一、开标一览表及投标函</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二、法定代表人身份证明及授权委托书</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 xml:space="preserve">三、投标保证金 </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四、企业基本情况表</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五、拟派往本项目的项目人员情况表</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六、投标人类似项目业绩</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七、项目负责人简历表（附项目负责人类似项目业绩）</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八、中小微企业声明函（如有）</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九、其他资格证明文件</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十、不参与围标串标承诺书</w:t>
            </w:r>
          </w:p>
          <w:p>
            <w:pPr>
              <w:pStyle w:val="37"/>
              <w:spacing w:line="360" w:lineRule="auto"/>
            </w:pPr>
            <w:r>
              <w:rPr>
                <w:rFonts w:hint="eastAsia" w:ascii="宋体" w:hAnsi="宋体" w:eastAsia="宋体" w:cs="宋体"/>
                <w:color w:val="000000"/>
                <w:kern w:val="0"/>
                <w:sz w:val="24"/>
              </w:rPr>
              <w:t>十一、供应商自觉抵制政府采购领域商业贿赂行为承诺书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19" w:type="dxa"/>
            <w:vMerge w:val="continue"/>
            <w:vAlign w:val="center"/>
          </w:tcPr>
          <w:p>
            <w:pPr>
              <w:pStyle w:val="37"/>
              <w:spacing w:line="360" w:lineRule="auto"/>
              <w:jc w:val="center"/>
              <w:rPr>
                <w:rFonts w:ascii="宋体" w:hAnsi="宋体" w:eastAsia="宋体" w:cs="宋体"/>
                <w:b/>
                <w:color w:val="000000"/>
                <w:kern w:val="0"/>
                <w:sz w:val="24"/>
              </w:rPr>
            </w:pPr>
          </w:p>
        </w:tc>
        <w:tc>
          <w:tcPr>
            <w:tcW w:w="1475" w:type="dxa"/>
            <w:vMerge w:val="continue"/>
            <w:vAlign w:val="center"/>
          </w:tcPr>
          <w:p>
            <w:pPr>
              <w:pStyle w:val="37"/>
              <w:spacing w:line="360" w:lineRule="auto"/>
              <w:jc w:val="center"/>
              <w:rPr>
                <w:rFonts w:ascii="宋体" w:hAnsi="宋体" w:eastAsia="宋体" w:cs="宋体"/>
                <w:b/>
                <w:color w:val="000000"/>
                <w:kern w:val="0"/>
                <w:sz w:val="24"/>
              </w:rPr>
            </w:pPr>
          </w:p>
        </w:tc>
        <w:tc>
          <w:tcPr>
            <w:tcW w:w="1305" w:type="dxa"/>
            <w:vAlign w:val="center"/>
          </w:tcPr>
          <w:p>
            <w:pPr>
              <w:pStyle w:val="37"/>
              <w:spacing w:line="360" w:lineRule="auto"/>
              <w:jc w:val="center"/>
              <w:rPr>
                <w:rFonts w:ascii="宋体" w:hAnsi="宋体" w:eastAsia="宋体" w:cs="宋体"/>
                <w:color w:val="000000"/>
                <w:kern w:val="0"/>
                <w:sz w:val="24"/>
              </w:rPr>
            </w:pPr>
            <w:r>
              <w:rPr>
                <w:rFonts w:hint="eastAsia" w:ascii="宋体" w:hAnsi="宋体" w:eastAsia="宋体" w:cs="宋体"/>
                <w:b/>
                <w:bCs/>
                <w:color w:val="000000"/>
                <w:kern w:val="0"/>
                <w:sz w:val="24"/>
              </w:rPr>
              <w:t>技术文件</w:t>
            </w:r>
          </w:p>
        </w:tc>
        <w:tc>
          <w:tcPr>
            <w:tcW w:w="6318" w:type="dxa"/>
            <w:vAlign w:val="center"/>
          </w:tcPr>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十二、技术部分</w:t>
            </w:r>
          </w:p>
          <w:p>
            <w:pPr>
              <w:pStyle w:val="37"/>
              <w:spacing w:line="360" w:lineRule="auto"/>
            </w:pPr>
            <w:r>
              <w:rPr>
                <w:rFonts w:hint="eastAsia" w:ascii="宋体" w:hAnsi="宋体" w:eastAsia="宋体" w:cs="宋体"/>
                <w:color w:val="000000"/>
                <w:kern w:val="0"/>
                <w:sz w:val="24"/>
              </w:rPr>
              <w:t>十三、投标人认为需要提供的其它资料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7</w:t>
            </w:r>
          </w:p>
        </w:tc>
        <w:tc>
          <w:tcPr>
            <w:tcW w:w="2780" w:type="dxa"/>
            <w:gridSpan w:val="2"/>
            <w:vAlign w:val="center"/>
          </w:tcPr>
          <w:p>
            <w:pPr>
              <w:pStyle w:val="37"/>
              <w:spacing w:line="360" w:lineRule="auto"/>
              <w:jc w:val="center"/>
              <w:rPr>
                <w:rFonts w:ascii="宋体" w:hAnsi="宋体" w:eastAsia="宋体" w:cs="宋体"/>
                <w:b/>
                <w:color w:val="000000"/>
                <w:sz w:val="24"/>
              </w:rPr>
            </w:pPr>
            <w:r>
              <w:rPr>
                <w:rFonts w:hint="eastAsia" w:ascii="宋体" w:hAnsi="宋体" w:eastAsia="宋体" w:cs="宋体"/>
                <w:b/>
                <w:color w:val="000000"/>
                <w:sz w:val="24"/>
              </w:rPr>
              <w:t>是否允许联合体投标</w:t>
            </w:r>
          </w:p>
        </w:tc>
        <w:tc>
          <w:tcPr>
            <w:tcW w:w="6318" w:type="dxa"/>
            <w:vAlign w:val="center"/>
          </w:tcPr>
          <w:p>
            <w:pPr>
              <w:pStyle w:val="37"/>
              <w:autoSpaceDE w:val="0"/>
              <w:autoSpaceDN w:val="0"/>
              <w:spacing w:line="360" w:lineRule="auto"/>
              <w:rPr>
                <w:rFonts w:ascii="宋体" w:hAnsi="宋体" w:eastAsia="宋体" w:cs="宋体"/>
                <w:kern w:val="0"/>
                <w:sz w:val="24"/>
              </w:rPr>
            </w:pPr>
            <w:r>
              <w:rPr>
                <w:rFonts w:hint="eastAsia" w:ascii="宋体" w:hAnsi="宋体" w:eastAsia="宋体" w:cs="宋体"/>
                <w:kern w:val="0"/>
                <w:sz w:val="24"/>
              </w:rPr>
              <w:t>□是，允许联合体投标。</w:t>
            </w:r>
            <w:bookmarkStart w:id="58" w:name="EBbabddb5118a847b6bdf4b49ae8647b6b"/>
          </w:p>
          <w:bookmarkEnd w:id="58"/>
          <w:p>
            <w:pPr>
              <w:pStyle w:val="37"/>
              <w:autoSpaceDE w:val="0"/>
              <w:autoSpaceDN w:val="0"/>
              <w:spacing w:line="360" w:lineRule="auto"/>
              <w:rPr>
                <w:rFonts w:ascii="宋体" w:hAnsi="宋体" w:eastAsia="宋体" w:cs="宋体"/>
                <w:color w:val="000000"/>
                <w:kern w:val="0"/>
                <w:sz w:val="24"/>
              </w:rPr>
            </w:pPr>
            <w:r>
              <w:rPr>
                <w:rFonts w:hint="eastAsia" w:ascii="宋体" w:hAnsi="宋体" w:eastAsia="宋体"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8</w:t>
            </w:r>
          </w:p>
        </w:tc>
        <w:tc>
          <w:tcPr>
            <w:tcW w:w="2780" w:type="dxa"/>
            <w:gridSpan w:val="2"/>
            <w:vAlign w:val="center"/>
          </w:tcPr>
          <w:p>
            <w:pPr>
              <w:pStyle w:val="37"/>
              <w:spacing w:line="360" w:lineRule="auto"/>
              <w:jc w:val="center"/>
              <w:rPr>
                <w:rFonts w:ascii="宋体" w:hAnsi="宋体" w:eastAsia="宋体" w:cs="宋体"/>
                <w:b/>
                <w:color w:val="000000"/>
                <w:sz w:val="24"/>
              </w:rPr>
            </w:pPr>
            <w:r>
              <w:rPr>
                <w:rFonts w:hint="eastAsia" w:ascii="宋体" w:hAnsi="宋体" w:eastAsia="宋体" w:cs="宋体"/>
                <w:b/>
                <w:color w:val="000000"/>
                <w:sz w:val="24"/>
              </w:rPr>
              <w:t>是否允许投标人将项目非主体、非关键性工作交由他人完成</w:t>
            </w:r>
          </w:p>
        </w:tc>
        <w:tc>
          <w:tcPr>
            <w:tcW w:w="6318" w:type="dxa"/>
            <w:vAlign w:val="center"/>
          </w:tcPr>
          <w:p>
            <w:pPr>
              <w:pStyle w:val="37"/>
              <w:autoSpaceDE w:val="0"/>
              <w:autoSpaceDN w:val="0"/>
              <w:spacing w:line="360" w:lineRule="auto"/>
              <w:rPr>
                <w:rFonts w:ascii="宋体" w:hAnsi="宋体" w:eastAsia="宋体" w:cs="宋体"/>
                <w:sz w:val="24"/>
              </w:rPr>
            </w:pPr>
            <w:r>
              <w:rPr>
                <w:rFonts w:hint="eastAsia" w:ascii="宋体" w:hAnsi="宋体" w:eastAsia="宋体" w:cs="宋体"/>
                <w:kern w:val="0"/>
                <w:sz w:val="24"/>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9</w:t>
            </w:r>
          </w:p>
        </w:tc>
        <w:tc>
          <w:tcPr>
            <w:tcW w:w="2780" w:type="dxa"/>
            <w:gridSpan w:val="2"/>
            <w:vAlign w:val="center"/>
          </w:tcPr>
          <w:p>
            <w:pPr>
              <w:pStyle w:val="37"/>
              <w:spacing w:line="360" w:lineRule="auto"/>
              <w:jc w:val="center"/>
              <w:rPr>
                <w:rFonts w:ascii="宋体" w:hAnsi="宋体" w:eastAsia="宋体" w:cs="宋体"/>
                <w:b/>
                <w:color w:val="000000"/>
                <w:sz w:val="24"/>
              </w:rPr>
            </w:pPr>
            <w:r>
              <w:rPr>
                <w:rFonts w:hint="eastAsia" w:ascii="宋体" w:hAnsi="宋体" w:eastAsia="宋体" w:cs="宋体"/>
                <w:b/>
                <w:color w:val="000000"/>
                <w:sz w:val="24"/>
              </w:rPr>
              <w:t>踏勘现场</w:t>
            </w:r>
          </w:p>
        </w:tc>
        <w:tc>
          <w:tcPr>
            <w:tcW w:w="6318" w:type="dxa"/>
            <w:vAlign w:val="center"/>
          </w:tcPr>
          <w:p>
            <w:pPr>
              <w:pStyle w:val="37"/>
              <w:autoSpaceDE w:val="0"/>
              <w:autoSpaceDN w:val="0"/>
              <w:rPr>
                <w:rFonts w:ascii="宋体" w:hAnsi="宋体" w:eastAsia="宋体" w:cs="宋体"/>
                <w:color w:val="000000"/>
                <w:kern w:val="0"/>
                <w:sz w:val="24"/>
              </w:rPr>
            </w:pPr>
            <w:bookmarkStart w:id="59" w:name="EB3654e13cae20475eac84fa83364d7833"/>
            <w:r>
              <w:rPr>
                <w:rFonts w:hint="eastAsia" w:ascii="宋体" w:hAnsi="宋体" w:eastAsia="宋体" w:cs="宋体"/>
                <w:color w:val="000000"/>
                <w:kern w:val="0"/>
                <w:sz w:val="24"/>
              </w:rPr>
              <w:t xml:space="preserve">☑自行踏勘 </w:t>
            </w:r>
          </w:p>
          <w:p>
            <w:pPr>
              <w:pStyle w:val="37"/>
              <w:autoSpaceDE w:val="0"/>
              <w:autoSpaceDN w:val="0"/>
              <w:rPr>
                <w:rFonts w:ascii="宋体" w:hAnsi="宋体" w:eastAsia="宋体" w:cs="宋体"/>
                <w:color w:val="000000"/>
                <w:kern w:val="0"/>
                <w:sz w:val="24"/>
              </w:rPr>
            </w:pPr>
            <w:r>
              <w:rPr>
                <w:rFonts w:hint="eastAsia" w:ascii="宋体" w:hAnsi="宋体" w:eastAsia="宋体" w:cs="宋体"/>
                <w:color w:val="000000"/>
                <w:kern w:val="0"/>
                <w:sz w:val="24"/>
              </w:rPr>
              <w:t>□统一组织</w:t>
            </w:r>
            <w:bookmarkEnd w:id="59"/>
          </w:p>
          <w:p>
            <w:pPr>
              <w:pStyle w:val="37"/>
              <w:autoSpaceDE w:val="0"/>
              <w:autoSpaceDN w:val="0"/>
              <w:rPr>
                <w:rFonts w:ascii="宋体" w:hAnsi="宋体" w:eastAsia="宋体" w:cs="宋体"/>
                <w:color w:val="000000"/>
                <w:kern w:val="0"/>
                <w:sz w:val="24"/>
              </w:rPr>
            </w:pPr>
            <w:r>
              <w:rPr>
                <w:rFonts w:hint="eastAsia" w:ascii="宋体" w:hAnsi="宋体" w:eastAsia="宋体" w:cs="宋体"/>
                <w:color w:val="000000"/>
                <w:kern w:val="0"/>
                <w:sz w:val="24"/>
              </w:rPr>
              <w:t>联系人：</w:t>
            </w:r>
            <w:bookmarkStart w:id="60" w:name="EB3d7345a577da4ac491525e314b60b5e8"/>
            <w:r>
              <w:rPr>
                <w:rFonts w:hint="eastAsia" w:ascii="宋体" w:hAnsi="宋体" w:eastAsia="宋体" w:cs="宋体"/>
                <w:color w:val="000000"/>
                <w:kern w:val="0"/>
                <w:sz w:val="24"/>
              </w:rPr>
              <w:t>/</w:t>
            </w:r>
            <w:bookmarkEnd w:id="60"/>
          </w:p>
          <w:p>
            <w:pPr>
              <w:pStyle w:val="37"/>
              <w:autoSpaceDE w:val="0"/>
              <w:autoSpaceDN w:val="0"/>
              <w:rPr>
                <w:rFonts w:ascii="宋体" w:hAnsi="宋体" w:eastAsia="宋体" w:cs="宋体"/>
                <w:color w:val="000000"/>
                <w:kern w:val="0"/>
                <w:sz w:val="24"/>
              </w:rPr>
            </w:pPr>
            <w:r>
              <w:rPr>
                <w:rFonts w:hint="eastAsia" w:ascii="宋体" w:hAnsi="宋体" w:eastAsia="宋体" w:cs="宋体"/>
                <w:color w:val="000000"/>
                <w:kern w:val="0"/>
                <w:sz w:val="24"/>
              </w:rPr>
              <w:t>联系电话：</w:t>
            </w:r>
            <w:bookmarkStart w:id="61" w:name="EBb49a8cdbac9d413c8a35f73ae703b18f"/>
            <w:r>
              <w:rPr>
                <w:rFonts w:hint="eastAsia" w:ascii="宋体" w:hAnsi="宋体" w:eastAsia="宋体" w:cs="宋体"/>
                <w:color w:val="000000"/>
                <w:sz w:val="24"/>
              </w:rPr>
              <w:t>/</w:t>
            </w:r>
            <w:bookmarkEnd w:id="61"/>
          </w:p>
          <w:p>
            <w:pPr>
              <w:pStyle w:val="37"/>
              <w:rPr>
                <w:rFonts w:ascii="宋体" w:hAnsi="宋体" w:eastAsia="宋体" w:cs="宋体"/>
                <w:color w:val="000000"/>
                <w:sz w:val="24"/>
              </w:rPr>
            </w:pPr>
            <w:r>
              <w:rPr>
                <w:rFonts w:hint="eastAsia" w:ascii="宋体" w:hAnsi="宋体" w:eastAsia="宋体" w:cs="宋体"/>
                <w:color w:val="000000"/>
                <w:kern w:val="0"/>
                <w:sz w:val="24"/>
              </w:rPr>
              <w:t>踏勘时间：</w:t>
            </w:r>
            <w:bookmarkStart w:id="62" w:name="EBbbb56eccde2746b583514c7e0b747330"/>
            <w:r>
              <w:rPr>
                <w:rFonts w:hint="eastAsia" w:ascii="宋体" w:hAnsi="宋体" w:eastAsia="宋体" w:cs="宋体"/>
                <w:color w:val="000000"/>
                <w:sz w:val="24"/>
              </w:rPr>
              <w:t>/</w:t>
            </w:r>
            <w:bookmarkEnd w:id="62"/>
          </w:p>
          <w:p>
            <w:pPr>
              <w:pStyle w:val="37"/>
              <w:rPr>
                <w:rFonts w:ascii="宋体" w:hAnsi="宋体" w:eastAsia="宋体" w:cs="宋体"/>
                <w:color w:val="000000"/>
                <w:kern w:val="0"/>
                <w:sz w:val="24"/>
              </w:rPr>
            </w:pPr>
            <w:r>
              <w:rPr>
                <w:rFonts w:hint="eastAsia" w:ascii="宋体" w:hAnsi="宋体" w:eastAsia="宋体" w:cs="宋体"/>
                <w:color w:val="000000"/>
                <w:kern w:val="0"/>
                <w:sz w:val="24"/>
              </w:rPr>
              <w:t>踏勘地点：</w:t>
            </w:r>
            <w:bookmarkStart w:id="63" w:name="EB642e2c6bf7f7421793376e830f8ca504"/>
            <w:r>
              <w:rPr>
                <w:rFonts w:hint="eastAsia" w:ascii="宋体" w:hAnsi="宋体" w:eastAsia="宋体" w:cs="宋体"/>
                <w:color w:val="000000"/>
                <w:sz w:val="24"/>
              </w:rPr>
              <w:t>/</w:t>
            </w:r>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10</w:t>
            </w:r>
          </w:p>
        </w:tc>
        <w:tc>
          <w:tcPr>
            <w:tcW w:w="2780" w:type="dxa"/>
            <w:gridSpan w:val="2"/>
            <w:vAlign w:val="center"/>
          </w:tcPr>
          <w:p>
            <w:pPr>
              <w:widowControl/>
              <w:jc w:val="center"/>
              <w:rPr>
                <w:rFonts w:ascii="宋体" w:hAnsi="宋体" w:cs="宋体"/>
                <w:b/>
                <w:color w:val="000000"/>
                <w:sz w:val="24"/>
                <w:szCs w:val="24"/>
              </w:rPr>
            </w:pPr>
            <w:r>
              <w:rPr>
                <w:rFonts w:hint="eastAsia" w:ascii="宋体" w:hAnsi="宋体" w:cs="宋体"/>
                <w:b/>
                <w:color w:val="000000"/>
                <w:sz w:val="24"/>
                <w:szCs w:val="24"/>
              </w:rPr>
              <w:t>投标人提出问题的截止</w:t>
            </w:r>
          </w:p>
          <w:p>
            <w:pPr>
              <w:widowControl/>
              <w:jc w:val="center"/>
              <w:rPr>
                <w:rFonts w:ascii="宋体" w:hAnsi="宋体" w:cs="宋体"/>
                <w:b/>
                <w:color w:val="000000"/>
                <w:sz w:val="24"/>
                <w:szCs w:val="24"/>
              </w:rPr>
            </w:pPr>
            <w:r>
              <w:rPr>
                <w:rFonts w:hint="eastAsia" w:ascii="宋体" w:hAnsi="宋体" w:cs="宋体"/>
                <w:b/>
                <w:color w:val="000000"/>
                <w:sz w:val="24"/>
                <w:szCs w:val="24"/>
              </w:rPr>
              <w:t>时间</w:t>
            </w:r>
          </w:p>
        </w:tc>
        <w:tc>
          <w:tcPr>
            <w:tcW w:w="6318" w:type="dxa"/>
            <w:vAlign w:val="center"/>
          </w:tcPr>
          <w:p>
            <w:pPr>
              <w:widowControl/>
              <w:jc w:val="left"/>
              <w:rPr>
                <w:rFonts w:ascii="宋体" w:hAnsi="宋体" w:cs="宋体"/>
                <w:color w:val="000000"/>
                <w:kern w:val="0"/>
                <w:sz w:val="24"/>
                <w:szCs w:val="24"/>
                <w:highlight w:val="yellow"/>
              </w:rPr>
            </w:pPr>
            <w:r>
              <w:rPr>
                <w:rFonts w:hint="eastAsia" w:ascii="宋体" w:hAnsi="宋体" w:cs="宋体"/>
                <w:b/>
                <w:bCs/>
                <w:color w:val="000000"/>
                <w:kern w:val="0"/>
                <w:sz w:val="24"/>
                <w:szCs w:val="24"/>
                <w:lang w:bidi="ar"/>
              </w:rPr>
              <w:t>截止时间：2023年10月</w:t>
            </w:r>
            <w:r>
              <w:rPr>
                <w:rFonts w:hint="eastAsia" w:ascii="宋体" w:hAnsi="宋体" w:cs="宋体"/>
                <w:b/>
                <w:bCs/>
                <w:color w:val="000000"/>
                <w:kern w:val="0"/>
                <w:sz w:val="24"/>
                <w:szCs w:val="24"/>
                <w:lang w:val="en-US" w:eastAsia="zh-CN" w:bidi="ar"/>
              </w:rPr>
              <w:t>08</w:t>
            </w:r>
            <w:r>
              <w:rPr>
                <w:rFonts w:hint="eastAsia" w:ascii="宋体" w:hAnsi="宋体" w:cs="宋体"/>
                <w:b/>
                <w:bCs/>
                <w:color w:val="000000"/>
                <w:kern w:val="0"/>
                <w:sz w:val="24"/>
                <w:szCs w:val="24"/>
                <w:lang w:bidi="ar"/>
              </w:rPr>
              <w:t>日10:30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11</w:t>
            </w:r>
          </w:p>
        </w:tc>
        <w:tc>
          <w:tcPr>
            <w:tcW w:w="2780" w:type="dxa"/>
            <w:gridSpan w:val="2"/>
            <w:vAlign w:val="center"/>
          </w:tcPr>
          <w:p>
            <w:pPr>
              <w:widowControl/>
              <w:jc w:val="left"/>
              <w:rPr>
                <w:rFonts w:ascii="宋体" w:hAnsi="宋体" w:cs="宋体"/>
                <w:b/>
                <w:color w:val="000000"/>
                <w:sz w:val="24"/>
                <w:szCs w:val="24"/>
              </w:rPr>
            </w:pPr>
            <w:r>
              <w:rPr>
                <w:rFonts w:hint="eastAsia" w:ascii="宋体" w:hAnsi="宋体" w:cs="宋体"/>
                <w:b/>
                <w:color w:val="000000"/>
                <w:sz w:val="24"/>
                <w:szCs w:val="24"/>
              </w:rPr>
              <w:t>招标人书面澄清的时间</w:t>
            </w:r>
          </w:p>
        </w:tc>
        <w:tc>
          <w:tcPr>
            <w:tcW w:w="6318" w:type="dxa"/>
            <w:vAlign w:val="center"/>
          </w:tcPr>
          <w:p>
            <w:pPr>
              <w:pStyle w:val="37"/>
              <w:spacing w:line="360" w:lineRule="auto"/>
              <w:rPr>
                <w:rFonts w:ascii="宋体" w:hAnsi="宋体" w:eastAsia="宋体" w:cs="宋体"/>
                <w:color w:val="000000"/>
                <w:sz w:val="24"/>
                <w:highlight w:val="yellow"/>
              </w:rPr>
            </w:pPr>
            <w:r>
              <w:rPr>
                <w:rFonts w:hint="eastAsia" w:ascii="宋体" w:hAnsi="宋体" w:eastAsia="宋体" w:cs="宋体"/>
                <w:b/>
                <w:bCs/>
                <w:color w:val="000000"/>
                <w:kern w:val="0"/>
                <w:sz w:val="24"/>
                <w:lang w:bidi="ar"/>
              </w:rPr>
              <w:t>截止时间：2023年10月0</w:t>
            </w:r>
            <w:r>
              <w:rPr>
                <w:rFonts w:hint="eastAsia" w:ascii="宋体" w:hAnsi="宋体" w:eastAsia="宋体" w:cs="宋体"/>
                <w:b/>
                <w:bCs/>
                <w:color w:val="000000"/>
                <w:kern w:val="0"/>
                <w:sz w:val="24"/>
                <w:lang w:val="en-US" w:eastAsia="zh-CN" w:bidi="ar"/>
              </w:rPr>
              <w:t>3</w:t>
            </w:r>
            <w:r>
              <w:rPr>
                <w:rFonts w:hint="eastAsia" w:ascii="宋体" w:hAnsi="宋体" w:eastAsia="宋体" w:cs="宋体"/>
                <w:b/>
                <w:bCs/>
                <w:color w:val="000000"/>
                <w:kern w:val="0"/>
                <w:sz w:val="24"/>
                <w:lang w:bidi="ar"/>
              </w:rPr>
              <w:t>日10:30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12</w:t>
            </w:r>
          </w:p>
        </w:tc>
        <w:tc>
          <w:tcPr>
            <w:tcW w:w="2780" w:type="dxa"/>
            <w:gridSpan w:val="2"/>
            <w:vAlign w:val="center"/>
          </w:tcPr>
          <w:p>
            <w:pPr>
              <w:pStyle w:val="37"/>
              <w:spacing w:line="360" w:lineRule="auto"/>
              <w:jc w:val="center"/>
              <w:rPr>
                <w:rFonts w:ascii="宋体" w:hAnsi="宋体" w:eastAsia="宋体" w:cs="宋体"/>
                <w:b/>
                <w:color w:val="000000"/>
                <w:sz w:val="24"/>
              </w:rPr>
            </w:pPr>
            <w:r>
              <w:rPr>
                <w:rFonts w:hint="eastAsia" w:ascii="宋体" w:hAnsi="宋体" w:eastAsia="宋体" w:cs="宋体"/>
                <w:b/>
                <w:color w:val="000000"/>
                <w:sz w:val="24"/>
              </w:rPr>
              <w:t>投标有效期</w:t>
            </w:r>
          </w:p>
        </w:tc>
        <w:tc>
          <w:tcPr>
            <w:tcW w:w="6318" w:type="dxa"/>
            <w:vAlign w:val="center"/>
          </w:tcPr>
          <w:p>
            <w:pPr>
              <w:pStyle w:val="37"/>
              <w:spacing w:line="360" w:lineRule="auto"/>
              <w:rPr>
                <w:rFonts w:ascii="宋体" w:hAnsi="宋体" w:eastAsia="宋体" w:cs="宋体"/>
                <w:color w:val="000000"/>
                <w:sz w:val="24"/>
              </w:rPr>
            </w:pPr>
            <w:r>
              <w:rPr>
                <w:rFonts w:hint="eastAsia" w:ascii="宋体" w:hAnsi="宋体" w:eastAsia="宋体" w:cs="宋体"/>
                <w:color w:val="000000"/>
                <w:sz w:val="24"/>
                <w:lang w:val="zh-CN"/>
              </w:rPr>
              <w:t>自投标截止之日起</w:t>
            </w:r>
            <w:r>
              <w:rPr>
                <w:rFonts w:hint="eastAsia" w:ascii="宋体" w:hAnsi="宋体" w:eastAsia="宋体" w:cs="宋体"/>
                <w:color w:val="000000"/>
                <w:sz w:val="24"/>
              </w:rPr>
              <w:t>90</w:t>
            </w:r>
            <w:r>
              <w:rPr>
                <w:rFonts w:hint="eastAsia" w:ascii="宋体" w:hAnsi="宋体" w:eastAsia="宋体" w:cs="宋体"/>
                <w:color w:val="000000"/>
                <w:sz w:val="24"/>
                <w:lang w:val="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13</w:t>
            </w:r>
          </w:p>
        </w:tc>
        <w:tc>
          <w:tcPr>
            <w:tcW w:w="2780" w:type="dxa"/>
            <w:gridSpan w:val="2"/>
            <w:vAlign w:val="center"/>
          </w:tcPr>
          <w:p>
            <w:pPr>
              <w:pStyle w:val="37"/>
              <w:spacing w:line="360" w:lineRule="auto"/>
              <w:jc w:val="center"/>
              <w:rPr>
                <w:rFonts w:ascii="宋体" w:hAnsi="宋体" w:eastAsia="宋体" w:cs="宋体"/>
                <w:b/>
                <w:color w:val="000000"/>
                <w:sz w:val="24"/>
              </w:rPr>
            </w:pPr>
            <w:r>
              <w:rPr>
                <w:rFonts w:hint="eastAsia" w:ascii="宋体" w:hAnsi="宋体" w:eastAsia="宋体" w:cs="宋体"/>
                <w:b/>
                <w:color w:val="000000"/>
                <w:sz w:val="24"/>
              </w:rPr>
              <w:t>投标截止时间（开标时间）</w:t>
            </w:r>
          </w:p>
        </w:tc>
        <w:tc>
          <w:tcPr>
            <w:tcW w:w="6318" w:type="dxa"/>
            <w:vAlign w:val="center"/>
          </w:tcPr>
          <w:p>
            <w:pPr>
              <w:pStyle w:val="37"/>
              <w:spacing w:line="360" w:lineRule="auto"/>
              <w:rPr>
                <w:rFonts w:ascii="宋体" w:hAnsi="宋体" w:eastAsia="宋体" w:cs="宋体"/>
                <w:color w:val="000000"/>
                <w:sz w:val="24"/>
              </w:rPr>
            </w:pPr>
            <w:r>
              <w:rPr>
                <w:rFonts w:hint="eastAsia" w:ascii="宋体" w:hAnsi="宋体" w:eastAsia="宋体" w:cs="宋体"/>
                <w:color w:val="000000"/>
                <w:sz w:val="24"/>
              </w:rPr>
              <w:t>截止时间：2023年10月</w:t>
            </w:r>
            <w:r>
              <w:rPr>
                <w:rFonts w:hint="eastAsia" w:ascii="宋体" w:hAnsi="宋体" w:eastAsia="宋体" w:cs="宋体"/>
                <w:color w:val="000000"/>
                <w:sz w:val="24"/>
                <w:lang w:val="en-US" w:eastAsia="zh-CN"/>
              </w:rPr>
              <w:t>18</w:t>
            </w:r>
            <w:r>
              <w:rPr>
                <w:rFonts w:hint="eastAsia" w:ascii="宋体" w:hAnsi="宋体" w:eastAsia="宋体" w:cs="宋体"/>
                <w:color w:val="000000"/>
                <w:sz w:val="24"/>
              </w:rPr>
              <w:t>日 10:30</w:t>
            </w:r>
            <w:r>
              <w:rPr>
                <w:rFonts w:hint="eastAsia" w:ascii="宋体" w:hAnsi="宋体" w:eastAsia="宋体" w:cs="宋体"/>
                <w:color w:val="000000"/>
                <w:sz w:val="24"/>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14</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投标文件份数</w:t>
            </w:r>
          </w:p>
        </w:tc>
        <w:tc>
          <w:tcPr>
            <w:tcW w:w="6318" w:type="dxa"/>
            <w:vAlign w:val="center"/>
          </w:tcPr>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□采用见面开标：</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投标文件包括：/</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sym w:font="Wingdings 2" w:char="0052"/>
            </w:r>
            <w:r>
              <w:rPr>
                <w:rFonts w:hint="eastAsia" w:asciiTheme="majorEastAsia" w:hAnsiTheme="majorEastAsia" w:eastAsiaTheme="majorEastAsia" w:cstheme="majorEastAsia"/>
                <w:sz w:val="24"/>
                <w:szCs w:val="24"/>
              </w:rPr>
              <w:t>采用不见面开标：</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1、本项目采用不见面开标、投标人需要递交电子投标文件，在投标截止时间前通过新疆政府采购网上传到指定位置。</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2、拟中标单位在开标后5日内将纸质版投标文件（2份）及不加密电子版投标书1份（1个U盘）交于招标代理公司，纸质版投标文件内容须与电子版投标文件一致。</w:t>
            </w:r>
          </w:p>
          <w:p>
            <w:pPr>
              <w:spacing w:line="360" w:lineRule="auto"/>
              <w:rPr>
                <w:rFonts w:ascii="宋体" w:hAnsi="宋体" w:cs="宋体"/>
                <w:sz w:val="24"/>
                <w:szCs w:val="24"/>
              </w:rPr>
            </w:pPr>
            <w:r>
              <w:rPr>
                <w:rFonts w:hint="eastAsia" w:asciiTheme="majorEastAsia" w:hAnsiTheme="majorEastAsia" w:eastAsiaTheme="majorEastAsia" w:cstheme="majorEastAsia"/>
                <w:sz w:val="24"/>
                <w:szCs w:val="24"/>
              </w:rPr>
              <w:t>3、本项目采用远程不见面交易的模式。开标当日，投标人无需到达开标现场，仅需在任意地点通过新疆政府采购网（http://www.ccgp-xinjiang.gov.cn）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15</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开标时间及地点</w:t>
            </w:r>
          </w:p>
        </w:tc>
        <w:tc>
          <w:tcPr>
            <w:tcW w:w="6318" w:type="dxa"/>
            <w:vAlign w:val="center"/>
          </w:tcPr>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sym w:font="Wingdings 2" w:char="0052"/>
            </w:r>
            <w:r>
              <w:rPr>
                <w:rFonts w:hint="eastAsia" w:asciiTheme="majorEastAsia" w:hAnsiTheme="majorEastAsia" w:eastAsiaTheme="majorEastAsia" w:cstheme="majorEastAsia"/>
                <w:sz w:val="24"/>
                <w:szCs w:val="24"/>
              </w:rPr>
              <w:t>采用不见面开标：</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开标时间：2023年10月</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日 10:30（北京时间）</w:t>
            </w:r>
          </w:p>
          <w:p>
            <w:pPr>
              <w:spacing w:line="360" w:lineRule="auto"/>
              <w:rPr>
                <w:rFonts w:ascii="宋体" w:hAnsi="宋体" w:cs="宋体"/>
                <w:sz w:val="24"/>
                <w:szCs w:val="24"/>
              </w:rPr>
            </w:pPr>
            <w:r>
              <w:rPr>
                <w:rFonts w:hint="eastAsia" w:asciiTheme="majorEastAsia" w:hAnsiTheme="majorEastAsia" w:eastAsiaTheme="majorEastAsia" w:cstheme="majorEastAsia"/>
                <w:sz w:val="24"/>
                <w:szCs w:val="24"/>
              </w:rPr>
              <w:t>开标地点：远程不见面开标大厅（新疆政府采购网）（http://www.ccgp-xinjiang.gov.cn）政采云平台）不见面开标默认解密时长：30分钟关于能否延长解密时间的约定：开标现场若发现默认解密时长不足，由采购人决定是否延长解密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16</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评标委员会的组成</w:t>
            </w:r>
          </w:p>
        </w:tc>
        <w:tc>
          <w:tcPr>
            <w:tcW w:w="6318" w:type="dxa"/>
            <w:vAlign w:val="center"/>
          </w:tcPr>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评标委员会构成：5人组成，其中采购人代表1人和专家评委4人。</w:t>
            </w: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评委确定方式：</w:t>
            </w:r>
          </w:p>
          <w:p>
            <w:pPr>
              <w:spacing w:line="360" w:lineRule="auto"/>
              <w:rPr>
                <w:rFonts w:asciiTheme="majorEastAsia" w:hAnsiTheme="majorEastAsia" w:eastAsiaTheme="majorEastAsia" w:cstheme="majorEastAsia"/>
                <w:sz w:val="24"/>
                <w:szCs w:val="24"/>
              </w:rPr>
            </w:pPr>
            <w:bookmarkStart w:id="64" w:name="EBad0e24caeb3f43aa9019c51f7f174bca"/>
            <w:r>
              <w:rPr>
                <w:rFonts w:hint="eastAsia" w:asciiTheme="majorEastAsia" w:hAnsiTheme="majorEastAsia" w:eastAsiaTheme="majorEastAsia" w:cstheme="majorEastAsia"/>
                <w:sz w:val="24"/>
                <w:szCs w:val="24"/>
              </w:rPr>
              <w:t>在新疆政府采购网相关专业专家库中随机抽取</w:t>
            </w:r>
            <w:bookmarkEnd w:id="64"/>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sym w:font="Wingdings 2" w:char="0052"/>
            </w:r>
            <w:r>
              <w:rPr>
                <w:rFonts w:hint="eastAsia" w:asciiTheme="majorEastAsia" w:hAnsiTheme="majorEastAsia" w:eastAsiaTheme="majorEastAsia" w:cstheme="majorEastAsia"/>
                <w:sz w:val="24"/>
                <w:szCs w:val="24"/>
              </w:rPr>
              <w:t xml:space="preserve">计算机随机抽取语音通知方式 </w:t>
            </w:r>
          </w:p>
          <w:p>
            <w:pPr>
              <w:spacing w:line="360" w:lineRule="auto"/>
              <w:rPr>
                <w:rFonts w:ascii="宋体" w:hAnsi="宋体" w:cs="宋体"/>
                <w:color w:val="000000"/>
                <w:sz w:val="24"/>
              </w:rPr>
            </w:pPr>
            <w:r>
              <w:rPr>
                <w:rFonts w:hint="eastAsia" w:asciiTheme="majorEastAsia" w:hAnsiTheme="majorEastAsia" w:eastAsiaTheme="majorEastAsia" w:cstheme="majorEastAsia"/>
                <w:sz w:val="24"/>
                <w:szCs w:val="24"/>
              </w:rPr>
              <w:t>☑其他方式：/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19" w:type="dxa"/>
            <w:vMerge w:val="restart"/>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17</w:t>
            </w:r>
          </w:p>
        </w:tc>
        <w:tc>
          <w:tcPr>
            <w:tcW w:w="2780" w:type="dxa"/>
            <w:gridSpan w:val="2"/>
            <w:vMerge w:val="restart"/>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投标保证金</w:t>
            </w:r>
          </w:p>
        </w:tc>
        <w:tc>
          <w:tcPr>
            <w:tcW w:w="6318" w:type="dxa"/>
            <w:vAlign w:val="center"/>
          </w:tcPr>
          <w:p>
            <w:pPr>
              <w:pStyle w:val="36"/>
              <w:spacing w:after="0"/>
              <w:jc w:val="left"/>
              <w:rPr>
                <w:rFonts w:ascii="宋体" w:hAnsi="宋体" w:eastAsia="宋体" w:cs="宋体"/>
                <w:b/>
                <w:color w:val="000000"/>
                <w:sz w:val="24"/>
              </w:rPr>
            </w:pPr>
            <w:r>
              <w:rPr>
                <w:rFonts w:hint="eastAsia" w:ascii="宋体" w:hAnsi="宋体" w:cs="宋体"/>
                <w:kern w:val="0"/>
                <w:sz w:val="24"/>
              </w:rPr>
              <w:t>缴纳方式：</w:t>
            </w:r>
            <w:r>
              <w:rPr>
                <w:rFonts w:hint="eastAsia" w:ascii="宋体" w:hAnsi="宋体" w:eastAsia="宋体" w:cs="宋体"/>
                <w:color w:val="000000"/>
                <w:kern w:val="0"/>
                <w:sz w:val="24"/>
                <w:lang w:bidi="ar"/>
              </w:rPr>
              <w:t>电汇、转账或保函非现金形式缴纳。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19" w:type="dxa"/>
            <w:vMerge w:val="continue"/>
            <w:vAlign w:val="center"/>
          </w:tcPr>
          <w:p>
            <w:pPr>
              <w:pStyle w:val="37"/>
              <w:spacing w:line="360" w:lineRule="auto"/>
              <w:jc w:val="center"/>
              <w:rPr>
                <w:rFonts w:ascii="宋体" w:hAnsi="宋体" w:eastAsia="宋体" w:cs="宋体"/>
                <w:b/>
                <w:color w:val="000000"/>
                <w:kern w:val="0"/>
                <w:sz w:val="24"/>
              </w:rPr>
            </w:pPr>
          </w:p>
        </w:tc>
        <w:tc>
          <w:tcPr>
            <w:tcW w:w="2780" w:type="dxa"/>
            <w:gridSpan w:val="2"/>
            <w:vMerge w:val="continue"/>
            <w:vAlign w:val="center"/>
          </w:tcPr>
          <w:p>
            <w:pPr>
              <w:pStyle w:val="37"/>
              <w:spacing w:line="360" w:lineRule="auto"/>
              <w:jc w:val="center"/>
              <w:rPr>
                <w:rFonts w:ascii="宋体" w:hAnsi="宋体" w:eastAsia="宋体" w:cs="宋体"/>
                <w:b/>
                <w:color w:val="000000"/>
                <w:kern w:val="0"/>
                <w:sz w:val="24"/>
              </w:rPr>
            </w:pPr>
          </w:p>
        </w:tc>
        <w:tc>
          <w:tcPr>
            <w:tcW w:w="6318" w:type="dxa"/>
            <w:vAlign w:val="center"/>
          </w:tcPr>
          <w:p>
            <w:pPr>
              <w:pStyle w:val="368"/>
              <w:spacing w:line="500" w:lineRule="exact"/>
              <w:rPr>
                <w:rFonts w:ascii="宋体" w:hAnsi="宋体" w:cs="宋体"/>
                <w:bCs/>
                <w:color w:val="000000"/>
                <w:sz w:val="24"/>
              </w:rPr>
            </w:pPr>
            <w:r>
              <w:rPr>
                <w:rFonts w:hint="eastAsia" w:ascii="宋体" w:hAnsi="宋体" w:cs="宋体"/>
                <w:bCs/>
                <w:color w:val="000000"/>
                <w:sz w:val="24"/>
              </w:rPr>
              <w:t xml:space="preserve">金额（小写）：100000元  </w:t>
            </w:r>
          </w:p>
          <w:p>
            <w:pPr>
              <w:pStyle w:val="36"/>
              <w:spacing w:after="0"/>
              <w:jc w:val="left"/>
              <w:rPr>
                <w:rFonts w:ascii="宋体" w:hAnsi="宋体" w:eastAsia="宋体" w:cs="宋体"/>
                <w:b/>
                <w:color w:val="000000"/>
                <w:sz w:val="24"/>
              </w:rPr>
            </w:pPr>
            <w:r>
              <w:rPr>
                <w:rFonts w:hint="eastAsia" w:ascii="宋体" w:hAnsi="宋体" w:eastAsia="宋体" w:cs="宋体"/>
                <w:bCs/>
                <w:color w:val="000000"/>
                <w:sz w:val="24"/>
              </w:rPr>
              <w:t xml:space="preserve">金额（大写）： 壹拾万元整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19" w:type="dxa"/>
            <w:vMerge w:val="continue"/>
            <w:vAlign w:val="center"/>
          </w:tcPr>
          <w:p>
            <w:pPr>
              <w:pStyle w:val="37"/>
              <w:spacing w:line="360" w:lineRule="auto"/>
              <w:jc w:val="center"/>
              <w:rPr>
                <w:rFonts w:ascii="宋体" w:hAnsi="宋体" w:eastAsia="宋体" w:cs="宋体"/>
                <w:b/>
                <w:color w:val="000000"/>
                <w:kern w:val="0"/>
                <w:sz w:val="24"/>
              </w:rPr>
            </w:pPr>
          </w:p>
        </w:tc>
        <w:tc>
          <w:tcPr>
            <w:tcW w:w="2780" w:type="dxa"/>
            <w:gridSpan w:val="2"/>
            <w:vMerge w:val="continue"/>
            <w:vAlign w:val="center"/>
          </w:tcPr>
          <w:p>
            <w:pPr>
              <w:pStyle w:val="37"/>
              <w:spacing w:line="360" w:lineRule="auto"/>
              <w:jc w:val="center"/>
              <w:rPr>
                <w:rFonts w:ascii="宋体" w:hAnsi="宋体" w:eastAsia="宋体" w:cs="宋体"/>
                <w:b/>
                <w:color w:val="000000"/>
                <w:kern w:val="0"/>
                <w:sz w:val="24"/>
              </w:rPr>
            </w:pPr>
          </w:p>
        </w:tc>
        <w:tc>
          <w:tcPr>
            <w:tcW w:w="6318" w:type="dxa"/>
            <w:vAlign w:val="center"/>
          </w:tcPr>
          <w:p>
            <w:pPr>
              <w:pStyle w:val="368"/>
              <w:spacing w:line="500" w:lineRule="exact"/>
              <w:rPr>
                <w:rFonts w:ascii="宋体" w:hAnsi="宋体" w:cs="宋体"/>
                <w:bCs/>
                <w:color w:val="000000"/>
                <w:sz w:val="24"/>
              </w:rPr>
            </w:pPr>
            <w:r>
              <w:rPr>
                <w:rFonts w:hint="eastAsia" w:ascii="仿宋" w:hAnsi="仿宋" w:eastAsia="仿宋"/>
                <w:color w:val="000000"/>
                <w:sz w:val="24"/>
              </w:rPr>
              <w:t>开户</w:t>
            </w:r>
            <w:r>
              <w:rPr>
                <w:rFonts w:hint="eastAsia" w:ascii="宋体" w:hAnsi="宋体" w:cs="宋体"/>
                <w:bCs/>
                <w:color w:val="000000"/>
                <w:sz w:val="24"/>
              </w:rPr>
              <w:t>银行：兴业银行股份有限公司乌鲁木齐高新区支行</w:t>
            </w:r>
          </w:p>
          <w:p>
            <w:pPr>
              <w:pStyle w:val="368"/>
              <w:spacing w:line="500" w:lineRule="exact"/>
              <w:rPr>
                <w:rFonts w:ascii="宋体" w:hAnsi="宋体" w:cs="宋体"/>
                <w:b/>
                <w:color w:val="000000"/>
                <w:sz w:val="24"/>
              </w:rPr>
            </w:pPr>
            <w:r>
              <w:rPr>
                <w:rFonts w:hint="eastAsia" w:ascii="宋体" w:hAnsi="宋体" w:cs="宋体"/>
                <w:bCs/>
                <w:color w:val="000000"/>
                <w:sz w:val="24"/>
              </w:rPr>
              <w:t>账户名称：新疆科辰工程项目管理有限公司</w:t>
            </w:r>
            <w:r>
              <w:rPr>
                <w:rFonts w:hint="eastAsia" w:ascii="宋体" w:hAnsi="宋体" w:cs="宋体"/>
                <w:bCs/>
                <w:color w:val="000000"/>
                <w:sz w:val="24"/>
              </w:rPr>
              <w:br w:type="textWrapping"/>
            </w:r>
            <w:r>
              <w:rPr>
                <w:rFonts w:hint="eastAsia" w:ascii="宋体" w:hAnsi="宋体" w:cs="宋体"/>
                <w:bCs/>
                <w:color w:val="000000"/>
                <w:sz w:val="24"/>
              </w:rPr>
              <w:t>账  号：512040100100849784</w:t>
            </w:r>
            <w:r>
              <w:rPr>
                <w:rFonts w:hint="eastAsia" w:ascii="宋体" w:hAnsi="宋体" w:cs="宋体"/>
                <w:bCs/>
                <w:color w:val="000000"/>
                <w:sz w:val="24"/>
              </w:rPr>
              <w:br w:type="textWrapping"/>
            </w:r>
            <w:r>
              <w:rPr>
                <w:rFonts w:hint="eastAsia" w:ascii="宋体" w:hAnsi="宋体" w:cs="宋体"/>
                <w:bCs/>
                <w:color w:val="000000"/>
                <w:sz w:val="24"/>
              </w:rPr>
              <w:t>行  号：309881002044</w:t>
            </w:r>
            <w:r>
              <w:rPr>
                <w:rFonts w:hint="eastAsia" w:ascii="宋体" w:hAnsi="宋体" w:cs="宋体"/>
                <w:bCs/>
                <w:color w:val="000000"/>
                <w:sz w:val="24"/>
              </w:rPr>
              <w:br w:type="textWrapping"/>
            </w:r>
            <w:r>
              <w:rPr>
                <w:rFonts w:hint="eastAsia" w:ascii="宋体" w:hAnsi="宋体" w:cs="宋体"/>
                <w:bCs/>
                <w:color w:val="000000"/>
                <w:sz w:val="24"/>
              </w:rPr>
              <w:t>开户行电话：3667626</w:t>
            </w:r>
            <w:r>
              <w:rPr>
                <w:rFonts w:hint="eastAsia" w:ascii="宋体" w:hAnsi="宋体" w:cs="宋体"/>
                <w:b/>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19" w:type="dxa"/>
            <w:vMerge w:val="continue"/>
            <w:vAlign w:val="center"/>
          </w:tcPr>
          <w:p>
            <w:pPr>
              <w:pStyle w:val="37"/>
              <w:spacing w:line="360" w:lineRule="auto"/>
              <w:jc w:val="center"/>
              <w:rPr>
                <w:rFonts w:ascii="宋体" w:hAnsi="宋体" w:eastAsia="宋体" w:cs="宋体"/>
                <w:b/>
                <w:color w:val="000000"/>
                <w:kern w:val="0"/>
                <w:sz w:val="24"/>
              </w:rPr>
            </w:pPr>
          </w:p>
        </w:tc>
        <w:tc>
          <w:tcPr>
            <w:tcW w:w="2780" w:type="dxa"/>
            <w:gridSpan w:val="2"/>
            <w:vMerge w:val="continue"/>
            <w:vAlign w:val="center"/>
          </w:tcPr>
          <w:p>
            <w:pPr>
              <w:pStyle w:val="37"/>
              <w:spacing w:line="360" w:lineRule="auto"/>
              <w:jc w:val="center"/>
              <w:rPr>
                <w:rFonts w:ascii="宋体" w:hAnsi="宋体" w:eastAsia="宋体" w:cs="宋体"/>
                <w:b/>
                <w:color w:val="000000"/>
                <w:kern w:val="0"/>
                <w:sz w:val="24"/>
              </w:rPr>
            </w:pPr>
          </w:p>
        </w:tc>
        <w:tc>
          <w:tcPr>
            <w:tcW w:w="6318" w:type="dxa"/>
            <w:vAlign w:val="center"/>
          </w:tcPr>
          <w:p>
            <w:pPr>
              <w:pStyle w:val="42"/>
              <w:spacing w:line="500" w:lineRule="exact"/>
              <w:rPr>
                <w:rFonts w:ascii="宋体" w:hAnsi="宋体" w:cs="宋体"/>
                <w:bCs/>
                <w:color w:val="000000"/>
                <w:sz w:val="24"/>
                <w:szCs w:val="24"/>
              </w:rPr>
            </w:pPr>
            <w:r>
              <w:rPr>
                <w:rFonts w:hint="eastAsia" w:ascii="宋体" w:hAnsi="宋体" w:cs="宋体"/>
                <w:bCs/>
                <w:color w:val="000000"/>
                <w:sz w:val="24"/>
                <w:szCs w:val="24"/>
              </w:rPr>
              <w:t>1、保证金必须从企业基本帐户缴纳至采购代理机构给定的基本账户。以个人、企业的办事处、分公司、子公司名义或从他人帐户、投标人企业的其他账户缴纳的保证金无效。</w:t>
            </w:r>
          </w:p>
          <w:p>
            <w:pPr>
              <w:pStyle w:val="42"/>
              <w:spacing w:line="500" w:lineRule="exact"/>
              <w:rPr>
                <w:rFonts w:ascii="宋体" w:hAnsi="宋体" w:cs="宋体"/>
                <w:bCs/>
                <w:color w:val="000000"/>
                <w:sz w:val="24"/>
                <w:szCs w:val="24"/>
              </w:rPr>
            </w:pPr>
            <w:r>
              <w:rPr>
                <w:rFonts w:hint="eastAsia" w:ascii="宋体" w:hAnsi="宋体" w:cs="宋体"/>
                <w:bCs/>
                <w:color w:val="000000"/>
                <w:sz w:val="24"/>
                <w:szCs w:val="24"/>
              </w:rPr>
              <w:t>2、保证金必须在投标截止时间（开标时间）前缴纳至招标代理公司账户。投标人需自行评估因异地、跨行、公休日等因素造成的投标保证金到账延迟风险，并承担相应责任。</w:t>
            </w:r>
          </w:p>
          <w:p>
            <w:pPr>
              <w:pStyle w:val="42"/>
              <w:spacing w:line="500" w:lineRule="exact"/>
              <w:rPr>
                <w:rFonts w:ascii="宋体" w:hAnsi="宋体" w:cs="宋体"/>
                <w:bCs/>
                <w:color w:val="000000"/>
                <w:sz w:val="24"/>
                <w:szCs w:val="24"/>
              </w:rPr>
            </w:pPr>
            <w:r>
              <w:rPr>
                <w:rFonts w:hint="eastAsia" w:ascii="宋体" w:hAnsi="宋体" w:cs="宋体"/>
                <w:bCs/>
                <w:color w:val="000000"/>
                <w:sz w:val="24"/>
                <w:szCs w:val="24"/>
              </w:rPr>
              <w:t>3、到账截止时间：2023年10月1</w:t>
            </w:r>
            <w:r>
              <w:rPr>
                <w:rFonts w:hint="eastAsia" w:ascii="宋体" w:hAnsi="宋体" w:cs="宋体"/>
                <w:bCs/>
                <w:color w:val="000000"/>
                <w:sz w:val="24"/>
                <w:szCs w:val="24"/>
                <w:lang w:val="en-US" w:eastAsia="zh-CN"/>
              </w:rPr>
              <w:t>8</w:t>
            </w:r>
            <w:r>
              <w:rPr>
                <w:rFonts w:hint="eastAsia" w:ascii="宋体" w:hAnsi="宋体" w:cs="宋体"/>
                <w:bCs/>
                <w:color w:val="000000"/>
                <w:sz w:val="24"/>
                <w:szCs w:val="24"/>
              </w:rPr>
              <w:t>日 10:30（北京时间）（以银行记录确认到账为准）。</w:t>
            </w:r>
          </w:p>
          <w:p>
            <w:pPr>
              <w:spacing w:line="360" w:lineRule="auto"/>
              <w:rPr>
                <w:rFonts w:ascii="宋体" w:hAnsi="宋体" w:cs="宋体"/>
                <w:b/>
                <w:bCs/>
                <w:sz w:val="24"/>
                <w:szCs w:val="24"/>
              </w:rPr>
            </w:pPr>
            <w:r>
              <w:rPr>
                <w:rFonts w:hint="eastAsia" w:ascii="宋体" w:hAnsi="宋体" w:cs="宋体"/>
                <w:b/>
                <w:bCs/>
                <w:sz w:val="24"/>
                <w:szCs w:val="24"/>
              </w:rPr>
              <w:t>4、为简化手续，优化流程，采用电子支付方式提交投标保证金的，在退还时，按原路退回，收取时不开具收据，退还时要求提交保证金收据。请各投标单位在响应文件中提供开户许可证或退款账户信息（包含银行行号）。</w:t>
            </w:r>
          </w:p>
          <w:p>
            <w:pPr>
              <w:spacing w:line="360" w:lineRule="auto"/>
              <w:rPr>
                <w:rFonts w:ascii="宋体" w:hAnsi="宋体" w:cs="宋体"/>
                <w:b/>
                <w:color w:val="000000"/>
                <w:sz w:val="24"/>
              </w:rPr>
            </w:pPr>
            <w:r>
              <w:rPr>
                <w:rFonts w:hint="eastAsia" w:asciiTheme="majorEastAsia" w:hAnsiTheme="majorEastAsia" w:eastAsiaTheme="majorEastAsia" w:cstheme="majorEastAsia"/>
                <w:sz w:val="24"/>
                <w:szCs w:val="24"/>
              </w:rPr>
              <w:t>注：打款时须</w:t>
            </w:r>
            <w:r>
              <w:rPr>
                <w:rFonts w:hint="eastAsia" w:ascii="宋体" w:hAnsi="宋体" w:cs="宋体"/>
                <w:bCs/>
                <w:color w:val="000000"/>
                <w:sz w:val="24"/>
                <w:szCs w:val="24"/>
              </w:rPr>
              <w:t>注明“（项目编号/包号）保证金”字样，未按</w:t>
            </w:r>
            <w:r>
              <w:rPr>
                <w:rFonts w:hint="eastAsia" w:asciiTheme="majorEastAsia" w:hAnsiTheme="majorEastAsia" w:eastAsiaTheme="majorEastAsia" w:cstheme="majorEastAsia"/>
                <w:sz w:val="24"/>
                <w:szCs w:val="24"/>
              </w:rPr>
              <w:t>以上要求办理保证金的，其保证金视为无效，采购人将拒绝其投标。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18</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中小微型企业</w:t>
            </w:r>
          </w:p>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有关政策</w:t>
            </w:r>
          </w:p>
        </w:tc>
        <w:tc>
          <w:tcPr>
            <w:tcW w:w="6318" w:type="dxa"/>
            <w:tcBorders>
              <w:top w:val="single" w:color="auto" w:sz="4" w:space="0"/>
            </w:tcBorders>
            <w:vAlign w:val="center"/>
          </w:tcPr>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(1)根据财政部、工业和信息化部发布的关于印发《政府采购促进中小企业发展管理办法》的通知，财库[2020]46号）规定执行；</w:t>
            </w:r>
          </w:p>
          <w:p>
            <w:pPr>
              <w:pStyle w:val="37"/>
              <w:rPr>
                <w:rFonts w:ascii="宋体" w:hAnsi="宋体" w:eastAsia="宋体" w:cs="宋体"/>
                <w:color w:val="000000"/>
                <w:kern w:val="0"/>
                <w:sz w:val="24"/>
              </w:rPr>
            </w:pPr>
            <w:r>
              <w:rPr>
                <w:rFonts w:hint="eastAsia" w:asciiTheme="majorEastAsia" w:hAnsiTheme="majorEastAsia" w:eastAsiaTheme="majorEastAsia" w:cstheme="majorEastAsia"/>
                <w:sz w:val="24"/>
              </w:rPr>
              <w:t>(2)价格扣除幅度：价格给予</w:t>
            </w:r>
            <w:r>
              <w:rPr>
                <w:rFonts w:hint="eastAsia" w:asciiTheme="majorEastAsia" w:hAnsiTheme="majorEastAsia" w:eastAsiaTheme="majorEastAsia" w:cstheme="majorEastAsia"/>
                <w:sz w:val="24"/>
                <w:u w:val="single"/>
              </w:rPr>
              <w:t>10%</w:t>
            </w:r>
            <w:r>
              <w:rPr>
                <w:rFonts w:hint="eastAsia" w:asciiTheme="majorEastAsia" w:hAnsiTheme="majorEastAsia" w:eastAsiaTheme="majorEastAsia" w:cstheme="majorEastAsia"/>
                <w:sz w:val="24"/>
              </w:rPr>
              <w:t>的扣除，计算投标报价分时，用扣除后的价格参与评审。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19</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技术部分是否采用</w:t>
            </w:r>
          </w:p>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“暗标”评审方式</w:t>
            </w:r>
          </w:p>
        </w:tc>
        <w:tc>
          <w:tcPr>
            <w:tcW w:w="6318" w:type="dxa"/>
            <w:vAlign w:val="center"/>
          </w:tcPr>
          <w:p>
            <w:pPr>
              <w:pStyle w:val="37"/>
              <w:rPr>
                <w:rFonts w:asciiTheme="majorEastAsia" w:hAnsiTheme="majorEastAsia" w:eastAsiaTheme="majorEastAsia" w:cstheme="majorEastAsia"/>
                <w:sz w:val="24"/>
              </w:rPr>
            </w:pPr>
            <w:bookmarkStart w:id="65" w:name="EB6b9b19d6907e432b9afa43d195c134f7"/>
            <w:r>
              <w:rPr>
                <w:rFonts w:hint="eastAsia" w:ascii="宋体" w:hAnsi="宋体" w:eastAsia="宋体" w:cs="宋体"/>
                <w:color w:val="000000"/>
                <w:kern w:val="0"/>
                <w:sz w:val="24"/>
              </w:rPr>
              <w:sym w:font="Wingdings 2" w:char="0052"/>
            </w:r>
            <w:r>
              <w:rPr>
                <w:rFonts w:hint="eastAsia" w:asciiTheme="majorEastAsia" w:hAnsiTheme="majorEastAsia" w:eastAsiaTheme="majorEastAsia" w:cstheme="majorEastAsia"/>
                <w:sz w:val="24"/>
              </w:rPr>
              <w:t xml:space="preserve">否 </w:t>
            </w:r>
          </w:p>
          <w:p>
            <w:pPr>
              <w:pStyle w:val="37"/>
              <w:rPr>
                <w:rFonts w:ascii="宋体" w:hAnsi="宋体" w:eastAsia="宋体" w:cs="宋体"/>
                <w:color w:val="000000"/>
                <w:kern w:val="0"/>
                <w:sz w:val="24"/>
              </w:rPr>
            </w:pPr>
            <w:r>
              <w:rPr>
                <w:rFonts w:hint="eastAsia" w:asciiTheme="majorEastAsia" w:hAnsiTheme="majorEastAsia" w:eastAsiaTheme="majorEastAsia" w:cstheme="majorEastAsia"/>
                <w:sz w:val="24"/>
              </w:rPr>
              <w:t>□是</w:t>
            </w:r>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20</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评审方法</w:t>
            </w:r>
          </w:p>
        </w:tc>
        <w:tc>
          <w:tcPr>
            <w:tcW w:w="6318" w:type="dxa"/>
            <w:vAlign w:val="center"/>
          </w:tcPr>
          <w:p>
            <w:pPr>
              <w:spacing w:line="360" w:lineRule="auto"/>
              <w:rPr>
                <w:rFonts w:asciiTheme="majorEastAsia" w:hAnsiTheme="majorEastAsia" w:eastAsiaTheme="majorEastAsia" w:cstheme="majorEastAsia"/>
                <w:sz w:val="24"/>
                <w:szCs w:val="24"/>
              </w:rPr>
            </w:pPr>
            <w:bookmarkStart w:id="66" w:name="EB2e2814636ed449638e31aec0b86a9c79"/>
            <w:r>
              <w:rPr>
                <w:rFonts w:hint="eastAsia" w:asciiTheme="majorEastAsia" w:hAnsiTheme="majorEastAsia" w:eastAsiaTheme="majorEastAsia" w:cstheme="majorEastAsia"/>
                <w:sz w:val="24"/>
                <w:szCs w:val="24"/>
              </w:rPr>
              <w:sym w:font="Wingdings 2" w:char="0052"/>
            </w:r>
            <w:r>
              <w:rPr>
                <w:rFonts w:hint="eastAsia" w:asciiTheme="majorEastAsia" w:hAnsiTheme="majorEastAsia" w:eastAsiaTheme="majorEastAsia" w:cstheme="majorEastAsia"/>
                <w:sz w:val="24"/>
                <w:szCs w:val="24"/>
              </w:rPr>
              <w:t xml:space="preserve"> </w:t>
            </w:r>
            <w:bookmarkEnd w:id="66"/>
            <w:r>
              <w:rPr>
                <w:rFonts w:hint="eastAsia" w:asciiTheme="majorEastAsia" w:hAnsiTheme="majorEastAsia" w:eastAsiaTheme="majorEastAsia" w:cstheme="majorEastAsia"/>
                <w:sz w:val="24"/>
                <w:szCs w:val="24"/>
              </w:rPr>
              <w:t xml:space="preserve">资格后审         </w:t>
            </w:r>
            <w:bookmarkStart w:id="67" w:name="EB5195853e4e84408dabe7b38250913457"/>
            <w:r>
              <w:rPr>
                <w:rFonts w:hint="eastAsia" w:asciiTheme="majorEastAsia" w:hAnsiTheme="majorEastAsia" w:eastAsiaTheme="majorEastAsia" w:cstheme="majorEastAsia"/>
                <w:sz w:val="24"/>
                <w:szCs w:val="24"/>
              </w:rPr>
              <w:t>□</w:t>
            </w:r>
            <w:bookmarkEnd w:id="67"/>
            <w:r>
              <w:rPr>
                <w:rFonts w:hint="eastAsia" w:asciiTheme="majorEastAsia" w:hAnsiTheme="majorEastAsia" w:eastAsiaTheme="majorEastAsia" w:cstheme="majorEastAsia"/>
                <w:sz w:val="24"/>
                <w:szCs w:val="24"/>
              </w:rPr>
              <w:t>资格预审</w:t>
            </w:r>
          </w:p>
          <w:p>
            <w:pPr>
              <w:spacing w:line="360" w:lineRule="auto"/>
              <w:rPr>
                <w:rFonts w:asciiTheme="majorEastAsia" w:hAnsiTheme="majorEastAsia" w:eastAsiaTheme="majorEastAsia" w:cstheme="majorEastAsia"/>
                <w:sz w:val="24"/>
                <w:szCs w:val="24"/>
              </w:rPr>
            </w:pPr>
            <w:bookmarkStart w:id="68" w:name="EB5c39ed08c4e342aeacec8cbe6387f2ef"/>
            <w:r>
              <w:rPr>
                <w:rFonts w:hint="eastAsia" w:asciiTheme="majorEastAsia" w:hAnsiTheme="majorEastAsia" w:eastAsiaTheme="majorEastAsia" w:cstheme="majorEastAsia"/>
                <w:sz w:val="24"/>
                <w:szCs w:val="24"/>
              </w:rPr>
              <w:sym w:font="Wingdings 2" w:char="0052"/>
            </w:r>
            <w:r>
              <w:rPr>
                <w:rFonts w:hint="eastAsia" w:asciiTheme="majorEastAsia" w:hAnsiTheme="majorEastAsia" w:eastAsiaTheme="majorEastAsia" w:cstheme="majorEastAsia"/>
                <w:sz w:val="24"/>
                <w:szCs w:val="24"/>
              </w:rPr>
              <w:t xml:space="preserve"> </w:t>
            </w:r>
            <w:bookmarkEnd w:id="68"/>
            <w:r>
              <w:rPr>
                <w:rFonts w:hint="eastAsia" w:asciiTheme="majorEastAsia" w:hAnsiTheme="majorEastAsia" w:eastAsiaTheme="majorEastAsia" w:cstheme="majorEastAsia"/>
                <w:sz w:val="24"/>
                <w:szCs w:val="24"/>
              </w:rPr>
              <w:t xml:space="preserve">综合评分法       </w:t>
            </w:r>
            <w:bookmarkStart w:id="69" w:name="EB133c7794490f47f2984bbb8eeafc51a9"/>
            <w:r>
              <w:rPr>
                <w:rFonts w:hint="eastAsia" w:asciiTheme="majorEastAsia" w:hAnsiTheme="majorEastAsia" w:eastAsiaTheme="majorEastAsia" w:cstheme="majorEastAsia"/>
                <w:sz w:val="24"/>
                <w:szCs w:val="24"/>
              </w:rPr>
              <w:t>□</w:t>
            </w:r>
            <w:bookmarkEnd w:id="69"/>
            <w:r>
              <w:rPr>
                <w:rFonts w:hint="eastAsia" w:asciiTheme="majorEastAsia" w:hAnsiTheme="majorEastAsia" w:eastAsiaTheme="majorEastAsia" w:cstheme="majorEastAsia"/>
                <w:sz w:val="24"/>
                <w:szCs w:val="24"/>
              </w:rPr>
              <w:t>最低评标价法</w:t>
            </w:r>
          </w:p>
          <w:p>
            <w:pPr>
              <w:spacing w:line="360" w:lineRule="auto"/>
              <w:rPr>
                <w:rFonts w:ascii="宋体" w:hAnsi="宋体" w:cs="宋体"/>
                <w:color w:val="000000"/>
                <w:kern w:val="0"/>
                <w:sz w:val="24"/>
              </w:rPr>
            </w:pPr>
            <w:r>
              <w:rPr>
                <w:rFonts w:hint="eastAsia" w:asciiTheme="majorEastAsia" w:hAnsiTheme="majorEastAsia" w:eastAsiaTheme="majorEastAsia" w:cstheme="majorEastAsia"/>
                <w:sz w:val="24"/>
                <w:szCs w:val="24"/>
              </w:rPr>
              <w:t>注：综合评分法是指在最大限度地满足招标文件实质性要求前提下，按照招标文件中规定的评分细则评审后，以评标最终得分最高的投标人作为中标人的评标方法。每一投标人的最终得分为所有评委评分的算术平均值。得分相同的，报价较低的一方为中标人。得分且投标报价相同的，技术指标较优的一方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21</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质量要求</w:t>
            </w:r>
          </w:p>
        </w:tc>
        <w:tc>
          <w:tcPr>
            <w:tcW w:w="6318" w:type="dxa"/>
            <w:vAlign w:val="center"/>
          </w:tcPr>
          <w:p>
            <w:pPr>
              <w:pStyle w:val="37"/>
              <w:rPr>
                <w:rFonts w:ascii="宋体" w:hAnsi="宋体" w:eastAsia="宋体" w:cs="宋体"/>
                <w:sz w:val="24"/>
              </w:rPr>
            </w:pPr>
            <w:r>
              <w:rPr>
                <w:rFonts w:hint="eastAsia" w:ascii="宋体" w:hAnsi="宋体" w:eastAsia="宋体" w:cs="宋体"/>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22</w:t>
            </w:r>
          </w:p>
        </w:tc>
        <w:tc>
          <w:tcPr>
            <w:tcW w:w="2780" w:type="dxa"/>
            <w:gridSpan w:val="2"/>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争议的解决</w:t>
            </w:r>
          </w:p>
        </w:tc>
        <w:tc>
          <w:tcPr>
            <w:tcW w:w="6318" w:type="dxa"/>
            <w:vAlign w:val="center"/>
          </w:tcPr>
          <w:p>
            <w:pPr>
              <w:spacing w:line="360" w:lineRule="auto"/>
              <w:rPr>
                <w:rFonts w:ascii="宋体" w:hAnsi="宋体" w:cs="宋体"/>
                <w:sz w:val="24"/>
              </w:rPr>
            </w:pPr>
            <w:r>
              <w:rPr>
                <w:rFonts w:hint="eastAsia" w:asciiTheme="majorEastAsia" w:hAnsiTheme="majorEastAsia" w:eastAsiaTheme="majorEastAsia" w:cstheme="majorEastAsia"/>
                <w:sz w:val="24"/>
                <w:szCs w:val="24"/>
              </w:rPr>
              <w:t>若甲、乙双方发生纠纷，应首先友好协商解决，如不能达成一致意见，可向甲方所在地人民法院提起诉讼。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23</w:t>
            </w:r>
          </w:p>
        </w:tc>
        <w:tc>
          <w:tcPr>
            <w:tcW w:w="2780" w:type="dxa"/>
            <w:gridSpan w:val="2"/>
            <w:vAlign w:val="center"/>
          </w:tcPr>
          <w:p>
            <w:pPr>
              <w:pStyle w:val="37"/>
              <w:jc w:val="center"/>
              <w:rPr>
                <w:rFonts w:ascii="宋体" w:hAnsi="宋体" w:eastAsia="宋体" w:cs="宋体"/>
                <w:sz w:val="24"/>
              </w:rPr>
            </w:pPr>
            <w:r>
              <w:rPr>
                <w:rFonts w:hint="eastAsia" w:ascii="宋体" w:hAnsi="宋体" w:eastAsia="宋体" w:cs="宋体"/>
                <w:b/>
                <w:color w:val="000000"/>
                <w:kern w:val="0"/>
                <w:sz w:val="24"/>
              </w:rPr>
              <w:t>服务期限</w:t>
            </w:r>
          </w:p>
        </w:tc>
        <w:tc>
          <w:tcPr>
            <w:tcW w:w="6318" w:type="dxa"/>
            <w:vAlign w:val="center"/>
          </w:tcPr>
          <w:p>
            <w:pPr>
              <w:pStyle w:val="37"/>
              <w:spacing w:line="360" w:lineRule="auto"/>
              <w:rPr>
                <w:rFonts w:ascii="宋体" w:hAnsi="宋体" w:eastAsia="宋体" w:cs="宋体"/>
                <w:sz w:val="24"/>
              </w:rPr>
            </w:pPr>
            <w:r>
              <w:rPr>
                <w:rFonts w:hint="eastAsia" w:asciiTheme="majorEastAsia" w:hAnsiTheme="majorEastAsia" w:eastAsiaTheme="majorEastAsia" w:cstheme="majorEastAsia"/>
                <w:sz w:val="24"/>
              </w:rPr>
              <w:t>本设计服务周期自本工程合同签订之日起，至项目成果验收合格之日止。其中，总设计周期为90个日历日。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24</w:t>
            </w:r>
          </w:p>
        </w:tc>
        <w:tc>
          <w:tcPr>
            <w:tcW w:w="2780" w:type="dxa"/>
            <w:gridSpan w:val="2"/>
            <w:vAlign w:val="center"/>
          </w:tcPr>
          <w:p>
            <w:pPr>
              <w:pStyle w:val="37"/>
              <w:autoSpaceDE w:val="0"/>
              <w:autoSpaceDN w:val="0"/>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项目预算</w:t>
            </w:r>
          </w:p>
        </w:tc>
        <w:tc>
          <w:tcPr>
            <w:tcW w:w="6318" w:type="dxa"/>
            <w:vAlign w:val="center"/>
          </w:tcPr>
          <w:p>
            <w:pPr>
              <w:spacing w:line="360" w:lineRule="auto"/>
              <w:rPr>
                <w:rFonts w:ascii="宋体" w:hAnsi="宋体" w:cs="宋体"/>
                <w:color w:val="000000"/>
                <w:sz w:val="24"/>
                <w:highlight w:val="cyan"/>
              </w:rPr>
            </w:pPr>
            <w:r>
              <w:rPr>
                <w:rFonts w:hint="eastAsia" w:asciiTheme="majorEastAsia" w:hAnsiTheme="majorEastAsia" w:eastAsiaTheme="majorEastAsia" w:cstheme="majorEastAsia"/>
                <w:sz w:val="24"/>
                <w:szCs w:val="24"/>
              </w:rPr>
              <w:t>本项目预算为8320000.00元，投标人投标报价超过项目预算的按无效投标处理。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619" w:type="dxa"/>
            <w:vAlign w:val="center"/>
          </w:tcPr>
          <w:p>
            <w:pPr>
              <w:pStyle w:val="37"/>
              <w:spacing w:line="360" w:lineRule="auto"/>
              <w:jc w:val="center"/>
              <w:rPr>
                <w:rFonts w:ascii="宋体" w:hAnsi="宋体" w:eastAsia="宋体" w:cs="宋体"/>
                <w:b/>
                <w:color w:val="000000"/>
                <w:kern w:val="0"/>
                <w:sz w:val="24"/>
              </w:rPr>
            </w:pPr>
            <w:r>
              <w:rPr>
                <w:rFonts w:hint="eastAsia" w:ascii="宋体" w:hAnsi="宋体" w:eastAsia="宋体" w:cs="宋体"/>
                <w:b/>
                <w:color w:val="000000"/>
                <w:kern w:val="0"/>
                <w:sz w:val="24"/>
              </w:rPr>
              <w:t>25</w:t>
            </w:r>
          </w:p>
        </w:tc>
        <w:tc>
          <w:tcPr>
            <w:tcW w:w="2780" w:type="dxa"/>
            <w:gridSpan w:val="2"/>
            <w:vAlign w:val="center"/>
          </w:tcPr>
          <w:p>
            <w:pPr>
              <w:pStyle w:val="37"/>
              <w:autoSpaceDE w:val="0"/>
              <w:autoSpaceDN w:val="0"/>
              <w:spacing w:line="360" w:lineRule="auto"/>
              <w:jc w:val="center"/>
              <w:rPr>
                <w:rFonts w:ascii="宋体" w:hAnsi="宋体" w:eastAsia="宋体" w:cs="宋体"/>
                <w:b/>
                <w:color w:val="000000"/>
                <w:sz w:val="24"/>
              </w:rPr>
            </w:pPr>
            <w:r>
              <w:rPr>
                <w:rFonts w:hint="eastAsia" w:ascii="宋体" w:hAnsi="宋体" w:eastAsia="宋体" w:cs="宋体"/>
                <w:b/>
                <w:color w:val="000000"/>
                <w:sz w:val="24"/>
              </w:rPr>
              <w:t>其他</w:t>
            </w:r>
          </w:p>
        </w:tc>
        <w:tc>
          <w:tcPr>
            <w:tcW w:w="6318" w:type="dxa"/>
            <w:vAlign w:val="center"/>
          </w:tcPr>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1、各投标人必须针对项目制作投标文件并报价，投标文件必须满足招标文件份数与制作等要求，否则将导致投标被拒绝。 </w:t>
            </w:r>
          </w:p>
          <w:p>
            <w:pPr>
              <w:spacing w:line="360" w:lineRule="auto"/>
              <w:rPr>
                <w:rFonts w:ascii="宋体" w:hAnsi="宋体" w:cs="宋体"/>
                <w:color w:val="000000"/>
                <w:sz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zh-CN"/>
              </w:rPr>
              <w:t>本项目的招标投标活动以及相关当事人须接受财政监督部门依法实施的监督。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b/>
                <w:kern w:val="0"/>
                <w:sz w:val="24"/>
              </w:rPr>
            </w:pPr>
            <w:r>
              <w:rPr>
                <w:rFonts w:hint="eastAsia" w:ascii="宋体" w:hAnsi="宋体" w:eastAsia="宋体" w:cs="宋体"/>
                <w:b/>
                <w:kern w:val="0"/>
                <w:sz w:val="24"/>
              </w:rPr>
              <w:t>26</w:t>
            </w:r>
          </w:p>
        </w:tc>
        <w:tc>
          <w:tcPr>
            <w:tcW w:w="2780" w:type="dxa"/>
            <w:gridSpan w:val="2"/>
            <w:vAlign w:val="center"/>
          </w:tcPr>
          <w:p>
            <w:pPr>
              <w:pStyle w:val="37"/>
              <w:autoSpaceDE w:val="0"/>
              <w:autoSpaceDN w:val="0"/>
              <w:spacing w:line="360" w:lineRule="auto"/>
              <w:jc w:val="center"/>
              <w:rPr>
                <w:rFonts w:ascii="宋体" w:hAnsi="宋体" w:eastAsia="宋体" w:cs="宋体"/>
                <w:kern w:val="0"/>
                <w:sz w:val="24"/>
              </w:rPr>
            </w:pPr>
            <w:r>
              <w:rPr>
                <w:rFonts w:hint="eastAsia" w:ascii="宋体" w:hAnsi="宋体" w:eastAsia="宋体" w:cs="宋体"/>
                <w:b/>
                <w:sz w:val="24"/>
              </w:rPr>
              <w:t>注：无论何种原因，即使投标人开标时携带了证书材料的原件，但在投标文件中未提供与之内容完全一致的扫描件的，评标委员会可以视同其未提供。</w:t>
            </w:r>
          </w:p>
        </w:tc>
        <w:tc>
          <w:tcPr>
            <w:tcW w:w="6318" w:type="dxa"/>
          </w:tcPr>
          <w:p>
            <w:pPr>
              <w:adjustRightInd w:val="0"/>
              <w:spacing w:line="360" w:lineRule="auto"/>
              <w:jc w:val="left"/>
              <w:rPr>
                <w:rFonts w:ascii="宋体" w:hAnsi="宋体" w:cs="宋体"/>
                <w:color w:val="000000"/>
                <w:sz w:val="24"/>
                <w:szCs w:val="24"/>
              </w:rPr>
            </w:pPr>
            <w:r>
              <w:rPr>
                <w:rFonts w:hint="eastAsia" w:ascii="宋体" w:hAnsi="宋体" w:cs="宋体"/>
                <w:color w:val="000000"/>
                <w:sz w:val="24"/>
                <w:szCs w:val="24"/>
              </w:rPr>
              <w:t xml:space="preserve">1、本项目实行网上投标，采用电子投标文件。若供应商参与投标，自行承担投标一切费用。 </w:t>
            </w:r>
          </w:p>
          <w:p>
            <w:pPr>
              <w:adjustRightInd w:val="0"/>
              <w:spacing w:line="360" w:lineRule="auto"/>
              <w:jc w:val="left"/>
              <w:rPr>
                <w:rFonts w:ascii="宋体" w:hAnsi="宋体" w:cs="宋体"/>
                <w:color w:val="000000"/>
                <w:sz w:val="24"/>
                <w:szCs w:val="24"/>
              </w:rPr>
            </w:pPr>
            <w:r>
              <w:rPr>
                <w:rFonts w:hint="eastAsia" w:ascii="宋体" w:hAnsi="宋体" w:cs="宋体"/>
                <w:color w:val="000000"/>
                <w:sz w:val="24"/>
                <w:szCs w:val="24"/>
              </w:rPr>
              <w:t xml:space="preserve">2、各供应商应在开标前应确保成为新疆维吾尔自治区政府采购网正式注册入库供应商，并完成 CA 数字证书申领。因未注册入库、未办理 CA 数字证书等原因造成无法投标或投标失败等后果由供应商自行承担。 </w:t>
            </w:r>
          </w:p>
          <w:p>
            <w:pPr>
              <w:adjustRightInd w:val="0"/>
              <w:spacing w:line="360" w:lineRule="auto"/>
              <w:jc w:val="left"/>
              <w:rPr>
                <w:rFonts w:ascii="宋体" w:hAnsi="宋体" w:cs="宋体"/>
                <w:color w:val="000000"/>
                <w:sz w:val="24"/>
                <w:szCs w:val="24"/>
              </w:rPr>
            </w:pPr>
            <w:r>
              <w:rPr>
                <w:rFonts w:hint="eastAsia" w:ascii="宋体" w:hAnsi="宋体" w:cs="宋体"/>
                <w:color w:val="000000"/>
                <w:sz w:val="24"/>
                <w:szCs w:val="24"/>
              </w:rPr>
              <w:t xml:space="preserve">3、本项目为电子招投标，供应商需要使用 CA 加密设备，有意向参与新疆区域电子开评标的供应商，请访问新疆数字证书认证中心官方（https://www.xjca.com.cn/）或下载新疆政务通 APP 自行进行申领。如需咨询，请联系新疆 CA 服务热线 0991-2819290 </w:t>
            </w:r>
          </w:p>
          <w:p>
            <w:pPr>
              <w:adjustRightInd w:val="0"/>
              <w:spacing w:line="360" w:lineRule="auto"/>
              <w:jc w:val="left"/>
              <w:rPr>
                <w:rFonts w:ascii="宋体" w:hAnsi="宋体" w:cs="宋体"/>
                <w:color w:val="000000"/>
                <w:sz w:val="24"/>
                <w:szCs w:val="24"/>
              </w:rPr>
            </w:pPr>
            <w:r>
              <w:rPr>
                <w:rFonts w:hint="eastAsia" w:ascii="宋体" w:hAnsi="宋体" w:cs="宋体"/>
                <w:color w:val="000000"/>
                <w:sz w:val="24"/>
                <w:szCs w:val="24"/>
              </w:rPr>
              <w:t xml:space="preserve">4、供应商将政采云电子交易客户端下载、安装完成后，可通过账号密码或 CA 登录客户端进行投标文件制作。在使用政采云投标客户端时，建议使用 WIN7 及以上操作系统。客户端请至新疆政府采购网（http://www.ccgp-xinjiang.gov.cn/）下载专区查看，如有问题可拨打政采云客户服务热线 95763 进行咨询。如因供应商自身原因导致在规定时间内 无法正常解密的（如：浏览器故障、未安装相关驱动、网络故障、加密 CA 与解密 CA 不一致等），采购中心/代理机构不予异常处理，视为供应商自动弃标。 </w:t>
            </w:r>
          </w:p>
          <w:p>
            <w:pPr>
              <w:adjustRightInd w:val="0"/>
              <w:spacing w:line="360" w:lineRule="auto"/>
              <w:jc w:val="left"/>
              <w:rPr>
                <w:rFonts w:ascii="宋体" w:hAnsi="宋体" w:cs="宋体"/>
                <w:color w:val="000000"/>
                <w:sz w:val="24"/>
                <w:szCs w:val="24"/>
                <w:u w:val="single"/>
              </w:rPr>
            </w:pPr>
            <w:r>
              <w:rPr>
                <w:rFonts w:hint="eastAsia" w:ascii="宋体" w:hAnsi="宋体" w:cs="宋体"/>
                <w:color w:val="000000"/>
                <w:sz w:val="24"/>
                <w:szCs w:val="24"/>
              </w:rPr>
              <w:t>5、供应商操作指南详见新疆政府采购网（http://www.ccgp-x</w:t>
            </w:r>
            <w:r>
              <w:rPr>
                <w:rFonts w:hint="eastAsia" w:ascii="宋体" w:hAnsi="宋体" w:cs="宋体"/>
                <w:color w:val="000000"/>
                <w:kern w:val="0"/>
                <w:sz w:val="24"/>
                <w:szCs w:val="24"/>
                <w:lang w:bidi="ar"/>
              </w:rPr>
              <w:t>injiang.gov.cn/）— 办事指南—操作指南。</w:t>
            </w:r>
            <w:r>
              <w:rPr>
                <w:rFonts w:hint="eastAsia" w:ascii="宋体" w:hAnsi="宋体" w:cs="宋体"/>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pStyle w:val="37"/>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备注</w:t>
            </w:r>
          </w:p>
        </w:tc>
        <w:tc>
          <w:tcPr>
            <w:tcW w:w="9098" w:type="dxa"/>
            <w:gridSpan w:val="3"/>
            <w:vAlign w:val="center"/>
          </w:tcPr>
          <w:p>
            <w:pPr>
              <w:pStyle w:val="37"/>
              <w:widowControl/>
              <w:wordWrap w:val="0"/>
              <w:spacing w:line="360" w:lineRule="auto"/>
              <w:rPr>
                <w:rFonts w:ascii="宋体" w:hAnsi="宋体" w:eastAsia="宋体" w:cs="宋体"/>
                <w:color w:val="000000"/>
                <w:sz w:val="24"/>
              </w:rPr>
            </w:pPr>
            <w:r>
              <w:rPr>
                <w:rFonts w:hint="eastAsia" w:ascii="宋体" w:hAnsi="宋体" w:eastAsia="宋体" w:cs="宋体"/>
                <w:color w:val="000000"/>
                <w:sz w:val="24"/>
              </w:rPr>
              <w:t>如果有疑问请与采购代理机构联系。</w:t>
            </w:r>
          </w:p>
        </w:tc>
      </w:tr>
      <w:bookmarkEnd w:id="55"/>
      <w:bookmarkEnd w:id="56"/>
      <w:bookmarkEnd w:id="57"/>
    </w:tbl>
    <w:p>
      <w:pPr>
        <w:pStyle w:val="37"/>
        <w:spacing w:line="360" w:lineRule="auto"/>
        <w:rPr>
          <w:rFonts w:hAnsi="宋体" w:eastAsia="宋体"/>
          <w:color w:val="000000"/>
          <w:kern w:val="0"/>
          <w:sz w:val="24"/>
        </w:rPr>
      </w:pPr>
      <w:r>
        <w:rPr>
          <w:rFonts w:hint="eastAsia" w:hAnsi="宋体" w:eastAsia="宋体"/>
          <w:color w:val="000000"/>
          <w:kern w:val="0"/>
          <w:sz w:val="24"/>
        </w:rPr>
        <w:t>注：1、本表中加☆项目若有缺失或无效，将导致投标无效且不允许在开标后补正；</w:t>
      </w:r>
    </w:p>
    <w:p>
      <w:pPr>
        <w:pStyle w:val="37"/>
        <w:spacing w:line="360" w:lineRule="auto"/>
        <w:ind w:firstLine="480" w:firstLineChars="200"/>
        <w:rPr>
          <w:rFonts w:hAnsi="宋体" w:eastAsia="宋体"/>
          <w:color w:val="000000"/>
          <w:kern w:val="0"/>
          <w:sz w:val="24"/>
        </w:rPr>
      </w:pPr>
      <w:r>
        <w:rPr>
          <w:rFonts w:hint="eastAsia" w:hAnsi="宋体" w:eastAsia="宋体"/>
          <w:color w:val="000000"/>
          <w:kern w:val="0"/>
          <w:sz w:val="24"/>
        </w:rPr>
        <w:t>2、本表内容与招标文件其它内容不一致的，应当以本表内容为准。</w:t>
      </w:r>
    </w:p>
    <w:p>
      <w:pPr>
        <w:pStyle w:val="37"/>
        <w:spacing w:line="360" w:lineRule="auto"/>
        <w:ind w:firstLine="480" w:firstLineChars="200"/>
        <w:rPr>
          <w:rFonts w:hint="eastAsia" w:hAnsi="宋体" w:eastAsia="宋体"/>
          <w:b/>
          <w:color w:val="000000"/>
          <w:szCs w:val="28"/>
          <w:lang w:eastAsia="zh-CN"/>
        </w:rPr>
        <w:sectPr>
          <w:pgSz w:w="11906" w:h="16838"/>
          <w:pgMar w:top="1247" w:right="779" w:bottom="1247" w:left="1247" w:header="851" w:footer="992" w:gutter="0"/>
          <w:cols w:space="720" w:num="1"/>
          <w:docGrid w:type="lines" w:linePitch="312" w:charSpace="0"/>
        </w:sectPr>
      </w:pPr>
      <w:r>
        <w:rPr>
          <w:rFonts w:hint="eastAsia" w:hAnsi="宋体" w:eastAsia="宋体"/>
          <w:color w:val="000000"/>
          <w:kern w:val="0"/>
          <w:sz w:val="24"/>
        </w:rPr>
        <w:t>3、本表中</w:t>
      </w:r>
      <w:r>
        <w:rPr>
          <w:rFonts w:hint="eastAsia" w:ascii="宋体" w:hAnsi="宋体" w:eastAsia="宋体" w:cs="宋体"/>
          <w:color w:val="000000"/>
          <w:kern w:val="0"/>
          <w:sz w:val="24"/>
        </w:rPr>
        <w:t>“</w:t>
      </w:r>
      <w:r>
        <w:rPr>
          <w:rFonts w:hint="eastAsia" w:ascii="宋体" w:hAnsi="宋体" w:eastAsia="宋体" w:cs="宋体"/>
          <w:color w:val="000000"/>
          <w:kern w:val="0"/>
          <w:sz w:val="24"/>
        </w:rPr>
        <w:sym w:font="Wingdings 2" w:char="00A3"/>
      </w:r>
      <w:r>
        <w:rPr>
          <w:rFonts w:hint="eastAsia" w:ascii="宋体" w:hAnsi="宋体" w:eastAsia="宋体" w:cs="宋体"/>
          <w:color w:val="000000"/>
          <w:kern w:val="0"/>
          <w:sz w:val="24"/>
        </w:rPr>
        <w:t>”标示选择使用该项，“□”标示不选择使用该项</w:t>
      </w:r>
      <w:r>
        <w:rPr>
          <w:rFonts w:hint="eastAsia" w:ascii="宋体" w:hAnsi="宋体" w:eastAsia="宋体" w:cs="宋体"/>
          <w:color w:val="000000"/>
          <w:kern w:val="0"/>
          <w:sz w:val="24"/>
          <w:lang w:eastAsia="zh-CN"/>
        </w:rPr>
        <w:t>。</w:t>
      </w:r>
    </w:p>
    <w:p>
      <w:pPr>
        <w:pStyle w:val="49"/>
        <w:ind w:firstLine="0"/>
        <w:jc w:val="both"/>
        <w:outlineLvl w:val="9"/>
      </w:pPr>
    </w:p>
    <w:p>
      <w:pPr>
        <w:pStyle w:val="385"/>
        <w:jc w:val="center"/>
        <w:rPr>
          <w:rFonts w:ascii="宋体" w:hAnsi="宋体" w:eastAsia="宋体"/>
          <w:b/>
          <w:szCs w:val="28"/>
        </w:rPr>
      </w:pPr>
      <w:bookmarkStart w:id="70" w:name="_Toc63519659"/>
      <w:bookmarkStart w:id="71" w:name="_Toc256000003"/>
      <w:r>
        <w:rPr>
          <w:rFonts w:hint="eastAsia" w:ascii="宋体" w:hAnsi="宋体" w:eastAsia="宋体"/>
          <w:b/>
          <w:szCs w:val="28"/>
        </w:rPr>
        <w:t>投标人须知正文部分</w:t>
      </w:r>
      <w:bookmarkEnd w:id="70"/>
      <w:bookmarkEnd w:id="71"/>
    </w:p>
    <w:p>
      <w:pPr>
        <w:pStyle w:val="385"/>
        <w:keepNext/>
        <w:keepLines/>
        <w:adjustRightInd w:val="0"/>
        <w:spacing w:line="360" w:lineRule="auto"/>
        <w:jc w:val="center"/>
        <w:outlineLvl w:val="2"/>
        <w:rPr>
          <w:rFonts w:ascii="宋体" w:hAnsi="宋体" w:eastAsia="宋体"/>
          <w:b/>
          <w:bCs/>
          <w:kern w:val="0"/>
          <w:sz w:val="24"/>
        </w:rPr>
      </w:pPr>
      <w:bookmarkStart w:id="72" w:name="_Toc256000004"/>
      <w:bookmarkStart w:id="73" w:name="_Toc3872"/>
      <w:bookmarkStart w:id="74" w:name="_Toc63519660"/>
      <w:r>
        <w:rPr>
          <w:rFonts w:hint="eastAsia" w:ascii="宋体" w:hAnsi="宋体" w:eastAsia="宋体"/>
          <w:b/>
          <w:bCs/>
          <w:kern w:val="0"/>
          <w:sz w:val="24"/>
        </w:rPr>
        <w:t>一、总则</w:t>
      </w:r>
      <w:bookmarkEnd w:id="72"/>
      <w:bookmarkEnd w:id="73"/>
      <w:bookmarkEnd w:id="74"/>
    </w:p>
    <w:p>
      <w:pPr>
        <w:pStyle w:val="385"/>
        <w:spacing w:line="480" w:lineRule="exact"/>
        <w:rPr>
          <w:rFonts w:ascii="宋体" w:hAnsi="宋体" w:eastAsia="宋体"/>
          <w:b/>
          <w:sz w:val="24"/>
          <w:szCs w:val="22"/>
        </w:rPr>
      </w:pPr>
      <w:r>
        <w:rPr>
          <w:rFonts w:hint="eastAsia" w:ascii="宋体" w:hAnsi="宋体" w:eastAsia="宋体"/>
          <w:b/>
          <w:sz w:val="24"/>
          <w:szCs w:val="22"/>
        </w:rPr>
        <w:t>1.说明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 本招标文件适用于本次招标采购项目的招标投标。</w:t>
      </w:r>
    </w:p>
    <w:p>
      <w:pPr>
        <w:pStyle w:val="385"/>
        <w:spacing w:line="480" w:lineRule="exact"/>
        <w:rPr>
          <w:rFonts w:ascii="宋体" w:hAnsi="宋体" w:eastAsia="宋体"/>
          <w:b/>
          <w:sz w:val="24"/>
          <w:szCs w:val="22"/>
        </w:rPr>
      </w:pPr>
      <w:r>
        <w:rPr>
          <w:rFonts w:hint="eastAsia" w:ascii="宋体" w:hAnsi="宋体" w:eastAsia="宋体"/>
          <w:b/>
          <w:sz w:val="24"/>
          <w:szCs w:val="22"/>
        </w:rPr>
        <w:t>2.定义</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2.1 “采购人”名称见本招标文件第二部分“投标人须知前附表”。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2.2 “采购代理机构”名称见本招标文件第二部分“投标人须知前附表”。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2.3 “服务”指招标文件第三部分所述投标人应该履行的承诺和义务。</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2.4 “潜在投标人”指符合招标文件各项规定的供应商。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2.5 “投标人”指符合招标文件规定并参加投标的供应商。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2.6 “投标人公章”在投标文件中指与投标人标准公章一致的投标人电子签章。</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 “电子投标文件”指编制加密的电子响应文件。</w:t>
      </w:r>
    </w:p>
    <w:p>
      <w:pPr>
        <w:pStyle w:val="385"/>
        <w:spacing w:line="480" w:lineRule="exact"/>
        <w:ind w:firstLine="482" w:firstLineChars="200"/>
        <w:rPr>
          <w:rFonts w:ascii="宋体" w:hAnsi="宋体" w:eastAsia="宋体"/>
          <w:b/>
          <w:sz w:val="24"/>
          <w:szCs w:val="22"/>
        </w:rPr>
      </w:pPr>
      <w:r>
        <w:rPr>
          <w:rFonts w:hint="eastAsia" w:ascii="宋体" w:hAnsi="宋体" w:eastAsia="宋体"/>
          <w:b/>
          <w:sz w:val="24"/>
          <w:szCs w:val="22"/>
        </w:rPr>
        <w:t>3.合格投标人的条件</w:t>
      </w:r>
    </w:p>
    <w:p>
      <w:pPr>
        <w:pStyle w:val="385"/>
        <w:spacing w:line="480" w:lineRule="exact"/>
        <w:ind w:firstLine="480" w:firstLineChars="200"/>
        <w:rPr>
          <w:rFonts w:ascii="宋体" w:hAnsi="宋体" w:eastAsia="宋体" w:cs="宋体"/>
          <w:color w:val="000000"/>
          <w:sz w:val="24"/>
        </w:rPr>
      </w:pPr>
      <w:r>
        <w:rPr>
          <w:rFonts w:hint="eastAsia" w:ascii="宋体" w:hAnsi="宋体" w:eastAsia="宋体" w:cs="宋体"/>
          <w:color w:val="000000"/>
          <w:sz w:val="24"/>
        </w:rPr>
        <w:t>3.1 具有本项目实施能力，符合、承认并承诺履行本文件各项规定的国内法人、其他组织或自然人均可参加投标。</w:t>
      </w:r>
    </w:p>
    <w:p>
      <w:pPr>
        <w:pStyle w:val="385"/>
        <w:spacing w:line="480" w:lineRule="exact"/>
        <w:ind w:firstLine="480" w:firstLineChars="200"/>
        <w:rPr>
          <w:rFonts w:ascii="宋体" w:hAnsi="宋体" w:eastAsia="宋体" w:cs="宋体"/>
          <w:color w:val="000000"/>
          <w:sz w:val="24"/>
        </w:rPr>
      </w:pPr>
      <w:r>
        <w:rPr>
          <w:rFonts w:hint="eastAsia" w:ascii="宋体" w:hAnsi="宋体" w:eastAsia="宋体" w:cs="宋体"/>
          <w:color w:val="000000"/>
          <w:sz w:val="24"/>
        </w:rPr>
        <w:t>3.2 投标人应当符合投标须知前附表中规定的下列资格条件要求；</w:t>
      </w:r>
    </w:p>
    <w:p>
      <w:pPr>
        <w:adjustRightInd w:val="0"/>
        <w:spacing w:line="48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（1）符合《中华人民共和国政府采购法》第二十二条规定，并提供下列材料：</w:t>
      </w:r>
    </w:p>
    <w:p>
      <w:pPr>
        <w:adjustRightInd w:val="0"/>
        <w:spacing w:line="48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3.2.1</w:t>
      </w:r>
      <w:r>
        <w:rPr>
          <w:rFonts w:hint="eastAsia" w:ascii="宋体" w:hAnsi="宋体" w:cs="宋体"/>
          <w:sz w:val="24"/>
          <w:szCs w:val="24"/>
        </w:rPr>
        <w:t>具有独立承担民事责任的能力；（提供合法有效的法人营业执照）；</w:t>
      </w:r>
    </w:p>
    <w:p>
      <w:pPr>
        <w:pStyle w:val="363"/>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3.2.2</w:t>
      </w:r>
      <w:r>
        <w:rPr>
          <w:rFonts w:hint="eastAsia" w:ascii="宋体" w:hAnsi="宋体" w:cs="宋体"/>
          <w:sz w:val="24"/>
          <w:szCs w:val="24"/>
        </w:rPr>
        <w:t>具有良好的商业信誉和健全的财务会计制度（提供2022年财务审计报告或2022年财务报表，新成立不足一年的公司无需提供）；</w:t>
      </w:r>
    </w:p>
    <w:p>
      <w:pPr>
        <w:pStyle w:val="363"/>
        <w:spacing w:line="360" w:lineRule="auto"/>
        <w:ind w:firstLine="480" w:firstLineChars="200"/>
      </w:pPr>
      <w:r>
        <w:rPr>
          <w:rFonts w:hint="eastAsia" w:ascii="宋体" w:hAnsi="宋体" w:cs="宋体"/>
          <w:color w:val="000000"/>
          <w:sz w:val="24"/>
          <w:szCs w:val="24"/>
        </w:rPr>
        <w:t>3.2.3</w:t>
      </w:r>
      <w:r>
        <w:rPr>
          <w:rFonts w:hint="eastAsia" w:ascii="宋体" w:hAnsi="宋体" w:cs="宋体"/>
          <w:sz w:val="24"/>
          <w:szCs w:val="24"/>
        </w:rPr>
        <w:t>具有履行合同所必需的设备和专业技术能力；（根据项目需求提供履行合同所必需的设备和专业技术能力的加盖单位公章的书面承诺函）；</w:t>
      </w:r>
    </w:p>
    <w:p>
      <w:pPr>
        <w:pStyle w:val="363"/>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3.2.4</w:t>
      </w:r>
      <w:r>
        <w:rPr>
          <w:rFonts w:hint="eastAsia" w:ascii="宋体" w:hAnsi="宋体" w:cs="宋体"/>
          <w:sz w:val="24"/>
          <w:szCs w:val="24"/>
        </w:rPr>
        <w:t>有依法缴纳税收和社会保障资金的良好记录；（提供参加本次政府采购活动前近半年内任意一个月的依法缴纳税收和社会保障资金的相关材料）；</w:t>
      </w:r>
    </w:p>
    <w:p>
      <w:pPr>
        <w:pStyle w:val="363"/>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3.2.5</w:t>
      </w:r>
      <w:r>
        <w:rPr>
          <w:rFonts w:hint="eastAsia" w:ascii="宋体" w:hAnsi="宋体" w:cs="宋体"/>
          <w:sz w:val="24"/>
          <w:szCs w:val="24"/>
        </w:rPr>
        <w:t>参加政府采购活动前三年内，在经营活动中没有重大违法记录；（提供参加本次政府采购活动前3年内在经营活动中没有重大违法记录的书面承诺函并加盖单位公章）；</w:t>
      </w:r>
    </w:p>
    <w:p>
      <w:pPr>
        <w:adjustRightInd w:val="0"/>
        <w:spacing w:line="480" w:lineRule="exact"/>
        <w:ind w:firstLine="480" w:firstLineChars="200"/>
        <w:jc w:val="left"/>
      </w:pPr>
      <w:r>
        <w:rPr>
          <w:rFonts w:hint="eastAsia" w:ascii="宋体" w:hAnsi="宋体" w:cs="宋体"/>
          <w:color w:val="000000"/>
          <w:sz w:val="24"/>
          <w:szCs w:val="24"/>
        </w:rPr>
        <w:t>3.2.6</w:t>
      </w:r>
      <w:r>
        <w:rPr>
          <w:rFonts w:hint="eastAsia" w:ascii="宋体" w:hAnsi="宋体" w:cs="宋体"/>
          <w:sz w:val="24"/>
          <w:szCs w:val="24"/>
        </w:rPr>
        <w:t>法律、行政法规规定的其他条件。根据《财政部关于在政府采购活动中查询及使用信用记录有关问题的通知》（财库﹝2016﹞125号）的要求，凡拟参加本次招标项目的投标人，如在“信用中国”网站（www.creditchina.gov.cn） 被列入失信被执行人、重大税收违法失信主体（搜索栏输入单位全称-点击总公司-截图）、中国政府采购网（http://www.ccgp.gov.cn/search/cr/）严重违法失信行为记录名单的（尚在处罚期内的），将拒绝其参加本次招标活动；</w:t>
      </w:r>
    </w:p>
    <w:p>
      <w:pPr>
        <w:spacing w:line="480" w:lineRule="exact"/>
        <w:ind w:firstLine="480" w:firstLineChars="200"/>
        <w:rPr>
          <w:rFonts w:ascii="宋体" w:hAnsi="宋体" w:cs="宋体"/>
          <w:color w:val="000000"/>
          <w:sz w:val="24"/>
          <w:szCs w:val="24"/>
          <w:lang w:val="zh-CN"/>
        </w:rPr>
      </w:pPr>
      <w:r>
        <w:rPr>
          <w:rFonts w:hint="eastAsia" w:ascii="宋体" w:hAnsi="宋体" w:cs="宋体"/>
          <w:color w:val="000000"/>
          <w:sz w:val="24"/>
          <w:szCs w:val="24"/>
        </w:rPr>
        <w:t>3.2.7本项目的特定资格要求：</w:t>
      </w:r>
      <w:r>
        <w:rPr>
          <w:rFonts w:hint="eastAsia" w:ascii="宋体" w:hAnsi="宋体" w:cs="宋体"/>
          <w:color w:val="000000"/>
          <w:kern w:val="0"/>
          <w:sz w:val="24"/>
          <w:szCs w:val="24"/>
          <w:lang w:bidi="ar"/>
        </w:rPr>
        <w:t>供应商应具备有效的城乡规划编制甲级资质和工程设计建筑行业（建筑工程）甲级及以上资质。</w:t>
      </w:r>
    </w:p>
    <w:p>
      <w:pPr>
        <w:widowControl/>
        <w:spacing w:line="480" w:lineRule="exact"/>
        <w:ind w:left="199" w:leftChars="95" w:right="-145" w:rightChars="-69" w:firstLine="240" w:firstLineChars="100"/>
        <w:jc w:val="left"/>
      </w:pPr>
      <w:r>
        <w:rPr>
          <w:rFonts w:hint="eastAsia" w:ascii="宋体" w:hAnsi="宋体" w:cs="宋体"/>
          <w:color w:val="000000"/>
          <w:sz w:val="24"/>
          <w:szCs w:val="24"/>
        </w:rPr>
        <w:t>3.2.8</w:t>
      </w:r>
      <w:r>
        <w:rPr>
          <w:rFonts w:hint="eastAsia" w:ascii="宋体" w:hAnsi="宋体" w:cs="宋体"/>
          <w:sz w:val="24"/>
          <w:szCs w:val="24"/>
        </w:rPr>
        <w:t>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385"/>
        <w:spacing w:line="480" w:lineRule="exact"/>
        <w:ind w:firstLine="480" w:firstLineChars="200"/>
        <w:rPr>
          <w:rFonts w:ascii="宋体" w:hAnsi="宋体" w:eastAsia="宋体"/>
          <w:szCs w:val="28"/>
        </w:rPr>
      </w:pPr>
      <w:r>
        <w:rPr>
          <w:rFonts w:hint="eastAsia" w:ascii="宋体" w:hAnsi="宋体" w:eastAsia="宋体"/>
          <w:sz w:val="24"/>
          <w:szCs w:val="22"/>
        </w:rPr>
        <w:t>3.3投标人之间如果存在下列情形之一的，不得同时参加同一包（标段）或者不分包（标段）的同一项目投标：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3.3.1 法定代表人为同一个人的两个及两个以上法人；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3.3.2 母公司、全资子公司及其控股公司；</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3.3.3 参加投标的其他组织之间存在特殊的利害关系的；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3.3.4 法律和行政法规规定的其他情形。</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3.4 投标人须持有《法定代表人授权委托书》。</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3.5 投标人在新疆政府采购网（http://www.ccgp-xinjiang.gov.cn）下载了</w:t>
      </w:r>
      <w:r>
        <w:rPr>
          <w:rFonts w:hint="eastAsia" w:ascii="宋体" w:hAnsi="宋体" w:eastAsia="宋体"/>
          <w:kern w:val="0"/>
          <w:sz w:val="24"/>
          <w:szCs w:val="22"/>
        </w:rPr>
        <w:t>电子采购文件</w:t>
      </w:r>
      <w:r>
        <w:rPr>
          <w:rFonts w:hint="eastAsia" w:ascii="宋体" w:hAnsi="宋体" w:eastAsia="宋体"/>
          <w:sz w:val="24"/>
          <w:szCs w:val="22"/>
        </w:rPr>
        <w:t>。</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3.6 投标人按时足额交纳投标保证金。</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 本次招标是否允许由两个以上投标人组成一个联合体以一个投标人身份共同投标，按照招标文件第二部分“投标人须知前附表”中第7项的规定。</w:t>
      </w:r>
    </w:p>
    <w:p>
      <w:pPr>
        <w:pStyle w:val="385"/>
        <w:tabs>
          <w:tab w:val="left" w:pos="1146"/>
        </w:tabs>
        <w:spacing w:line="480" w:lineRule="exact"/>
        <w:ind w:firstLine="480" w:firstLineChars="200"/>
        <w:rPr>
          <w:rFonts w:ascii="宋体" w:hAnsi="宋体" w:eastAsia="宋体"/>
          <w:sz w:val="24"/>
          <w:szCs w:val="22"/>
        </w:rPr>
      </w:pPr>
      <w:r>
        <w:rPr>
          <w:rFonts w:hint="eastAsia" w:ascii="宋体" w:hAnsi="宋体" w:eastAsia="宋体"/>
          <w:sz w:val="24"/>
          <w:szCs w:val="22"/>
        </w:rPr>
        <w:t>3.8投标人不得与采购人、采购代理机构等有利害关系。</w:t>
      </w:r>
    </w:p>
    <w:p>
      <w:pPr>
        <w:pStyle w:val="385"/>
        <w:spacing w:line="480" w:lineRule="exact"/>
        <w:rPr>
          <w:rFonts w:ascii="宋体" w:hAnsi="宋体" w:eastAsia="宋体"/>
          <w:b/>
          <w:sz w:val="24"/>
          <w:szCs w:val="22"/>
        </w:rPr>
      </w:pPr>
      <w:r>
        <w:rPr>
          <w:rFonts w:hint="eastAsia" w:ascii="宋体" w:hAnsi="宋体" w:eastAsia="宋体"/>
          <w:b/>
          <w:sz w:val="24"/>
          <w:szCs w:val="22"/>
        </w:rPr>
        <w:t>4.投标费用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4.1 投标人应承担所有与准备和参加投标有关的费用。</w:t>
      </w:r>
    </w:p>
    <w:p>
      <w:pPr>
        <w:pStyle w:val="385"/>
        <w:spacing w:line="480" w:lineRule="exact"/>
        <w:rPr>
          <w:rFonts w:ascii="宋体" w:hAnsi="宋体" w:eastAsia="宋体"/>
          <w:b/>
          <w:sz w:val="24"/>
          <w:szCs w:val="22"/>
        </w:rPr>
      </w:pPr>
      <w:r>
        <w:rPr>
          <w:rFonts w:hint="eastAsia" w:ascii="宋体" w:hAnsi="宋体" w:eastAsia="宋体"/>
          <w:b/>
          <w:sz w:val="24"/>
          <w:szCs w:val="22"/>
        </w:rPr>
        <w:t>5.纪律</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5.1 投标人的投标行为应遵守中国的有关法律、法规和规章。</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 投标人不得相互串通投标报价，不得妨碍其他投标人的公平竞争，不得损害采购人或其他投标人的合法权益，投标人不得以向采购人、评标委员会成员行贿或者采取其他不正当手段谋取中标。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 有下列情形之一的，属于投标人相互串通投标：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5.2.1.1 投标人之间协商投标报价等投标文件的实质性内容；</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5.2.1.2 投标人之间约定中标人；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5.2.1.3 投标人之间约定部分投标人放弃投标或者中标；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5.2.1.4 属于同一集团、协会、商会等组织成员的投标人按照该组织要求协同投标；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5.2.1.5 投标人之间为谋取中标或者排斥特定投标人而采取的其他联合行动。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 有下列情形之一的，视为投标人相互串通投标：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5.2.2.1 不同投标人的投标文件由同一单位或者个人编制；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5.2.2.2 不同投标人的投标文件载明的项目管理成员为同一人；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5.2.2.3 不同投标人的投标文件异常一致或者投标报价呈规律性差异；</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5.2.2.4 不同投标人的投标文件相互混装；</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5.2.2.5 不同投标人的投标保证金从同一单位或者个人的账户转出。</w:t>
      </w:r>
    </w:p>
    <w:p>
      <w:pPr>
        <w:pStyle w:val="385"/>
        <w:spacing w:line="480" w:lineRule="exact"/>
        <w:rPr>
          <w:rFonts w:ascii="宋体" w:hAnsi="宋体" w:eastAsia="宋体"/>
          <w:b/>
          <w:sz w:val="24"/>
          <w:szCs w:val="22"/>
        </w:rPr>
      </w:pPr>
      <w:r>
        <w:rPr>
          <w:rFonts w:hint="eastAsia" w:ascii="宋体" w:hAnsi="宋体" w:eastAsia="宋体"/>
          <w:b/>
          <w:sz w:val="24"/>
          <w:szCs w:val="22"/>
        </w:rPr>
        <w:t>6.通知</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6.1 对与本项目有关的通知，采购代理机构将以新疆政府采购网（http://www.ccgp-xinjiang.gov.cn）内发送变更通知及/或答疑文件的形式，向潜在投标人发出，传真和电话号码以潜在投标人的登记为准。收到通知的投标人须立即予以回复确认，但投标人未回复或采购代理机构未收到回复时，并不应当被理解为采购代理机构知道或应当知道投标人是否收到通知。因登记有误、传真线路故障或其它任何意外情形，导致所发出的通知延迟送达或无法到达投标人，采购代理机构不因此承担任何责任，有关的招标活动可以继续有效地进行。</w:t>
      </w:r>
    </w:p>
    <w:p>
      <w:pPr>
        <w:pStyle w:val="385"/>
        <w:keepNext/>
        <w:keepLines/>
        <w:adjustRightInd w:val="0"/>
        <w:spacing w:line="480" w:lineRule="exact"/>
        <w:outlineLvl w:val="2"/>
        <w:rPr>
          <w:rFonts w:ascii="宋体" w:hAnsi="宋体" w:eastAsia="宋体"/>
          <w:b/>
          <w:bCs/>
          <w:kern w:val="0"/>
          <w:sz w:val="24"/>
        </w:rPr>
      </w:pPr>
      <w:bookmarkStart w:id="75" w:name="_Toc28989"/>
      <w:bookmarkStart w:id="76" w:name="_Toc63519661"/>
      <w:bookmarkStart w:id="77" w:name="_Toc256000005"/>
      <w:r>
        <w:rPr>
          <w:rFonts w:hint="eastAsia" w:ascii="宋体" w:hAnsi="宋体" w:eastAsia="宋体"/>
          <w:b/>
          <w:bCs/>
          <w:kern w:val="0"/>
          <w:sz w:val="24"/>
        </w:rPr>
        <w:t>二、招标文件</w:t>
      </w:r>
      <w:bookmarkEnd w:id="75"/>
      <w:bookmarkEnd w:id="76"/>
      <w:bookmarkEnd w:id="77"/>
    </w:p>
    <w:p>
      <w:pPr>
        <w:pStyle w:val="385"/>
        <w:spacing w:line="480" w:lineRule="exact"/>
        <w:rPr>
          <w:rFonts w:ascii="宋体" w:hAnsi="宋体" w:eastAsia="宋体"/>
          <w:b/>
          <w:sz w:val="24"/>
          <w:szCs w:val="22"/>
        </w:rPr>
      </w:pPr>
      <w:r>
        <w:rPr>
          <w:rFonts w:hint="eastAsia" w:ascii="宋体" w:hAnsi="宋体" w:eastAsia="宋体"/>
          <w:b/>
          <w:sz w:val="24"/>
          <w:szCs w:val="22"/>
        </w:rPr>
        <w:t>7.招标文件组成</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7.1 招标文件由招标文件目录所列内容组成。</w:t>
      </w:r>
    </w:p>
    <w:p>
      <w:pPr>
        <w:pStyle w:val="385"/>
        <w:spacing w:line="480" w:lineRule="exact"/>
        <w:rPr>
          <w:rFonts w:ascii="宋体" w:hAnsi="宋体" w:eastAsia="宋体"/>
          <w:b/>
          <w:sz w:val="24"/>
          <w:szCs w:val="22"/>
        </w:rPr>
      </w:pPr>
      <w:r>
        <w:rPr>
          <w:rFonts w:hint="eastAsia" w:ascii="宋体" w:hAnsi="宋体" w:eastAsia="宋体"/>
          <w:b/>
          <w:sz w:val="24"/>
          <w:szCs w:val="22"/>
        </w:rPr>
        <w:t>8.踏勘现场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8.1 本项目是否统一组织投标人踏勘现场见招标文件第二部分“投标人须知前附表”中第9项的规定。无论是否统一组织，投标人应对供货现场和周围环境进行勘察，以获取编制投标文件所需的资料。</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8.2 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8.3 除非有特殊要求，招标文件不单独提供供货使用地的自然环境、气候条件、公用设施等情况，投标人被视为熟悉上述与履行合同有关的一切情况。</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8.4 除采购人原因外，投标人自行负责在踏勘现场中所发生的人员伤亡和财产损失。</w:t>
      </w:r>
    </w:p>
    <w:p>
      <w:pPr>
        <w:pStyle w:val="385"/>
        <w:spacing w:line="480" w:lineRule="exact"/>
        <w:rPr>
          <w:rFonts w:ascii="宋体" w:hAnsi="宋体" w:eastAsia="宋体"/>
          <w:bCs/>
          <w:sz w:val="24"/>
          <w:szCs w:val="22"/>
        </w:rPr>
      </w:pPr>
      <w:r>
        <w:rPr>
          <w:rFonts w:hint="eastAsia" w:ascii="宋体" w:hAnsi="宋体" w:eastAsia="宋体"/>
          <w:b/>
          <w:sz w:val="24"/>
          <w:szCs w:val="22"/>
        </w:rPr>
        <w:t>9.知识产权</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9.1 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9.2 投标人如欲在项目实施过程中采用自有知识成果，须在投标文件中声明，并提供相关知识产权证明文件。使用该知识成果后，投标人须提供开发接口和开发手册等技术文档。</w:t>
      </w:r>
    </w:p>
    <w:p>
      <w:pPr>
        <w:pStyle w:val="385"/>
        <w:spacing w:line="480" w:lineRule="exact"/>
        <w:rPr>
          <w:rFonts w:ascii="宋体" w:hAnsi="宋体" w:eastAsia="宋体"/>
          <w:b/>
          <w:sz w:val="24"/>
          <w:szCs w:val="22"/>
        </w:rPr>
      </w:pPr>
      <w:r>
        <w:rPr>
          <w:rFonts w:hint="eastAsia" w:ascii="宋体" w:hAnsi="宋体" w:eastAsia="宋体"/>
          <w:b/>
          <w:sz w:val="24"/>
          <w:szCs w:val="22"/>
        </w:rPr>
        <w:t>10.答疑及招标文件的澄清和修改</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10.1 投标人如果对招标文件有疑问或要求进行澄清的，应按照招标文件第二部分“投标人须知前附表”第10项规定向采购代理机构提出。投标人在规定的时间内未对招标文件提出疑问或要求澄清的，采购代理机构将视其为同意，对在“答疑接受时间”后就招标文件内容提出的疑问及澄清要求将不予受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10.2 无论出于何种原因，采购代理机构主动或出于解答投标人疑问对已发出的招标文件进行必要澄清或修改的，应当在招标文件要求提交投标文件截止时间15日前，以当面交接、邮寄、传真或电子邮件、网站披露等其中至少一种方式，向潜在投标人发出澄清、修改的补充文件。需要为此调整投标文件提交截止时间的，应当重新确定，并就变更后的投标截止时间重新发出通知。</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特殊情况下，采购代理机构发布澄清、修改文件后，征得投标人同意，可不改变投标截止时间和开标时间。</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10.3 采购代理机构一旦对招标文件作出了澄清、修改，即刻发生效力，采购代理机构有关的补充文件，将作为招标文件的组成部分，对所有现实的或潜在的投标人均具有约束力，而无论是否已经实际收到上述文件。同时，采购代理机构和投标人的权利及义务将受到新的截止期的约束。</w:t>
      </w:r>
    </w:p>
    <w:p>
      <w:pPr>
        <w:pStyle w:val="385"/>
        <w:spacing w:line="480" w:lineRule="exact"/>
        <w:ind w:firstLine="480" w:firstLineChars="200"/>
        <w:rPr>
          <w:rFonts w:ascii="宋体" w:hAnsi="宋体" w:eastAsia="宋体"/>
          <w:bCs/>
          <w:sz w:val="24"/>
          <w:szCs w:val="22"/>
        </w:rPr>
      </w:pPr>
      <w:r>
        <w:rPr>
          <w:rFonts w:hint="eastAsia" w:ascii="宋体" w:hAnsi="宋体" w:eastAsia="宋体"/>
          <w:sz w:val="24"/>
          <w:szCs w:val="22"/>
        </w:rPr>
        <w:t>10.4 采购代理机构对招标文件作出的澄清、修改在新疆政府采购网（http://www.ccgp-xinjiang.gov.cn）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r>
        <w:rPr>
          <w:rFonts w:hint="eastAsia" w:ascii="宋体" w:hAnsi="宋体" w:eastAsia="宋体"/>
          <w:bCs/>
          <w:sz w:val="24"/>
          <w:szCs w:val="22"/>
        </w:rPr>
        <w:t>采购代理机构不承担投标人未收到</w:t>
      </w:r>
      <w:r>
        <w:rPr>
          <w:rFonts w:hint="eastAsia" w:ascii="宋体" w:hAnsi="宋体" w:eastAsia="宋体"/>
          <w:sz w:val="24"/>
          <w:szCs w:val="22"/>
        </w:rPr>
        <w:t>澄清、修改等</w:t>
      </w:r>
      <w:r>
        <w:rPr>
          <w:rFonts w:hint="eastAsia" w:ascii="宋体" w:hAnsi="宋体" w:eastAsia="宋体"/>
          <w:bCs/>
          <w:sz w:val="24"/>
          <w:szCs w:val="22"/>
        </w:rPr>
        <w:t>而引起的一切后果和法律责任。</w:t>
      </w:r>
    </w:p>
    <w:p>
      <w:pPr>
        <w:pStyle w:val="385"/>
        <w:spacing w:line="480" w:lineRule="exact"/>
        <w:ind w:firstLine="480" w:firstLineChars="200"/>
        <w:rPr>
          <w:rFonts w:eastAsia="宋体"/>
          <w:sz w:val="21"/>
          <w:szCs w:val="22"/>
          <w:highlight w:val="cyan"/>
        </w:rPr>
      </w:pPr>
      <w:r>
        <w:rPr>
          <w:rFonts w:hint="eastAsia" w:ascii="宋体" w:hAnsi="宋体" w:eastAsia="宋体"/>
          <w:bCs/>
          <w:sz w:val="24"/>
          <w:szCs w:val="22"/>
        </w:rPr>
        <w:t>10.5 澄清、修改文件发出后，投标人必须使用最新的答疑、澄清文件制作电子投标文件。</w:t>
      </w:r>
    </w:p>
    <w:p>
      <w:pPr>
        <w:pStyle w:val="385"/>
        <w:keepNext/>
        <w:keepLines/>
        <w:adjustRightInd w:val="0"/>
        <w:spacing w:line="480" w:lineRule="exact"/>
        <w:outlineLvl w:val="2"/>
        <w:rPr>
          <w:rFonts w:ascii="宋体" w:hAnsi="宋体" w:eastAsia="宋体"/>
          <w:b/>
          <w:bCs/>
          <w:kern w:val="0"/>
          <w:sz w:val="24"/>
          <w:szCs w:val="32"/>
        </w:rPr>
      </w:pPr>
      <w:bookmarkStart w:id="78" w:name="_Toc25719"/>
      <w:bookmarkStart w:id="79" w:name="_Toc256000006"/>
      <w:bookmarkStart w:id="80" w:name="_Toc63519662"/>
      <w:r>
        <w:rPr>
          <w:rFonts w:hint="eastAsia" w:ascii="宋体" w:hAnsi="宋体" w:eastAsia="宋体"/>
          <w:b/>
          <w:bCs/>
          <w:kern w:val="0"/>
          <w:sz w:val="24"/>
          <w:szCs w:val="32"/>
        </w:rPr>
        <w:t>三、投标文件</w:t>
      </w:r>
      <w:bookmarkEnd w:id="78"/>
      <w:bookmarkEnd w:id="79"/>
      <w:bookmarkEnd w:id="80"/>
    </w:p>
    <w:p>
      <w:pPr>
        <w:pStyle w:val="385"/>
        <w:spacing w:line="480" w:lineRule="exact"/>
        <w:rPr>
          <w:rFonts w:ascii="宋体" w:hAnsi="宋体" w:eastAsia="宋体"/>
          <w:b/>
          <w:sz w:val="24"/>
          <w:szCs w:val="22"/>
        </w:rPr>
      </w:pPr>
      <w:r>
        <w:rPr>
          <w:rFonts w:hint="eastAsia" w:ascii="宋体" w:hAnsi="宋体" w:eastAsia="宋体"/>
          <w:b/>
          <w:sz w:val="24"/>
          <w:szCs w:val="22"/>
        </w:rPr>
        <w:t>11.投标文件的语言及计量单位</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11.1 投标人提交的投标文件（包括技术文件和资料、图纸中的说明）以及投标人与采购代理机构就有关投标的所有来往函电均应使用中文简体字。</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11.2 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11.3 除非招标文件另有规定，投标文件所使用的计量单位，应使用国家法定计量单位。</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11.4 对违反上述规定情形的，评标委员会有权要求投标人限期提供相应文件或决定对其投标予以拒绝。</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11.5 电报、电话、传真形式的投标概不接受。投标人的投标文件一律不予退还。</w:t>
      </w:r>
    </w:p>
    <w:p>
      <w:pPr>
        <w:pStyle w:val="385"/>
        <w:spacing w:line="480" w:lineRule="exact"/>
        <w:rPr>
          <w:rFonts w:ascii="宋体" w:hAnsi="宋体" w:eastAsia="宋体"/>
          <w:b/>
          <w:sz w:val="24"/>
          <w:szCs w:val="22"/>
        </w:rPr>
      </w:pPr>
      <w:r>
        <w:rPr>
          <w:rFonts w:hint="eastAsia" w:ascii="宋体" w:hAnsi="宋体" w:eastAsia="宋体"/>
          <w:b/>
          <w:sz w:val="24"/>
          <w:szCs w:val="22"/>
        </w:rPr>
        <w:t>12.投标文件组成及编制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12.1 投标文件分为资格审查资料、商务文件、技术文件。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商务文件指投标人提交的证明其有资格参加投标和中标后有能力履行合同的文件。技术和服务文件指投标人提交的能够证明其提供的货物及服务符合招标文件规定的文件。本次招标，投标人须按招标文件第二部分“投标人须知前附表”中第6项规定提交资格审查资料、商务文件、技术文件和服务文件，若有缺失或无效，将导致投标被拒绝且不允许在开标后补正。</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12.2 投标人递交的投标文件及相关要求按照招标文件第二部分“投标人须知前附表”中第13、14项的规定。</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12.2.1 电子投标文件的编制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12.2.1.1 电子投标文件按招标文件要求编制。</w:t>
      </w:r>
      <w:r>
        <w:rPr>
          <w:rFonts w:hint="eastAsia" w:ascii="宋体" w:hAnsi="宋体" w:eastAsia="宋体"/>
          <w:sz w:val="24"/>
          <w:szCs w:val="22"/>
          <w:highlight w:val="white"/>
        </w:rPr>
        <w:t>投标文件制作时，按照招标文件中明确的投标文件目录和格式进行编制，保证目录清晰、内容完整。</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12.2.1.2 电子投标文件须投标人盖单位公章以及法人签字盖章。</w:t>
      </w:r>
    </w:p>
    <w:p>
      <w:pPr>
        <w:pStyle w:val="385"/>
        <w:spacing w:line="480" w:lineRule="exact"/>
        <w:ind w:firstLine="480" w:firstLineChars="200"/>
        <w:rPr>
          <w:rFonts w:ascii="宋体" w:hAnsi="宋体" w:eastAsia="宋体"/>
          <w:sz w:val="24"/>
          <w:szCs w:val="22"/>
          <w:highlight w:val="white"/>
        </w:rPr>
      </w:pPr>
      <w:r>
        <w:rPr>
          <w:rFonts w:hint="eastAsia" w:ascii="宋体" w:hAnsi="宋体" w:eastAsia="宋体"/>
          <w:sz w:val="24"/>
          <w:szCs w:val="22"/>
          <w:highlight w:val="white"/>
        </w:rPr>
        <w:t>1</w:t>
      </w:r>
      <w:r>
        <w:rPr>
          <w:rFonts w:hint="eastAsia" w:ascii="宋体" w:hAnsi="宋体" w:eastAsia="宋体"/>
          <w:sz w:val="24"/>
          <w:szCs w:val="22"/>
        </w:rPr>
        <w:t xml:space="preserve">2.2.1.3 </w:t>
      </w:r>
      <w:r>
        <w:rPr>
          <w:rFonts w:hint="eastAsia" w:ascii="宋体" w:hAnsi="宋体" w:eastAsia="宋体"/>
          <w:sz w:val="24"/>
          <w:szCs w:val="22"/>
          <w:highlight w:val="white"/>
        </w:rPr>
        <w:t>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pPr>
        <w:pStyle w:val="385"/>
        <w:spacing w:line="480" w:lineRule="exact"/>
        <w:rPr>
          <w:rFonts w:ascii="宋体" w:hAnsi="宋体" w:eastAsia="宋体"/>
          <w:b/>
          <w:sz w:val="24"/>
          <w:szCs w:val="22"/>
        </w:rPr>
      </w:pPr>
      <w:r>
        <w:rPr>
          <w:rFonts w:hint="eastAsia" w:ascii="宋体" w:hAnsi="宋体" w:eastAsia="宋体"/>
          <w:b/>
          <w:sz w:val="24"/>
          <w:szCs w:val="22"/>
        </w:rPr>
        <w:t>13.投标报价</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13.1 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13.2 投标人投报多包的，须对每包分别制作投标文件并报价</w:t>
      </w:r>
      <w:r>
        <w:rPr>
          <w:rFonts w:hint="eastAsia" w:ascii="宋体" w:hAnsi="宋体" w:eastAsia="宋体"/>
          <w:b/>
          <w:sz w:val="24"/>
          <w:szCs w:val="22"/>
        </w:rPr>
        <w:t>。</w:t>
      </w:r>
    </w:p>
    <w:p>
      <w:pPr>
        <w:pStyle w:val="385"/>
        <w:spacing w:line="480" w:lineRule="exact"/>
        <w:ind w:firstLine="480" w:firstLineChars="200"/>
        <w:rPr>
          <w:rFonts w:ascii="宋体" w:hAnsi="宋体" w:eastAsia="宋体"/>
          <w:b/>
          <w:sz w:val="24"/>
          <w:szCs w:val="22"/>
        </w:rPr>
      </w:pPr>
      <w:r>
        <w:rPr>
          <w:rFonts w:hint="eastAsia" w:ascii="宋体" w:hAnsi="宋体" w:eastAsia="宋体"/>
          <w:sz w:val="24"/>
          <w:szCs w:val="22"/>
        </w:rPr>
        <w:t>13.3 除非招标文件另有规定，不接受可选择或可调整的投标方案和报价，任何有选择的或可调整的投标方案和报价将被视为非响应性投标而被拒绝。</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13.4 本项目是否接受进口产品按照招标文件第二部分“投标人须知前附表中”中第6项的规定。</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13.5 本项目是否允许投标人将项目的非主体、非关键性工作交由他人完成按照招标文件第二部分“投标人须知前附表”中第8项的规定。如允许，投标人根据采购项目的实际情况，拟在中标后将中标项目的非主体、非关键性工作交由他人完成，须在技术文件中载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13.6 投标人对投标报价若有说明应在投标文件中显著处注明。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除政策性文件规定以外，投标人所报价格在合同实施期间不因市场变化因素而变动。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13.7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13.8 最低报价不能作为中标的保证。</w:t>
      </w:r>
    </w:p>
    <w:p>
      <w:pPr>
        <w:pStyle w:val="385"/>
        <w:spacing w:line="480" w:lineRule="exact"/>
        <w:rPr>
          <w:rFonts w:ascii="宋体" w:hAnsi="宋体" w:eastAsia="宋体"/>
          <w:b/>
          <w:sz w:val="24"/>
          <w:szCs w:val="22"/>
        </w:rPr>
      </w:pPr>
      <w:r>
        <w:rPr>
          <w:rFonts w:hint="eastAsia" w:ascii="宋体" w:hAnsi="宋体" w:eastAsia="宋体"/>
          <w:b/>
          <w:sz w:val="24"/>
          <w:szCs w:val="22"/>
        </w:rPr>
        <w:t>14.投标有效期</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14.1 本项目的投标有效期按照招标文件第二部分“投标人须知前附表中”中第12项的规定。投标有效期自开标之日起计算，短于规定期限的投标将按无效投标处理。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14.2 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投标文件的其他内容。</w:t>
      </w:r>
    </w:p>
    <w:p>
      <w:pPr>
        <w:pStyle w:val="385"/>
        <w:spacing w:line="480" w:lineRule="exact"/>
        <w:rPr>
          <w:rFonts w:ascii="宋体" w:hAnsi="宋体" w:eastAsia="宋体"/>
          <w:b/>
          <w:sz w:val="24"/>
          <w:szCs w:val="22"/>
        </w:rPr>
      </w:pPr>
      <w:r>
        <w:rPr>
          <w:rFonts w:hint="eastAsia" w:ascii="宋体" w:hAnsi="宋体" w:eastAsia="宋体"/>
          <w:b/>
          <w:sz w:val="24"/>
          <w:szCs w:val="22"/>
        </w:rPr>
        <w:t>15.投标内容填写说明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15.1 投标人应详细阅读招标文件的全部内容。投标文件须对招标文件中的内容作出实质性和完整的响应，如果投标文件填报的内容不详，或没有提供招标文件中所要求的全部资料及数据，将可能导致投标被拒绝。</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15.2 投标文件须严格按照招标文件第六部分规定的格式提交，并按规定的统一格式逐项填写；无相应内容可填的项，应填写“无”、“未测试”、“没有相应指标”等明确的回答文字。由于编排混乱导致投标文件被误读或查找不到，其责任由投标人承担。</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15.3 开标一览表为在开标仪式上唱标的内容，要求按格式统一填写，不得自行增减内容。</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15.4 投标人必须保证投标文件所提供的全部资料真实可靠，并接受采购代理机构或评标委员会对其中任何资料进一步审查的要求。</w:t>
      </w:r>
    </w:p>
    <w:p>
      <w:pPr>
        <w:pStyle w:val="385"/>
        <w:spacing w:line="480" w:lineRule="exact"/>
        <w:ind w:firstLine="480" w:firstLineChars="200"/>
        <w:rPr>
          <w:rFonts w:ascii="宋体" w:hAnsi="宋体" w:eastAsia="宋体"/>
          <w:b/>
          <w:sz w:val="24"/>
          <w:szCs w:val="22"/>
        </w:rPr>
      </w:pPr>
      <w:r>
        <w:rPr>
          <w:rFonts w:hint="eastAsia" w:ascii="宋体" w:hAnsi="宋体" w:eastAsia="宋体"/>
          <w:sz w:val="24"/>
          <w:szCs w:val="22"/>
        </w:rPr>
        <w:t>15.5 投标人在投标文件及相关文件的签订、履行、通知等事项的文件中的单位盖章、印章、公章等处均指与当事人全称相一致的标准公章，不得使用其他形式（如带有“专用章”等字样的印章）。不符合本条规定的按无效投标处理。</w:t>
      </w:r>
    </w:p>
    <w:p>
      <w:pPr>
        <w:pStyle w:val="385"/>
        <w:keepNext/>
        <w:keepLines/>
        <w:adjustRightInd w:val="0"/>
        <w:spacing w:line="480" w:lineRule="exact"/>
        <w:outlineLvl w:val="2"/>
        <w:rPr>
          <w:rFonts w:ascii="宋体" w:hAnsi="宋体" w:eastAsia="宋体"/>
          <w:b/>
          <w:bCs/>
          <w:kern w:val="0"/>
          <w:sz w:val="24"/>
          <w:szCs w:val="32"/>
        </w:rPr>
      </w:pPr>
      <w:bookmarkStart w:id="81" w:name="_Toc256000007"/>
      <w:bookmarkStart w:id="82" w:name="_Toc21578"/>
      <w:bookmarkStart w:id="83" w:name="_Toc63519663"/>
      <w:r>
        <w:rPr>
          <w:rFonts w:hint="eastAsia" w:ascii="宋体" w:hAnsi="宋体" w:eastAsia="宋体"/>
          <w:b/>
          <w:bCs/>
          <w:kern w:val="0"/>
          <w:sz w:val="24"/>
          <w:szCs w:val="32"/>
        </w:rPr>
        <w:t>四、投标保证金</w:t>
      </w:r>
      <w:bookmarkEnd w:id="81"/>
      <w:bookmarkEnd w:id="82"/>
      <w:bookmarkEnd w:id="83"/>
    </w:p>
    <w:p>
      <w:pPr>
        <w:pStyle w:val="385"/>
        <w:spacing w:line="480" w:lineRule="exact"/>
        <w:rPr>
          <w:rFonts w:ascii="宋体" w:hAnsi="宋体" w:eastAsia="宋体"/>
          <w:b/>
          <w:sz w:val="24"/>
          <w:szCs w:val="22"/>
        </w:rPr>
      </w:pPr>
      <w:r>
        <w:rPr>
          <w:rFonts w:hint="eastAsia" w:ascii="宋体" w:hAnsi="宋体" w:eastAsia="宋体"/>
          <w:b/>
          <w:sz w:val="24"/>
          <w:szCs w:val="22"/>
        </w:rPr>
        <w:t xml:space="preserve">16.投标保证金 </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16.1 投标人应按照招标文件第二部分“投标人须知前附表”中第17项的规定交纳。投标保证金须于到账截止时间前到帐，并经采购代理机构确认。</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16.2 未按要求提交投标保证金的，将被视为无效投标。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16.3 未中标的投标人的投标保证金在中标通知书发出之日起5个工作日内退还；中标人的投标保证金将在合同生效后5个工作日内退还。</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16.4 投标保证金退还一律采用网上银行转帐方式退还至投标人的汇款帐户，资金原路返回。</w:t>
      </w:r>
    </w:p>
    <w:p>
      <w:pPr>
        <w:pStyle w:val="385"/>
        <w:keepNext/>
        <w:keepLines/>
        <w:adjustRightInd w:val="0"/>
        <w:spacing w:line="480" w:lineRule="exact"/>
        <w:outlineLvl w:val="2"/>
        <w:rPr>
          <w:rFonts w:ascii="宋体" w:hAnsi="宋体" w:eastAsia="宋体"/>
          <w:b/>
          <w:bCs/>
          <w:kern w:val="0"/>
          <w:sz w:val="24"/>
          <w:szCs w:val="32"/>
        </w:rPr>
      </w:pPr>
      <w:bookmarkStart w:id="84" w:name="_Toc63519664"/>
      <w:bookmarkStart w:id="85" w:name="_Toc256000008"/>
      <w:bookmarkStart w:id="86" w:name="_Toc9663"/>
      <w:r>
        <w:rPr>
          <w:rFonts w:hint="eastAsia" w:ascii="宋体" w:hAnsi="宋体" w:eastAsia="宋体"/>
          <w:b/>
          <w:bCs/>
          <w:kern w:val="0"/>
          <w:sz w:val="24"/>
          <w:szCs w:val="32"/>
        </w:rPr>
        <w:t>五、投标文件的递交</w:t>
      </w:r>
      <w:bookmarkEnd w:id="84"/>
      <w:bookmarkEnd w:id="85"/>
      <w:bookmarkEnd w:id="86"/>
    </w:p>
    <w:p>
      <w:pPr>
        <w:pStyle w:val="385"/>
        <w:spacing w:line="480" w:lineRule="exact"/>
        <w:rPr>
          <w:rFonts w:ascii="宋体" w:hAnsi="宋体" w:eastAsia="宋体"/>
          <w:b/>
          <w:sz w:val="24"/>
          <w:szCs w:val="22"/>
        </w:rPr>
      </w:pPr>
      <w:r>
        <w:rPr>
          <w:rFonts w:hint="eastAsia" w:ascii="宋体" w:hAnsi="宋体" w:eastAsia="宋体"/>
          <w:b/>
          <w:sz w:val="24"/>
          <w:szCs w:val="22"/>
        </w:rPr>
        <w:t>17.投标文件的密封和标记</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17.1 投标人应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投标截止时间以招标文件时间为准，逾期系统将自动关闭，未完成上传的投标文件视为逾期送达，将被拒绝。</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17.2 投标人认为有必要提交的其他资料请于投标截止时间前一并提交。</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17.3 如果投标人未按上述要求密封及加写标记，采购代理机构对投标文件的误投和提前启封概不负责。对由此造成提前开封的投标文件，采购代理机构有权予以拒绝，并退回投标人。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17.4是否采用不见面开标方式详见投标人须知前附表。</w:t>
      </w:r>
    </w:p>
    <w:p>
      <w:pPr>
        <w:pStyle w:val="385"/>
        <w:spacing w:line="480" w:lineRule="exact"/>
        <w:rPr>
          <w:rFonts w:ascii="宋体" w:hAnsi="宋体" w:eastAsia="宋体"/>
          <w:b/>
          <w:sz w:val="24"/>
          <w:szCs w:val="22"/>
        </w:rPr>
      </w:pPr>
      <w:r>
        <w:rPr>
          <w:rFonts w:hint="eastAsia" w:ascii="宋体" w:hAnsi="宋体" w:eastAsia="宋体"/>
          <w:b/>
          <w:sz w:val="24"/>
          <w:szCs w:val="22"/>
        </w:rPr>
        <w:t>18.投标文件的递交</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18.1 投标人应当在招标文件要求提交投标文件的截止时间前网上投标。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18.2 在招标文件要求提交投标文件的截止时间之后送达的投标文件，为无效投标文件，采购代理机构将拒绝接收。</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18.3是否采用不见面开标详见投标人须知前附表，若项目采用不见面开标。只需将</w:t>
      </w:r>
      <w:r>
        <w:rPr>
          <w:rFonts w:ascii="宋体" w:hAnsi="宋体" w:eastAsia="宋体"/>
          <w:sz w:val="24"/>
          <w:szCs w:val="22"/>
        </w:rPr>
        <w:t>加密电子投标文件在投标截止时间前通过</w:t>
      </w:r>
      <w:r>
        <w:rPr>
          <w:rFonts w:hint="eastAsia" w:ascii="宋体" w:hAnsi="宋体" w:eastAsia="宋体"/>
          <w:sz w:val="24"/>
          <w:szCs w:val="22"/>
        </w:rPr>
        <w:t>新疆政府采购网（http://www.ccgp-xinjiang.gov.cn）</w:t>
      </w:r>
      <w:r>
        <w:rPr>
          <w:rFonts w:ascii="宋体" w:hAnsi="宋体" w:eastAsia="宋体"/>
          <w:sz w:val="24"/>
          <w:szCs w:val="22"/>
        </w:rPr>
        <w:t>上传完成。逾期上传的或者未上传</w:t>
      </w:r>
      <w:r>
        <w:rPr>
          <w:rFonts w:hint="eastAsia" w:ascii="宋体" w:hAnsi="宋体" w:eastAsia="宋体"/>
          <w:sz w:val="24"/>
          <w:szCs w:val="22"/>
        </w:rPr>
        <w:t>到平台</w:t>
      </w:r>
      <w:r>
        <w:rPr>
          <w:rFonts w:ascii="宋体" w:hAnsi="宋体" w:eastAsia="宋体"/>
          <w:sz w:val="24"/>
          <w:szCs w:val="22"/>
        </w:rPr>
        <w:t>的投标文件，</w:t>
      </w:r>
      <w:r>
        <w:rPr>
          <w:rFonts w:hint="eastAsia" w:ascii="宋体" w:hAnsi="宋体" w:eastAsia="宋体"/>
          <w:sz w:val="24"/>
          <w:szCs w:val="22"/>
        </w:rPr>
        <w:t>采购人</w:t>
      </w:r>
      <w:r>
        <w:rPr>
          <w:rFonts w:ascii="宋体" w:hAnsi="宋体" w:eastAsia="宋体"/>
          <w:sz w:val="24"/>
          <w:szCs w:val="22"/>
        </w:rPr>
        <w:t>不予受理。</w:t>
      </w:r>
    </w:p>
    <w:p>
      <w:pPr>
        <w:pStyle w:val="385"/>
        <w:spacing w:line="480" w:lineRule="exact"/>
        <w:rPr>
          <w:rFonts w:ascii="宋体" w:hAnsi="宋体" w:eastAsia="宋体"/>
          <w:b/>
          <w:sz w:val="24"/>
          <w:szCs w:val="22"/>
        </w:rPr>
      </w:pPr>
      <w:r>
        <w:rPr>
          <w:rFonts w:hint="eastAsia" w:ascii="宋体" w:hAnsi="宋体" w:eastAsia="宋体"/>
          <w:b/>
          <w:sz w:val="24"/>
          <w:szCs w:val="22"/>
        </w:rPr>
        <w:t>19.投标文件的修改和撤回</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19.1投标人在递交投标文件后，可以修改或撤回其投标，但这种修改和撤回，必须在规定的投标截止时间前。在投标截止时间后，投标人不得要求修改或撤回其投标文件。</w:t>
      </w:r>
    </w:p>
    <w:p>
      <w:pPr>
        <w:pStyle w:val="385"/>
        <w:keepNext/>
        <w:keepLines/>
        <w:adjustRightInd w:val="0"/>
        <w:spacing w:line="480" w:lineRule="exact"/>
        <w:outlineLvl w:val="2"/>
        <w:rPr>
          <w:rFonts w:ascii="宋体" w:hAnsi="宋体" w:eastAsia="宋体"/>
          <w:b/>
          <w:bCs/>
          <w:kern w:val="0"/>
          <w:sz w:val="24"/>
          <w:szCs w:val="32"/>
        </w:rPr>
      </w:pPr>
      <w:bookmarkStart w:id="87" w:name="_Toc63519665"/>
      <w:bookmarkStart w:id="88" w:name="_Toc256000009"/>
      <w:bookmarkStart w:id="89" w:name="_Toc5702"/>
      <w:r>
        <w:rPr>
          <w:rFonts w:hint="eastAsia" w:ascii="宋体" w:hAnsi="宋体" w:eastAsia="宋体"/>
          <w:b/>
          <w:bCs/>
          <w:kern w:val="0"/>
          <w:sz w:val="24"/>
          <w:szCs w:val="32"/>
        </w:rPr>
        <w:t>六、开标</w:t>
      </w:r>
      <w:bookmarkEnd w:id="87"/>
      <w:bookmarkEnd w:id="88"/>
      <w:bookmarkEnd w:id="89"/>
    </w:p>
    <w:p>
      <w:pPr>
        <w:pStyle w:val="385"/>
        <w:spacing w:line="480" w:lineRule="exact"/>
        <w:rPr>
          <w:rFonts w:ascii="宋体" w:hAnsi="宋体" w:eastAsia="宋体"/>
          <w:b/>
          <w:sz w:val="24"/>
          <w:szCs w:val="22"/>
        </w:rPr>
      </w:pPr>
      <w:r>
        <w:rPr>
          <w:rFonts w:hint="eastAsia" w:ascii="宋体" w:hAnsi="宋体" w:eastAsia="宋体"/>
          <w:b/>
          <w:sz w:val="24"/>
          <w:szCs w:val="22"/>
        </w:rPr>
        <w:t>20.开标</w:t>
      </w:r>
    </w:p>
    <w:p>
      <w:pPr>
        <w:pStyle w:val="385"/>
        <w:spacing w:line="480" w:lineRule="exact"/>
        <w:ind w:firstLine="482" w:firstLineChars="200"/>
        <w:rPr>
          <w:rFonts w:ascii="宋体" w:hAnsi="宋体"/>
          <w:b/>
          <w:sz w:val="24"/>
        </w:rPr>
      </w:pPr>
      <w:r>
        <w:rPr>
          <w:rFonts w:hint="eastAsia" w:ascii="宋体" w:hAnsi="宋体" w:eastAsia="宋体"/>
          <w:b/>
          <w:sz w:val="24"/>
          <w:highlight w:val="white"/>
        </w:rPr>
        <w:t>A</w:t>
      </w:r>
      <w:r>
        <w:rPr>
          <w:rFonts w:hint="eastAsia" w:ascii="宋体" w:hAnsi="宋体"/>
          <w:b/>
          <w:sz w:val="24"/>
        </w:rPr>
        <w:t>采用不见面开标方式（是否采用详见投标人须知前附表）</w:t>
      </w:r>
    </w:p>
    <w:p>
      <w:pPr>
        <w:pStyle w:val="374"/>
        <w:spacing w:line="480" w:lineRule="exact"/>
        <w:ind w:firstLine="480" w:firstLineChars="200"/>
        <w:rPr>
          <w:rFonts w:ascii="宋体" w:hAnsi="宋体"/>
          <w:sz w:val="24"/>
        </w:rPr>
      </w:pPr>
      <w:r>
        <w:rPr>
          <w:rFonts w:hint="eastAsia" w:ascii="宋体" w:hAnsi="宋体"/>
          <w:sz w:val="24"/>
        </w:rPr>
        <w:t>招标人在规定的投标截止时间（开标时间）和投标人须知前附表规定的地点开标。投标人的法定代表人或其委托代理人无需到达开标现场，仅需在任意地点通过新疆政府采购网（http://www.ccgp-xinjiang.gov.cn）不见面开标系统，使用CA密钥完成远程解密、提疑澄清、开标唱标、结果公布等交互环节。</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pPr>
        <w:pStyle w:val="385"/>
        <w:keepNext/>
        <w:keepLines/>
        <w:adjustRightInd w:val="0"/>
        <w:spacing w:line="480" w:lineRule="exact"/>
        <w:outlineLvl w:val="2"/>
        <w:rPr>
          <w:rFonts w:ascii="宋体" w:hAnsi="宋体" w:eastAsia="宋体"/>
          <w:b/>
          <w:bCs/>
          <w:kern w:val="0"/>
          <w:sz w:val="24"/>
          <w:szCs w:val="32"/>
        </w:rPr>
      </w:pPr>
      <w:bookmarkStart w:id="90" w:name="_Toc32495"/>
      <w:bookmarkStart w:id="91" w:name="_Toc256000010"/>
      <w:bookmarkStart w:id="92" w:name="_Toc63519666"/>
      <w:r>
        <w:rPr>
          <w:rFonts w:hint="eastAsia" w:ascii="宋体" w:hAnsi="宋体" w:eastAsia="宋体"/>
          <w:b/>
          <w:bCs/>
          <w:kern w:val="0"/>
          <w:sz w:val="24"/>
          <w:szCs w:val="32"/>
        </w:rPr>
        <w:t>七、评标步骤和要求</w:t>
      </w:r>
      <w:bookmarkEnd w:id="90"/>
      <w:bookmarkEnd w:id="91"/>
      <w:bookmarkEnd w:id="92"/>
    </w:p>
    <w:p>
      <w:pPr>
        <w:pStyle w:val="385"/>
        <w:spacing w:line="480" w:lineRule="exact"/>
        <w:rPr>
          <w:rFonts w:ascii="宋体" w:hAnsi="宋体" w:eastAsia="宋体"/>
          <w:b/>
          <w:sz w:val="24"/>
          <w:szCs w:val="22"/>
        </w:rPr>
      </w:pPr>
      <w:r>
        <w:rPr>
          <w:rFonts w:hint="eastAsia" w:ascii="宋体" w:hAnsi="宋体" w:eastAsia="宋体"/>
          <w:b/>
          <w:sz w:val="24"/>
          <w:szCs w:val="22"/>
        </w:rPr>
        <w:t>21.组建评标委员会</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21.1 采购代理机构根据有关法律法规和本招标文件的规定，结合招标项目的特点组建评标委员会，对投标文件进行评估和比较。评标委员会由五人以上单数组成，其中经济、技术等方面的专家不少于三分之二。</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21.2 参与过本项目的论证专家不得作为评标专家参加评标。</w:t>
      </w:r>
    </w:p>
    <w:p>
      <w:pPr>
        <w:pStyle w:val="385"/>
        <w:spacing w:line="480" w:lineRule="exact"/>
        <w:rPr>
          <w:rFonts w:ascii="宋体" w:hAnsi="宋体" w:eastAsia="宋体"/>
          <w:b/>
          <w:sz w:val="24"/>
          <w:szCs w:val="22"/>
        </w:rPr>
      </w:pPr>
      <w:r>
        <w:rPr>
          <w:rFonts w:hint="eastAsia" w:ascii="宋体" w:hAnsi="宋体" w:eastAsia="宋体"/>
          <w:b/>
          <w:sz w:val="24"/>
          <w:szCs w:val="22"/>
        </w:rPr>
        <w:t>22、资格审查</w:t>
      </w:r>
    </w:p>
    <w:p>
      <w:pPr>
        <w:pStyle w:val="385"/>
        <w:spacing w:line="480" w:lineRule="exact"/>
        <w:ind w:firstLine="480" w:firstLineChars="200"/>
        <w:rPr>
          <w:rFonts w:ascii="宋体" w:hAnsi="宋体" w:eastAsia="宋体"/>
          <w:sz w:val="32"/>
          <w:szCs w:val="22"/>
        </w:rPr>
      </w:pPr>
      <w:r>
        <w:rPr>
          <w:rFonts w:hint="eastAsia" w:ascii="宋体" w:hAnsi="宋体" w:eastAsia="宋体"/>
          <w:color w:val="000000"/>
          <w:sz w:val="24"/>
          <w:szCs w:val="21"/>
        </w:rPr>
        <w:t>22.1公开招标采购项目开标结束后，采购人或者采购代理机构应当依法对投标人的资格进行审查。合格投标人不足3家的，不得评标。</w:t>
      </w:r>
    </w:p>
    <w:p>
      <w:pPr>
        <w:pStyle w:val="385"/>
        <w:spacing w:line="480" w:lineRule="exact"/>
        <w:rPr>
          <w:rFonts w:ascii="宋体" w:hAnsi="宋体" w:eastAsia="宋体"/>
          <w:b/>
          <w:sz w:val="24"/>
          <w:szCs w:val="22"/>
        </w:rPr>
      </w:pPr>
      <w:r>
        <w:rPr>
          <w:rFonts w:hint="eastAsia" w:ascii="宋体" w:hAnsi="宋体" w:eastAsia="宋体"/>
          <w:b/>
          <w:sz w:val="24"/>
          <w:szCs w:val="22"/>
        </w:rPr>
        <w:t>23.初步评审</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 xml:space="preserve">23.1 评标委员会审查投标文件是否符合招标文件的基本要求：内容是否完整、资格证明文件是否合格、文件签署是否齐全、有无计算错误等。 </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23.2 评标委员会审查投标文件是否实质上响应招标文件的要求。</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1）实质上响应的投标是指与招标文件上的条款、条件和规格相符，没有重大偏离或保留，否则将视为无效投标。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重大偏离或保留系指投标货物的质量、数量和交付日期等明显不能满足招标文件的要求，或者实质上与招标文件不一致，纠正这些偏离或保留将对其他实质上响应要求的投标人的竞争地位产生不公正的影响。包括但不限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A、招标文件第二部分“投标人须知前附表”第6条“投标文件组成”部分中，带“☆”号部分的证明文件不全或无效的；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B、投标文件未按招标文件的规定签章的；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C、未按投标文件份数要求提交投标文件的；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D、招标文件带“☆”号部分任意一款不满足要求的；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E、报价超过项目预算或经评标委员会认定低于成本的；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F、投标有效期不足的；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G、联合体投标文件未附联合体投标协议书的；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H、不符合招标文件中有关分包规定的；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I、有串通投标或弄虚作假或有其他违法行为的；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J、投标人递交的电子投标文件（加密电子投标文件和未加密电子投标文件）均无法满足正常开标、评标使用功能的；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K、投标人名称或组织结构与领取采购文件时不一致且无有效变更证明的；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L、不符合招标文件中规定的其他实质性要求。</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23.3 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 xml:space="preserve">23.4 初步评审中，对明显的文字和计算错误按下述原则处理，若出现相互矛盾之处，应以排列在先的原则为准优先处理：        </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1）投标文件中的开标一览表与明细表内容不一致的，以开标一览表为准。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2）如果以文字表示的数据与数字表示的有差别，以文字为准修正数字。如果大写金额和小写金额不一致的，以大写金额为准；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3）如果单价乘以数量不等于总价，以单价为准修正总价，但单价金额小数点有明显错位的，应以总价为准，并修改单价。如果明细价格相加不等于汇总价格，以明细价格为准。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4）调整后的数据对投标人具有约束力，投标人不同意以上修正，其投标将被拒绝。</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23.5 评标委员会对投标文件的判定，只依据投标文件内容本身，不依据其他外来证明。</w:t>
      </w:r>
    </w:p>
    <w:p>
      <w:pPr>
        <w:pStyle w:val="385"/>
        <w:spacing w:line="480" w:lineRule="exact"/>
        <w:rPr>
          <w:rFonts w:ascii="宋体" w:hAnsi="宋体" w:eastAsia="宋体"/>
          <w:b/>
          <w:sz w:val="24"/>
          <w:szCs w:val="22"/>
        </w:rPr>
      </w:pPr>
      <w:r>
        <w:rPr>
          <w:rFonts w:hint="eastAsia" w:ascii="宋体" w:hAnsi="宋体" w:eastAsia="宋体"/>
          <w:b/>
          <w:sz w:val="24"/>
          <w:szCs w:val="22"/>
        </w:rPr>
        <w:t>24.投标的澄清</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24.1 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24.2 投标人必须按照评标委员会通知的内容和时间做出书面答复，该答复经法定代表人或授权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24.3 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24.4 公开招标采购项目开标结束后，采购人或者采购代理机构应当依法对投标人的资格进行审查。合格投标人不足3家的，不得评标。</w:t>
      </w:r>
    </w:p>
    <w:p>
      <w:pPr>
        <w:pStyle w:val="385"/>
        <w:spacing w:line="480" w:lineRule="exact"/>
        <w:rPr>
          <w:rFonts w:ascii="宋体" w:hAnsi="宋体" w:eastAsia="宋体"/>
          <w:b/>
          <w:sz w:val="24"/>
          <w:szCs w:val="22"/>
        </w:rPr>
      </w:pPr>
      <w:r>
        <w:rPr>
          <w:rFonts w:hint="eastAsia" w:ascii="宋体" w:hAnsi="宋体" w:eastAsia="宋体"/>
          <w:b/>
          <w:sz w:val="24"/>
          <w:szCs w:val="22"/>
        </w:rPr>
        <w:t>25.详细评审</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25.1 评标委员会只对实质上响应招标文件的投标进行评价和比较；评审应严格按照招标文件第二部分“投标人须知前附表”中第20项规定以及招标文件的要求进行。具体要求等详见招标文件第三章“评审方法”。</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25.2 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pPr>
        <w:pStyle w:val="385"/>
        <w:spacing w:line="480" w:lineRule="exact"/>
        <w:rPr>
          <w:rFonts w:ascii="宋体" w:hAnsi="宋体" w:eastAsia="宋体"/>
          <w:b/>
          <w:sz w:val="24"/>
          <w:szCs w:val="22"/>
        </w:rPr>
      </w:pPr>
      <w:r>
        <w:rPr>
          <w:rFonts w:hint="eastAsia" w:ascii="宋体" w:hAnsi="宋体" w:eastAsia="宋体"/>
          <w:b/>
          <w:sz w:val="24"/>
          <w:szCs w:val="22"/>
        </w:rPr>
        <w:t>26.确定中标人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26.1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26.2 评标委员会根据评审结果及招标文件的规定确定中标人。</w:t>
      </w:r>
    </w:p>
    <w:p>
      <w:pPr>
        <w:pStyle w:val="385"/>
        <w:spacing w:line="480" w:lineRule="exact"/>
        <w:rPr>
          <w:rFonts w:ascii="宋体" w:hAnsi="宋体" w:eastAsia="宋体"/>
          <w:b/>
          <w:sz w:val="24"/>
          <w:szCs w:val="22"/>
        </w:rPr>
      </w:pPr>
      <w:r>
        <w:rPr>
          <w:rFonts w:hint="eastAsia" w:ascii="宋体" w:hAnsi="宋体" w:eastAsia="宋体"/>
          <w:b/>
          <w:sz w:val="24"/>
          <w:szCs w:val="22"/>
        </w:rPr>
        <w:t>27.评标过程要求</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27.1 开标之后，直到签订合同止，凡是属于审查、澄清、评价和比较投标的有关资料以及定标意向等，均不向投标人或者其他与评标无关的人员透露。</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27.2 在确定中标人之前，投标人试图在投标文件审查、澄清、比较和评标时对评标委员会、采购人和采购代理机构施加任何影响都可能导致其投标无效。</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27.3 电子招投标的应急措施</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27.3.1 电子开标、评标如出现下列原因，导致系统无法正常运行或无法正常评标时，应采取应急措施。</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（1）系统服务器发生故障，无法访问或无法使用系统；</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（2）系统的软件或数据库出现错误，不能进行正常操作；</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（3）系统发现有安全漏洞，有潜在的泄密危险；</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（4）病毒发作或受到外来病毒的攻击；</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（5）出现其他不可抗拒的客观原因造成开评标系统无法正常使用。</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出现上述情况时，应对未开标的暂停开标。已在系统内开标、评标的立即停止。采取应急措施时，必须对原有资料及信息作出妥善保密处理。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27.3.2 因系统原因导致投标人均无法解密电子投标文件时，采购代理机构可在开标现场直接导入投标人在投标截止时间前递交的未加密的电子投标文件进行开标、评标。</w:t>
      </w:r>
    </w:p>
    <w:p>
      <w:pPr>
        <w:pStyle w:val="385"/>
        <w:spacing w:line="480" w:lineRule="exact"/>
        <w:rPr>
          <w:rFonts w:ascii="宋体" w:hAnsi="宋体" w:eastAsia="宋体"/>
          <w:b/>
          <w:sz w:val="24"/>
          <w:szCs w:val="22"/>
        </w:rPr>
      </w:pPr>
      <w:r>
        <w:rPr>
          <w:rFonts w:hint="eastAsia" w:ascii="宋体" w:hAnsi="宋体" w:eastAsia="宋体"/>
          <w:b/>
          <w:sz w:val="24"/>
          <w:szCs w:val="22"/>
        </w:rPr>
        <w:t>28.投标人瑕疵滞后发现的处理规则</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28.1 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pPr>
        <w:pStyle w:val="385"/>
        <w:spacing w:line="480" w:lineRule="exact"/>
        <w:rPr>
          <w:rFonts w:ascii="宋体" w:hAnsi="宋体" w:eastAsia="宋体"/>
          <w:b/>
          <w:sz w:val="24"/>
          <w:szCs w:val="22"/>
        </w:rPr>
      </w:pPr>
      <w:r>
        <w:rPr>
          <w:rFonts w:hint="eastAsia" w:ascii="宋体" w:hAnsi="宋体" w:eastAsia="宋体"/>
          <w:b/>
          <w:sz w:val="24"/>
          <w:szCs w:val="22"/>
        </w:rPr>
        <w:t>29.采购项目废标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29.1 在评标过程中，评标委员会发现有下列情形之一的，应对采购项目予以废标：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 xml:space="preserve">1）符合专业条件的供应商或者对招标文件作实质响应的供应商数量不足，导致进入详细评审、打分阶段的供应商不足3家的； </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2）投标人的报价均超过了采购预算；</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3）出现影响采购公正的违法、违规行为的；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4）因重大变故，采购任务取消的。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除前款第四项规定的情形外，项目废标后，如未变更采购方式，采购代理机构将依法重新组织招标。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29.2 有前款第一项规定的情形导致废标时，供应商只有2家的，可以改为竞争性谈判方式，在书面征得供应商同意并报经财政部门核准后，由采购人、采购代理机构按照竞争性谈判方式的程序组织采购。</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29.2.1 转为谈判后，若供应商未能在评标委员会指定时间内（原则上不超过60分钟）提交符合要求的补充资料或未作出实质性响应的，投标无效。经过审查符合谈判要求的有效供应商少于两家的，作废标处理。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29.2.2 评标委员会根据采购文件内容与实质性响应采购文件要求的供应商分别进行谈判，并给予所有参加谈判的供应商平等的谈判机会。在谈判过程中，评标委员会可以根据采购文件和谈判情况实质性变动采购需求中的技术、服务要求以及合同草案条款，但不得变动采购文件中的其他内容。实质性变动的内容，须经采购人代表确认。对采购文件作出的实质性变动是采购文件的有效组成部分，评标委员会应当及时以书面形式同时通知所有参加谈判的供应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供应商应当按照采购文件的变动情况和评标委员会的要求重新提交响应文件，并由其法定代表人或授权代表签字或者加盖公章。</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29.2.3 投标文件的报价视为谈判时的首次报价。谈判结束后，评标委员会应当要求所有继续参加谈判的供应商在规定时间内提交不超过两轮的报价。供应商的各轮报价是供应商报价文件的有效组成部分。除最终报价外，谈判时将公开各供应商每轮报价。</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29.2.4 在谈判内容不作实质性变更及重大调整的前提下，供应商次轮报价不得高于上一轮报价，否则将视为重大偏离并导致报价被拒绝。</w:t>
      </w:r>
    </w:p>
    <w:p>
      <w:pPr>
        <w:pStyle w:val="385"/>
        <w:keepNext/>
        <w:keepLines/>
        <w:adjustRightInd w:val="0"/>
        <w:spacing w:line="480" w:lineRule="exact"/>
        <w:outlineLvl w:val="2"/>
        <w:rPr>
          <w:rFonts w:ascii="宋体" w:hAnsi="宋体" w:eastAsia="宋体"/>
          <w:b/>
          <w:bCs/>
          <w:kern w:val="0"/>
          <w:sz w:val="24"/>
          <w:szCs w:val="32"/>
        </w:rPr>
      </w:pPr>
      <w:bookmarkStart w:id="93" w:name="_Toc63519668"/>
      <w:bookmarkStart w:id="94" w:name="_Toc256000012"/>
      <w:bookmarkStart w:id="95" w:name="_Toc7014"/>
      <w:r>
        <w:rPr>
          <w:rFonts w:hint="eastAsia" w:ascii="宋体" w:hAnsi="宋体" w:eastAsia="宋体"/>
          <w:b/>
          <w:bCs/>
          <w:kern w:val="0"/>
          <w:sz w:val="24"/>
          <w:szCs w:val="32"/>
        </w:rPr>
        <w:t>九、代理服务费</w:t>
      </w:r>
      <w:bookmarkEnd w:id="93"/>
      <w:bookmarkEnd w:id="94"/>
      <w:bookmarkEnd w:id="95"/>
    </w:p>
    <w:p>
      <w:pPr>
        <w:pStyle w:val="385"/>
        <w:spacing w:line="480" w:lineRule="exact"/>
        <w:rPr>
          <w:rFonts w:ascii="宋体" w:hAnsi="宋体" w:eastAsia="宋体"/>
          <w:b/>
          <w:sz w:val="24"/>
          <w:szCs w:val="22"/>
        </w:rPr>
      </w:pPr>
      <w:r>
        <w:rPr>
          <w:rFonts w:hint="eastAsia" w:ascii="宋体" w:hAnsi="宋体" w:eastAsia="宋体"/>
          <w:b/>
          <w:sz w:val="24"/>
          <w:szCs w:val="22"/>
        </w:rPr>
        <w:t>31.代理服务费</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31.1 中标人须向招标代理机构按如下标准和规定交纳招标代理服务费：按照发改价格〔2015〕299号通知要求，参照国家计委计价格〔2002〕1980号文及发改价格〔2011〕534号文的标准。</w:t>
      </w:r>
    </w:p>
    <w:p>
      <w:pPr>
        <w:spacing w:line="360" w:lineRule="auto"/>
        <w:ind w:left="-619" w:leftChars="-295" w:right="-218" w:rightChars="-104" w:firstLine="960" w:firstLineChars="400"/>
        <w:rPr>
          <w:rFonts w:ascii="宋体" w:hAnsi="宋体"/>
          <w:sz w:val="24"/>
        </w:rPr>
      </w:pPr>
      <w:r>
        <w:rPr>
          <w:rFonts w:hint="eastAsia" w:ascii="宋体" w:hAnsi="宋体"/>
          <w:sz w:val="24"/>
        </w:rPr>
        <w:t>服务费账号：</w:t>
      </w:r>
    </w:p>
    <w:p>
      <w:pPr>
        <w:spacing w:line="360" w:lineRule="auto"/>
        <w:ind w:left="342" w:leftChars="163" w:right="-218" w:rightChars="-104"/>
      </w:pPr>
      <w:r>
        <w:rPr>
          <w:rFonts w:hint="eastAsia" w:ascii="宋体" w:hAnsi="宋体"/>
          <w:sz w:val="24"/>
        </w:rPr>
        <w:t>单位名称：新疆科辰工程项目管理有限公司</w:t>
      </w:r>
      <w:r>
        <w:rPr>
          <w:rFonts w:hint="eastAsia" w:ascii="宋体" w:hAnsi="宋体"/>
          <w:sz w:val="24"/>
        </w:rPr>
        <w:br w:type="textWrapping"/>
      </w:r>
      <w:r>
        <w:rPr>
          <w:rFonts w:hint="eastAsia" w:ascii="宋体" w:hAnsi="宋体"/>
          <w:sz w:val="24"/>
        </w:rPr>
        <w:t>开  户 行：乌鲁木齐银行龙盛街支行</w:t>
      </w:r>
      <w:r>
        <w:rPr>
          <w:rFonts w:hint="eastAsia" w:ascii="宋体" w:hAnsi="宋体"/>
          <w:sz w:val="24"/>
        </w:rPr>
        <w:br w:type="textWrapping"/>
      </w:r>
      <w:r>
        <w:rPr>
          <w:rFonts w:hint="eastAsia" w:ascii="宋体" w:hAnsi="宋体"/>
          <w:sz w:val="24"/>
        </w:rPr>
        <w:t>账号：0000020070110093486071</w:t>
      </w:r>
      <w:r>
        <w:rPr>
          <w:rFonts w:hint="eastAsia" w:ascii="宋体" w:hAnsi="宋体"/>
          <w:sz w:val="24"/>
        </w:rPr>
        <w:br w:type="textWrapping"/>
      </w:r>
      <w:r>
        <w:rPr>
          <w:rFonts w:hint="eastAsia" w:ascii="宋体" w:hAnsi="宋体"/>
          <w:sz w:val="24"/>
        </w:rPr>
        <w:t>开户行地址：乌鲁木齐市水磨沟区准噶尔街299号益民大厦一楼乌鲁木齐银行</w:t>
      </w:r>
      <w:r>
        <w:rPr>
          <w:rFonts w:hint="eastAsia" w:ascii="宋体" w:hAnsi="宋体"/>
          <w:sz w:val="24"/>
        </w:rPr>
        <w:br w:type="textWrapping"/>
      </w:r>
      <w:r>
        <w:rPr>
          <w:rFonts w:hint="eastAsia" w:ascii="宋体" w:hAnsi="宋体"/>
          <w:sz w:val="24"/>
        </w:rPr>
        <w:t>行  号：313881000867</w:t>
      </w:r>
    </w:p>
    <w:p>
      <w:pPr>
        <w:pStyle w:val="385"/>
        <w:keepNext/>
        <w:keepLines/>
        <w:adjustRightInd w:val="0"/>
        <w:spacing w:line="480" w:lineRule="exact"/>
        <w:outlineLvl w:val="2"/>
        <w:rPr>
          <w:rFonts w:ascii="宋体" w:hAnsi="宋体" w:eastAsia="宋体"/>
          <w:b/>
          <w:bCs/>
          <w:kern w:val="0"/>
          <w:sz w:val="24"/>
          <w:szCs w:val="32"/>
        </w:rPr>
      </w:pPr>
      <w:bookmarkStart w:id="96" w:name="_Toc29469"/>
      <w:bookmarkStart w:id="97" w:name="_Toc63519669"/>
      <w:bookmarkStart w:id="98" w:name="_Toc256000013"/>
      <w:r>
        <w:rPr>
          <w:rFonts w:hint="eastAsia" w:ascii="宋体" w:hAnsi="宋体" w:eastAsia="宋体"/>
          <w:b/>
          <w:bCs/>
          <w:kern w:val="0"/>
          <w:sz w:val="24"/>
          <w:szCs w:val="32"/>
        </w:rPr>
        <w:t>十、签订、审核合同</w:t>
      </w:r>
      <w:bookmarkEnd w:id="96"/>
      <w:bookmarkEnd w:id="97"/>
      <w:bookmarkEnd w:id="98"/>
    </w:p>
    <w:p>
      <w:pPr>
        <w:pStyle w:val="385"/>
        <w:spacing w:line="480" w:lineRule="exact"/>
        <w:rPr>
          <w:rFonts w:ascii="宋体" w:hAnsi="宋体" w:eastAsia="宋体"/>
          <w:b/>
          <w:sz w:val="24"/>
          <w:szCs w:val="22"/>
        </w:rPr>
      </w:pPr>
      <w:r>
        <w:rPr>
          <w:rFonts w:hint="eastAsia" w:ascii="宋体" w:hAnsi="宋体" w:eastAsia="宋体"/>
          <w:b/>
          <w:sz w:val="24"/>
          <w:szCs w:val="22"/>
        </w:rPr>
        <w:t>32.中标通知</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32.1 中标人确定后,采购代理机构将在相关政府采购信息发布媒体上发布中标公告，并以书面形式向中标人发出中标通知书，但该中标结果的有效性不依赖于未中标的投标人是否已经收到该通知。中标通知书对采购人和中标人具有同等法律效力。中标通知书发出以后，采购人改变中标结果或者中标人放弃中标，应当承担相应的法律责任。</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32.2 采购代理机构对未中标的投标人不作未中标原因的解释，但中标结果的有效性不以未中标的投标人是否收到相应的通知为前提。</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32.3 中标通知书是合同的组成部分。</w:t>
      </w:r>
    </w:p>
    <w:p>
      <w:pPr>
        <w:pStyle w:val="385"/>
        <w:spacing w:line="480" w:lineRule="exact"/>
        <w:rPr>
          <w:rFonts w:ascii="宋体" w:hAnsi="宋体" w:eastAsia="宋体"/>
          <w:b/>
          <w:sz w:val="24"/>
          <w:szCs w:val="22"/>
        </w:rPr>
      </w:pPr>
      <w:r>
        <w:rPr>
          <w:rFonts w:hint="eastAsia" w:ascii="宋体" w:hAnsi="宋体" w:eastAsia="宋体"/>
          <w:b/>
          <w:sz w:val="24"/>
          <w:szCs w:val="22"/>
        </w:rPr>
        <w:t>33.签订合同</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33.1 中标人须在中标通知书发出之日起</w:t>
      </w:r>
      <w:r>
        <w:rPr>
          <w:rFonts w:ascii="宋体" w:hAnsi="宋体" w:eastAsia="宋体"/>
          <w:sz w:val="24"/>
          <w:szCs w:val="22"/>
        </w:rPr>
        <w:t>30</w:t>
      </w:r>
      <w:r>
        <w:rPr>
          <w:rFonts w:hint="eastAsia" w:ascii="宋体" w:hAnsi="宋体" w:eastAsia="宋体"/>
          <w:sz w:val="24"/>
          <w:szCs w:val="22"/>
        </w:rPr>
        <w:t>日内与采购人签订采购合同。</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33.2 中标人须按照招标文件、投标文件及评标过程中的有关澄清、说明或者补正文件的内容与采购人签订合同。中标人不得再与采购人签订背离合同实质性内容的其他协议或声明。</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33.3 采购人如需追加与合同标的相同的货物，在不改变合同其他条款的前提下，提交追加合同的申请报经同级财政部门审核后，可与中标人签订补充合同，但所有补充合同的采购金额不得超过原合同金额的百分之十。</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33.4 中标人一旦中标及签订合同后，不得转包，亦不得将合同全部及任何权利、义务向第三方转让。</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33.5 中标人不履行合同的，采购人可在报经同级人民政府财政部门核准后，与排位在中标人之后的第一位中标候选供应商签订合同，以此类推；或在报经同级人民政府财政部门核准后重新组织采购。</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33.6 违反32.1条、32.2条的规定，给对方造成损失的，应承担赔偿责任。</w:t>
      </w:r>
    </w:p>
    <w:p>
      <w:pPr>
        <w:pStyle w:val="385"/>
        <w:spacing w:line="480" w:lineRule="exact"/>
        <w:rPr>
          <w:rFonts w:ascii="宋体" w:hAnsi="宋体" w:eastAsia="宋体"/>
          <w:b/>
          <w:sz w:val="24"/>
          <w:szCs w:val="22"/>
        </w:rPr>
      </w:pPr>
      <w:r>
        <w:rPr>
          <w:rFonts w:hint="eastAsia" w:ascii="宋体" w:hAnsi="宋体" w:eastAsia="宋体"/>
          <w:b/>
          <w:sz w:val="24"/>
          <w:szCs w:val="22"/>
        </w:rPr>
        <w:t>34.审核合同</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34.1 中标人持政府采购合同于签订合同之日起3个工作日内到新疆政采云进行备案留存。</w:t>
      </w:r>
    </w:p>
    <w:p>
      <w:pPr>
        <w:pStyle w:val="385"/>
        <w:keepNext/>
        <w:keepLines/>
        <w:adjustRightInd w:val="0"/>
        <w:spacing w:line="480" w:lineRule="exact"/>
        <w:outlineLvl w:val="2"/>
        <w:rPr>
          <w:rFonts w:ascii="宋体" w:hAnsi="宋体" w:eastAsia="宋体"/>
          <w:b/>
          <w:bCs/>
          <w:kern w:val="0"/>
          <w:sz w:val="24"/>
          <w:szCs w:val="32"/>
        </w:rPr>
      </w:pPr>
      <w:bookmarkStart w:id="99" w:name="_Toc63519670"/>
      <w:bookmarkStart w:id="100" w:name="_Toc256000014"/>
      <w:bookmarkStart w:id="101" w:name="_Toc4947"/>
      <w:r>
        <w:rPr>
          <w:rFonts w:hint="eastAsia" w:ascii="宋体" w:hAnsi="宋体" w:eastAsia="宋体"/>
          <w:b/>
          <w:bCs/>
          <w:kern w:val="0"/>
          <w:sz w:val="24"/>
          <w:szCs w:val="32"/>
        </w:rPr>
        <w:t>十一、处罚、询问和质疑</w:t>
      </w:r>
      <w:bookmarkEnd w:id="99"/>
      <w:bookmarkEnd w:id="100"/>
      <w:bookmarkEnd w:id="101"/>
      <w:r>
        <w:rPr>
          <w:rFonts w:hint="eastAsia" w:ascii="宋体" w:hAnsi="宋体" w:eastAsia="宋体"/>
          <w:b/>
          <w:bCs/>
          <w:kern w:val="0"/>
          <w:sz w:val="24"/>
          <w:szCs w:val="32"/>
        </w:rPr>
        <w:t xml:space="preserve"> </w:t>
      </w:r>
    </w:p>
    <w:p>
      <w:pPr>
        <w:pStyle w:val="385"/>
        <w:spacing w:line="480" w:lineRule="exact"/>
        <w:rPr>
          <w:rFonts w:ascii="宋体" w:hAnsi="宋体" w:eastAsia="宋体"/>
          <w:b/>
          <w:sz w:val="24"/>
          <w:szCs w:val="22"/>
        </w:rPr>
      </w:pPr>
      <w:r>
        <w:rPr>
          <w:rFonts w:hint="eastAsia" w:ascii="宋体" w:hAnsi="宋体" w:eastAsia="宋体"/>
          <w:b/>
          <w:sz w:val="24"/>
          <w:szCs w:val="22"/>
        </w:rPr>
        <w:t>35.处罚</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35.1 发生下列情况之一，投标人的保证金不予退还；情节严重的将其列入不良记录名单。</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1）开标后在投标有效期内，投标人撤回其投标；</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2）中标后无正当理由不与采购人签订合同的；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3）中标人与采购人订立背离合同实质性内容的其他协议；</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4）将中标项目转让给他人，或者在投标文件中未说明，且未经采购代理机构同意，将中标项目分包给他人的；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5）存在串通投标行为的；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6）存在弄虚作假或提供虚假材料谋取中标的；</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7）投标人其他未按招标文件规定和合同约定履行义务的行为。</w:t>
      </w:r>
    </w:p>
    <w:p>
      <w:pPr>
        <w:pStyle w:val="385"/>
        <w:spacing w:line="480" w:lineRule="exact"/>
        <w:rPr>
          <w:rFonts w:ascii="宋体" w:hAnsi="宋体" w:eastAsia="宋体"/>
          <w:b/>
          <w:sz w:val="24"/>
          <w:szCs w:val="22"/>
        </w:rPr>
      </w:pPr>
      <w:r>
        <w:rPr>
          <w:rFonts w:hint="eastAsia" w:ascii="宋体" w:hAnsi="宋体" w:eastAsia="宋体"/>
          <w:b/>
          <w:sz w:val="24"/>
          <w:szCs w:val="22"/>
        </w:rPr>
        <w:t>36.询问</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36.1 投标人对采购事项有疑问的，可以向采购人或采购代理机构提出询问。</w:t>
      </w:r>
    </w:p>
    <w:p>
      <w:pPr>
        <w:pStyle w:val="385"/>
        <w:spacing w:line="480" w:lineRule="exact"/>
        <w:rPr>
          <w:rFonts w:ascii="宋体" w:hAnsi="宋体" w:eastAsia="宋体"/>
          <w:b/>
          <w:sz w:val="24"/>
          <w:szCs w:val="22"/>
        </w:rPr>
      </w:pPr>
      <w:r>
        <w:rPr>
          <w:rFonts w:hint="eastAsia" w:ascii="宋体" w:hAnsi="宋体" w:eastAsia="宋体"/>
          <w:b/>
          <w:sz w:val="24"/>
          <w:szCs w:val="22"/>
        </w:rPr>
        <w:t>37.投标人有权就招标事宜提出质疑</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37.1 投标人认为招标文件、采购过程和中标结果使自已的权益受到损害的，可以在知道或者应知其权益受到损害之日起7个工作日内，以书面形式提出质疑。</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37.2 质疑应当按照《中华人民共和国政府采购法》、《中华人民共和国政府采购法实施条例》、《</w:t>
      </w:r>
      <w:r>
        <w:rPr>
          <w:rFonts w:hint="eastAsia" w:ascii="宋体" w:hAnsi="宋体" w:eastAsia="宋体"/>
          <w:kern w:val="0"/>
          <w:sz w:val="24"/>
        </w:rPr>
        <w:t>政府采购质疑和投诉办法</w:t>
      </w:r>
      <w:r>
        <w:rPr>
          <w:rFonts w:hint="eastAsia" w:ascii="宋体" w:hAnsi="宋体" w:eastAsia="宋体"/>
          <w:sz w:val="24"/>
          <w:szCs w:val="22"/>
        </w:rPr>
        <w:t>》等法律法规的相关规定，以书面形式向采购代理机构提出。</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37.3 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37.4 质疑人可以采取直接送达或者邮寄方式提交质疑书。采购代理机构收到质疑书后，对质疑书进行审查，对符合质疑条件的将办理签收手续，自签收质疑书之日起即为受理。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37.5 采购代理机构将在受理书面质疑后7个工作日内审查质疑事项，作出答复或相关处理决定，并以书面形式通知质疑人和其他相关供应商，但答复的内容不涉及商业秘密。</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37.6 投标人进行虚假和恶意质疑的，采购代理机构将提请有关部门将其列入不良记录名单，在一至三年内禁止参加政府采购活动，并将处理决定在相关政府采购媒体上公布。</w:t>
      </w:r>
    </w:p>
    <w:p>
      <w:pPr>
        <w:pStyle w:val="385"/>
        <w:spacing w:line="480" w:lineRule="exact"/>
        <w:ind w:firstLine="480" w:firstLineChars="200"/>
        <w:rPr>
          <w:rFonts w:eastAsia="宋体"/>
          <w:sz w:val="21"/>
          <w:szCs w:val="22"/>
          <w:highlight w:val="cyan"/>
        </w:rPr>
      </w:pPr>
      <w:r>
        <w:rPr>
          <w:rFonts w:hint="eastAsia" w:ascii="宋体" w:hAnsi="宋体" w:eastAsia="宋体"/>
          <w:sz w:val="24"/>
          <w:szCs w:val="22"/>
        </w:rPr>
        <w:t>37.7 质疑人对答复不满意以及采购代理机构未在规定的时间内作出答复的，可以在答复期满后15个工作日内向财政部门投拆。</w:t>
      </w:r>
    </w:p>
    <w:p>
      <w:pPr>
        <w:pStyle w:val="385"/>
        <w:keepNext/>
        <w:keepLines/>
        <w:adjustRightInd w:val="0"/>
        <w:spacing w:line="480" w:lineRule="exact"/>
        <w:outlineLvl w:val="2"/>
        <w:rPr>
          <w:rFonts w:ascii="宋体" w:hAnsi="宋体" w:eastAsia="宋体"/>
          <w:b/>
          <w:bCs/>
          <w:kern w:val="0"/>
          <w:sz w:val="24"/>
          <w:szCs w:val="32"/>
        </w:rPr>
      </w:pPr>
      <w:bookmarkStart w:id="102" w:name="_Toc63519671"/>
      <w:bookmarkStart w:id="103" w:name="_Toc256000015"/>
      <w:bookmarkStart w:id="104" w:name="_Toc28812"/>
      <w:r>
        <w:rPr>
          <w:rFonts w:hint="eastAsia" w:ascii="宋体" w:hAnsi="宋体" w:eastAsia="宋体"/>
          <w:b/>
          <w:bCs/>
          <w:kern w:val="0"/>
          <w:sz w:val="24"/>
          <w:szCs w:val="32"/>
        </w:rPr>
        <w:t>十二、保密和披露</w:t>
      </w:r>
      <w:bookmarkEnd w:id="102"/>
      <w:bookmarkEnd w:id="103"/>
      <w:bookmarkEnd w:id="104"/>
    </w:p>
    <w:p>
      <w:pPr>
        <w:pStyle w:val="385"/>
        <w:spacing w:line="480" w:lineRule="exact"/>
        <w:rPr>
          <w:rFonts w:ascii="宋体" w:hAnsi="宋体" w:eastAsia="宋体"/>
          <w:b/>
          <w:sz w:val="24"/>
          <w:szCs w:val="22"/>
        </w:rPr>
      </w:pPr>
      <w:r>
        <w:rPr>
          <w:rFonts w:hint="eastAsia" w:ascii="宋体" w:hAnsi="宋体" w:eastAsia="宋体"/>
          <w:b/>
          <w:sz w:val="24"/>
          <w:szCs w:val="22"/>
        </w:rPr>
        <w:t>38.保密和披露</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38.1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38.2 采购代理机构有权将投标人提供的所有资料向有关政府部门或评审标书的有关人员披露。</w:t>
      </w:r>
    </w:p>
    <w:p>
      <w:pPr>
        <w:pStyle w:val="385"/>
        <w:spacing w:line="480" w:lineRule="exact"/>
        <w:ind w:firstLine="480" w:firstLineChars="200"/>
        <w:rPr>
          <w:rFonts w:ascii="宋体" w:hAnsi="宋体" w:eastAsia="宋体"/>
          <w:sz w:val="24"/>
          <w:szCs w:val="22"/>
        </w:rPr>
      </w:pPr>
      <w:r>
        <w:rPr>
          <w:rFonts w:hint="eastAsia" w:ascii="宋体" w:hAnsi="宋体" w:eastAsia="宋体"/>
          <w:sz w:val="24"/>
          <w:szCs w:val="22"/>
        </w:rPr>
        <w:t>38.3 在采购代理机构认为适当时、国家机关调查、审查、审计时以及其他符合法律规定的情形下，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pPr>
        <w:pStyle w:val="385"/>
        <w:jc w:val="center"/>
        <w:outlineLvl w:val="0"/>
        <w:rPr>
          <w:rFonts w:ascii="宋体" w:hAnsi="宋体" w:eastAsia="宋体" w:cs="宋体"/>
          <w:b/>
          <w:bCs/>
          <w:kern w:val="0"/>
          <w:sz w:val="36"/>
          <w:szCs w:val="44"/>
        </w:rPr>
      </w:pPr>
      <w:bookmarkStart w:id="105" w:name="EB25a5329124b74315b236b5ababbb0bae"/>
      <w:bookmarkEnd w:id="105"/>
      <w:r>
        <w:rPr>
          <w:rFonts w:ascii="宋体" w:hAnsi="宋体"/>
        </w:rPr>
        <w:br w:type="page"/>
      </w:r>
      <w:bookmarkStart w:id="106" w:name="_Toc63519672"/>
      <w:bookmarkStart w:id="107" w:name="_Toc7729"/>
      <w:bookmarkStart w:id="108" w:name="_Toc20367"/>
      <w:bookmarkStart w:id="109" w:name="_Toc12949"/>
      <w:bookmarkStart w:id="110" w:name="_Toc4619"/>
      <w:bookmarkStart w:id="111" w:name="_Toc26208"/>
      <w:bookmarkStart w:id="112" w:name="_Toc10625"/>
      <w:bookmarkStart w:id="113" w:name="_Toc3447"/>
      <w:r>
        <w:rPr>
          <w:rFonts w:hint="eastAsia" w:ascii="宋体" w:hAnsi="宋体" w:eastAsia="宋体" w:cs="宋体"/>
          <w:b/>
          <w:bCs/>
          <w:kern w:val="0"/>
          <w:sz w:val="36"/>
          <w:szCs w:val="44"/>
        </w:rPr>
        <w:t xml:space="preserve">第三章 </w:t>
      </w:r>
      <w:bookmarkEnd w:id="106"/>
      <w:bookmarkStart w:id="114" w:name="EB24095aed30e8447c97a82272874e1305"/>
      <w:r>
        <w:rPr>
          <w:rFonts w:hint="eastAsia" w:ascii="宋体" w:hAnsi="宋体" w:eastAsia="宋体" w:cs="宋体"/>
          <w:b/>
          <w:bCs/>
          <w:kern w:val="0"/>
          <w:sz w:val="36"/>
          <w:szCs w:val="44"/>
        </w:rPr>
        <w:t xml:space="preserve">  评审方法（综合评分法）</w:t>
      </w:r>
      <w:bookmarkEnd w:id="107"/>
      <w:bookmarkEnd w:id="108"/>
      <w:bookmarkEnd w:id="109"/>
      <w:bookmarkEnd w:id="110"/>
      <w:bookmarkEnd w:id="111"/>
      <w:bookmarkEnd w:id="112"/>
      <w:bookmarkEnd w:id="113"/>
    </w:p>
    <w:bookmarkEnd w:id="114"/>
    <w:tbl>
      <w:tblPr>
        <w:tblStyle w:val="33"/>
        <w:tblpPr w:leftFromText="180" w:rightFromText="180" w:vertAnchor="text" w:horzAnchor="page" w:tblpX="823" w:tblpY="261"/>
        <w:tblOverlap w:val="never"/>
        <w:tblW w:w="10762"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119"/>
        <w:gridCol w:w="1830"/>
        <w:gridCol w:w="7110"/>
        <w:gridCol w:w="368"/>
        <w:gridCol w:w="335"/>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046" w:hRule="atLeast"/>
        </w:trPr>
        <w:tc>
          <w:tcPr>
            <w:tcW w:w="1119" w:type="dxa"/>
            <w:vMerge w:val="restart"/>
            <w:tcBorders>
              <w:top w:val="outset" w:color="auto" w:sz="6" w:space="0"/>
              <w:left w:val="outset" w:color="auto" w:sz="6" w:space="0"/>
              <w:right w:val="outset" w:color="auto" w:sz="6" w:space="0"/>
            </w:tcBorders>
            <w:vAlign w:val="center"/>
          </w:tcPr>
          <w:p>
            <w:pPr>
              <w:pStyle w:val="387"/>
              <w:ind w:firstLine="0" w:firstLineChars="0"/>
              <w:jc w:val="center"/>
              <w:rPr>
                <w:rFonts w:hAnsi="宋体" w:cs="宋体"/>
                <w:b/>
                <w:sz w:val="24"/>
                <w:szCs w:val="24"/>
              </w:rPr>
            </w:pPr>
            <w:bookmarkStart w:id="115" w:name="_Toc32746"/>
            <w:r>
              <w:rPr>
                <w:rFonts w:hint="eastAsia" w:hAnsi="宋体" w:cs="宋体"/>
                <w:b/>
                <w:sz w:val="24"/>
                <w:szCs w:val="24"/>
              </w:rPr>
              <w:t>项目</w:t>
            </w:r>
          </w:p>
        </w:tc>
        <w:tc>
          <w:tcPr>
            <w:tcW w:w="1830" w:type="dxa"/>
            <w:vMerge w:val="restart"/>
            <w:tcBorders>
              <w:top w:val="outset" w:color="auto" w:sz="6" w:space="0"/>
              <w:left w:val="outset" w:color="auto" w:sz="6" w:space="0"/>
              <w:right w:val="outset" w:color="auto" w:sz="6" w:space="0"/>
            </w:tcBorders>
            <w:vAlign w:val="center"/>
          </w:tcPr>
          <w:p>
            <w:pPr>
              <w:pStyle w:val="387"/>
              <w:ind w:firstLine="0" w:firstLineChars="0"/>
              <w:jc w:val="center"/>
              <w:rPr>
                <w:rFonts w:ascii="Times New Roman" w:hAnsi="宋体"/>
                <w:bCs/>
                <w:sz w:val="24"/>
                <w:szCs w:val="24"/>
              </w:rPr>
            </w:pPr>
            <w:r>
              <w:rPr>
                <w:rFonts w:hint="eastAsia" w:hAnsi="宋体" w:cs="宋体"/>
                <w:b/>
                <w:sz w:val="24"/>
                <w:szCs w:val="24"/>
              </w:rPr>
              <w:t>评审因素</w:t>
            </w:r>
          </w:p>
        </w:tc>
        <w:tc>
          <w:tcPr>
            <w:tcW w:w="7110" w:type="dxa"/>
            <w:vMerge w:val="restart"/>
            <w:tcBorders>
              <w:top w:val="outset" w:color="auto" w:sz="6" w:space="0"/>
              <w:left w:val="outset" w:color="auto" w:sz="6" w:space="0"/>
              <w:bottom w:val="outset" w:color="auto" w:sz="6" w:space="0"/>
              <w:right w:val="outset" w:color="auto" w:sz="6" w:space="0"/>
            </w:tcBorders>
            <w:vAlign w:val="center"/>
          </w:tcPr>
          <w:p>
            <w:pPr>
              <w:pStyle w:val="387"/>
              <w:snapToGrid w:val="0"/>
              <w:spacing w:line="360" w:lineRule="auto"/>
              <w:ind w:firstLine="482"/>
              <w:jc w:val="center"/>
              <w:rPr>
                <w:rFonts w:ascii="Times New Roman" w:hAnsi="宋体"/>
                <w:bCs/>
                <w:sz w:val="24"/>
                <w:szCs w:val="24"/>
              </w:rPr>
            </w:pPr>
            <w:r>
              <w:rPr>
                <w:rFonts w:hint="eastAsia" w:hAnsi="宋体" w:cs="宋体"/>
                <w:b/>
                <w:sz w:val="24"/>
                <w:szCs w:val="24"/>
              </w:rPr>
              <w:t>评审标准</w:t>
            </w:r>
          </w:p>
        </w:tc>
        <w:tc>
          <w:tcPr>
            <w:tcW w:w="703" w:type="dxa"/>
            <w:gridSpan w:val="2"/>
            <w:tcBorders>
              <w:top w:val="outset" w:color="auto" w:sz="6" w:space="0"/>
              <w:left w:val="outset" w:color="auto" w:sz="6" w:space="0"/>
              <w:bottom w:val="outset" w:color="auto" w:sz="6" w:space="0"/>
              <w:right w:val="outset" w:color="auto" w:sz="6" w:space="0"/>
            </w:tcBorders>
            <w:vAlign w:val="center"/>
          </w:tcPr>
          <w:p>
            <w:pPr>
              <w:pStyle w:val="387"/>
              <w:snapToGrid w:val="0"/>
              <w:spacing w:line="360" w:lineRule="auto"/>
              <w:ind w:firstLine="0" w:firstLineChars="0"/>
              <w:rPr>
                <w:rFonts w:ascii="Times New Roman" w:hAnsi="宋体"/>
                <w:bCs/>
                <w:sz w:val="24"/>
                <w:szCs w:val="24"/>
              </w:rPr>
            </w:pPr>
            <w:r>
              <w:rPr>
                <w:rFonts w:hint="eastAsia" w:ascii="Times New Roman" w:hAnsi="宋体"/>
                <w:bCs/>
                <w:sz w:val="24"/>
                <w:szCs w:val="24"/>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vMerge w:val="continue"/>
            <w:tcBorders>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7110" w:type="dxa"/>
            <w:vMerge w:val="continue"/>
            <w:tcBorders>
              <w:top w:val="outset" w:color="auto" w:sz="6" w:space="0"/>
              <w:left w:val="outset" w:color="auto" w:sz="6" w:space="0"/>
              <w:bottom w:val="outset" w:color="auto" w:sz="6" w:space="0"/>
              <w:right w:val="outset" w:color="auto" w:sz="6" w:space="0"/>
            </w:tcBorders>
            <w:vAlign w:val="center"/>
          </w:tcPr>
          <w:p>
            <w:pPr>
              <w:pStyle w:val="387"/>
              <w:ind w:firstLine="480"/>
              <w:jc w:val="center"/>
              <w:rPr>
                <w:rFonts w:ascii="Times New Roman" w:hAnsi="宋体"/>
                <w:bCs/>
                <w:sz w:val="24"/>
                <w:szCs w:val="24"/>
              </w:rPr>
            </w:pP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jc w:val="center"/>
              <w:rPr>
                <w:rFonts w:ascii="Times New Roman" w:hAnsi="宋体"/>
                <w:bCs/>
                <w:sz w:val="24"/>
                <w:szCs w:val="24"/>
              </w:rPr>
            </w:pPr>
            <w:r>
              <w:rPr>
                <w:rFonts w:hint="eastAsia" w:ascii="Times New Roman" w:hAnsi="宋体"/>
                <w:bCs/>
                <w:sz w:val="24"/>
                <w:szCs w:val="24"/>
              </w:rPr>
              <w:t>是</w:t>
            </w: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jc w:val="center"/>
              <w:rPr>
                <w:rFonts w:ascii="Times New Roman" w:hAnsi="宋体"/>
                <w:bCs/>
                <w:sz w:val="24"/>
                <w:szCs w:val="24"/>
              </w:rPr>
            </w:pPr>
            <w:r>
              <w:rPr>
                <w:rFonts w:hint="eastAsia" w:ascii="Times New Roman" w:hAnsi="宋体"/>
                <w:bCs/>
                <w:sz w:val="24"/>
                <w:szCs w:val="24"/>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restart"/>
            <w:tcBorders>
              <w:top w:val="outset" w:color="auto" w:sz="6" w:space="0"/>
              <w:left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仿宋" w:hAnsi="仿宋" w:eastAsia="仿宋"/>
                <w:b/>
                <w:bCs/>
                <w:color w:val="000000"/>
                <w:sz w:val="24"/>
                <w:szCs w:val="24"/>
              </w:rPr>
              <w:t>资格性审查</w:t>
            </w: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法人和授权代表资格</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具有法定代表人资格证明和法定代表人授权委托书；</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基本资质要求</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是否具备《中华人民共和国政府采购法》第二十二条规定；</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特定资格要求</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hAnsi="宋体" w:cs="宋体"/>
                <w:color w:val="000000"/>
                <w:kern w:val="0"/>
                <w:sz w:val="24"/>
                <w:szCs w:val="24"/>
                <w:lang w:bidi="ar"/>
              </w:rPr>
              <w:t>供应商应具备有效的城乡规划编制甲级资质和工程设计建筑行业（建筑工程）甲级及以上资质；</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投标保证金</w:t>
            </w:r>
          </w:p>
        </w:tc>
        <w:tc>
          <w:tcPr>
            <w:tcW w:w="7110" w:type="dxa"/>
            <w:tcBorders>
              <w:top w:val="outset" w:color="auto" w:sz="6" w:space="0"/>
              <w:left w:val="outset" w:color="auto" w:sz="6" w:space="0"/>
              <w:bottom w:val="outset" w:color="auto" w:sz="6" w:space="0"/>
              <w:right w:val="outset" w:color="auto" w:sz="6" w:space="0"/>
            </w:tcBorders>
            <w:vAlign w:val="center"/>
          </w:tcPr>
          <w:p>
            <w:pPr>
              <w:widowControl/>
              <w:spacing w:line="500" w:lineRule="exact"/>
              <w:ind w:right="105"/>
              <w:outlineLvl w:val="0"/>
              <w:rPr>
                <w:rFonts w:hAnsi="宋体"/>
                <w:bCs/>
                <w:sz w:val="24"/>
                <w:szCs w:val="24"/>
              </w:rPr>
            </w:pPr>
            <w:bookmarkStart w:id="116" w:name="_Toc6063"/>
            <w:r>
              <w:rPr>
                <w:rFonts w:hint="eastAsia" w:hAnsi="宋体"/>
                <w:bCs/>
                <w:sz w:val="24"/>
                <w:szCs w:val="24"/>
              </w:rPr>
              <w:t>符合“投标人须知”的要求；</w:t>
            </w:r>
            <w:bookmarkEnd w:id="116"/>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restart"/>
            <w:tcBorders>
              <w:top w:val="outset" w:color="auto" w:sz="6" w:space="0"/>
              <w:left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仿宋" w:hAnsi="仿宋" w:eastAsia="仿宋"/>
                <w:b/>
                <w:bCs/>
                <w:color w:val="000000"/>
                <w:sz w:val="24"/>
                <w:szCs w:val="24"/>
              </w:rPr>
              <w:t>符合性审查</w:t>
            </w: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供应商名称</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与营业执照、资质证书一致；</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 xml:space="preserve">签字盖章                                  </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响应文件上法定代表人或其授权代理人的签字、供应商的单位章齐全符合招标文件规定；</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报价唯一</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只有一个有效报价且未超过政府采购预算金额；</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19" w:type="dxa"/>
            <w:vMerge w:val="continue"/>
            <w:tcBorders>
              <w:left w:val="outset" w:color="auto" w:sz="6" w:space="0"/>
              <w:right w:val="outset" w:color="auto" w:sz="6" w:space="0"/>
            </w:tcBorders>
            <w:vAlign w:val="center"/>
          </w:tcPr>
          <w:p>
            <w:pPr>
              <w:pStyle w:val="387"/>
              <w:ind w:firstLine="0" w:firstLineChars="0"/>
              <w:rPr>
                <w:rFonts w:ascii="Times New Roman" w:hAnsi="宋体"/>
                <w:bCs/>
                <w:sz w:val="24"/>
                <w:szCs w:val="24"/>
              </w:rPr>
            </w:pPr>
          </w:p>
        </w:tc>
        <w:tc>
          <w:tcPr>
            <w:tcW w:w="183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bCs/>
                <w:sz w:val="24"/>
                <w:szCs w:val="24"/>
              </w:rPr>
            </w:pPr>
            <w:r>
              <w:rPr>
                <w:rFonts w:hint="eastAsia" w:ascii="Times New Roman" w:hAnsi="宋体"/>
                <w:bCs/>
                <w:sz w:val="24"/>
                <w:szCs w:val="24"/>
              </w:rPr>
              <w:t>投标有效期</w:t>
            </w:r>
          </w:p>
        </w:tc>
        <w:tc>
          <w:tcPr>
            <w:tcW w:w="7110" w:type="dxa"/>
            <w:tcBorders>
              <w:top w:val="outset" w:color="auto" w:sz="6" w:space="0"/>
              <w:left w:val="outset" w:color="auto" w:sz="6" w:space="0"/>
              <w:bottom w:val="outset" w:color="auto" w:sz="6" w:space="0"/>
              <w:right w:val="outset" w:color="auto" w:sz="6" w:space="0"/>
            </w:tcBorders>
            <w:vAlign w:val="center"/>
          </w:tcPr>
          <w:p>
            <w:pPr>
              <w:pStyle w:val="387"/>
              <w:ind w:firstLine="0" w:firstLineChars="0"/>
              <w:rPr>
                <w:rFonts w:ascii="Times New Roman" w:hAnsi="宋体" w:eastAsia="仿宋"/>
                <w:bCs/>
                <w:sz w:val="24"/>
                <w:szCs w:val="24"/>
              </w:rPr>
            </w:pPr>
            <w:r>
              <w:rPr>
                <w:rFonts w:hint="eastAsia" w:ascii="Times New Roman" w:hAnsi="宋体"/>
                <w:bCs/>
                <w:sz w:val="24"/>
                <w:szCs w:val="24"/>
              </w:rPr>
              <w:t>响应文件投标有效期满足招标文件要求；</w:t>
            </w:r>
          </w:p>
        </w:tc>
        <w:tc>
          <w:tcPr>
            <w:tcW w:w="368"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c>
          <w:tcPr>
            <w:tcW w:w="335" w:type="dxa"/>
            <w:tcBorders>
              <w:top w:val="outset" w:color="auto" w:sz="6" w:space="0"/>
              <w:left w:val="outset" w:color="auto" w:sz="6" w:space="0"/>
              <w:bottom w:val="outset" w:color="auto" w:sz="6" w:space="0"/>
              <w:right w:val="outset" w:color="auto" w:sz="6" w:space="0"/>
            </w:tcBorders>
            <w:vAlign w:val="center"/>
          </w:tcPr>
          <w:p>
            <w:pPr>
              <w:pStyle w:val="387"/>
              <w:ind w:firstLine="480"/>
              <w:rPr>
                <w:rFonts w:ascii="Times New Roman" w:hAnsi="宋体"/>
                <w:bCs/>
                <w:sz w:val="24"/>
                <w:szCs w:val="24"/>
              </w:rPr>
            </w:pPr>
          </w:p>
        </w:tc>
      </w:tr>
    </w:tbl>
    <w:p>
      <w:pPr>
        <w:rPr>
          <w:rFonts w:ascii="宋体" w:hAnsi="宋体" w:cs="宋体"/>
          <w:color w:val="000000"/>
          <w:sz w:val="24"/>
          <w:szCs w:val="24"/>
        </w:rPr>
      </w:pPr>
      <w:r>
        <w:rPr>
          <w:rFonts w:hint="eastAsia" w:ascii="宋体" w:hAnsi="宋体"/>
          <w:b/>
          <w:bCs/>
          <w:color w:val="000000"/>
          <w:sz w:val="36"/>
          <w:szCs w:val="36"/>
        </w:rPr>
        <w:tab/>
      </w:r>
    </w:p>
    <w:p>
      <w:pPr>
        <w:pStyle w:val="2"/>
      </w:pPr>
    </w:p>
    <w:p>
      <w:pPr>
        <w:pStyle w:val="7"/>
        <w:ind w:left="-199" w:leftChars="-95" w:firstLine="0"/>
        <w:jc w:val="both"/>
        <w:rPr>
          <w:rFonts w:ascii="宋体" w:hAnsi="宋体"/>
          <w:b/>
          <w:bCs/>
          <w:color w:val="000000"/>
          <w:sz w:val="36"/>
          <w:szCs w:val="36"/>
        </w:rPr>
        <w:sectPr>
          <w:footerReference r:id="rId6" w:type="first"/>
          <w:footerReference r:id="rId5" w:type="default"/>
          <w:pgSz w:w="11905" w:h="16838"/>
          <w:pgMar w:top="907" w:right="1406" w:bottom="1327" w:left="1406" w:header="850" w:footer="992" w:gutter="0"/>
          <w:cols w:space="720" w:num="1"/>
          <w:docGrid w:type="lines" w:linePitch="315" w:charSpace="0"/>
        </w:sectPr>
      </w:pPr>
    </w:p>
    <w:bookmarkEnd w:id="115"/>
    <w:p>
      <w:pPr>
        <w:pStyle w:val="19"/>
        <w:rPr>
          <w:rFonts w:ascii="Times New Roman" w:hAnsi="Times New Roman" w:eastAsia="MingLiU_HKSCS" w:cs="Times New Roman"/>
          <w:sz w:val="24"/>
          <w:szCs w:val="24"/>
        </w:rPr>
      </w:pPr>
      <w:r>
        <w:rPr>
          <w:rFonts w:hint="eastAsia" w:ascii="Times New Roman" w:hAnsi="Times New Roman" w:cs="Times New Roman"/>
          <w:sz w:val="24"/>
          <w:szCs w:val="24"/>
        </w:rPr>
        <w:t>采用综合评分法</w:t>
      </w:r>
    </w:p>
    <w:p>
      <w:pPr>
        <w:pStyle w:val="19"/>
        <w:numPr>
          <w:ilvl w:val="0"/>
          <w:numId w:val="19"/>
        </w:numPr>
        <w:ind w:firstLine="480" w:firstLineChars="200"/>
        <w:rPr>
          <w:rFonts w:ascii="Times New Roman" w:hAnsi="Times New Roman" w:cs="Times New Roman"/>
          <w:sz w:val="24"/>
          <w:szCs w:val="24"/>
        </w:rPr>
      </w:pPr>
      <w:r>
        <w:rPr>
          <w:rFonts w:hint="eastAsia" w:ascii="Times New Roman" w:hAnsi="Times New Roman" w:cs="Times New Roman"/>
          <w:sz w:val="24"/>
          <w:szCs w:val="24"/>
        </w:rPr>
        <w:t>评审因素见下表：</w:t>
      </w:r>
    </w:p>
    <w:p>
      <w:pPr>
        <w:pStyle w:val="19"/>
        <w:rPr>
          <w:rFonts w:ascii="Times New Roman" w:hAnsi="Times New Roman" w:cs="Times New Roman"/>
          <w:sz w:val="24"/>
          <w:szCs w:val="24"/>
        </w:rPr>
      </w:pPr>
    </w:p>
    <w:tbl>
      <w:tblPr>
        <w:tblStyle w:val="33"/>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372"/>
        <w:gridCol w:w="1209"/>
        <w:gridCol w:w="5200"/>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816" w:type="dxa"/>
            <w:vAlign w:val="center"/>
          </w:tcPr>
          <w:p>
            <w:pPr>
              <w:jc w:val="center"/>
              <w:rPr>
                <w:sz w:val="24"/>
                <w:szCs w:val="24"/>
              </w:rPr>
            </w:pPr>
            <w:r>
              <w:rPr>
                <w:rFonts w:hAnsi="宋体"/>
                <w:sz w:val="24"/>
                <w:szCs w:val="24"/>
              </w:rPr>
              <w:t>序号</w:t>
            </w:r>
          </w:p>
        </w:tc>
        <w:tc>
          <w:tcPr>
            <w:tcW w:w="1372" w:type="dxa"/>
            <w:vAlign w:val="center"/>
          </w:tcPr>
          <w:p>
            <w:pPr>
              <w:jc w:val="center"/>
              <w:rPr>
                <w:sz w:val="24"/>
                <w:szCs w:val="24"/>
              </w:rPr>
            </w:pPr>
            <w:r>
              <w:rPr>
                <w:rFonts w:hAnsi="宋体"/>
                <w:sz w:val="24"/>
                <w:szCs w:val="24"/>
              </w:rPr>
              <w:t>项目</w:t>
            </w:r>
          </w:p>
        </w:tc>
        <w:tc>
          <w:tcPr>
            <w:tcW w:w="1209" w:type="dxa"/>
            <w:vAlign w:val="center"/>
          </w:tcPr>
          <w:p>
            <w:pPr>
              <w:jc w:val="center"/>
              <w:rPr>
                <w:sz w:val="24"/>
                <w:szCs w:val="24"/>
              </w:rPr>
            </w:pPr>
            <w:r>
              <w:rPr>
                <w:rFonts w:hAnsi="宋体"/>
                <w:sz w:val="24"/>
                <w:szCs w:val="24"/>
              </w:rPr>
              <w:t>评价指标</w:t>
            </w:r>
          </w:p>
        </w:tc>
        <w:tc>
          <w:tcPr>
            <w:tcW w:w="5200" w:type="dxa"/>
            <w:vAlign w:val="center"/>
          </w:tcPr>
          <w:p>
            <w:pPr>
              <w:jc w:val="center"/>
              <w:rPr>
                <w:sz w:val="24"/>
                <w:szCs w:val="24"/>
              </w:rPr>
            </w:pPr>
            <w:r>
              <w:rPr>
                <w:rFonts w:hAnsi="宋体"/>
                <w:sz w:val="24"/>
                <w:szCs w:val="24"/>
              </w:rPr>
              <w:t>评价依据</w:t>
            </w:r>
          </w:p>
        </w:tc>
        <w:tc>
          <w:tcPr>
            <w:tcW w:w="1188" w:type="dxa"/>
            <w:vAlign w:val="center"/>
          </w:tcPr>
          <w:p>
            <w:pPr>
              <w:jc w:val="center"/>
              <w:rPr>
                <w:sz w:val="24"/>
                <w:szCs w:val="24"/>
              </w:rPr>
            </w:pPr>
            <w:r>
              <w:rPr>
                <w:rFonts w:hAnsi="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816" w:type="dxa"/>
            <w:shd w:val="clear" w:color="auto" w:fill="FFFFFF"/>
            <w:vAlign w:val="center"/>
          </w:tcPr>
          <w:p>
            <w:pPr>
              <w:jc w:val="center"/>
              <w:rPr>
                <w:sz w:val="24"/>
                <w:szCs w:val="24"/>
              </w:rPr>
            </w:pPr>
            <w:r>
              <w:rPr>
                <w:sz w:val="24"/>
                <w:szCs w:val="24"/>
              </w:rPr>
              <w:t>1</w:t>
            </w:r>
          </w:p>
        </w:tc>
        <w:tc>
          <w:tcPr>
            <w:tcW w:w="1372" w:type="dxa"/>
            <w:shd w:val="clear" w:color="auto" w:fill="FFFFFF"/>
            <w:vAlign w:val="center"/>
          </w:tcPr>
          <w:p>
            <w:pPr>
              <w:jc w:val="center"/>
              <w:rPr>
                <w:rFonts w:hAnsi="宋体"/>
                <w:sz w:val="24"/>
                <w:szCs w:val="24"/>
              </w:rPr>
            </w:pPr>
            <w:r>
              <w:rPr>
                <w:rFonts w:hAnsi="宋体"/>
                <w:sz w:val="24"/>
                <w:szCs w:val="24"/>
              </w:rPr>
              <w:t>投标报价</w:t>
            </w:r>
          </w:p>
          <w:p>
            <w:pPr>
              <w:jc w:val="center"/>
              <w:rPr>
                <w:sz w:val="24"/>
                <w:szCs w:val="24"/>
              </w:rPr>
            </w:pPr>
            <w:r>
              <w:rPr>
                <w:rFonts w:hAnsi="宋体"/>
                <w:sz w:val="24"/>
                <w:szCs w:val="24"/>
              </w:rPr>
              <w:t>（</w:t>
            </w:r>
            <w:r>
              <w:rPr>
                <w:rFonts w:hint="eastAsia"/>
                <w:sz w:val="24"/>
                <w:szCs w:val="24"/>
              </w:rPr>
              <w:t>10</w:t>
            </w:r>
            <w:r>
              <w:rPr>
                <w:rFonts w:hAnsi="宋体"/>
                <w:sz w:val="24"/>
                <w:szCs w:val="24"/>
              </w:rPr>
              <w:t>分）</w:t>
            </w:r>
          </w:p>
        </w:tc>
        <w:tc>
          <w:tcPr>
            <w:tcW w:w="6409" w:type="dxa"/>
            <w:gridSpan w:val="2"/>
            <w:shd w:val="clear" w:color="auto" w:fill="FFFFFF"/>
            <w:vAlign w:val="center"/>
          </w:tcPr>
          <w:p>
            <w:pPr>
              <w:spacing w:line="360" w:lineRule="auto"/>
              <w:ind w:firstLine="362" w:firstLineChars="151"/>
              <w:rPr>
                <w:rFonts w:hAnsi="宋体"/>
                <w:bCs/>
                <w:sz w:val="24"/>
                <w:szCs w:val="24"/>
              </w:rPr>
            </w:pPr>
            <w:r>
              <w:rPr>
                <w:rFonts w:hAnsi="宋体"/>
                <w:bCs/>
                <w:sz w:val="24"/>
                <w:szCs w:val="24"/>
              </w:rPr>
              <w:t>综合评分法中的价格分统一采用低价优先法计算，即满足招标文件要求且投标价格最低的投标报价为评标基准价，其价格分为满分。</w:t>
            </w:r>
          </w:p>
          <w:p>
            <w:pPr>
              <w:spacing w:line="360" w:lineRule="auto"/>
              <w:ind w:firstLine="362" w:firstLineChars="151"/>
              <w:rPr>
                <w:sz w:val="24"/>
                <w:szCs w:val="24"/>
              </w:rPr>
            </w:pPr>
            <w:r>
              <w:rPr>
                <w:rFonts w:hAnsi="宋体"/>
                <w:bCs/>
                <w:sz w:val="24"/>
                <w:szCs w:val="24"/>
              </w:rPr>
              <w:t>其他投标人的价格分统一按照下列公式计算：</w:t>
            </w:r>
            <w:r>
              <w:rPr>
                <w:rFonts w:hAnsi="宋体"/>
                <w:bCs/>
                <w:sz w:val="24"/>
                <w:szCs w:val="24"/>
              </w:rPr>
              <w:br w:type="textWrapping"/>
            </w:r>
            <w:r>
              <w:rPr>
                <w:rFonts w:hAnsi="宋体"/>
                <w:bCs/>
                <w:sz w:val="24"/>
                <w:szCs w:val="24"/>
              </w:rPr>
              <w:t>投标报价得分=(评标基准价/投标报价)</w:t>
            </w:r>
            <w:r>
              <w:rPr>
                <w:rFonts w:hint="eastAsia" w:ascii="仿宋" w:hAnsi="仿宋" w:eastAsia="仿宋"/>
                <w:bCs/>
                <w:sz w:val="24"/>
                <w:szCs w:val="24"/>
              </w:rPr>
              <w:t>×</w:t>
            </w:r>
            <w:r>
              <w:rPr>
                <w:rFonts w:hint="eastAsia" w:hAnsi="宋体"/>
                <w:bCs/>
                <w:sz w:val="24"/>
                <w:szCs w:val="24"/>
              </w:rPr>
              <w:t>10</w:t>
            </w:r>
          </w:p>
        </w:tc>
        <w:tc>
          <w:tcPr>
            <w:tcW w:w="1188" w:type="dxa"/>
            <w:shd w:val="clear" w:color="auto" w:fill="FFFFFF"/>
            <w:vAlign w:val="center"/>
          </w:tcPr>
          <w:p>
            <w:pPr>
              <w:jc w:val="center"/>
              <w:rPr>
                <w:sz w:val="24"/>
                <w:szCs w:val="24"/>
              </w:rPr>
            </w:pPr>
            <w:r>
              <w:rPr>
                <w:rFonts w:hint="eastAsia"/>
                <w:sz w:val="24"/>
                <w:szCs w:val="24"/>
              </w:rPr>
              <w:t>10</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16" w:type="dxa"/>
            <w:vMerge w:val="restart"/>
            <w:shd w:val="clear" w:color="auto" w:fill="auto"/>
            <w:vAlign w:val="center"/>
          </w:tcPr>
          <w:p>
            <w:pPr>
              <w:jc w:val="center"/>
              <w:rPr>
                <w:sz w:val="24"/>
                <w:szCs w:val="24"/>
              </w:rPr>
            </w:pPr>
            <w:r>
              <w:rPr>
                <w:sz w:val="24"/>
                <w:szCs w:val="24"/>
              </w:rPr>
              <w:t>2</w:t>
            </w:r>
          </w:p>
        </w:tc>
        <w:tc>
          <w:tcPr>
            <w:tcW w:w="1372" w:type="dxa"/>
            <w:vMerge w:val="restart"/>
            <w:shd w:val="clear" w:color="auto" w:fill="auto"/>
            <w:vAlign w:val="center"/>
          </w:tcPr>
          <w:p>
            <w:pPr>
              <w:jc w:val="center"/>
              <w:rPr>
                <w:sz w:val="24"/>
                <w:szCs w:val="24"/>
              </w:rPr>
            </w:pPr>
            <w:r>
              <w:rPr>
                <w:rFonts w:hint="eastAsia"/>
                <w:sz w:val="24"/>
                <w:szCs w:val="24"/>
              </w:rPr>
              <w:t>商务评审（10分）</w:t>
            </w:r>
          </w:p>
        </w:tc>
        <w:tc>
          <w:tcPr>
            <w:tcW w:w="1209" w:type="dxa"/>
            <w:shd w:val="clear" w:color="auto" w:fill="FFFFFF"/>
            <w:vAlign w:val="center"/>
          </w:tcPr>
          <w:p>
            <w:pPr>
              <w:spacing w:line="360" w:lineRule="auto"/>
              <w:jc w:val="center"/>
              <w:rPr>
                <w:sz w:val="24"/>
                <w:szCs w:val="24"/>
              </w:rPr>
            </w:pPr>
            <w:r>
              <w:rPr>
                <w:rFonts w:hint="eastAsia"/>
                <w:sz w:val="24"/>
                <w:szCs w:val="24"/>
              </w:rPr>
              <w:t>投标人</w:t>
            </w:r>
          </w:p>
          <w:p>
            <w:pPr>
              <w:spacing w:line="360" w:lineRule="auto"/>
              <w:jc w:val="center"/>
              <w:rPr>
                <w:sz w:val="24"/>
                <w:szCs w:val="24"/>
              </w:rPr>
            </w:pPr>
            <w:r>
              <w:rPr>
                <w:rFonts w:hint="eastAsia"/>
                <w:sz w:val="24"/>
                <w:szCs w:val="24"/>
              </w:rPr>
              <w:t>业绩</w:t>
            </w:r>
          </w:p>
        </w:tc>
        <w:tc>
          <w:tcPr>
            <w:tcW w:w="5200" w:type="dxa"/>
            <w:shd w:val="clear" w:color="auto" w:fill="FFFFFF"/>
            <w:vAlign w:val="center"/>
          </w:tcPr>
          <w:p>
            <w:pPr>
              <w:spacing w:line="360" w:lineRule="auto"/>
              <w:rPr>
                <w:sz w:val="24"/>
                <w:szCs w:val="24"/>
              </w:rPr>
            </w:pPr>
            <w:r>
              <w:rPr>
                <w:rFonts w:hint="eastAsia"/>
                <w:sz w:val="24"/>
                <w:szCs w:val="24"/>
              </w:rPr>
              <w:t>投标人2018年1月1日至提交投标文件的截止时间止已完成的</w:t>
            </w:r>
            <w:r>
              <w:rPr>
                <w:rFonts w:hint="eastAsia"/>
                <w:sz w:val="24"/>
                <w:szCs w:val="24"/>
                <w:lang w:val="zh-CN"/>
              </w:rPr>
              <w:t>类似建筑项目设计业绩</w:t>
            </w:r>
            <w:r>
              <w:rPr>
                <w:sz w:val="24"/>
                <w:szCs w:val="24"/>
              </w:rPr>
              <w:t>(</w:t>
            </w:r>
            <w:r>
              <w:rPr>
                <w:rFonts w:hint="eastAsia"/>
                <w:sz w:val="24"/>
                <w:szCs w:val="24"/>
              </w:rPr>
              <w:t>提供中标通知书或成交通知书或合同复印件，以合同签订日期或中标（成交）通知书落款日期为准</w:t>
            </w:r>
            <w:r>
              <w:rPr>
                <w:sz w:val="24"/>
                <w:szCs w:val="24"/>
              </w:rPr>
              <w:t>)；</w:t>
            </w:r>
            <w:r>
              <w:rPr>
                <w:rFonts w:hint="eastAsia"/>
                <w:sz w:val="24"/>
                <w:szCs w:val="24"/>
              </w:rPr>
              <w:t>每提供一项得1分；最高得3分。</w:t>
            </w:r>
          </w:p>
        </w:tc>
        <w:tc>
          <w:tcPr>
            <w:tcW w:w="1188" w:type="dxa"/>
            <w:shd w:val="clear" w:color="auto" w:fill="FFFFFF"/>
            <w:vAlign w:val="center"/>
          </w:tcPr>
          <w:p>
            <w:pPr>
              <w:jc w:val="center"/>
              <w:rPr>
                <w:sz w:val="24"/>
                <w:szCs w:val="24"/>
              </w:rPr>
            </w:pPr>
            <w:r>
              <w:rPr>
                <w:rFonts w:hint="eastAsia"/>
                <w:sz w:val="24"/>
                <w:szCs w:val="24"/>
              </w:rPr>
              <w:t>3</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spacing w:line="360" w:lineRule="auto"/>
              <w:jc w:val="center"/>
              <w:rPr>
                <w:sz w:val="24"/>
                <w:szCs w:val="24"/>
              </w:rPr>
            </w:pPr>
            <w:r>
              <w:rPr>
                <w:rFonts w:hint="eastAsia"/>
                <w:sz w:val="24"/>
                <w:szCs w:val="24"/>
              </w:rPr>
              <w:t>项目负责人业绩</w:t>
            </w:r>
          </w:p>
        </w:tc>
        <w:tc>
          <w:tcPr>
            <w:tcW w:w="5200" w:type="dxa"/>
            <w:shd w:val="clear" w:color="auto" w:fill="FFFFFF"/>
            <w:vAlign w:val="center"/>
          </w:tcPr>
          <w:p>
            <w:pPr>
              <w:spacing w:line="360" w:lineRule="auto"/>
              <w:rPr>
                <w:sz w:val="24"/>
                <w:szCs w:val="24"/>
              </w:rPr>
            </w:pPr>
            <w:r>
              <w:rPr>
                <w:rFonts w:hint="eastAsia"/>
                <w:sz w:val="24"/>
                <w:szCs w:val="24"/>
              </w:rPr>
              <w:t>项目负责人2018年1月1日至提交投标文件的截止时间止已完成的</w:t>
            </w:r>
            <w:r>
              <w:rPr>
                <w:rFonts w:hint="eastAsia"/>
                <w:sz w:val="24"/>
                <w:szCs w:val="24"/>
                <w:lang w:val="zh-CN"/>
              </w:rPr>
              <w:t>类似建筑项目设计业绩</w:t>
            </w:r>
            <w:r>
              <w:rPr>
                <w:sz w:val="24"/>
                <w:szCs w:val="24"/>
              </w:rPr>
              <w:t>(</w:t>
            </w:r>
            <w:r>
              <w:rPr>
                <w:rFonts w:hint="eastAsia"/>
                <w:sz w:val="24"/>
                <w:szCs w:val="24"/>
              </w:rPr>
              <w:t>提供中标通知书或成交通知书或合同复印件等证明材料，以合同签订日期或中标（成交）通知书落款日期为准</w:t>
            </w:r>
            <w:r>
              <w:rPr>
                <w:sz w:val="24"/>
                <w:szCs w:val="24"/>
              </w:rPr>
              <w:t>)</w:t>
            </w:r>
            <w:r>
              <w:rPr>
                <w:rFonts w:hint="eastAsia"/>
                <w:sz w:val="24"/>
                <w:szCs w:val="24"/>
              </w:rPr>
              <w:t>；每提供一项得1分；最高得2分。</w:t>
            </w:r>
          </w:p>
        </w:tc>
        <w:tc>
          <w:tcPr>
            <w:tcW w:w="1188" w:type="dxa"/>
            <w:shd w:val="clear" w:color="auto" w:fill="FFFFFF"/>
            <w:vAlign w:val="center"/>
          </w:tcPr>
          <w:p>
            <w:pPr>
              <w:jc w:val="center"/>
              <w:rPr>
                <w:sz w:val="24"/>
                <w:szCs w:val="24"/>
              </w:rPr>
            </w:pPr>
            <w:r>
              <w:rPr>
                <w:rFonts w:hint="eastAsia"/>
                <w:sz w:val="24"/>
                <w:szCs w:val="24"/>
              </w:rPr>
              <w:t>2</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rFonts w:hAnsi="宋体"/>
                <w:sz w:val="24"/>
                <w:szCs w:val="24"/>
              </w:rPr>
            </w:pPr>
          </w:p>
        </w:tc>
        <w:tc>
          <w:tcPr>
            <w:tcW w:w="1209" w:type="dxa"/>
            <w:shd w:val="clear" w:color="auto" w:fill="FFFFFF"/>
            <w:vAlign w:val="center"/>
          </w:tcPr>
          <w:p>
            <w:pPr>
              <w:jc w:val="center"/>
              <w:rPr>
                <w:sz w:val="24"/>
                <w:szCs w:val="24"/>
              </w:rPr>
            </w:pPr>
            <w:r>
              <w:rPr>
                <w:rFonts w:hint="eastAsia"/>
                <w:sz w:val="24"/>
                <w:szCs w:val="24"/>
              </w:rPr>
              <w:t>拟派人员</w:t>
            </w:r>
          </w:p>
        </w:tc>
        <w:tc>
          <w:tcPr>
            <w:tcW w:w="5200" w:type="dxa"/>
            <w:shd w:val="clear" w:color="auto" w:fill="FFFFFF"/>
            <w:vAlign w:val="center"/>
          </w:tcPr>
          <w:p>
            <w:pPr>
              <w:adjustRightInd w:val="0"/>
              <w:snapToGrid w:val="0"/>
              <w:spacing w:line="360" w:lineRule="auto"/>
              <w:rPr>
                <w:sz w:val="24"/>
                <w:szCs w:val="24"/>
              </w:rPr>
            </w:pPr>
            <w:r>
              <w:rPr>
                <w:rFonts w:hint="eastAsia"/>
                <w:sz w:val="24"/>
                <w:szCs w:val="24"/>
              </w:rPr>
              <w:t>拟派人员包含以下专业：建筑、结构、给排水、暖通、电气，各专业人员具有一级注册证书或高级以上职称得1分，最高得5分。专业缺1项或不满足或未提供扣1分。（每个专业只计一次）</w:t>
            </w:r>
          </w:p>
        </w:tc>
        <w:tc>
          <w:tcPr>
            <w:tcW w:w="1188" w:type="dxa"/>
            <w:shd w:val="clear" w:color="auto" w:fill="FFFFFF"/>
            <w:vAlign w:val="center"/>
          </w:tcPr>
          <w:p>
            <w:pPr>
              <w:jc w:val="center"/>
              <w:rPr>
                <w:sz w:val="24"/>
                <w:szCs w:val="24"/>
              </w:rPr>
            </w:pPr>
            <w:r>
              <w:rPr>
                <w:rFonts w:hint="eastAsia"/>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16" w:type="dxa"/>
            <w:vMerge w:val="restart"/>
            <w:shd w:val="clear" w:color="auto" w:fill="auto"/>
            <w:vAlign w:val="center"/>
          </w:tcPr>
          <w:p>
            <w:pPr>
              <w:jc w:val="center"/>
              <w:rPr>
                <w:sz w:val="24"/>
                <w:szCs w:val="24"/>
              </w:rPr>
            </w:pPr>
            <w:r>
              <w:rPr>
                <w:rFonts w:hint="eastAsia"/>
                <w:sz w:val="24"/>
                <w:szCs w:val="24"/>
              </w:rPr>
              <w:t>3</w:t>
            </w:r>
          </w:p>
        </w:tc>
        <w:tc>
          <w:tcPr>
            <w:tcW w:w="1372" w:type="dxa"/>
            <w:vMerge w:val="restart"/>
            <w:shd w:val="clear" w:color="auto" w:fill="auto"/>
            <w:vAlign w:val="center"/>
          </w:tcPr>
          <w:p>
            <w:pPr>
              <w:jc w:val="center"/>
              <w:rPr>
                <w:sz w:val="24"/>
                <w:szCs w:val="24"/>
              </w:rPr>
            </w:pPr>
            <w:r>
              <w:rPr>
                <w:rFonts w:hint="eastAsia"/>
                <w:sz w:val="24"/>
                <w:szCs w:val="24"/>
              </w:rPr>
              <w:t>技术评审（8</w:t>
            </w:r>
            <w:r>
              <w:rPr>
                <w:sz w:val="24"/>
                <w:szCs w:val="24"/>
              </w:rPr>
              <w:t>0</w:t>
            </w:r>
            <w:r>
              <w:rPr>
                <w:rFonts w:hint="eastAsia"/>
                <w:sz w:val="24"/>
                <w:szCs w:val="24"/>
              </w:rPr>
              <w:t>分）</w:t>
            </w:r>
          </w:p>
        </w:tc>
        <w:tc>
          <w:tcPr>
            <w:tcW w:w="1209" w:type="dxa"/>
            <w:shd w:val="clear" w:color="auto" w:fill="FFFFFF"/>
            <w:vAlign w:val="center"/>
          </w:tcPr>
          <w:p>
            <w:pPr>
              <w:adjustRightInd w:val="0"/>
              <w:spacing w:line="400" w:lineRule="exact"/>
              <w:jc w:val="center"/>
              <w:rPr>
                <w:rFonts w:ascii="宋体" w:hAnsi="宋体" w:cs="宋体"/>
                <w:spacing w:val="-4"/>
                <w:sz w:val="24"/>
              </w:rPr>
            </w:pPr>
            <w:r>
              <w:rPr>
                <w:rFonts w:hint="eastAsia"/>
                <w:sz w:val="24"/>
                <w:szCs w:val="24"/>
              </w:rPr>
              <w:t>对项目工作背景的理解</w:t>
            </w:r>
          </w:p>
          <w:p>
            <w:pPr>
              <w:jc w:val="center"/>
              <w:rPr>
                <w:sz w:val="24"/>
                <w:szCs w:val="24"/>
              </w:rPr>
            </w:pPr>
          </w:p>
        </w:tc>
        <w:tc>
          <w:tcPr>
            <w:tcW w:w="5200" w:type="dxa"/>
            <w:shd w:val="clear" w:color="auto" w:fill="FFFFFF"/>
            <w:vAlign w:val="center"/>
          </w:tcPr>
          <w:p>
            <w:pPr>
              <w:spacing w:line="360" w:lineRule="auto"/>
              <w:rPr>
                <w:sz w:val="24"/>
                <w:szCs w:val="24"/>
              </w:rPr>
            </w:pPr>
            <w:r>
              <w:rPr>
                <w:rFonts w:hint="eastAsia"/>
                <w:sz w:val="24"/>
                <w:szCs w:val="24"/>
              </w:rPr>
              <w:t>完成上位规划分析、项目现状摸底分析、完整社区相关要求分析等内容：</w:t>
            </w:r>
          </w:p>
          <w:p>
            <w:pPr>
              <w:spacing w:line="360" w:lineRule="auto"/>
              <w:rPr>
                <w:sz w:val="24"/>
                <w:szCs w:val="24"/>
              </w:rPr>
            </w:pPr>
            <w:r>
              <w:rPr>
                <w:rFonts w:hint="eastAsia"/>
                <w:sz w:val="24"/>
                <w:szCs w:val="24"/>
              </w:rPr>
              <w:t>1、</w:t>
            </w:r>
            <w:r>
              <w:rPr>
                <w:rFonts w:hint="eastAsia"/>
                <w:color w:val="000000" w:themeColor="text1"/>
                <w:sz w:val="24"/>
                <w:szCs w:val="24"/>
                <w14:textFill>
                  <w14:solidFill>
                    <w14:schemeClr w14:val="tx1"/>
                  </w14:solidFill>
                </w14:textFill>
              </w:rPr>
              <w:t>对</w:t>
            </w:r>
            <w:r>
              <w:rPr>
                <w:rFonts w:hint="eastAsia"/>
                <w:sz w:val="24"/>
                <w:szCs w:val="24"/>
              </w:rPr>
              <w:t>上位规划、项目现状摸底和完整社区相关要求等分析充分合理，贴合度高，认识深刻得5分；</w:t>
            </w:r>
          </w:p>
          <w:p>
            <w:pPr>
              <w:spacing w:line="360" w:lineRule="auto"/>
              <w:rPr>
                <w:sz w:val="24"/>
                <w:szCs w:val="24"/>
              </w:rPr>
            </w:pPr>
            <w:r>
              <w:rPr>
                <w:rFonts w:hint="eastAsia"/>
                <w:sz w:val="24"/>
                <w:szCs w:val="24"/>
              </w:rPr>
              <w:t>2、</w:t>
            </w:r>
            <w:r>
              <w:rPr>
                <w:rFonts w:hint="eastAsia"/>
                <w:color w:val="000000" w:themeColor="text1"/>
                <w:sz w:val="24"/>
                <w:szCs w:val="24"/>
                <w14:textFill>
                  <w14:solidFill>
                    <w14:schemeClr w14:val="tx1"/>
                  </w14:solidFill>
                </w14:textFill>
              </w:rPr>
              <w:t>对</w:t>
            </w:r>
            <w:r>
              <w:rPr>
                <w:rFonts w:hint="eastAsia"/>
                <w:sz w:val="24"/>
                <w:szCs w:val="24"/>
              </w:rPr>
              <w:t>上位规划、项目现状摸底和完整社区相关要求等分析比较充分合理，贴合度较高，认识较深刻得3分；</w:t>
            </w:r>
          </w:p>
          <w:p>
            <w:pPr>
              <w:spacing w:line="360" w:lineRule="auto"/>
              <w:rPr>
                <w:sz w:val="24"/>
                <w:szCs w:val="24"/>
              </w:rPr>
            </w:pPr>
            <w:r>
              <w:rPr>
                <w:rFonts w:hint="eastAsia"/>
                <w:sz w:val="24"/>
                <w:szCs w:val="24"/>
              </w:rPr>
              <w:t>3、</w:t>
            </w:r>
            <w:r>
              <w:rPr>
                <w:rFonts w:hint="eastAsia"/>
                <w:color w:val="000000" w:themeColor="text1"/>
                <w:sz w:val="24"/>
                <w:szCs w:val="24"/>
                <w14:textFill>
                  <w14:solidFill>
                    <w14:schemeClr w14:val="tx1"/>
                  </w14:solidFill>
                </w14:textFill>
              </w:rPr>
              <w:t>对</w:t>
            </w:r>
            <w:r>
              <w:rPr>
                <w:rFonts w:hint="eastAsia"/>
                <w:sz w:val="24"/>
                <w:szCs w:val="24"/>
              </w:rPr>
              <w:t>上位规划、项目现状摸底和完整社区相关要求等分析一般，贴合度一般，认识一般得1分；</w:t>
            </w:r>
          </w:p>
          <w:p>
            <w:pPr>
              <w:spacing w:line="360" w:lineRule="auto"/>
              <w:rPr>
                <w:sz w:val="24"/>
                <w:szCs w:val="24"/>
              </w:rPr>
            </w:pPr>
            <w:r>
              <w:rPr>
                <w:sz w:val="24"/>
                <w:szCs w:val="24"/>
              </w:rPr>
              <w:t>4</w:t>
            </w:r>
            <w:r>
              <w:rPr>
                <w:rFonts w:hint="eastAsia"/>
                <w:sz w:val="24"/>
                <w:szCs w:val="24"/>
              </w:rPr>
              <w:t>、未提供</w:t>
            </w:r>
            <w:r>
              <w:rPr>
                <w:sz w:val="24"/>
                <w:szCs w:val="24"/>
              </w:rPr>
              <w:t>不得分</w:t>
            </w:r>
            <w:r>
              <w:rPr>
                <w:rFonts w:hint="eastAsia"/>
                <w:sz w:val="24"/>
                <w:szCs w:val="24"/>
              </w:rPr>
              <w:t>。</w:t>
            </w:r>
          </w:p>
        </w:tc>
        <w:tc>
          <w:tcPr>
            <w:tcW w:w="1188" w:type="dxa"/>
            <w:shd w:val="clear" w:color="auto" w:fill="FFFFFF"/>
            <w:vAlign w:val="center"/>
          </w:tcPr>
          <w:p>
            <w:pPr>
              <w:jc w:val="center"/>
              <w:rPr>
                <w:sz w:val="24"/>
                <w:szCs w:val="24"/>
              </w:rPr>
            </w:pPr>
            <w:r>
              <w:rPr>
                <w:rFonts w:hint="eastAsia"/>
                <w:sz w:val="24"/>
                <w:szCs w:val="24"/>
              </w:rPr>
              <w:t>5</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jc w:val="center"/>
              <w:rPr>
                <w:sz w:val="24"/>
                <w:szCs w:val="24"/>
              </w:rPr>
            </w:pPr>
            <w:r>
              <w:rPr>
                <w:rFonts w:hint="eastAsia"/>
                <w:sz w:val="24"/>
                <w:szCs w:val="24"/>
              </w:rPr>
              <w:t>建设内容策划</w:t>
            </w:r>
          </w:p>
        </w:tc>
        <w:tc>
          <w:tcPr>
            <w:tcW w:w="5200" w:type="dxa"/>
            <w:shd w:val="clear" w:color="auto" w:fill="FFFFFF"/>
            <w:vAlign w:val="center"/>
          </w:tcPr>
          <w:p>
            <w:pPr>
              <w:spacing w:line="360" w:lineRule="auto"/>
            </w:pPr>
            <w:r>
              <w:rPr>
                <w:rFonts w:hint="eastAsia"/>
                <w:sz w:val="24"/>
                <w:szCs w:val="24"/>
              </w:rPr>
              <w:t>基于对上位规划，现状摸底及完整社区相关要求的分析，合理提出项目建设清单、功能内容：</w:t>
            </w:r>
          </w:p>
          <w:p>
            <w:pPr>
              <w:spacing w:line="360" w:lineRule="auto"/>
              <w:rPr>
                <w:sz w:val="24"/>
                <w:szCs w:val="24"/>
              </w:rPr>
            </w:pPr>
            <w:r>
              <w:rPr>
                <w:rFonts w:hint="eastAsia"/>
                <w:sz w:val="24"/>
                <w:szCs w:val="24"/>
              </w:rPr>
              <w:t>1、提出的项目建设清单、功能</w:t>
            </w:r>
            <w:r>
              <w:rPr>
                <w:rFonts w:hint="eastAsia"/>
                <w:color w:val="000000" w:themeColor="text1"/>
                <w:sz w:val="24"/>
                <w:szCs w:val="24"/>
                <w14:textFill>
                  <w14:solidFill>
                    <w14:schemeClr w14:val="tx1"/>
                  </w14:solidFill>
                </w14:textFill>
              </w:rPr>
              <w:t>内容全面，思路清晰，切实合理</w:t>
            </w:r>
            <w:r>
              <w:rPr>
                <w:rFonts w:hint="eastAsia"/>
                <w:sz w:val="24"/>
                <w:szCs w:val="24"/>
              </w:rPr>
              <w:t>得10分；</w:t>
            </w:r>
          </w:p>
          <w:p>
            <w:pPr>
              <w:spacing w:line="360" w:lineRule="auto"/>
              <w:rPr>
                <w:sz w:val="24"/>
                <w:szCs w:val="24"/>
              </w:rPr>
            </w:pPr>
            <w:r>
              <w:rPr>
                <w:rFonts w:hint="eastAsia"/>
                <w:sz w:val="24"/>
                <w:szCs w:val="24"/>
              </w:rPr>
              <w:t>2、提出的项目建设清单、功能</w:t>
            </w:r>
            <w:r>
              <w:rPr>
                <w:rFonts w:hint="eastAsia"/>
                <w:color w:val="000000" w:themeColor="text1"/>
                <w:sz w:val="24"/>
                <w:szCs w:val="24"/>
                <w14:textFill>
                  <w14:solidFill>
                    <w14:schemeClr w14:val="tx1"/>
                  </w14:solidFill>
                </w14:textFill>
              </w:rPr>
              <w:t>内容比较全面，思路较清晰，</w:t>
            </w:r>
            <w:r>
              <w:rPr>
                <w:rFonts w:hint="eastAsia"/>
                <w:sz w:val="24"/>
                <w:szCs w:val="24"/>
              </w:rPr>
              <w:t>贴合度较高得</w:t>
            </w:r>
            <w:r>
              <w:rPr>
                <w:sz w:val="24"/>
                <w:szCs w:val="24"/>
              </w:rPr>
              <w:t>7</w:t>
            </w:r>
            <w:r>
              <w:rPr>
                <w:rFonts w:hint="eastAsia"/>
                <w:sz w:val="24"/>
                <w:szCs w:val="24"/>
              </w:rPr>
              <w:t>分；</w:t>
            </w:r>
          </w:p>
          <w:p>
            <w:pPr>
              <w:spacing w:line="360" w:lineRule="auto"/>
              <w:rPr>
                <w:sz w:val="24"/>
                <w:szCs w:val="24"/>
              </w:rPr>
            </w:pPr>
            <w:r>
              <w:rPr>
                <w:rFonts w:hint="eastAsia"/>
                <w:sz w:val="24"/>
                <w:szCs w:val="24"/>
              </w:rPr>
              <w:t>3、提出的项目建设清单、功能</w:t>
            </w:r>
            <w:r>
              <w:rPr>
                <w:rFonts w:hint="eastAsia"/>
                <w:color w:val="000000" w:themeColor="text1"/>
                <w:sz w:val="24"/>
                <w:szCs w:val="24"/>
                <w14:textFill>
                  <w14:solidFill>
                    <w14:schemeClr w14:val="tx1"/>
                  </w14:solidFill>
                </w14:textFill>
              </w:rPr>
              <w:t>内容一般，思路清晰度一般，</w:t>
            </w:r>
            <w:r>
              <w:rPr>
                <w:rFonts w:hint="eastAsia"/>
                <w:sz w:val="24"/>
                <w:szCs w:val="24"/>
              </w:rPr>
              <w:t>贴合度一般得</w:t>
            </w:r>
            <w:r>
              <w:rPr>
                <w:sz w:val="24"/>
                <w:szCs w:val="24"/>
              </w:rPr>
              <w:t>3</w:t>
            </w:r>
            <w:r>
              <w:rPr>
                <w:rFonts w:hint="eastAsia"/>
                <w:sz w:val="24"/>
                <w:szCs w:val="24"/>
              </w:rPr>
              <w:t>分；</w:t>
            </w:r>
          </w:p>
          <w:p>
            <w:pPr>
              <w:pStyle w:val="14"/>
            </w:pPr>
            <w:r>
              <w:rPr>
                <w:sz w:val="24"/>
                <w:szCs w:val="24"/>
              </w:rPr>
              <w:t>4</w:t>
            </w:r>
            <w:r>
              <w:rPr>
                <w:rFonts w:hint="eastAsia"/>
                <w:sz w:val="24"/>
                <w:szCs w:val="24"/>
              </w:rPr>
              <w:t>、未提供</w:t>
            </w:r>
            <w:r>
              <w:rPr>
                <w:sz w:val="24"/>
                <w:szCs w:val="24"/>
              </w:rPr>
              <w:t>不得分</w:t>
            </w:r>
            <w:r>
              <w:rPr>
                <w:rFonts w:hint="eastAsia"/>
                <w:sz w:val="24"/>
                <w:szCs w:val="24"/>
              </w:rPr>
              <w:t>。</w:t>
            </w:r>
          </w:p>
        </w:tc>
        <w:tc>
          <w:tcPr>
            <w:tcW w:w="1188" w:type="dxa"/>
            <w:shd w:val="clear" w:color="auto" w:fill="FFFFFF"/>
            <w:vAlign w:val="center"/>
          </w:tcPr>
          <w:p>
            <w:pPr>
              <w:jc w:val="center"/>
              <w:rPr>
                <w:sz w:val="24"/>
                <w:szCs w:val="24"/>
              </w:rPr>
            </w:pPr>
            <w:r>
              <w:rPr>
                <w:rFonts w:hint="eastAsia"/>
                <w:sz w:val="24"/>
                <w:szCs w:val="24"/>
              </w:rPr>
              <w:t>10</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jc w:val="center"/>
              <w:rPr>
                <w:sz w:val="24"/>
                <w:szCs w:val="24"/>
                <w:lang w:val="zh-CN"/>
              </w:rPr>
            </w:pPr>
            <w:r>
              <w:rPr>
                <w:rFonts w:hint="eastAsia"/>
                <w:sz w:val="24"/>
                <w:szCs w:val="24"/>
                <w:lang w:val="zh-CN"/>
              </w:rPr>
              <w:t>项目整体风貌、风格的分析和方案</w:t>
            </w:r>
          </w:p>
        </w:tc>
        <w:tc>
          <w:tcPr>
            <w:tcW w:w="5200" w:type="dxa"/>
            <w:shd w:val="clear" w:color="auto" w:fill="FFFFFF"/>
            <w:vAlign w:val="center"/>
          </w:tcPr>
          <w:p>
            <w:pPr>
              <w:spacing w:line="360" w:lineRule="auto"/>
              <w:rPr>
                <w:sz w:val="24"/>
                <w:szCs w:val="24"/>
                <w:lang w:val="zh-CN"/>
              </w:rPr>
            </w:pPr>
            <w:r>
              <w:rPr>
                <w:rFonts w:hint="eastAsia"/>
                <w:sz w:val="24"/>
                <w:szCs w:val="24"/>
              </w:rPr>
              <w:t>合理提出</w:t>
            </w:r>
            <w:r>
              <w:rPr>
                <w:rFonts w:hint="eastAsia"/>
                <w:sz w:val="24"/>
                <w:szCs w:val="24"/>
                <w:lang w:val="zh-CN"/>
              </w:rPr>
              <w:t>项目定位</w:t>
            </w:r>
            <w:r>
              <w:rPr>
                <w:rFonts w:hint="eastAsia"/>
                <w:sz w:val="24"/>
                <w:szCs w:val="24"/>
              </w:rPr>
              <w:t>及概念</w:t>
            </w:r>
            <w:r>
              <w:rPr>
                <w:rFonts w:hint="eastAsia"/>
                <w:sz w:val="24"/>
                <w:szCs w:val="24"/>
                <w:lang w:val="zh-CN"/>
              </w:rPr>
              <w:t>，</w:t>
            </w:r>
            <w:r>
              <w:rPr>
                <w:rFonts w:hint="eastAsia"/>
                <w:sz w:val="24"/>
                <w:szCs w:val="24"/>
              </w:rPr>
              <w:t>合理确定留、拆、改、增等建设内容，并完成</w:t>
            </w:r>
            <w:r>
              <w:rPr>
                <w:rFonts w:hint="eastAsia"/>
                <w:sz w:val="24"/>
                <w:szCs w:val="24"/>
                <w:lang w:val="zh-CN"/>
              </w:rPr>
              <w:t>整体方案效果：</w:t>
            </w:r>
          </w:p>
          <w:p>
            <w:pPr>
              <w:pStyle w:val="14"/>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w:t>
            </w:r>
            <w:r>
              <w:rPr>
                <w:rFonts w:hint="eastAsia"/>
                <w:sz w:val="24"/>
                <w:szCs w:val="24"/>
              </w:rPr>
              <w:t>提出的</w:t>
            </w:r>
            <w:r>
              <w:rPr>
                <w:rFonts w:hint="eastAsia"/>
                <w:sz w:val="24"/>
                <w:szCs w:val="24"/>
                <w:lang w:val="zh-CN"/>
              </w:rPr>
              <w:t>项目定位</w:t>
            </w:r>
            <w:r>
              <w:rPr>
                <w:rFonts w:hint="eastAsia"/>
                <w:sz w:val="24"/>
                <w:szCs w:val="24"/>
              </w:rPr>
              <w:t>及概念合理</w:t>
            </w:r>
            <w:r>
              <w:rPr>
                <w:rFonts w:hint="eastAsia"/>
                <w:sz w:val="24"/>
                <w:szCs w:val="24"/>
                <w:lang w:val="zh-CN"/>
              </w:rPr>
              <w:t>；</w:t>
            </w:r>
            <w:r>
              <w:rPr>
                <w:rFonts w:hint="eastAsia"/>
                <w:sz w:val="24"/>
                <w:szCs w:val="24"/>
              </w:rPr>
              <w:t>留、拆、改、增等建设内容确定合理；</w:t>
            </w:r>
            <w:r>
              <w:rPr>
                <w:rFonts w:hint="eastAsia"/>
                <w:sz w:val="24"/>
                <w:szCs w:val="24"/>
                <w:lang w:val="zh-CN"/>
              </w:rPr>
              <w:t>整体方案效果</w:t>
            </w:r>
            <w:r>
              <w:rPr>
                <w:rFonts w:hint="eastAsia"/>
                <w:color w:val="000000" w:themeColor="text1"/>
                <w:sz w:val="24"/>
                <w:szCs w:val="24"/>
                <w:lang w:val="zh-CN"/>
                <w14:textFill>
                  <w14:solidFill>
                    <w14:schemeClr w14:val="tx1"/>
                  </w14:solidFill>
                </w14:textFill>
              </w:rPr>
              <w:t>表达清晰</w:t>
            </w:r>
            <w:r>
              <w:rPr>
                <w:rFonts w:hint="eastAsia"/>
                <w:color w:val="000000" w:themeColor="text1"/>
                <w:sz w:val="24"/>
                <w:szCs w:val="24"/>
                <w14:textFill>
                  <w14:solidFill>
                    <w14:schemeClr w14:val="tx1"/>
                  </w14:solidFill>
                </w14:textFill>
              </w:rPr>
              <w:t>充分</w:t>
            </w:r>
            <w:r>
              <w:rPr>
                <w:rFonts w:hint="eastAsia"/>
                <w:color w:val="000000" w:themeColor="text1"/>
                <w:sz w:val="24"/>
                <w:szCs w:val="24"/>
                <w:lang w:val="zh-CN"/>
                <w14:textFill>
                  <w14:solidFill>
                    <w14:schemeClr w14:val="tx1"/>
                  </w14:solidFill>
                </w14:textFill>
              </w:rPr>
              <w:t>得</w:t>
            </w:r>
            <w:r>
              <w:rPr>
                <w:rFonts w:hint="eastAsia"/>
                <w:color w:val="000000" w:themeColor="text1"/>
                <w:sz w:val="24"/>
                <w:szCs w:val="24"/>
                <w14:textFill>
                  <w14:solidFill>
                    <w14:schemeClr w14:val="tx1"/>
                  </w14:solidFill>
                </w14:textFill>
              </w:rPr>
              <w:t>10分</w:t>
            </w:r>
            <w:r>
              <w:rPr>
                <w:rFonts w:hint="eastAsia"/>
                <w:color w:val="000000" w:themeColor="text1"/>
                <w:sz w:val="24"/>
                <w:szCs w:val="24"/>
                <w:lang w:val="zh-CN"/>
                <w14:textFill>
                  <w14:solidFill>
                    <w14:schemeClr w14:val="tx1"/>
                  </w14:solidFill>
                </w14:textFill>
              </w:rPr>
              <w:t>；</w:t>
            </w:r>
          </w:p>
          <w:p>
            <w:pPr>
              <w:pStyle w:val="14"/>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w:t>
            </w:r>
            <w:r>
              <w:rPr>
                <w:rFonts w:hint="eastAsia"/>
                <w:sz w:val="24"/>
                <w:szCs w:val="24"/>
              </w:rPr>
              <w:t>提出的</w:t>
            </w:r>
            <w:r>
              <w:rPr>
                <w:rFonts w:hint="eastAsia"/>
                <w:sz w:val="24"/>
                <w:szCs w:val="24"/>
                <w:lang w:val="zh-CN"/>
              </w:rPr>
              <w:t>项目定位</w:t>
            </w:r>
            <w:r>
              <w:rPr>
                <w:rFonts w:hint="eastAsia"/>
                <w:sz w:val="24"/>
                <w:szCs w:val="24"/>
              </w:rPr>
              <w:t>及概念较为合理</w:t>
            </w:r>
            <w:r>
              <w:rPr>
                <w:rFonts w:hint="eastAsia"/>
                <w:sz w:val="24"/>
                <w:szCs w:val="24"/>
                <w:lang w:val="zh-CN"/>
              </w:rPr>
              <w:t>；</w:t>
            </w:r>
            <w:r>
              <w:rPr>
                <w:rFonts w:hint="eastAsia"/>
                <w:sz w:val="24"/>
                <w:szCs w:val="24"/>
              </w:rPr>
              <w:t>留、拆、改、增等建设内容确定较为合理；</w:t>
            </w:r>
            <w:r>
              <w:rPr>
                <w:rFonts w:hint="eastAsia"/>
                <w:sz w:val="24"/>
                <w:szCs w:val="24"/>
                <w:lang w:val="zh-CN"/>
              </w:rPr>
              <w:t>整体方案效果</w:t>
            </w:r>
            <w:r>
              <w:rPr>
                <w:rFonts w:hint="eastAsia"/>
                <w:color w:val="000000" w:themeColor="text1"/>
                <w:sz w:val="24"/>
                <w:szCs w:val="24"/>
                <w:lang w:val="zh-CN"/>
                <w14:textFill>
                  <w14:solidFill>
                    <w14:schemeClr w14:val="tx1"/>
                  </w14:solidFill>
                </w14:textFill>
              </w:rPr>
              <w:t>表达</w:t>
            </w:r>
            <w:r>
              <w:rPr>
                <w:rFonts w:hint="eastAsia"/>
                <w:color w:val="000000" w:themeColor="text1"/>
                <w:sz w:val="24"/>
                <w:szCs w:val="24"/>
                <w14:textFill>
                  <w14:solidFill>
                    <w14:schemeClr w14:val="tx1"/>
                  </w14:solidFill>
                </w14:textFill>
              </w:rPr>
              <w:t>较为</w:t>
            </w:r>
            <w:r>
              <w:rPr>
                <w:rFonts w:hint="eastAsia"/>
                <w:color w:val="000000" w:themeColor="text1"/>
                <w:sz w:val="24"/>
                <w:szCs w:val="24"/>
                <w:lang w:val="zh-CN"/>
                <w14:textFill>
                  <w14:solidFill>
                    <w14:schemeClr w14:val="tx1"/>
                  </w14:solidFill>
                </w14:textFill>
              </w:rPr>
              <w:t>清晰</w:t>
            </w:r>
            <w:r>
              <w:rPr>
                <w:rFonts w:hint="eastAsia"/>
                <w:color w:val="000000" w:themeColor="text1"/>
                <w:sz w:val="24"/>
                <w:szCs w:val="24"/>
                <w14:textFill>
                  <w14:solidFill>
                    <w14:schemeClr w14:val="tx1"/>
                  </w14:solidFill>
                </w14:textFill>
              </w:rPr>
              <w:t>充分得7分</w:t>
            </w:r>
            <w:r>
              <w:rPr>
                <w:rFonts w:hint="eastAsia"/>
                <w:color w:val="000000" w:themeColor="text1"/>
                <w:sz w:val="24"/>
                <w:szCs w:val="24"/>
                <w:lang w:val="zh-CN"/>
                <w14:textFill>
                  <w14:solidFill>
                    <w14:schemeClr w14:val="tx1"/>
                  </w14:solidFill>
                </w14:textFill>
              </w:rPr>
              <w:t>；</w:t>
            </w:r>
          </w:p>
          <w:p>
            <w:pPr>
              <w:pStyle w:val="14"/>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3、</w:t>
            </w:r>
            <w:r>
              <w:rPr>
                <w:rFonts w:hint="eastAsia"/>
                <w:sz w:val="24"/>
                <w:szCs w:val="24"/>
              </w:rPr>
              <w:t>提出的</w:t>
            </w:r>
            <w:r>
              <w:rPr>
                <w:rFonts w:hint="eastAsia"/>
                <w:sz w:val="24"/>
                <w:szCs w:val="24"/>
                <w:lang w:val="zh-CN"/>
              </w:rPr>
              <w:t>项目定位</w:t>
            </w:r>
            <w:r>
              <w:rPr>
                <w:rFonts w:hint="eastAsia"/>
                <w:sz w:val="24"/>
                <w:szCs w:val="24"/>
              </w:rPr>
              <w:t>及概念一般</w:t>
            </w:r>
            <w:r>
              <w:rPr>
                <w:rFonts w:hint="eastAsia"/>
                <w:sz w:val="24"/>
                <w:szCs w:val="24"/>
                <w:lang w:val="zh-CN"/>
              </w:rPr>
              <w:t>；</w:t>
            </w:r>
            <w:r>
              <w:rPr>
                <w:rFonts w:hint="eastAsia"/>
                <w:sz w:val="24"/>
                <w:szCs w:val="24"/>
              </w:rPr>
              <w:t>留、拆、改、增等建设内容确定的合理性一般；</w:t>
            </w:r>
            <w:r>
              <w:rPr>
                <w:rFonts w:hint="eastAsia"/>
                <w:sz w:val="24"/>
                <w:szCs w:val="24"/>
                <w:lang w:val="zh-CN"/>
              </w:rPr>
              <w:t>整体方案效果</w:t>
            </w:r>
            <w:r>
              <w:rPr>
                <w:rFonts w:hint="eastAsia"/>
                <w:color w:val="000000" w:themeColor="text1"/>
                <w:sz w:val="24"/>
                <w:szCs w:val="24"/>
                <w:lang w:val="zh-CN"/>
                <w14:textFill>
                  <w14:solidFill>
                    <w14:schemeClr w14:val="tx1"/>
                  </w14:solidFill>
                </w14:textFill>
              </w:rPr>
              <w:t>表达</w:t>
            </w:r>
            <w:r>
              <w:rPr>
                <w:rFonts w:hint="eastAsia"/>
                <w:color w:val="000000" w:themeColor="text1"/>
                <w:sz w:val="24"/>
                <w:szCs w:val="24"/>
                <w14:textFill>
                  <w14:solidFill>
                    <w14:schemeClr w14:val="tx1"/>
                  </w14:solidFill>
                </w14:textFill>
              </w:rPr>
              <w:t>一般得3分</w:t>
            </w:r>
            <w:r>
              <w:rPr>
                <w:rFonts w:hint="eastAsia"/>
                <w:color w:val="000000" w:themeColor="text1"/>
                <w:sz w:val="24"/>
                <w:szCs w:val="24"/>
                <w:lang w:val="zh-CN"/>
                <w14:textFill>
                  <w14:solidFill>
                    <w14:schemeClr w14:val="tx1"/>
                  </w14:solidFill>
                </w14:textFill>
              </w:rPr>
              <w:t>；</w:t>
            </w:r>
          </w:p>
          <w:p>
            <w:pPr>
              <w:pStyle w:val="14"/>
              <w:rPr>
                <w:sz w:val="24"/>
                <w:szCs w:val="24"/>
                <w:lang w:val="zh-CN"/>
              </w:rPr>
            </w:pPr>
            <w:r>
              <w:rPr>
                <w:rFonts w:hint="eastAsia"/>
                <w:color w:val="000000" w:themeColor="text1"/>
                <w:sz w:val="24"/>
                <w:szCs w:val="24"/>
                <w:lang w:val="zh-CN"/>
                <w14:textFill>
                  <w14:solidFill>
                    <w14:schemeClr w14:val="tx1"/>
                  </w14:solidFill>
                </w14:textFill>
              </w:rPr>
              <w:t>4、</w:t>
            </w:r>
            <w:r>
              <w:rPr>
                <w:rFonts w:hint="eastAsia"/>
                <w:color w:val="000000" w:themeColor="text1"/>
                <w:sz w:val="24"/>
                <w:szCs w:val="24"/>
                <w14:textFill>
                  <w14:solidFill>
                    <w14:schemeClr w14:val="tx1"/>
                  </w14:solidFill>
                </w14:textFill>
              </w:rPr>
              <w:t>未提供不得分。</w:t>
            </w:r>
          </w:p>
        </w:tc>
        <w:tc>
          <w:tcPr>
            <w:tcW w:w="1188" w:type="dxa"/>
            <w:shd w:val="clear" w:color="auto" w:fill="FFFFFF"/>
            <w:vAlign w:val="center"/>
          </w:tcPr>
          <w:p>
            <w:pPr>
              <w:jc w:val="center"/>
              <w:rPr>
                <w:sz w:val="24"/>
                <w:szCs w:val="24"/>
              </w:rPr>
            </w:pPr>
            <w:r>
              <w:rPr>
                <w:rFonts w:hint="eastAsia"/>
                <w:sz w:val="24"/>
                <w:szCs w:val="24"/>
              </w:rPr>
              <w:t>1</w:t>
            </w:r>
            <w:r>
              <w:rPr>
                <w:sz w:val="24"/>
                <w:szCs w:val="24"/>
              </w:rPr>
              <w:t>0</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jc w:val="center"/>
              <w:rPr>
                <w:sz w:val="24"/>
                <w:szCs w:val="24"/>
                <w:lang w:val="zh-CN"/>
              </w:rPr>
            </w:pPr>
            <w:r>
              <w:rPr>
                <w:rFonts w:hint="eastAsia"/>
                <w:sz w:val="24"/>
                <w:szCs w:val="24"/>
                <w:lang w:val="zh-CN"/>
              </w:rPr>
              <w:t>项目总图规划和建筑方案设计</w:t>
            </w:r>
          </w:p>
        </w:tc>
        <w:tc>
          <w:tcPr>
            <w:tcW w:w="5200" w:type="dxa"/>
            <w:shd w:val="clear" w:color="auto" w:fill="FFFFFF"/>
            <w:vAlign w:val="center"/>
          </w:tcPr>
          <w:p>
            <w:pPr>
              <w:spacing w:line="360" w:lineRule="auto"/>
              <w:rPr>
                <w:rFonts w:ascii="宋体" w:hAnsi="宋体" w:cs="宋体"/>
                <w:sz w:val="24"/>
                <w:szCs w:val="24"/>
                <w:lang w:val="zh-CN" w:bidi="zh-CN"/>
              </w:rPr>
            </w:pPr>
            <w:r>
              <w:rPr>
                <w:rFonts w:hint="eastAsia" w:ascii="宋体" w:hAnsi="宋体" w:cs="宋体"/>
                <w:sz w:val="24"/>
                <w:szCs w:val="24"/>
                <w:lang w:bidi="zh-CN"/>
              </w:rPr>
              <w:t>根据</w:t>
            </w:r>
            <w:r>
              <w:rPr>
                <w:rFonts w:hint="eastAsia" w:ascii="宋体" w:hAnsi="宋体" w:cs="宋体"/>
                <w:sz w:val="24"/>
                <w:szCs w:val="24"/>
                <w:lang w:val="zh-CN" w:bidi="zh-CN"/>
              </w:rPr>
              <w:t>项目定位</w:t>
            </w:r>
            <w:r>
              <w:rPr>
                <w:rFonts w:hint="eastAsia" w:ascii="宋体" w:hAnsi="宋体" w:cs="宋体"/>
                <w:sz w:val="24"/>
                <w:szCs w:val="24"/>
                <w:lang w:bidi="zh-CN"/>
              </w:rPr>
              <w:t>并按照国家方案阶段深度标准，完成总平面图及相关分析图和建筑</w:t>
            </w:r>
            <w:r>
              <w:rPr>
                <w:rFonts w:hint="eastAsia" w:ascii="宋体" w:hAnsi="宋体" w:cs="宋体"/>
                <w:sz w:val="24"/>
                <w:szCs w:val="24"/>
                <w:lang w:val="zh-CN" w:bidi="zh-CN"/>
              </w:rPr>
              <w:t>方案设计</w:t>
            </w:r>
            <w:r>
              <w:rPr>
                <w:rFonts w:hint="eastAsia" w:ascii="宋体" w:hAnsi="宋体" w:cs="宋体"/>
                <w:sz w:val="24"/>
                <w:szCs w:val="24"/>
                <w:lang w:bidi="zh-CN"/>
              </w:rPr>
              <w:t>图纸</w:t>
            </w:r>
            <w:r>
              <w:rPr>
                <w:rFonts w:hint="eastAsia" w:ascii="宋体" w:hAnsi="宋体" w:cs="宋体"/>
                <w:sz w:val="24"/>
                <w:szCs w:val="24"/>
                <w:lang w:val="zh-CN" w:bidi="zh-CN"/>
              </w:rPr>
              <w:t>：</w:t>
            </w:r>
          </w:p>
          <w:p>
            <w:pPr>
              <w:spacing w:line="360" w:lineRule="auto"/>
              <w:rPr>
                <w:rFonts w:ascii="宋体" w:hAnsi="宋体" w:cs="宋体"/>
                <w:sz w:val="24"/>
                <w:szCs w:val="24"/>
                <w:lang w:val="zh-CN" w:bidi="zh-CN"/>
              </w:rPr>
            </w:pPr>
            <w:r>
              <w:rPr>
                <w:rFonts w:hint="eastAsia" w:ascii="宋体" w:hAnsi="宋体" w:cs="宋体"/>
                <w:sz w:val="24"/>
                <w:szCs w:val="24"/>
                <w:lang w:val="zh-CN" w:bidi="zh-CN"/>
              </w:rPr>
              <w:t>1、</w:t>
            </w:r>
            <w:r>
              <w:rPr>
                <w:rFonts w:hint="eastAsia"/>
                <w:color w:val="000000" w:themeColor="text1"/>
                <w:sz w:val="24"/>
                <w:szCs w:val="24"/>
                <w:lang w:val="zh-CN"/>
                <w14:textFill>
                  <w14:solidFill>
                    <w14:schemeClr w14:val="tx1"/>
                  </w14:solidFill>
                </w14:textFill>
              </w:rPr>
              <w:t>总图及建筑专业技术图纸齐全、表达清晰、深度完善</w:t>
            </w:r>
            <w:r>
              <w:rPr>
                <w:rFonts w:hint="eastAsia" w:ascii="宋体" w:hAnsi="宋体" w:cs="宋体"/>
                <w:sz w:val="24"/>
                <w:szCs w:val="24"/>
                <w:lang w:val="zh-CN" w:bidi="zh-CN"/>
              </w:rPr>
              <w:t>得</w:t>
            </w:r>
            <w:r>
              <w:rPr>
                <w:rFonts w:hint="eastAsia" w:ascii="仿宋" w:hAnsi="仿宋" w:eastAsia="仿宋" w:cs="仿宋"/>
                <w:sz w:val="24"/>
                <w:lang w:val="zh-CN" w:bidi="zh-CN"/>
              </w:rPr>
              <w:t>20</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hint="eastAsia" w:ascii="宋体" w:hAnsi="宋体" w:cs="宋体"/>
                <w:sz w:val="24"/>
                <w:szCs w:val="24"/>
                <w:lang w:val="zh-CN" w:bidi="zh-CN"/>
              </w:rPr>
              <w:t>2、</w:t>
            </w:r>
            <w:r>
              <w:rPr>
                <w:rFonts w:hint="eastAsia"/>
                <w:color w:val="000000" w:themeColor="text1"/>
                <w:sz w:val="24"/>
                <w:szCs w:val="24"/>
                <w:lang w:val="zh-CN"/>
                <w14:textFill>
                  <w14:solidFill>
                    <w14:schemeClr w14:val="tx1"/>
                  </w14:solidFill>
                </w14:textFill>
              </w:rPr>
              <w:t>总图及建筑专业技术图纸较齐全、表达较清晰、深度较完善</w:t>
            </w:r>
            <w:r>
              <w:rPr>
                <w:rFonts w:hint="eastAsia" w:ascii="宋体" w:hAnsi="宋体" w:cs="宋体"/>
                <w:sz w:val="24"/>
                <w:szCs w:val="24"/>
                <w:lang w:val="zh-CN" w:bidi="zh-CN"/>
              </w:rPr>
              <w:t>得</w:t>
            </w:r>
            <w:r>
              <w:rPr>
                <w:rFonts w:ascii="宋体" w:hAnsi="宋体" w:cs="宋体"/>
                <w:sz w:val="24"/>
                <w:szCs w:val="24"/>
                <w:lang w:val="zh-CN" w:bidi="zh-CN"/>
              </w:rPr>
              <w:t>10</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hint="eastAsia" w:ascii="宋体" w:hAnsi="宋体" w:cs="宋体"/>
                <w:sz w:val="24"/>
                <w:szCs w:val="24"/>
                <w:lang w:val="zh-CN" w:bidi="zh-CN"/>
              </w:rPr>
              <w:t>3、</w:t>
            </w:r>
            <w:r>
              <w:rPr>
                <w:rFonts w:hint="eastAsia"/>
                <w:color w:val="000000" w:themeColor="text1"/>
                <w:sz w:val="24"/>
                <w:szCs w:val="24"/>
                <w:lang w:val="zh-CN"/>
                <w14:textFill>
                  <w14:solidFill>
                    <w14:schemeClr w14:val="tx1"/>
                  </w14:solidFill>
                </w14:textFill>
              </w:rPr>
              <w:t>总图及建筑专业技术图纸不齐全、深度一般</w:t>
            </w:r>
            <w:r>
              <w:rPr>
                <w:rFonts w:ascii="宋体" w:hAnsi="宋体" w:cs="宋体"/>
                <w:sz w:val="24"/>
                <w:szCs w:val="24"/>
                <w:lang w:bidi="zh-CN"/>
              </w:rPr>
              <w:t>5</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hint="eastAsia" w:ascii="宋体" w:hAnsi="宋体" w:cs="宋体"/>
                <w:sz w:val="24"/>
                <w:szCs w:val="24"/>
                <w:lang w:val="zh-CN" w:bidi="zh-CN"/>
              </w:rPr>
              <w:t>4、</w:t>
            </w:r>
            <w:r>
              <w:rPr>
                <w:rFonts w:hint="eastAsia"/>
                <w:sz w:val="24"/>
                <w:szCs w:val="24"/>
              </w:rPr>
              <w:t>未提供</w:t>
            </w:r>
            <w:r>
              <w:rPr>
                <w:sz w:val="24"/>
                <w:szCs w:val="24"/>
              </w:rPr>
              <w:t>不得分</w:t>
            </w:r>
            <w:r>
              <w:rPr>
                <w:rFonts w:hint="eastAsia"/>
                <w:sz w:val="24"/>
                <w:szCs w:val="24"/>
              </w:rPr>
              <w:t>。</w:t>
            </w:r>
          </w:p>
        </w:tc>
        <w:tc>
          <w:tcPr>
            <w:tcW w:w="1188" w:type="dxa"/>
            <w:shd w:val="clear" w:color="auto" w:fill="FFFFFF"/>
            <w:vAlign w:val="center"/>
          </w:tcPr>
          <w:p>
            <w:pPr>
              <w:jc w:val="center"/>
              <w:rPr>
                <w:sz w:val="24"/>
                <w:szCs w:val="24"/>
              </w:rPr>
            </w:pPr>
            <w:r>
              <w:rPr>
                <w:sz w:val="24"/>
                <w:szCs w:val="24"/>
              </w:rPr>
              <w:t>20</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spacing w:line="360" w:lineRule="auto"/>
              <w:rPr>
                <w:rFonts w:ascii="宋体" w:hAnsi="宋体" w:cs="宋体"/>
                <w:sz w:val="24"/>
                <w:szCs w:val="24"/>
                <w:lang w:val="zh-CN" w:bidi="zh-CN"/>
              </w:rPr>
            </w:pPr>
            <w:r>
              <w:rPr>
                <w:rFonts w:hint="eastAsia" w:ascii="宋体" w:hAnsi="宋体" w:cs="宋体"/>
                <w:sz w:val="24"/>
                <w:szCs w:val="24"/>
                <w:lang w:val="zh-CN" w:bidi="zh-CN"/>
              </w:rPr>
              <w:t>专项设计理念和方案</w:t>
            </w:r>
          </w:p>
        </w:tc>
        <w:tc>
          <w:tcPr>
            <w:tcW w:w="5200" w:type="dxa"/>
            <w:shd w:val="clear" w:color="auto" w:fill="FFFFFF"/>
            <w:vAlign w:val="center"/>
          </w:tcPr>
          <w:p>
            <w:pPr>
              <w:spacing w:line="360" w:lineRule="auto"/>
              <w:rPr>
                <w:rFonts w:ascii="宋体" w:hAnsi="宋体" w:cs="宋体"/>
                <w:sz w:val="24"/>
                <w:szCs w:val="24"/>
                <w:lang w:val="zh-CN" w:bidi="zh-CN"/>
              </w:rPr>
            </w:pPr>
            <w:r>
              <w:rPr>
                <w:rFonts w:hint="eastAsia" w:ascii="宋体" w:hAnsi="宋体" w:cs="宋体"/>
                <w:sz w:val="24"/>
                <w:szCs w:val="24"/>
                <w:lang w:bidi="zh-CN"/>
              </w:rPr>
              <w:t>完成</w:t>
            </w:r>
            <w:r>
              <w:rPr>
                <w:rFonts w:hint="eastAsia" w:ascii="宋体" w:hAnsi="宋体" w:cs="宋体"/>
                <w:sz w:val="24"/>
                <w:szCs w:val="24"/>
                <w:lang w:val="zh-CN" w:bidi="zh-CN"/>
              </w:rPr>
              <w:t>室外管网设计</w:t>
            </w:r>
            <w:r>
              <w:rPr>
                <w:rFonts w:hint="eastAsia" w:ascii="宋体" w:hAnsi="宋体" w:cs="宋体"/>
                <w:sz w:val="24"/>
                <w:szCs w:val="24"/>
                <w:lang w:bidi="zh-CN"/>
              </w:rPr>
              <w:t>方案</w:t>
            </w:r>
            <w:r>
              <w:rPr>
                <w:rFonts w:hint="eastAsia" w:ascii="宋体" w:hAnsi="宋体" w:cs="宋体"/>
                <w:sz w:val="24"/>
                <w:szCs w:val="24"/>
                <w:lang w:val="zh-CN" w:bidi="zh-CN"/>
              </w:rPr>
              <w:t>及景观概念设计：</w:t>
            </w:r>
          </w:p>
          <w:p>
            <w:pPr>
              <w:spacing w:line="360" w:lineRule="auto"/>
              <w:rPr>
                <w:rFonts w:ascii="宋体" w:hAnsi="宋体" w:cs="宋体"/>
                <w:sz w:val="24"/>
                <w:szCs w:val="24"/>
                <w:lang w:val="zh-CN" w:bidi="zh-CN"/>
              </w:rPr>
            </w:pPr>
            <w:r>
              <w:rPr>
                <w:rFonts w:hint="eastAsia" w:ascii="宋体" w:hAnsi="宋体" w:cs="宋体"/>
                <w:sz w:val="24"/>
                <w:szCs w:val="24"/>
                <w:lang w:val="zh-CN" w:bidi="zh-CN"/>
              </w:rPr>
              <w:t>1、</w:t>
            </w:r>
            <w:r>
              <w:rPr>
                <w:rFonts w:hint="eastAsia"/>
                <w:color w:val="000000" w:themeColor="text1"/>
                <w:sz w:val="24"/>
                <w:szCs w:val="24"/>
                <w:lang w:val="zh-CN"/>
                <w14:textFill>
                  <w14:solidFill>
                    <w14:schemeClr w14:val="tx1"/>
                  </w14:solidFill>
                </w14:textFill>
              </w:rPr>
              <w:t>室外管网设计方案及景观概念设计完善、功能合理、技术图纸齐全</w:t>
            </w:r>
            <w:r>
              <w:rPr>
                <w:rFonts w:hint="eastAsia" w:ascii="宋体" w:hAnsi="宋体" w:cs="宋体"/>
                <w:sz w:val="24"/>
                <w:szCs w:val="24"/>
                <w:lang w:val="zh-CN" w:bidi="zh-CN"/>
              </w:rPr>
              <w:t>得</w:t>
            </w:r>
            <w:r>
              <w:rPr>
                <w:sz w:val="24"/>
                <w:szCs w:val="24"/>
              </w:rPr>
              <w:t>5</w:t>
            </w:r>
            <w:r>
              <w:rPr>
                <w:rFonts w:hint="eastAsia"/>
                <w:sz w:val="24"/>
                <w:szCs w:val="24"/>
              </w:rPr>
              <w:t>分</w:t>
            </w:r>
            <w:r>
              <w:rPr>
                <w:rFonts w:hint="eastAsia" w:ascii="宋体" w:hAnsi="宋体" w:cs="宋体"/>
                <w:sz w:val="24"/>
                <w:szCs w:val="24"/>
                <w:lang w:val="zh-CN" w:bidi="zh-CN"/>
              </w:rPr>
              <w:t>；</w:t>
            </w:r>
          </w:p>
          <w:p>
            <w:pPr>
              <w:spacing w:line="360" w:lineRule="auto"/>
              <w:rPr>
                <w:sz w:val="24"/>
                <w:szCs w:val="24"/>
                <w:lang w:val="zh-CN"/>
              </w:rPr>
            </w:pPr>
            <w:r>
              <w:rPr>
                <w:rFonts w:ascii="宋体" w:hAnsi="宋体" w:cs="宋体"/>
                <w:sz w:val="24"/>
                <w:szCs w:val="24"/>
                <w:lang w:val="zh-CN" w:bidi="zh-CN"/>
              </w:rPr>
              <w:t>2</w:t>
            </w:r>
            <w:r>
              <w:rPr>
                <w:rFonts w:hint="eastAsia" w:ascii="宋体" w:hAnsi="宋体" w:cs="宋体"/>
                <w:sz w:val="24"/>
                <w:szCs w:val="24"/>
                <w:lang w:val="zh-CN" w:bidi="zh-CN"/>
              </w:rPr>
              <w:t>、</w:t>
            </w:r>
            <w:r>
              <w:rPr>
                <w:rFonts w:hint="eastAsia"/>
                <w:color w:val="000000" w:themeColor="text1"/>
                <w:sz w:val="24"/>
                <w:szCs w:val="24"/>
                <w:lang w:val="zh-CN"/>
                <w14:textFill>
                  <w14:solidFill>
                    <w14:schemeClr w14:val="tx1"/>
                  </w14:solidFill>
                </w14:textFill>
              </w:rPr>
              <w:t>室外管网设计方案及景观概念设计较完善、功能较合理、技术图纸较齐全</w:t>
            </w:r>
            <w:r>
              <w:rPr>
                <w:rFonts w:hint="eastAsia" w:ascii="宋体" w:hAnsi="宋体" w:cs="宋体"/>
                <w:sz w:val="24"/>
                <w:szCs w:val="24"/>
                <w:lang w:val="zh-CN" w:bidi="zh-CN"/>
              </w:rPr>
              <w:t>得</w:t>
            </w:r>
            <w:r>
              <w:rPr>
                <w:sz w:val="24"/>
                <w:szCs w:val="24"/>
              </w:rPr>
              <w:t>3</w:t>
            </w:r>
            <w:r>
              <w:rPr>
                <w:rFonts w:hint="eastAsia"/>
                <w:sz w:val="24"/>
                <w:szCs w:val="24"/>
              </w:rPr>
              <w:t>分</w:t>
            </w:r>
            <w:r>
              <w:rPr>
                <w:rFonts w:hint="eastAsia"/>
                <w:sz w:val="24"/>
                <w:szCs w:val="24"/>
                <w:lang w:val="zh-CN"/>
              </w:rPr>
              <w:t>；</w:t>
            </w:r>
          </w:p>
          <w:p>
            <w:pPr>
              <w:spacing w:line="360" w:lineRule="auto"/>
              <w:rPr>
                <w:rFonts w:ascii="宋体" w:hAnsi="宋体" w:cs="宋体"/>
                <w:sz w:val="24"/>
                <w:szCs w:val="24"/>
                <w:lang w:val="zh-CN" w:bidi="zh-CN"/>
              </w:rPr>
            </w:pPr>
            <w:r>
              <w:rPr>
                <w:rFonts w:ascii="宋体" w:hAnsi="宋体" w:cs="宋体"/>
                <w:sz w:val="24"/>
                <w:szCs w:val="24"/>
                <w:lang w:val="zh-CN" w:bidi="zh-CN"/>
              </w:rPr>
              <w:t>3</w:t>
            </w:r>
            <w:r>
              <w:rPr>
                <w:rFonts w:hint="eastAsia" w:ascii="宋体" w:hAnsi="宋体" w:cs="宋体"/>
                <w:sz w:val="24"/>
                <w:szCs w:val="24"/>
                <w:lang w:val="zh-CN" w:bidi="zh-CN"/>
              </w:rPr>
              <w:t>、</w:t>
            </w:r>
            <w:r>
              <w:rPr>
                <w:rFonts w:hint="eastAsia"/>
                <w:color w:val="000000" w:themeColor="text1"/>
                <w:sz w:val="24"/>
                <w:szCs w:val="24"/>
                <w:lang w:val="zh-CN"/>
                <w14:textFill>
                  <w14:solidFill>
                    <w14:schemeClr w14:val="tx1"/>
                  </w14:solidFill>
                </w14:textFill>
              </w:rPr>
              <w:t>室外管网设计方案及景观概念设计一般、功能一般、技术图纸不齐全</w:t>
            </w:r>
            <w:r>
              <w:rPr>
                <w:rFonts w:hint="eastAsia" w:ascii="宋体" w:hAnsi="宋体" w:cs="宋体"/>
                <w:sz w:val="24"/>
                <w:szCs w:val="24"/>
                <w:lang w:val="zh-CN" w:bidi="zh-CN"/>
              </w:rPr>
              <w:t>得</w:t>
            </w:r>
            <w:r>
              <w:rPr>
                <w:rFonts w:hint="eastAsia" w:ascii="宋体" w:hAnsi="宋体" w:cs="宋体"/>
                <w:sz w:val="24"/>
                <w:szCs w:val="24"/>
                <w:lang w:bidi="zh-CN"/>
              </w:rPr>
              <w:t>1</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ascii="宋体" w:hAnsi="宋体" w:cs="宋体"/>
                <w:sz w:val="24"/>
                <w:szCs w:val="24"/>
                <w:lang w:val="zh-CN" w:bidi="zh-CN"/>
              </w:rPr>
              <w:t>4</w:t>
            </w:r>
            <w:r>
              <w:rPr>
                <w:rFonts w:hint="eastAsia" w:ascii="宋体" w:hAnsi="宋体" w:cs="宋体"/>
                <w:sz w:val="24"/>
                <w:szCs w:val="24"/>
                <w:lang w:val="zh-CN" w:bidi="zh-CN"/>
              </w:rPr>
              <w:t>、</w:t>
            </w:r>
            <w:r>
              <w:rPr>
                <w:rFonts w:hint="eastAsia"/>
                <w:sz w:val="24"/>
                <w:szCs w:val="24"/>
              </w:rPr>
              <w:t>未提供</w:t>
            </w:r>
            <w:r>
              <w:rPr>
                <w:sz w:val="24"/>
                <w:szCs w:val="24"/>
              </w:rPr>
              <w:t>不得分</w:t>
            </w:r>
            <w:r>
              <w:rPr>
                <w:rFonts w:hint="eastAsia"/>
                <w:sz w:val="24"/>
                <w:szCs w:val="24"/>
              </w:rPr>
              <w:t>。</w:t>
            </w:r>
          </w:p>
        </w:tc>
        <w:tc>
          <w:tcPr>
            <w:tcW w:w="1188" w:type="dxa"/>
            <w:shd w:val="clear" w:color="auto" w:fill="FFFFFF"/>
            <w:vAlign w:val="center"/>
          </w:tcPr>
          <w:p>
            <w:pPr>
              <w:jc w:val="center"/>
              <w:rPr>
                <w:sz w:val="24"/>
                <w:szCs w:val="24"/>
              </w:rPr>
            </w:pPr>
            <w:r>
              <w:rPr>
                <w:sz w:val="24"/>
                <w:szCs w:val="24"/>
              </w:rPr>
              <w:t>5</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spacing w:line="360" w:lineRule="auto"/>
              <w:rPr>
                <w:rFonts w:hAnsi="宋体"/>
                <w:bCs/>
                <w:sz w:val="24"/>
                <w:szCs w:val="24"/>
              </w:rPr>
            </w:pPr>
            <w:r>
              <w:rPr>
                <w:rFonts w:hint="eastAsia" w:ascii="宋体" w:hAnsi="宋体" w:cs="宋体"/>
                <w:sz w:val="24"/>
                <w:szCs w:val="24"/>
                <w:lang w:val="zh-CN" w:bidi="zh-CN"/>
              </w:rPr>
              <w:t>各专业设计方案及说明</w:t>
            </w:r>
          </w:p>
        </w:tc>
        <w:tc>
          <w:tcPr>
            <w:tcW w:w="5200" w:type="dxa"/>
            <w:shd w:val="clear" w:color="auto" w:fill="FFFFFF"/>
            <w:vAlign w:val="center"/>
          </w:tcPr>
          <w:p>
            <w:pPr>
              <w:spacing w:line="360" w:lineRule="auto"/>
              <w:rPr>
                <w:rFonts w:ascii="宋体" w:hAnsi="宋体" w:cs="宋体"/>
                <w:sz w:val="24"/>
                <w:szCs w:val="24"/>
                <w:lang w:val="zh-CN" w:bidi="zh-CN"/>
              </w:rPr>
            </w:pPr>
            <w:r>
              <w:rPr>
                <w:rFonts w:hint="eastAsia" w:ascii="宋体" w:hAnsi="宋体" w:cs="宋体"/>
                <w:sz w:val="24"/>
                <w:szCs w:val="24"/>
                <w:lang w:val="zh-CN" w:bidi="zh-CN"/>
              </w:rPr>
              <w:t>结合项目总体方案，对结构、电气、给排水、暖通等专业，阐述方案和说明。</w:t>
            </w:r>
          </w:p>
          <w:p>
            <w:pPr>
              <w:spacing w:line="360" w:lineRule="auto"/>
              <w:rPr>
                <w:rFonts w:ascii="宋体" w:hAnsi="宋体" w:cs="宋体"/>
                <w:sz w:val="24"/>
                <w:szCs w:val="24"/>
                <w:lang w:val="zh-CN" w:bidi="zh-CN"/>
              </w:rPr>
            </w:pPr>
            <w:r>
              <w:rPr>
                <w:rFonts w:hint="eastAsia" w:ascii="宋体" w:hAnsi="宋体" w:cs="宋体"/>
                <w:sz w:val="24"/>
                <w:szCs w:val="24"/>
                <w:lang w:val="zh-CN" w:bidi="zh-CN"/>
              </w:rPr>
              <w:t>1、</w:t>
            </w:r>
            <w:r>
              <w:rPr>
                <w:rFonts w:hint="eastAsia" w:ascii="Calibri" w:hAnsi="宋体" w:cs="Arial"/>
                <w:bCs/>
                <w:color w:val="000000" w:themeColor="text1"/>
                <w:kern w:val="0"/>
                <w:sz w:val="24"/>
                <w:szCs w:val="24"/>
                <w14:textFill>
                  <w14:solidFill>
                    <w14:schemeClr w14:val="tx1"/>
                  </w14:solidFill>
                </w14:textFill>
              </w:rPr>
              <w:t>结构、电气、给排水、暖通等专业设计说明完善、合理，便于实施</w:t>
            </w:r>
            <w:r>
              <w:rPr>
                <w:rFonts w:hint="eastAsia" w:ascii="宋体" w:hAnsi="宋体" w:cs="宋体"/>
                <w:sz w:val="24"/>
                <w:szCs w:val="24"/>
                <w:lang w:val="zh-CN" w:bidi="zh-CN"/>
              </w:rPr>
              <w:t>得</w:t>
            </w:r>
            <w:r>
              <w:rPr>
                <w:rFonts w:ascii="宋体" w:hAnsi="宋体" w:cs="宋体"/>
                <w:sz w:val="24"/>
                <w:szCs w:val="24"/>
                <w:lang w:val="zh-CN" w:bidi="zh-CN"/>
              </w:rPr>
              <w:t>10</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hint="eastAsia" w:ascii="宋体" w:hAnsi="宋体" w:cs="宋体"/>
                <w:sz w:val="24"/>
                <w:szCs w:val="24"/>
                <w:lang w:val="zh-CN" w:bidi="zh-CN"/>
              </w:rPr>
              <w:t>2、</w:t>
            </w:r>
            <w:r>
              <w:rPr>
                <w:rFonts w:hint="eastAsia" w:ascii="Calibri" w:hAnsi="宋体" w:cs="Arial"/>
                <w:bCs/>
                <w:color w:val="000000" w:themeColor="text1"/>
                <w:kern w:val="0"/>
                <w:sz w:val="24"/>
                <w:szCs w:val="24"/>
                <w14:textFill>
                  <w14:solidFill>
                    <w14:schemeClr w14:val="tx1"/>
                  </w14:solidFill>
                </w14:textFill>
              </w:rPr>
              <w:t>结构、电气、给排水、暖通等专业设计说明较完善、合理，较便于实施的</w:t>
            </w:r>
            <w:r>
              <w:rPr>
                <w:rFonts w:hint="eastAsia" w:ascii="宋体" w:hAnsi="宋体" w:cs="宋体"/>
                <w:sz w:val="24"/>
                <w:szCs w:val="24"/>
                <w:lang w:val="zh-CN" w:bidi="zh-CN"/>
              </w:rPr>
              <w:t>得</w:t>
            </w:r>
            <w:r>
              <w:rPr>
                <w:rFonts w:ascii="宋体" w:hAnsi="宋体" w:cs="宋体"/>
                <w:sz w:val="24"/>
                <w:szCs w:val="24"/>
                <w:lang w:val="zh-CN" w:bidi="zh-CN"/>
              </w:rPr>
              <w:t>7</w:t>
            </w:r>
            <w:r>
              <w:rPr>
                <w:rFonts w:hint="eastAsia" w:ascii="宋体" w:hAnsi="宋体" w:cs="宋体"/>
                <w:sz w:val="24"/>
                <w:szCs w:val="24"/>
                <w:lang w:val="zh-CN" w:bidi="zh-CN"/>
              </w:rPr>
              <w:t>分；</w:t>
            </w:r>
          </w:p>
          <w:p>
            <w:pPr>
              <w:spacing w:line="360" w:lineRule="auto"/>
              <w:rPr>
                <w:rFonts w:ascii="宋体" w:hAnsi="宋体" w:cs="宋体"/>
                <w:sz w:val="24"/>
                <w:szCs w:val="24"/>
                <w:lang w:val="zh-CN" w:bidi="zh-CN"/>
              </w:rPr>
            </w:pPr>
            <w:r>
              <w:rPr>
                <w:rFonts w:hint="eastAsia" w:ascii="宋体" w:hAnsi="宋体" w:cs="宋体"/>
                <w:sz w:val="24"/>
                <w:szCs w:val="24"/>
                <w:lang w:val="zh-CN" w:bidi="zh-CN"/>
              </w:rPr>
              <w:t>3、</w:t>
            </w:r>
            <w:r>
              <w:rPr>
                <w:rFonts w:hint="eastAsia" w:ascii="Calibri" w:hAnsi="宋体" w:cs="Arial"/>
                <w:bCs/>
                <w:color w:val="000000" w:themeColor="text1"/>
                <w:kern w:val="0"/>
                <w:sz w:val="24"/>
                <w:szCs w:val="24"/>
                <w14:textFill>
                  <w14:solidFill>
                    <w14:schemeClr w14:val="tx1"/>
                  </w14:solidFill>
                </w14:textFill>
              </w:rPr>
              <w:t>设计一般，不便于实施的</w:t>
            </w:r>
            <w:r>
              <w:rPr>
                <w:rFonts w:hint="eastAsia" w:ascii="宋体" w:hAnsi="宋体" w:cs="宋体"/>
                <w:sz w:val="24"/>
                <w:szCs w:val="24"/>
                <w:lang w:val="zh-CN" w:bidi="zh-CN"/>
              </w:rPr>
              <w:t>得</w:t>
            </w:r>
            <w:r>
              <w:rPr>
                <w:rFonts w:ascii="宋体" w:hAnsi="宋体" w:cs="宋体"/>
                <w:sz w:val="24"/>
                <w:szCs w:val="24"/>
                <w:lang w:val="zh-CN" w:bidi="zh-CN"/>
              </w:rPr>
              <w:t>3</w:t>
            </w:r>
            <w:r>
              <w:rPr>
                <w:rFonts w:hint="eastAsia" w:ascii="宋体" w:hAnsi="宋体" w:cs="宋体"/>
                <w:sz w:val="24"/>
                <w:szCs w:val="24"/>
                <w:lang w:val="zh-CN" w:bidi="zh-CN"/>
              </w:rPr>
              <w:t>分；</w:t>
            </w:r>
          </w:p>
          <w:p>
            <w:pPr>
              <w:spacing w:line="360" w:lineRule="auto"/>
              <w:rPr>
                <w:rFonts w:hAnsi="宋体"/>
                <w:bCs/>
                <w:sz w:val="24"/>
                <w:szCs w:val="24"/>
              </w:rPr>
            </w:pPr>
            <w:r>
              <w:rPr>
                <w:rFonts w:hint="eastAsia" w:ascii="宋体" w:hAnsi="宋体" w:cs="宋体"/>
                <w:sz w:val="24"/>
                <w:szCs w:val="24"/>
                <w:lang w:val="zh-CN" w:bidi="zh-CN"/>
              </w:rPr>
              <w:t>4、</w:t>
            </w:r>
            <w:r>
              <w:rPr>
                <w:rFonts w:hint="eastAsia"/>
                <w:sz w:val="24"/>
                <w:szCs w:val="24"/>
              </w:rPr>
              <w:t>未提供</w:t>
            </w:r>
            <w:r>
              <w:rPr>
                <w:sz w:val="24"/>
                <w:szCs w:val="24"/>
              </w:rPr>
              <w:t>不得分</w:t>
            </w:r>
          </w:p>
        </w:tc>
        <w:tc>
          <w:tcPr>
            <w:tcW w:w="1188" w:type="dxa"/>
            <w:shd w:val="clear" w:color="auto" w:fill="FFFFFF"/>
            <w:vAlign w:val="center"/>
          </w:tcPr>
          <w:p>
            <w:pPr>
              <w:jc w:val="center"/>
              <w:rPr>
                <w:sz w:val="24"/>
                <w:szCs w:val="24"/>
              </w:rPr>
            </w:pPr>
            <w:r>
              <w:rPr>
                <w:rFonts w:hint="eastAsia"/>
                <w:sz w:val="24"/>
                <w:szCs w:val="24"/>
              </w:rPr>
              <w:t>1</w:t>
            </w:r>
            <w:r>
              <w:rPr>
                <w:sz w:val="24"/>
                <w:szCs w:val="24"/>
              </w:rPr>
              <w:t>0</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auto"/>
            <w:vAlign w:val="center"/>
          </w:tcPr>
          <w:p>
            <w:pPr>
              <w:jc w:val="center"/>
              <w:rPr>
                <w:sz w:val="24"/>
                <w:szCs w:val="24"/>
              </w:rPr>
            </w:pPr>
          </w:p>
        </w:tc>
        <w:tc>
          <w:tcPr>
            <w:tcW w:w="1209" w:type="dxa"/>
            <w:shd w:val="clear" w:color="auto" w:fill="FFFFFF"/>
            <w:vAlign w:val="center"/>
          </w:tcPr>
          <w:p>
            <w:pPr>
              <w:pStyle w:val="14"/>
              <w:rPr>
                <w:sz w:val="24"/>
                <w:szCs w:val="24"/>
              </w:rPr>
            </w:pPr>
            <w:r>
              <w:rPr>
                <w:rFonts w:hint="eastAsia" w:hAnsi="宋体" w:cs="Arial"/>
                <w:bCs/>
                <w:kern w:val="0"/>
                <w:sz w:val="24"/>
                <w:szCs w:val="24"/>
              </w:rPr>
              <w:t>重点、难点分析及应对措施</w:t>
            </w:r>
          </w:p>
        </w:tc>
        <w:tc>
          <w:tcPr>
            <w:tcW w:w="5200" w:type="dxa"/>
            <w:shd w:val="clear" w:color="auto" w:fill="FFFFFF"/>
            <w:vAlign w:val="center"/>
          </w:tcPr>
          <w:p>
            <w:pPr>
              <w:spacing w:line="360" w:lineRule="auto"/>
              <w:rPr>
                <w:rFonts w:hAnsi="宋体"/>
                <w:bCs/>
                <w:sz w:val="24"/>
                <w:szCs w:val="24"/>
              </w:rPr>
            </w:pPr>
            <w:r>
              <w:rPr>
                <w:rFonts w:hint="eastAsia" w:hAnsi="宋体"/>
                <w:bCs/>
                <w:sz w:val="24"/>
                <w:szCs w:val="24"/>
              </w:rPr>
              <w:t>根据投标人对本项目的重点和难点的分析及应对措施进行评比：</w:t>
            </w:r>
          </w:p>
          <w:p>
            <w:pPr>
              <w:pStyle w:val="14"/>
              <w:rPr>
                <w:rFonts w:hAnsi="宋体" w:cs="Arial"/>
                <w:bCs/>
                <w:kern w:val="0"/>
                <w:sz w:val="24"/>
                <w:szCs w:val="24"/>
              </w:rPr>
            </w:pPr>
            <w:r>
              <w:rPr>
                <w:rFonts w:hint="eastAsia" w:hAnsi="宋体" w:cs="Arial"/>
                <w:bCs/>
                <w:kern w:val="0"/>
                <w:sz w:val="24"/>
                <w:szCs w:val="24"/>
              </w:rPr>
              <w:t>1、对重点、难点分析全面、合理、准确，应对措施完善，得8分。</w:t>
            </w:r>
          </w:p>
          <w:p>
            <w:pPr>
              <w:pStyle w:val="14"/>
              <w:rPr>
                <w:rFonts w:hAnsi="宋体" w:cs="Arial"/>
                <w:bCs/>
                <w:kern w:val="0"/>
                <w:sz w:val="24"/>
                <w:szCs w:val="24"/>
              </w:rPr>
            </w:pPr>
            <w:r>
              <w:rPr>
                <w:rFonts w:hint="eastAsia" w:hAnsi="宋体" w:cs="Arial"/>
                <w:bCs/>
                <w:kern w:val="0"/>
                <w:sz w:val="24"/>
                <w:szCs w:val="24"/>
              </w:rPr>
              <w:t>2、</w:t>
            </w:r>
            <w:r>
              <w:rPr>
                <w:rFonts w:hint="eastAsia" w:hAnsi="宋体" w:cs="Arial"/>
                <w:bCs/>
                <w:kern w:val="0"/>
                <w:sz w:val="24"/>
                <w:szCs w:val="24"/>
              </w:rPr>
              <w:tab/>
            </w:r>
            <w:r>
              <w:rPr>
                <w:rFonts w:hint="eastAsia" w:hAnsi="宋体" w:cs="Arial"/>
                <w:bCs/>
                <w:kern w:val="0"/>
                <w:sz w:val="24"/>
                <w:szCs w:val="24"/>
              </w:rPr>
              <w:t>对重点、难点分析较全面、较合理、 较准确，应对措施相对可行，得</w:t>
            </w:r>
            <w:r>
              <w:rPr>
                <w:rFonts w:hAnsi="宋体" w:cs="Arial"/>
                <w:bCs/>
                <w:kern w:val="0"/>
                <w:sz w:val="24"/>
                <w:szCs w:val="24"/>
              </w:rPr>
              <w:t>4</w:t>
            </w:r>
            <w:r>
              <w:rPr>
                <w:rFonts w:hint="eastAsia" w:hAnsi="宋体" w:cs="Arial"/>
                <w:bCs/>
                <w:kern w:val="0"/>
                <w:sz w:val="24"/>
                <w:szCs w:val="24"/>
              </w:rPr>
              <w:t>分。</w:t>
            </w:r>
          </w:p>
          <w:p>
            <w:pPr>
              <w:pStyle w:val="14"/>
              <w:rPr>
                <w:rFonts w:hAnsi="宋体" w:cs="Arial"/>
                <w:bCs/>
                <w:kern w:val="0"/>
                <w:sz w:val="24"/>
                <w:szCs w:val="24"/>
              </w:rPr>
            </w:pPr>
            <w:r>
              <w:rPr>
                <w:rFonts w:hint="eastAsia" w:hAnsi="宋体" w:cs="Arial"/>
                <w:bCs/>
                <w:kern w:val="0"/>
                <w:sz w:val="24"/>
                <w:szCs w:val="24"/>
              </w:rPr>
              <w:t>3、</w:t>
            </w:r>
            <w:r>
              <w:rPr>
                <w:rFonts w:hint="eastAsia" w:hAnsi="宋体" w:cs="Arial"/>
                <w:bCs/>
                <w:kern w:val="0"/>
                <w:sz w:val="24"/>
                <w:szCs w:val="24"/>
              </w:rPr>
              <w:tab/>
            </w:r>
            <w:r>
              <w:rPr>
                <w:rFonts w:hint="eastAsia" w:hAnsi="宋体" w:cs="Arial"/>
                <w:bCs/>
                <w:kern w:val="0"/>
                <w:sz w:val="24"/>
                <w:szCs w:val="24"/>
              </w:rPr>
              <w:t>对研究重点、难点分析不够全面、不够合理、不够准确，应对措施一般，得1分。</w:t>
            </w:r>
          </w:p>
          <w:p>
            <w:pPr>
              <w:pStyle w:val="14"/>
              <w:rPr>
                <w:rFonts w:hAnsi="宋体"/>
                <w:bCs/>
                <w:sz w:val="24"/>
                <w:szCs w:val="24"/>
              </w:rPr>
            </w:pPr>
            <w:r>
              <w:rPr>
                <w:rFonts w:hint="eastAsia" w:hAnsi="宋体" w:cs="Arial"/>
                <w:bCs/>
                <w:kern w:val="0"/>
                <w:sz w:val="24"/>
                <w:szCs w:val="24"/>
              </w:rPr>
              <w:t>4、</w:t>
            </w:r>
            <w:r>
              <w:rPr>
                <w:rFonts w:hint="eastAsia" w:hAnsi="宋体" w:cs="Arial"/>
                <w:bCs/>
                <w:kern w:val="0"/>
                <w:sz w:val="24"/>
                <w:szCs w:val="24"/>
              </w:rPr>
              <w:tab/>
            </w:r>
            <w:r>
              <w:rPr>
                <w:rFonts w:hint="eastAsia" w:hAnsi="宋体" w:cs="Arial"/>
                <w:bCs/>
                <w:kern w:val="0"/>
                <w:sz w:val="24"/>
                <w:szCs w:val="24"/>
              </w:rPr>
              <w:t>内容较</w:t>
            </w:r>
            <w:bookmarkStart w:id="174" w:name="_GoBack"/>
            <w:bookmarkEnd w:id="174"/>
            <w:r>
              <w:rPr>
                <w:rFonts w:hint="eastAsia" w:hAnsi="宋体" w:cs="Arial"/>
                <w:bCs/>
                <w:kern w:val="0"/>
                <w:sz w:val="24"/>
                <w:szCs w:val="24"/>
              </w:rPr>
              <w:t>差或未提供，不得分。</w:t>
            </w:r>
          </w:p>
        </w:tc>
        <w:tc>
          <w:tcPr>
            <w:tcW w:w="1188" w:type="dxa"/>
            <w:shd w:val="clear" w:color="auto" w:fill="FFFFFF"/>
            <w:vAlign w:val="center"/>
          </w:tcPr>
          <w:p>
            <w:pPr>
              <w:jc w:val="center"/>
              <w:rPr>
                <w:sz w:val="24"/>
                <w:szCs w:val="24"/>
              </w:rPr>
            </w:pPr>
            <w:r>
              <w:rPr>
                <w:rFonts w:hint="eastAsia"/>
                <w:sz w:val="24"/>
                <w:szCs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FFFFFF"/>
            <w:vAlign w:val="center"/>
          </w:tcPr>
          <w:p>
            <w:pPr>
              <w:jc w:val="center"/>
              <w:rPr>
                <w:sz w:val="24"/>
                <w:szCs w:val="24"/>
              </w:rPr>
            </w:pPr>
          </w:p>
        </w:tc>
        <w:tc>
          <w:tcPr>
            <w:tcW w:w="1209" w:type="dxa"/>
            <w:shd w:val="clear" w:color="auto" w:fill="FFFFFF"/>
            <w:vAlign w:val="center"/>
          </w:tcPr>
          <w:p>
            <w:pPr>
              <w:jc w:val="center"/>
              <w:rPr>
                <w:sz w:val="24"/>
                <w:szCs w:val="24"/>
              </w:rPr>
            </w:pPr>
            <w:r>
              <w:rPr>
                <w:rFonts w:hint="eastAsia" w:hAnsi="宋体"/>
                <w:bCs/>
                <w:sz w:val="24"/>
                <w:szCs w:val="24"/>
              </w:rPr>
              <w:t>工作进度</w:t>
            </w:r>
          </w:p>
        </w:tc>
        <w:tc>
          <w:tcPr>
            <w:tcW w:w="5200" w:type="dxa"/>
            <w:shd w:val="clear" w:color="auto" w:fill="FFFFFF"/>
            <w:vAlign w:val="center"/>
          </w:tcPr>
          <w:p>
            <w:pPr>
              <w:spacing w:line="360" w:lineRule="auto"/>
              <w:rPr>
                <w:rFonts w:hAnsi="宋体"/>
                <w:bCs/>
                <w:sz w:val="24"/>
                <w:szCs w:val="24"/>
              </w:rPr>
            </w:pPr>
            <w:r>
              <w:rPr>
                <w:rFonts w:hint="eastAsia" w:hAnsi="宋体"/>
                <w:bCs/>
                <w:sz w:val="24"/>
                <w:szCs w:val="24"/>
              </w:rPr>
              <w:t>工作进度计划安排，时间配置，好得6分，工作进度计划安排，时间配置较好得3分，工作进度计划安排，时间配置一般得1分，未提供不得分。</w:t>
            </w:r>
          </w:p>
        </w:tc>
        <w:tc>
          <w:tcPr>
            <w:tcW w:w="1188" w:type="dxa"/>
            <w:shd w:val="clear" w:color="auto" w:fill="FFFFFF"/>
            <w:vAlign w:val="center"/>
          </w:tcPr>
          <w:p>
            <w:pPr>
              <w:jc w:val="center"/>
              <w:rPr>
                <w:sz w:val="24"/>
                <w:szCs w:val="24"/>
              </w:rPr>
            </w:pPr>
            <w:r>
              <w:rPr>
                <w:rFonts w:hint="eastAsia"/>
                <w:sz w:val="24"/>
                <w:szCs w:val="24"/>
              </w:rPr>
              <w:t>6</w:t>
            </w:r>
            <w:r>
              <w:rPr>
                <w:rFonts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816" w:type="dxa"/>
            <w:vMerge w:val="continue"/>
            <w:shd w:val="clear" w:color="auto" w:fill="auto"/>
            <w:vAlign w:val="center"/>
          </w:tcPr>
          <w:p>
            <w:pPr>
              <w:jc w:val="center"/>
              <w:rPr>
                <w:sz w:val="24"/>
                <w:szCs w:val="24"/>
              </w:rPr>
            </w:pPr>
          </w:p>
        </w:tc>
        <w:tc>
          <w:tcPr>
            <w:tcW w:w="1372" w:type="dxa"/>
            <w:vMerge w:val="continue"/>
            <w:shd w:val="clear" w:color="auto" w:fill="FFFFFF"/>
            <w:vAlign w:val="center"/>
          </w:tcPr>
          <w:p>
            <w:pPr>
              <w:jc w:val="center"/>
              <w:rPr>
                <w:sz w:val="24"/>
                <w:szCs w:val="24"/>
              </w:rPr>
            </w:pPr>
          </w:p>
        </w:tc>
        <w:tc>
          <w:tcPr>
            <w:tcW w:w="1209" w:type="dxa"/>
            <w:shd w:val="clear" w:color="auto" w:fill="FFFFFF"/>
            <w:vAlign w:val="center"/>
          </w:tcPr>
          <w:p>
            <w:pPr>
              <w:jc w:val="center"/>
              <w:rPr>
                <w:sz w:val="24"/>
                <w:szCs w:val="24"/>
              </w:rPr>
            </w:pPr>
            <w:r>
              <w:rPr>
                <w:rFonts w:hint="eastAsia"/>
                <w:sz w:val="24"/>
                <w:szCs w:val="24"/>
              </w:rPr>
              <w:t>质量保证</w:t>
            </w:r>
          </w:p>
        </w:tc>
        <w:tc>
          <w:tcPr>
            <w:tcW w:w="5200" w:type="dxa"/>
            <w:shd w:val="clear" w:color="auto" w:fill="FFFFFF"/>
            <w:vAlign w:val="center"/>
          </w:tcPr>
          <w:p>
            <w:pPr>
              <w:spacing w:line="360" w:lineRule="auto"/>
              <w:rPr>
                <w:rFonts w:hAnsi="宋体"/>
                <w:bCs/>
                <w:sz w:val="24"/>
                <w:szCs w:val="24"/>
              </w:rPr>
            </w:pPr>
            <w:r>
              <w:rPr>
                <w:rFonts w:hint="eastAsia" w:hAnsi="宋体"/>
                <w:bCs/>
                <w:sz w:val="24"/>
                <w:szCs w:val="24"/>
              </w:rPr>
              <w:t>质量保证方案规范性，全面性，完整性，合理性好得6分，质量保证方案规范性，全面性，完整性，合理性较好得</w:t>
            </w:r>
            <w:r>
              <w:rPr>
                <w:rFonts w:hAnsi="宋体"/>
                <w:bCs/>
                <w:sz w:val="24"/>
                <w:szCs w:val="24"/>
              </w:rPr>
              <w:t>3</w:t>
            </w:r>
            <w:r>
              <w:rPr>
                <w:rFonts w:hint="eastAsia" w:hAnsi="宋体"/>
                <w:bCs/>
                <w:sz w:val="24"/>
                <w:szCs w:val="24"/>
              </w:rPr>
              <w:t>分，质量保证方案规范性，全面性，完整性，合理性一般得1分，未提供不得分。</w:t>
            </w:r>
          </w:p>
        </w:tc>
        <w:tc>
          <w:tcPr>
            <w:tcW w:w="1188" w:type="dxa"/>
            <w:shd w:val="clear" w:color="auto" w:fill="FFFFFF"/>
            <w:vAlign w:val="center"/>
          </w:tcPr>
          <w:p>
            <w:pPr>
              <w:jc w:val="center"/>
              <w:rPr>
                <w:sz w:val="24"/>
                <w:szCs w:val="24"/>
              </w:rPr>
            </w:pPr>
            <w:r>
              <w:rPr>
                <w:rFonts w:hint="eastAsia"/>
                <w:sz w:val="24"/>
                <w:szCs w:val="24"/>
              </w:rPr>
              <w:t>6</w:t>
            </w:r>
            <w:r>
              <w:rPr>
                <w:rFonts w:hAnsi="宋体"/>
                <w:sz w:val="24"/>
                <w:szCs w:val="24"/>
              </w:rPr>
              <w:t>分</w:t>
            </w:r>
          </w:p>
        </w:tc>
      </w:tr>
    </w:tbl>
    <w:p>
      <w:pPr>
        <w:pStyle w:val="19"/>
        <w:rPr>
          <w:rFonts w:ascii="Times New Roman" w:hAnsi="Times New Roman" w:cs="Times New Roman"/>
          <w:sz w:val="24"/>
          <w:szCs w:val="24"/>
        </w:rPr>
      </w:pPr>
    </w:p>
    <w:p>
      <w:pPr>
        <w:spacing w:line="500" w:lineRule="exact"/>
        <w:ind w:left="-199" w:leftChars="-95"/>
      </w:pPr>
      <w:r>
        <w:rPr>
          <w:rFonts w:hint="eastAsia" w:ascii="宋体" w:hAnsi="宋体" w:cs="宋体"/>
          <w:b/>
          <w:bCs/>
          <w:sz w:val="24"/>
        </w:rPr>
        <w:t>注：</w:t>
      </w:r>
      <w:r>
        <w:rPr>
          <w:rFonts w:hint="eastAsia" w:ascii="宋体" w:hAnsi="宋体" w:cs="宋体"/>
          <w:sz w:val="24"/>
        </w:rPr>
        <w:t>打分方法：总分为100分，其中价格因素占10分，技术因素、商务因素占90分。将每位供应商的价格得分、技术得分、商务得分相加即为该供应商的总得分。</w:t>
      </w:r>
    </w:p>
    <w:p>
      <w:pPr>
        <w:spacing w:line="360" w:lineRule="auto"/>
        <w:ind w:firstLine="480" w:firstLineChars="200"/>
        <w:rPr>
          <w:rFonts w:ascii="宋体" w:hAnsi="宋体"/>
          <w:sz w:val="24"/>
        </w:rPr>
      </w:pPr>
      <w:r>
        <w:rPr>
          <w:rFonts w:hint="eastAsia" w:ascii="宋体" w:hAnsi="宋体"/>
          <w:color w:val="000000"/>
          <w:sz w:val="24"/>
        </w:rPr>
        <w:t>1、经评标委员会认可小、微企业产品和产品报价后，投标人相应产品政策计算公式如下：</w:t>
      </w:r>
    </w:p>
    <w:p>
      <w:pPr>
        <w:spacing w:line="360" w:lineRule="auto"/>
        <w:ind w:firstLine="480" w:firstLineChars="200"/>
        <w:rPr>
          <w:rFonts w:ascii="宋体" w:hAnsi="宋体"/>
          <w:sz w:val="24"/>
        </w:rPr>
      </w:pPr>
      <w:r>
        <w:rPr>
          <w:rFonts w:hint="eastAsia" w:ascii="宋体" w:hAnsi="宋体"/>
          <w:sz w:val="24"/>
        </w:rPr>
        <w:t>中小微企业产品价格扣除后的投标人报价=投标人总报价-中小微企业产品报价*扣除幅度。（以价格扣除后的投标人报价作为评审依据）</w:t>
      </w:r>
    </w:p>
    <w:p>
      <w:pPr>
        <w:spacing w:line="360" w:lineRule="auto"/>
        <w:ind w:firstLine="480" w:firstLineChars="200"/>
        <w:jc w:val="left"/>
        <w:rPr>
          <w:rFonts w:ascii="宋体" w:hAnsi="宋体"/>
          <w:sz w:val="24"/>
        </w:rPr>
      </w:pPr>
      <w:r>
        <w:rPr>
          <w:rFonts w:hint="eastAsia" w:ascii="宋体" w:hAnsi="宋体"/>
          <w:sz w:val="24"/>
        </w:rPr>
        <w:t>2、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pPr>
        <w:spacing w:line="360" w:lineRule="auto"/>
        <w:ind w:firstLine="480" w:firstLineChars="200"/>
        <w:jc w:val="left"/>
        <w:rPr>
          <w:rFonts w:ascii="宋体" w:hAnsi="宋体"/>
          <w:sz w:val="24"/>
        </w:rPr>
      </w:pPr>
      <w:r>
        <w:rPr>
          <w:rFonts w:hint="eastAsia" w:ascii="宋体" w:hAnsi="宋体"/>
          <w:sz w:val="24"/>
        </w:rPr>
        <w:t>3、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pPr>
        <w:spacing w:line="500" w:lineRule="exact"/>
        <w:ind w:left="225" w:leftChars="107" w:firstLine="338" w:firstLineChars="141"/>
        <w:jc w:val="left"/>
      </w:pPr>
      <w:r>
        <w:rPr>
          <w:rFonts w:hint="eastAsia" w:ascii="宋体" w:hAnsi="宋体"/>
          <w:sz w:val="24"/>
        </w:rPr>
        <w:t>4、在任何评标环节中，需评标委员会就某项评审结论做出表决的，由评标委员会全体成员按照少数服从多数的原则，以记名投票方式表决。</w:t>
      </w:r>
    </w:p>
    <w:p>
      <w:pPr>
        <w:pStyle w:val="49"/>
        <w:ind w:firstLine="0"/>
        <w:outlineLvl w:val="0"/>
        <w:rPr>
          <w:rFonts w:ascii="宋体" w:hAnsi="宋体" w:eastAsia="宋体" w:cs="宋体"/>
          <w:sz w:val="36"/>
          <w:szCs w:val="44"/>
        </w:rPr>
      </w:pPr>
      <w:bookmarkStart w:id="117" w:name="_Toc25949"/>
      <w:bookmarkStart w:id="118" w:name="_Toc17281"/>
      <w:bookmarkStart w:id="119" w:name="_Toc2458"/>
      <w:bookmarkStart w:id="120" w:name="_Toc3855"/>
      <w:bookmarkStart w:id="121" w:name="_Toc27681"/>
      <w:bookmarkStart w:id="122" w:name="_Toc19504"/>
      <w:bookmarkStart w:id="123" w:name="_Toc4459"/>
      <w:r>
        <w:rPr>
          <w:rFonts w:hint="eastAsia" w:ascii="宋体" w:hAnsi="宋体" w:eastAsia="宋体" w:cs="宋体"/>
          <w:sz w:val="36"/>
          <w:szCs w:val="44"/>
        </w:rPr>
        <w:t>第四章 采购项目需求</w:t>
      </w:r>
      <w:bookmarkEnd w:id="117"/>
      <w:bookmarkEnd w:id="118"/>
      <w:bookmarkEnd w:id="119"/>
      <w:bookmarkEnd w:id="120"/>
      <w:bookmarkEnd w:id="121"/>
      <w:bookmarkEnd w:id="122"/>
      <w:bookmarkEnd w:id="123"/>
    </w:p>
    <w:p>
      <w:pPr>
        <w:spacing w:line="360" w:lineRule="auto"/>
        <w:ind w:firstLine="562" w:firstLineChars="200"/>
        <w:rPr>
          <w:rFonts w:ascii="宋体" w:hAnsi="宋体" w:cs="宋体"/>
          <w:b/>
          <w:bCs/>
          <w:sz w:val="28"/>
          <w:szCs w:val="28"/>
        </w:rPr>
      </w:pPr>
      <w:r>
        <w:rPr>
          <w:rFonts w:hint="eastAsia" w:ascii="宋体" w:hAnsi="宋体" w:cs="宋体"/>
          <w:b/>
          <w:bCs/>
          <w:sz w:val="28"/>
          <w:szCs w:val="28"/>
        </w:rPr>
        <w:t>1.项目简介：</w:t>
      </w:r>
    </w:p>
    <w:p>
      <w:pPr>
        <w:widowControl/>
        <w:spacing w:line="500" w:lineRule="exact"/>
        <w:ind w:left="105" w:leftChars="50" w:right="105" w:firstLine="410" w:firstLineChars="171"/>
        <w:rPr>
          <w:rFonts w:ascii="宋体" w:hAnsi="宋体" w:cs="宋体"/>
          <w:sz w:val="24"/>
          <w:szCs w:val="24"/>
        </w:rPr>
      </w:pPr>
      <w:r>
        <w:rPr>
          <w:rFonts w:hint="eastAsia" w:ascii="宋体" w:hAnsi="宋体" w:cs="宋体"/>
          <w:sz w:val="24"/>
        </w:rPr>
        <w:t>工程名称：</w:t>
      </w:r>
      <w:r>
        <w:rPr>
          <w:rFonts w:hint="eastAsia" w:ascii="宋体" w:hAnsi="宋体"/>
          <w:sz w:val="24"/>
          <w:szCs w:val="24"/>
        </w:rPr>
        <w:t>哈密市西河街道老旧小区改造（一期）项目-规划编制、初步设计和施工图设计</w:t>
      </w:r>
    </w:p>
    <w:p>
      <w:pPr>
        <w:spacing w:line="500" w:lineRule="exact"/>
        <w:ind w:firstLine="480" w:firstLineChars="200"/>
        <w:rPr>
          <w:rFonts w:ascii="宋体" w:hAnsi="宋体" w:cs="宋体"/>
          <w:sz w:val="24"/>
          <w:szCs w:val="24"/>
        </w:rPr>
      </w:pPr>
      <w:r>
        <w:rPr>
          <w:rFonts w:hint="eastAsia" w:ascii="宋体" w:hAnsi="宋体" w:cs="宋体"/>
          <w:sz w:val="24"/>
        </w:rPr>
        <w:t>建设</w:t>
      </w:r>
      <w:r>
        <w:rPr>
          <w:rFonts w:hint="eastAsia" w:ascii="宋体" w:hAnsi="宋体" w:cs="宋体"/>
          <w:sz w:val="24"/>
          <w:szCs w:val="24"/>
        </w:rPr>
        <w:t>地点：位于哈密市西河街道，用地北侧紧邻文化路，南侧紧邻解放路，东侧紧邻中山北路，西侧紧邻中华路。</w:t>
      </w:r>
    </w:p>
    <w:p>
      <w:pPr>
        <w:spacing w:line="360" w:lineRule="auto"/>
        <w:ind w:firstLine="480" w:firstLineChars="200"/>
        <w:rPr>
          <w:rFonts w:ascii="Arial" w:hAnsi="Arial"/>
          <w:sz w:val="24"/>
          <w:szCs w:val="24"/>
          <w:shd w:val="clear" w:color="auto" w:fill="FFFFFF"/>
        </w:rPr>
      </w:pPr>
      <w:r>
        <w:rPr>
          <w:rFonts w:hint="eastAsia" w:ascii="Arial" w:hAnsi="Arial"/>
          <w:sz w:val="24"/>
          <w:szCs w:val="24"/>
          <w:shd w:val="clear" w:color="auto" w:fill="FFFFFF"/>
        </w:rPr>
        <w:t>项目情况：项目总用地面积</w:t>
      </w:r>
      <w:r>
        <w:rPr>
          <w:rFonts w:ascii="Arial" w:hAnsi="Arial"/>
          <w:sz w:val="24"/>
          <w:szCs w:val="24"/>
          <w:shd w:val="clear" w:color="auto" w:fill="FFFFFF"/>
        </w:rPr>
        <w:t>15.24</w:t>
      </w:r>
      <w:r>
        <w:rPr>
          <w:rFonts w:hint="eastAsia" w:ascii="Arial" w:hAnsi="Arial"/>
          <w:sz w:val="24"/>
          <w:szCs w:val="24"/>
          <w:shd w:val="clear" w:color="auto" w:fill="FFFFFF"/>
        </w:rPr>
        <w:t>万㎡。主要建设内容为</w:t>
      </w:r>
    </w:p>
    <w:p>
      <w:pPr>
        <w:spacing w:line="360" w:lineRule="auto"/>
        <w:ind w:firstLine="480" w:firstLineChars="200"/>
        <w:rPr>
          <w:rFonts w:ascii="Arial" w:hAnsi="Arial"/>
          <w:sz w:val="24"/>
          <w:szCs w:val="24"/>
          <w:shd w:val="clear" w:color="auto" w:fill="FFFFFF"/>
        </w:rPr>
      </w:pPr>
      <w:r>
        <w:rPr>
          <w:rFonts w:hint="eastAsia" w:ascii="Arial" w:hAnsi="Arial"/>
          <w:sz w:val="24"/>
          <w:szCs w:val="24"/>
          <w:shd w:val="clear" w:color="auto" w:fill="FFFFFF"/>
        </w:rPr>
        <w:t>1）旧改部分：对七个小区（包含：文锦苑小区、怡康苑小区、中山小区、烟草小区、外贸小区、顺丰苑小区、金叶小区）进行改造，包括地下管网、小区道路、景观绿化、公共服务设施等。</w:t>
      </w:r>
    </w:p>
    <w:p>
      <w:pPr>
        <w:spacing w:line="360" w:lineRule="auto"/>
        <w:ind w:firstLine="480" w:firstLineChars="200"/>
        <w:rPr>
          <w:rFonts w:ascii="Arial" w:hAnsi="Arial"/>
          <w:sz w:val="24"/>
          <w:szCs w:val="24"/>
          <w:shd w:val="clear" w:color="auto" w:fill="FFFFFF"/>
        </w:rPr>
      </w:pPr>
      <w:r>
        <w:rPr>
          <w:rFonts w:ascii="Arial" w:hAnsi="Arial"/>
          <w:sz w:val="24"/>
          <w:szCs w:val="24"/>
          <w:shd w:val="clear" w:color="auto" w:fill="FFFFFF"/>
        </w:rPr>
        <w:t>2</w:t>
      </w:r>
      <w:r>
        <w:rPr>
          <w:rFonts w:hint="eastAsia" w:ascii="Arial" w:hAnsi="Arial"/>
          <w:sz w:val="24"/>
          <w:szCs w:val="24"/>
          <w:shd w:val="clear" w:color="auto" w:fill="FFFFFF"/>
        </w:rPr>
        <w:t>）新建部分：对用地范围内既有情况分析研究，提出“拆改留”策略，配建住宅、商业、配套公共服务设施（老年人日间活动中心</w:t>
      </w:r>
      <w:r>
        <w:rPr>
          <w:rFonts w:ascii="Arial" w:hAnsi="Arial"/>
          <w:sz w:val="24"/>
          <w:szCs w:val="24"/>
          <w:shd w:val="clear" w:color="auto" w:fill="FFFFFF"/>
        </w:rPr>
        <w:t>/</w:t>
      </w:r>
      <w:r>
        <w:rPr>
          <w:rFonts w:hint="eastAsia" w:ascii="Arial" w:hAnsi="Arial"/>
          <w:sz w:val="24"/>
          <w:szCs w:val="24"/>
          <w:shd w:val="clear" w:color="auto" w:fill="FFFFFF"/>
        </w:rPr>
        <w:t>公共厕所）、社区综合服务中心、社区卫生服务中心、老年活动中心、幼儿园、车库（机动、非机动车库以及人防）、设备用房等附属配套。</w:t>
      </w:r>
    </w:p>
    <w:p>
      <w:pPr>
        <w:spacing w:line="360" w:lineRule="auto"/>
        <w:ind w:firstLine="480" w:firstLineChars="200"/>
        <w:rPr>
          <w:rFonts w:ascii="Arial" w:hAnsi="Arial"/>
          <w:sz w:val="24"/>
          <w:szCs w:val="24"/>
          <w:shd w:val="clear" w:color="auto" w:fill="FFFFFF"/>
        </w:rPr>
      </w:pPr>
      <w:r>
        <w:rPr>
          <w:rFonts w:hint="eastAsia" w:ascii="Arial" w:hAnsi="Arial"/>
          <w:sz w:val="24"/>
          <w:szCs w:val="24"/>
          <w:shd w:val="clear" w:color="auto" w:fill="FFFFFF"/>
        </w:rPr>
        <w:t>建设思路：随着哈密市的快速完善，居民的逐渐增多，同时当地居民对高质量社区服务场所的需求也随之增大。该项目以完善社区服务功能、补齐社区服务设施短板为出发点，有效打通城市管理与社区治理“最后一公里”，推进社区适老化、适儿化改造，提升社区综合服务治理功能。</w:t>
      </w:r>
    </w:p>
    <w:p>
      <w:pPr>
        <w:spacing w:line="360" w:lineRule="auto"/>
        <w:ind w:firstLine="420" w:firstLineChars="200"/>
        <w:rPr>
          <w:rFonts w:ascii="Arial" w:hAnsi="Arial"/>
          <w:sz w:val="24"/>
          <w:shd w:val="clear" w:color="auto" w:fill="FFFFFF"/>
        </w:rPr>
      </w:pPr>
      <w:r>
        <w:rPr>
          <w:rFonts w:hint="eastAsia"/>
        </w:rPr>
        <w:t xml:space="preserve"> </w:t>
      </w:r>
      <w:r>
        <w:t xml:space="preserve"> </w:t>
      </w:r>
      <w:r>
        <w:rPr>
          <w:rFonts w:hint="eastAsia" w:ascii="Arial" w:hAnsi="Arial"/>
          <w:sz w:val="24"/>
          <w:shd w:val="clear" w:color="auto" w:fill="FFFFFF"/>
        </w:rPr>
        <w:t>建设场址如下：</w:t>
      </w:r>
    </w:p>
    <w:p>
      <w:pPr>
        <w:pStyle w:val="14"/>
        <w:rPr>
          <w:kern w:val="0"/>
          <w:sz w:val="20"/>
        </w:rPr>
      </w:pPr>
      <w:r>
        <w:drawing>
          <wp:inline distT="0" distB="0" distL="0" distR="0">
            <wp:extent cx="5287645" cy="3140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7645" cy="3140710"/>
                    </a:xfrm>
                    <a:prstGeom prst="rect">
                      <a:avLst/>
                    </a:prstGeom>
                    <a:noFill/>
                    <a:ln>
                      <a:noFill/>
                    </a:ln>
                  </pic:spPr>
                </pic:pic>
              </a:graphicData>
            </a:graphic>
          </wp:inline>
        </w:drawing>
      </w:r>
    </w:p>
    <w:p>
      <w:pPr>
        <w:numPr>
          <w:ilvl w:val="0"/>
          <w:numId w:val="20"/>
        </w:numPr>
        <w:spacing w:line="360" w:lineRule="auto"/>
        <w:rPr>
          <w:rFonts w:ascii="宋体" w:hAnsi="宋体" w:cs="宋体"/>
          <w:b/>
          <w:bCs/>
          <w:sz w:val="28"/>
          <w:szCs w:val="28"/>
        </w:rPr>
      </w:pPr>
      <w:r>
        <w:rPr>
          <w:rFonts w:hint="eastAsia" w:ascii="宋体" w:hAnsi="宋体" w:cs="宋体"/>
          <w:b/>
          <w:bCs/>
          <w:sz w:val="28"/>
          <w:szCs w:val="28"/>
        </w:rPr>
        <w:t>设计范围及内容：</w:t>
      </w:r>
    </w:p>
    <w:p>
      <w:pPr>
        <w:spacing w:line="360" w:lineRule="auto"/>
        <w:ind w:firstLine="482" w:firstLineChars="200"/>
        <w:rPr>
          <w:rFonts w:ascii="Arial" w:hAnsi="Arial"/>
          <w:b/>
          <w:bCs/>
          <w:sz w:val="24"/>
          <w:shd w:val="clear" w:color="auto" w:fill="FFFFFF"/>
        </w:rPr>
      </w:pPr>
      <w:r>
        <w:rPr>
          <w:rFonts w:hint="eastAsia" w:ascii="Arial" w:hAnsi="Arial"/>
          <w:b/>
          <w:bCs/>
          <w:sz w:val="24"/>
          <w:shd w:val="clear" w:color="auto" w:fill="FFFFFF"/>
        </w:rPr>
        <w:t>2</w:t>
      </w:r>
      <w:r>
        <w:rPr>
          <w:rFonts w:ascii="Arial" w:hAnsi="Arial"/>
          <w:b/>
          <w:bCs/>
          <w:sz w:val="24"/>
          <w:shd w:val="clear" w:color="auto" w:fill="FFFFFF"/>
        </w:rPr>
        <w:t>.1</w:t>
      </w:r>
      <w:r>
        <w:rPr>
          <w:rFonts w:hint="eastAsia" w:ascii="Arial" w:hAnsi="Arial"/>
          <w:b/>
          <w:bCs/>
          <w:sz w:val="24"/>
          <w:shd w:val="clear" w:color="auto" w:fill="FFFFFF"/>
        </w:rPr>
        <w:t>设计范围</w:t>
      </w:r>
    </w:p>
    <w:p>
      <w:pPr>
        <w:spacing w:line="360" w:lineRule="auto"/>
        <w:ind w:firstLine="480" w:firstLineChars="200"/>
        <w:rPr>
          <w:rFonts w:ascii="Arial" w:hAnsi="Arial"/>
          <w:sz w:val="24"/>
          <w:shd w:val="clear" w:color="auto" w:fill="FFFFFF"/>
        </w:rPr>
      </w:pPr>
      <w:r>
        <w:rPr>
          <w:rFonts w:hint="eastAsia" w:ascii="Arial" w:hAnsi="Arial"/>
          <w:sz w:val="24"/>
          <w:shd w:val="clear" w:color="auto" w:fill="FFFFFF"/>
        </w:rPr>
        <w:t>本项目设计的内容范围主要包含：规划编制（修建性详细规划）、初步设计、施工图设计</w:t>
      </w:r>
    </w:p>
    <w:p>
      <w:pPr>
        <w:spacing w:line="360" w:lineRule="auto"/>
        <w:ind w:left="480"/>
        <w:rPr>
          <w:rFonts w:ascii="Arial" w:hAnsi="Arial"/>
          <w:b/>
          <w:bCs/>
          <w:sz w:val="24"/>
          <w:shd w:val="clear" w:color="auto" w:fill="FFFFFF"/>
        </w:rPr>
      </w:pPr>
      <w:r>
        <w:rPr>
          <w:rFonts w:hint="eastAsia" w:ascii="Arial" w:hAnsi="Arial"/>
          <w:b/>
          <w:bCs/>
          <w:sz w:val="24"/>
          <w:shd w:val="clear" w:color="auto" w:fill="FFFFFF"/>
        </w:rPr>
        <w:t>2</w:t>
      </w:r>
      <w:r>
        <w:rPr>
          <w:rFonts w:ascii="Arial" w:hAnsi="Arial"/>
          <w:b/>
          <w:bCs/>
          <w:sz w:val="24"/>
          <w:shd w:val="clear" w:color="auto" w:fill="FFFFFF"/>
        </w:rPr>
        <w:t>.2</w:t>
      </w:r>
      <w:r>
        <w:rPr>
          <w:rFonts w:hint="eastAsia" w:ascii="Arial" w:hAnsi="Arial"/>
          <w:b/>
          <w:bCs/>
          <w:sz w:val="24"/>
          <w:shd w:val="clear" w:color="auto" w:fill="FFFFFF"/>
        </w:rPr>
        <w:t>工作内容</w:t>
      </w:r>
    </w:p>
    <w:p>
      <w:pPr>
        <w:spacing w:line="360" w:lineRule="auto"/>
        <w:ind w:firstLine="480" w:firstLineChars="200"/>
        <w:rPr>
          <w:rFonts w:ascii="Arial" w:hAnsi="Arial"/>
          <w:sz w:val="24"/>
          <w:shd w:val="clear" w:color="auto" w:fill="FFFFFF"/>
        </w:rPr>
      </w:pPr>
      <w:r>
        <w:rPr>
          <w:rFonts w:hint="eastAsia" w:ascii="Arial" w:hAnsi="Arial"/>
          <w:sz w:val="24"/>
          <w:shd w:val="clear" w:color="auto" w:fill="FFFFFF"/>
        </w:rPr>
        <w:t>中标人应根据设计各阶段的不同特点和要求，负责适时组织收集、整理、反馈建设单位、政府有关部门、和其他相关单位提出的与项目有关的要求、意见和建议。</w:t>
      </w:r>
    </w:p>
    <w:p>
      <w:pPr>
        <w:spacing w:line="360" w:lineRule="auto"/>
        <w:ind w:firstLine="420" w:firstLineChars="200"/>
        <w:rPr>
          <w:rFonts w:ascii="Verdana" w:hAnsi="Verdana"/>
        </w:rPr>
      </w:pPr>
      <w:r>
        <w:rPr>
          <w:rFonts w:hint="eastAsia"/>
        </w:rPr>
        <w:t xml:space="preserve"> </w:t>
      </w:r>
      <w:r>
        <w:t xml:space="preserve"> </w:t>
      </w:r>
      <w:r>
        <w:rPr>
          <w:rFonts w:hint="eastAsia" w:ascii="Arial" w:hAnsi="Arial"/>
          <w:sz w:val="24"/>
          <w:shd w:val="clear" w:color="auto" w:fill="FFFFFF"/>
        </w:rPr>
        <w:t>中标人应按国家法律法规、标准、规范、设计合同、招标要求及内容进行本项目的各阶段设计工作，并按项目计划集市想业主提供合格的设计各阶段成果、文件、资料、及其他相关工作内容。</w:t>
      </w:r>
    </w:p>
    <w:p>
      <w:pPr>
        <w:spacing w:line="360" w:lineRule="auto"/>
        <w:ind w:firstLine="480" w:firstLineChars="200"/>
        <w:rPr>
          <w:rFonts w:ascii="Arial" w:hAnsi="Arial"/>
          <w:sz w:val="24"/>
          <w:shd w:val="clear" w:color="auto" w:fill="FFFFFF"/>
        </w:rPr>
      </w:pPr>
      <w:r>
        <w:rPr>
          <w:rFonts w:hint="eastAsia" w:ascii="Arial" w:hAnsi="Arial"/>
          <w:sz w:val="24"/>
          <w:shd w:val="clear" w:color="auto" w:fill="FFFFFF"/>
        </w:rPr>
        <w:t>注：具体工作内容中标后双方商定。</w:t>
      </w:r>
    </w:p>
    <w:p>
      <w:pPr>
        <w:numPr>
          <w:ilvl w:val="0"/>
          <w:numId w:val="20"/>
        </w:numPr>
        <w:spacing w:line="360" w:lineRule="auto"/>
        <w:rPr>
          <w:rFonts w:ascii="宋体" w:hAnsi="宋体" w:cs="宋体"/>
          <w:b/>
          <w:bCs/>
          <w:spacing w:val="-2"/>
          <w:sz w:val="28"/>
          <w:szCs w:val="28"/>
        </w:rPr>
      </w:pPr>
      <w:r>
        <w:rPr>
          <w:rFonts w:hint="eastAsia" w:ascii="宋体" w:hAnsi="宋体" w:cs="宋体"/>
          <w:b/>
          <w:bCs/>
          <w:spacing w:val="-2"/>
          <w:sz w:val="28"/>
          <w:szCs w:val="28"/>
        </w:rPr>
        <w:t>服务期：</w:t>
      </w:r>
    </w:p>
    <w:p>
      <w:pPr>
        <w:spacing w:line="360" w:lineRule="auto"/>
        <w:ind w:firstLine="480" w:firstLineChars="200"/>
        <w:rPr>
          <w:rFonts w:ascii="Arial" w:hAnsi="Arial"/>
          <w:sz w:val="24"/>
          <w:shd w:val="clear" w:color="auto" w:fill="FFFFFF"/>
        </w:rPr>
      </w:pPr>
      <w:r>
        <w:rPr>
          <w:rFonts w:hint="eastAsia" w:ascii="Arial" w:hAnsi="Arial"/>
          <w:sz w:val="24"/>
          <w:shd w:val="clear" w:color="auto" w:fill="FFFFFF"/>
        </w:rPr>
        <w:t>本设计服务周期自本工程合同签订之日起，至项目成果验收合格之日止。其中，总设计周期为9</w:t>
      </w:r>
      <w:r>
        <w:rPr>
          <w:rFonts w:ascii="Arial" w:hAnsi="Arial"/>
          <w:sz w:val="24"/>
          <w:shd w:val="clear" w:color="auto" w:fill="FFFFFF"/>
        </w:rPr>
        <w:t>0</w:t>
      </w:r>
      <w:r>
        <w:rPr>
          <w:rFonts w:hint="eastAsia" w:ascii="Arial" w:hAnsi="Arial"/>
          <w:sz w:val="24"/>
          <w:shd w:val="clear" w:color="auto" w:fill="FFFFFF"/>
        </w:rPr>
        <w:t>个日历日。</w:t>
      </w:r>
    </w:p>
    <w:p>
      <w:pPr>
        <w:numPr>
          <w:ilvl w:val="0"/>
          <w:numId w:val="20"/>
        </w:numPr>
        <w:spacing w:line="360" w:lineRule="auto"/>
        <w:rPr>
          <w:rFonts w:ascii="宋体" w:hAnsi="宋体" w:cs="宋体"/>
          <w:b/>
          <w:bCs/>
          <w:spacing w:val="-2"/>
          <w:sz w:val="28"/>
          <w:szCs w:val="28"/>
        </w:rPr>
      </w:pPr>
      <w:r>
        <w:rPr>
          <w:rFonts w:hint="eastAsia" w:ascii="宋体" w:hAnsi="宋体" w:cs="宋体"/>
          <w:b/>
          <w:bCs/>
          <w:spacing w:val="-2"/>
          <w:sz w:val="28"/>
          <w:szCs w:val="28"/>
        </w:rPr>
        <w:t>成果交付：</w:t>
      </w:r>
    </w:p>
    <w:p>
      <w:pPr>
        <w:pStyle w:val="14"/>
        <w:ind w:firstLine="480" w:firstLineChars="200"/>
        <w:rPr>
          <w:rFonts w:ascii="宋体" w:hAnsi="宋体" w:cs="宋体"/>
          <w:kern w:val="0"/>
          <w:sz w:val="24"/>
        </w:rPr>
      </w:pPr>
      <w:r>
        <w:rPr>
          <w:rFonts w:hint="eastAsia" w:ascii="宋体" w:hAnsi="宋体" w:cs="宋体"/>
          <w:kern w:val="0"/>
          <w:sz w:val="24"/>
        </w:rPr>
        <w:t>设计质量应符合国家有关工程设计规范及工程建设强制性标准，满足项目各阶段设计深度的要求，成果交付的具体内容包括：</w:t>
      </w:r>
    </w:p>
    <w:p>
      <w:pPr>
        <w:pStyle w:val="14"/>
        <w:rPr>
          <w:rFonts w:ascii="宋体" w:hAnsi="宋体" w:cs="宋体"/>
          <w:kern w:val="0"/>
          <w:sz w:val="24"/>
        </w:rPr>
      </w:pPr>
      <w:r>
        <w:rPr>
          <w:rFonts w:hint="eastAsia"/>
          <w:kern w:val="0"/>
          <w:sz w:val="20"/>
        </w:rPr>
        <w:t xml:space="preserve"> </w:t>
      </w:r>
      <w:r>
        <w:rPr>
          <w:kern w:val="0"/>
          <w:sz w:val="20"/>
        </w:rPr>
        <w:t xml:space="preserve">    </w:t>
      </w:r>
      <w:r>
        <w:rPr>
          <w:rFonts w:hint="eastAsia" w:ascii="宋体" w:hAnsi="宋体" w:cs="宋体"/>
          <w:kern w:val="0"/>
          <w:sz w:val="24"/>
        </w:rPr>
        <w:t>（1）</w:t>
      </w:r>
      <w:r>
        <w:rPr>
          <w:rFonts w:hint="eastAsia" w:ascii="宋体" w:hAnsi="宋体" w:cs="宋体"/>
          <w:sz w:val="24"/>
          <w:szCs w:val="24"/>
        </w:rPr>
        <w:t>哈密市西河街道老旧小区改造（一期）项目</w:t>
      </w:r>
      <w:r>
        <w:rPr>
          <w:rFonts w:hint="eastAsia" w:ascii="宋体" w:hAnsi="宋体" w:cs="宋体"/>
          <w:kern w:val="0"/>
          <w:sz w:val="24"/>
        </w:rPr>
        <w:t>修建性详细规划文本册、总图图纸。</w:t>
      </w:r>
    </w:p>
    <w:p>
      <w:pPr>
        <w:pStyle w:val="14"/>
        <w:ind w:firstLine="435"/>
        <w:rPr>
          <w:rFonts w:ascii="宋体" w:hAnsi="宋体" w:cs="宋体"/>
          <w:kern w:val="0"/>
          <w:sz w:val="24"/>
        </w:rPr>
      </w:pPr>
      <w:r>
        <w:rPr>
          <w:rFonts w:hint="eastAsia" w:ascii="宋体" w:hAnsi="宋体" w:cs="宋体"/>
          <w:kern w:val="0"/>
          <w:sz w:val="24"/>
        </w:rPr>
        <w:t>（2）</w:t>
      </w:r>
      <w:r>
        <w:rPr>
          <w:rFonts w:hint="eastAsia" w:ascii="宋体" w:hAnsi="宋体" w:cs="宋体"/>
          <w:sz w:val="24"/>
          <w:szCs w:val="24"/>
        </w:rPr>
        <w:t>哈密市西河街道老旧小区改造（一期）项目</w:t>
      </w:r>
      <w:r>
        <w:rPr>
          <w:rFonts w:hint="eastAsia" w:ascii="宋体" w:hAnsi="宋体" w:cs="宋体"/>
          <w:kern w:val="0"/>
          <w:sz w:val="24"/>
        </w:rPr>
        <w:t>初步设计说明书、初步设计图纸、投资概算。</w:t>
      </w:r>
    </w:p>
    <w:p>
      <w:pPr>
        <w:pStyle w:val="14"/>
        <w:ind w:firstLine="435"/>
        <w:rPr>
          <w:rFonts w:ascii="宋体" w:hAnsi="宋体" w:cs="宋体"/>
          <w:sz w:val="24"/>
          <w:szCs w:val="24"/>
        </w:rPr>
      </w:pPr>
      <w:r>
        <w:rPr>
          <w:rFonts w:hint="eastAsia" w:ascii="宋体" w:hAnsi="宋体" w:cs="宋体"/>
          <w:kern w:val="0"/>
          <w:sz w:val="24"/>
        </w:rPr>
        <w:t>（</w:t>
      </w:r>
      <w:r>
        <w:rPr>
          <w:rFonts w:ascii="宋体" w:hAnsi="宋体" w:cs="宋体"/>
          <w:kern w:val="0"/>
          <w:sz w:val="24"/>
        </w:rPr>
        <w:t>3</w:t>
      </w:r>
      <w:r>
        <w:rPr>
          <w:rFonts w:hint="eastAsia" w:ascii="宋体" w:hAnsi="宋体" w:cs="宋体"/>
          <w:kern w:val="0"/>
          <w:sz w:val="24"/>
        </w:rPr>
        <w:t>）</w:t>
      </w:r>
      <w:r>
        <w:rPr>
          <w:rFonts w:hint="eastAsia" w:ascii="宋体" w:hAnsi="宋体" w:cs="宋体"/>
          <w:sz w:val="24"/>
          <w:szCs w:val="24"/>
        </w:rPr>
        <w:t>哈密市西河街道老旧小区改造（一期）项目施工图设计图纸。</w:t>
      </w:r>
    </w:p>
    <w:p>
      <w:pPr>
        <w:pStyle w:val="14"/>
      </w:pPr>
    </w:p>
    <w:p>
      <w:pPr>
        <w:pStyle w:val="49"/>
        <w:ind w:firstLine="0"/>
        <w:jc w:val="both"/>
        <w:outlineLvl w:val="9"/>
      </w:pPr>
    </w:p>
    <w:p>
      <w:pPr>
        <w:pStyle w:val="49"/>
        <w:ind w:firstLine="0"/>
        <w:jc w:val="both"/>
        <w:outlineLvl w:val="9"/>
      </w:pPr>
    </w:p>
    <w:p>
      <w:pPr>
        <w:pStyle w:val="49"/>
        <w:ind w:firstLine="0"/>
        <w:jc w:val="both"/>
        <w:outlineLvl w:val="9"/>
      </w:pPr>
    </w:p>
    <w:p>
      <w:pPr>
        <w:pStyle w:val="49"/>
        <w:ind w:firstLine="0"/>
        <w:jc w:val="both"/>
        <w:outlineLvl w:val="9"/>
      </w:pPr>
    </w:p>
    <w:p>
      <w:bookmarkStart w:id="124" w:name="_Toc6400"/>
      <w:r>
        <w:rPr>
          <w:rFonts w:hint="eastAsia"/>
        </w:rPr>
        <w:br w:type="page"/>
      </w:r>
    </w:p>
    <w:bookmarkEnd w:id="124"/>
    <w:p>
      <w:pPr>
        <w:pStyle w:val="49"/>
        <w:ind w:firstLine="0"/>
        <w:outlineLvl w:val="0"/>
        <w:rPr>
          <w:rFonts w:ascii="宋体" w:hAnsi="宋体" w:eastAsia="宋体" w:cs="宋体"/>
          <w:sz w:val="36"/>
          <w:szCs w:val="44"/>
        </w:rPr>
      </w:pPr>
      <w:bookmarkStart w:id="125" w:name="page71"/>
      <w:bookmarkEnd w:id="125"/>
      <w:bookmarkStart w:id="126" w:name="_Toc331493646"/>
      <w:bookmarkEnd w:id="126"/>
      <w:bookmarkStart w:id="127" w:name="_Toc331493648"/>
      <w:bookmarkEnd w:id="127"/>
      <w:bookmarkStart w:id="128" w:name="_Toc423337562"/>
      <w:bookmarkEnd w:id="128"/>
      <w:bookmarkStart w:id="129" w:name="page72"/>
      <w:bookmarkEnd w:id="129"/>
      <w:bookmarkStart w:id="130" w:name="_Toc106278970"/>
      <w:bookmarkEnd w:id="130"/>
      <w:bookmarkStart w:id="131" w:name="_Toc423337564"/>
      <w:bookmarkEnd w:id="131"/>
      <w:bookmarkStart w:id="132" w:name="_Toc22870"/>
      <w:bookmarkStart w:id="133" w:name="_Toc32281"/>
      <w:bookmarkStart w:id="134" w:name="_Toc5827"/>
      <w:bookmarkStart w:id="135" w:name="_Toc3657"/>
      <w:bookmarkStart w:id="136" w:name="_Toc21577"/>
      <w:bookmarkStart w:id="137" w:name="_Toc10868"/>
      <w:bookmarkStart w:id="138" w:name="_Toc1673"/>
      <w:bookmarkStart w:id="139" w:name="_Toc464375163"/>
      <w:bookmarkStart w:id="140" w:name="_Toc6310"/>
      <w:bookmarkStart w:id="141" w:name="_Toc20455"/>
      <w:r>
        <w:rPr>
          <w:rFonts w:hint="eastAsia" w:ascii="宋体" w:hAnsi="宋体" w:eastAsia="宋体" w:cs="宋体"/>
          <w:sz w:val="36"/>
          <w:szCs w:val="44"/>
        </w:rPr>
        <w:t>第五章  服务合同</w:t>
      </w:r>
      <w:bookmarkEnd w:id="132"/>
      <w:bookmarkEnd w:id="133"/>
      <w:bookmarkEnd w:id="134"/>
      <w:bookmarkEnd w:id="135"/>
      <w:bookmarkEnd w:id="136"/>
      <w:bookmarkEnd w:id="137"/>
      <w:bookmarkEnd w:id="138"/>
    </w:p>
    <w:p>
      <w:pPr>
        <w:rPr>
          <w:rFonts w:ascii="黑体" w:hAnsi="黑体" w:eastAsia="黑体"/>
          <w:sz w:val="28"/>
        </w:rPr>
      </w:pPr>
    </w:p>
    <w:p>
      <w:pPr>
        <w:rPr>
          <w:rFonts w:ascii="宋体" w:hAnsi="宋体"/>
          <w:sz w:val="24"/>
          <w:szCs w:val="24"/>
        </w:rPr>
      </w:pPr>
      <w:r>
        <w:rPr>
          <w:rFonts w:ascii="宋体" w:hAnsi="宋体"/>
          <w:sz w:val="24"/>
          <w:szCs w:val="24"/>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99060</wp:posOffset>
                </wp:positionV>
                <wp:extent cx="228600" cy="198120"/>
                <wp:effectExtent l="0" t="0" r="0" b="0"/>
                <wp:wrapNone/>
                <wp:docPr id="603198275" name="_x0000_s2051"/>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1" o:spid="_x0000_s1026" o:spt="1" style="position:absolute;left:0pt;margin-left:126pt;margin-top:7.8pt;height:15.6pt;width:18pt;z-index:251659264;mso-width-relative:page;mso-height-relative:page;" fillcolor="#FFFFFF" filled="t" stroked="t" coordsize="21600,21600" o:gfxdata="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UtjP41gAA&#10;AAkBAAAPAAAAAAAAAAEAIAAAACIAAABkcnMvZG93bnJldi54bWxQSwECFAAUAAAACACHTuJAQHsz&#10;pucBAAD+AwAADgAAAAAAAAABACAAAAAlAQAAZHJzL2Uyb0RvYy54bWxQSwUGAAAAAAYABgBZAQAA&#10;fgU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99060</wp:posOffset>
                </wp:positionV>
                <wp:extent cx="228600" cy="198120"/>
                <wp:effectExtent l="0" t="0" r="0" b="0"/>
                <wp:wrapNone/>
                <wp:docPr id="2" name="_x0000_s2050"/>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0" o:spid="_x0000_s1026" o:spt="1" style="position:absolute;left:0pt;margin-left:144pt;margin-top:7.8pt;height:15.6pt;width:18pt;z-index:251660288;mso-width-relative:page;mso-height-relative:page;" fillcolor="#FFFFFF" filled="t" stroked="t" coordsize="21600,21600" o:gfxdata="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GnM01wAAAAkBAAAP&#10;AAAAAAAAAAEAIAAAACIAAABkcnMvZG93bnJldi54bWxQSwECFAAUAAAACACHTuJAj1DY2eABAAD2&#10;AwAADgAAAAAAAAABACAAAAAmAQAAZHJzL2Uyb0RvYy54bWxQSwUGAAAAAAYABgBZAQAAeAU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1312" behindDoc="0" locked="0" layoutInCell="1" allowOverlap="1">
                <wp:simplePos x="0" y="0"/>
                <wp:positionH relativeFrom="column">
                  <wp:posOffset>4914900</wp:posOffset>
                </wp:positionH>
                <wp:positionV relativeFrom="paragraph">
                  <wp:posOffset>99060</wp:posOffset>
                </wp:positionV>
                <wp:extent cx="228600" cy="198120"/>
                <wp:effectExtent l="0" t="0" r="0" b="0"/>
                <wp:wrapNone/>
                <wp:docPr id="3" name="_x0000_s2063"/>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63" o:spid="_x0000_s1026" o:spt="1" style="position:absolute;left:0pt;margin-left:387pt;margin-top:7.8pt;height:15.6pt;width:18pt;z-index:251661312;mso-width-relative:page;mso-height-relative:page;" fillcolor="#FFFFFF" filled="t" stroked="t" coordsize="21600,21600" o:gfxdata="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dwGe/XAAAACQEA&#10;AA8AAAAAAAAAAQAgAAAAIgAAAGRycy9kb3ducmV2LnhtbFBLAQIUABQAAAAIAIdO4kC3v6NA4gEA&#10;APYDAAAOAAAAAAAAAAEAIAAAACYBAABkcnMvZTJvRG9jLnhtbFBLBQYAAAAABgAGAFkBAAB6BQAA&#10;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2336" behindDoc="0" locked="0" layoutInCell="1" allowOverlap="1">
                <wp:simplePos x="0" y="0"/>
                <wp:positionH relativeFrom="column">
                  <wp:posOffset>4686300</wp:posOffset>
                </wp:positionH>
                <wp:positionV relativeFrom="paragraph">
                  <wp:posOffset>99060</wp:posOffset>
                </wp:positionV>
                <wp:extent cx="228600" cy="198120"/>
                <wp:effectExtent l="0" t="0" r="0" b="0"/>
                <wp:wrapNone/>
                <wp:docPr id="4" name="_x0000_s2062"/>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62" o:spid="_x0000_s1026" o:spt="1" style="position:absolute;left:0pt;margin-left:369pt;margin-top:7.8pt;height:15.6pt;width:18pt;z-index:251662336;mso-width-relative:page;mso-height-relative:page;" fillcolor="#FFFFFF" filled="t" stroked="t" coordsize="21600,21600" o:gfxdata="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nGBLtcAAAAJAQAA&#10;DwAAAAAAAAABACAAAAAiAAAAZHJzL2Rvd25yZXYueG1sUEsBAhQAFAAAAAgAh07iQKl3pVzhAQAA&#10;9gMAAA4AAAAAAAAAAQAgAAAAJgEAAGRycy9lMm9Eb2MueG1sUEsFBgAAAAAGAAYAWQEAAHkFAAAA&#10;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3360" behindDoc="0" locked="0" layoutInCell="1" allowOverlap="1">
                <wp:simplePos x="0" y="0"/>
                <wp:positionH relativeFrom="column">
                  <wp:posOffset>4457700</wp:posOffset>
                </wp:positionH>
                <wp:positionV relativeFrom="paragraph">
                  <wp:posOffset>99060</wp:posOffset>
                </wp:positionV>
                <wp:extent cx="228600" cy="198120"/>
                <wp:effectExtent l="0" t="0" r="0" b="0"/>
                <wp:wrapNone/>
                <wp:docPr id="5" name="_x0000_s2061"/>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61" o:spid="_x0000_s1026" o:spt="1" style="position:absolute;left:0pt;margin-left:351pt;margin-top:7.8pt;height:15.6pt;width:18pt;z-index:251663360;mso-width-relative:page;mso-height-relative:page;" fillcolor="#FFFFFF" filled="t" stroked="t" coordsize="21600,21600" o:gfxdata="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KR2ctcAAAAJAQAA&#10;DwAAAAAAAAABACAAAAAiAAAAZHJzL2Rvd25yZXYueG1sUEsBAhQAFAAAAAgAh07iQJ64vZ3hAQAA&#10;9gMAAA4AAAAAAAAAAQAgAAAAJgEAAGRycy9lMm9Eb2MueG1sUEsFBgAAAAAGAAYAWQEAAHkFAAAA&#10;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4384" behindDoc="0" locked="0" layoutInCell="1" allowOverlap="1">
                <wp:simplePos x="0" y="0"/>
                <wp:positionH relativeFrom="column">
                  <wp:posOffset>4229100</wp:posOffset>
                </wp:positionH>
                <wp:positionV relativeFrom="paragraph">
                  <wp:posOffset>99060</wp:posOffset>
                </wp:positionV>
                <wp:extent cx="228600" cy="198120"/>
                <wp:effectExtent l="0" t="0" r="0" b="0"/>
                <wp:wrapNone/>
                <wp:docPr id="6" name="_x0000_s2060"/>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60" o:spid="_x0000_s1026" o:spt="1" style="position:absolute;left:0pt;margin-left:333pt;margin-top:7.8pt;height:15.6pt;width:18pt;z-index:251664384;mso-width-relative:page;mso-height-relative:page;" fillcolor="#FFFFFF" filled="t" stroked="t" coordsize="21600,21600" o:gfxdata="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8izIjWAAAACQEAAA8A&#10;AAAAAAAAAQAgAAAAIgAAAGRycy9kb3ducmV2LnhtbFBLAQIUABQAAAAIAIdO4kAqOIoe4AEAAPYD&#10;AAAOAAAAAAAAAAEAIAAAACUBAABkcnMvZTJvRG9jLnhtbFBLBQYAAAAABgAGAFkBAAB3BQ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99060</wp:posOffset>
                </wp:positionV>
                <wp:extent cx="228600" cy="198120"/>
                <wp:effectExtent l="0" t="0" r="0" b="0"/>
                <wp:wrapNone/>
                <wp:docPr id="7" name="_x0000_s2059"/>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9" o:spid="_x0000_s1026" o:spt="1" style="position:absolute;left:0pt;margin-left:306pt;margin-top:7.8pt;height:15.6pt;width:18pt;z-index:251665408;mso-width-relative:page;mso-height-relative:page;" fillcolor="#FFFFFF" filled="t" stroked="t" coordsize="21600,21600" o:gfxdata="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97AqtcAAAAJAQAA&#10;DwAAAAAAAAABACAAAAAiAAAAZHJzL2Rvd25yZXYueG1sUEsBAhQAFAAAAAgAh07iQJyTmbzhAQAA&#10;9gMAAA4AAAAAAAAAAQAgAAAAJgEAAGRycy9lMm9Eb2MueG1sUEsFBgAAAAAGAAYAWQEAAHkFAAAA&#10;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99060</wp:posOffset>
                </wp:positionV>
                <wp:extent cx="228600" cy="198120"/>
                <wp:effectExtent l="0" t="0" r="0" b="0"/>
                <wp:wrapNone/>
                <wp:docPr id="8" name="_x0000_s2058"/>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8" o:spid="_x0000_s1026" o:spt="1" style="position:absolute;left:0pt;margin-left:288pt;margin-top:7.8pt;height:15.6pt;width:18pt;z-index:251666432;mso-width-relative:page;mso-height-relative:page;" fillcolor="#FFFFFF" filled="t" stroked="t" coordsize="21600,21600" o:gfxdata="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57pE9cAAAAJAQAA&#10;DwAAAAAAAAABACAAAAAiAAAAZHJzL2Rvd25yZXYueG1sUEsBAhQAFAAAAAgAh07iQJfMjEXhAQAA&#10;9gMAAA4AAAAAAAAAAQAgAAAAJgEAAGRycy9lMm9Eb2MueG1sUEsFBgAAAAAGAAYAWQEAAHkFAAAA&#10;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99060</wp:posOffset>
                </wp:positionV>
                <wp:extent cx="228600" cy="198120"/>
                <wp:effectExtent l="0" t="0" r="0" b="0"/>
                <wp:wrapNone/>
                <wp:docPr id="9" name="_x0000_s2057"/>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7" o:spid="_x0000_s1026" o:spt="1" style="position:absolute;left:0pt;margin-left:261pt;margin-top:7.8pt;height:15.6pt;width:18pt;z-index:251667456;mso-width-relative:page;mso-height-relative:page;" fillcolor="#FFFFFF" filled="t" stroked="t" coordsize="21600,21600" o:gfxdata="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5k7e21gAAAAkBAAAP&#10;AAAAAAAAAAEAIAAAACIAAABkcnMvZG93bnJldi54bWxQSwECFAAUAAAACACHTuJAVHskqeEBAAD2&#10;AwAADgAAAAAAAAABACAAAAAlAQAAZHJzL2Uyb0RvYy54bWxQSwUGAAAAAAYABgBZAQAAeAU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8480" behindDoc="0" locked="0" layoutInCell="1" allowOverlap="1">
                <wp:simplePos x="0" y="0"/>
                <wp:positionH relativeFrom="column">
                  <wp:posOffset>3086100</wp:posOffset>
                </wp:positionH>
                <wp:positionV relativeFrom="paragraph">
                  <wp:posOffset>99060</wp:posOffset>
                </wp:positionV>
                <wp:extent cx="228600" cy="198120"/>
                <wp:effectExtent l="0" t="0" r="0" b="0"/>
                <wp:wrapNone/>
                <wp:docPr id="10" name="_x0000_s2056"/>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6" o:spid="_x0000_s1026" o:spt="1" style="position:absolute;left:0pt;margin-left:243pt;margin-top:7.8pt;height:15.6pt;width:18pt;z-index:251668480;mso-width-relative:page;mso-height-relative:page;" fillcolor="#FFFFFF" filled="t" stroked="t" coordsize="21600,21600" o:gfxdata="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8z5p31gAAAAkBAAAP&#10;AAAAAAAAAAEAIAAAACIAAABkcnMvZG93bnJldi54bWxQSwECFAAUAAAACACHTuJAnnyv6OEBAAD3&#10;AwAADgAAAAAAAAABACAAAAAlAQAAZHJzL2Uyb0RvYy54bWxQSwUGAAAAAAYABgBZAQAAeAU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99060</wp:posOffset>
                </wp:positionV>
                <wp:extent cx="228600" cy="198120"/>
                <wp:effectExtent l="0" t="0" r="0" b="0"/>
                <wp:wrapNone/>
                <wp:docPr id="11" name="_x0000_s2055"/>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5" o:spid="_x0000_s1026" o:spt="1" style="position:absolute;left:0pt;margin-left:225pt;margin-top:7.8pt;height:15.6pt;width:18pt;z-index:251669504;mso-width-relative:page;mso-height-relative:page;" fillcolor="#FFFFFF" filled="t" stroked="t" coordsize="21600,21600" o:gfxdata="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HFYSdYAAAAJAQAA&#10;DwAAAAAAAAABACAAAAAiAAAAZHJzL2Rvd25yZXYueG1sUEsBAhQAFAAAAAgAh07iQKmztyniAQAA&#10;9wMAAA4AAAAAAAAAAQAgAAAAJQEAAGRycy9lMm9Eb2MueG1sUEsFBgAAAAAGAAYAWQEAAHkFAAAA&#10;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70528" behindDoc="0" locked="0" layoutInCell="1" allowOverlap="1">
                <wp:simplePos x="0" y="0"/>
                <wp:positionH relativeFrom="column">
                  <wp:posOffset>2628900</wp:posOffset>
                </wp:positionH>
                <wp:positionV relativeFrom="paragraph">
                  <wp:posOffset>99060</wp:posOffset>
                </wp:positionV>
                <wp:extent cx="228600" cy="198120"/>
                <wp:effectExtent l="0" t="0" r="0" b="0"/>
                <wp:wrapNone/>
                <wp:docPr id="12" name="_x0000_s2054"/>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4" o:spid="_x0000_s1026" o:spt="1" style="position:absolute;left:0pt;margin-left:207pt;margin-top:7.8pt;height:15.6pt;width:18pt;z-index:251670528;mso-width-relative:page;mso-height-relative:page;" fillcolor="#FFFFFF" filled="t" stroked="t" coordsize="21600,21600" o:gfxdata="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ws0R1gAAAAkBAAAP&#10;AAAAAAAAAAEAIAAAACIAAABkcnMvZG93bnJldi54bWxQSwECFAAUAAAACACHTuJAHTOAquEBAAD3&#10;AwAADgAAAAAAAAABACAAAAAlAQAAZHJzL2Uyb0RvYy54bWxQSwUGAAAAAAYABgBZAQAAeAUAA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99060</wp:posOffset>
                </wp:positionV>
                <wp:extent cx="228600" cy="198120"/>
                <wp:effectExtent l="0" t="0" r="0" b="0"/>
                <wp:wrapNone/>
                <wp:docPr id="13" name="_x0000_s2053"/>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3" o:spid="_x0000_s1026" o:spt="1" style="position:absolute;left:0pt;margin-left:189pt;margin-top:7.8pt;height:15.6pt;width:18pt;z-index:251671552;mso-width-relative:page;mso-height-relative:page;" fillcolor="#FFFFFF" filled="t" stroked="t" coordsize="21600,21600" o:gfxdata="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Hg6HXAAAACQEA&#10;AA8AAAAAAAAAAQAgAAAAIgAAAGRycy9kb3ducmV2LnhtbFBLAQIUABQAAAAIAIdO4kCGK/dw4gEA&#10;APcDAAAOAAAAAAAAAAEAIAAAACYBAABkcnMvZTJvRG9jLnhtbFBLBQYAAAAABgAGAFkBAAB6BQAA&#10;AAA=&#10;">
                <v:fill on="t" focussize="0,0"/>
                <v:stroke weight="1pt" color="#FFFFFF" joinstyle="round"/>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72576" behindDoc="0" locked="0" layoutInCell="1" allowOverlap="1">
                <wp:simplePos x="0" y="0"/>
                <wp:positionH relativeFrom="column">
                  <wp:posOffset>2171700</wp:posOffset>
                </wp:positionH>
                <wp:positionV relativeFrom="paragraph">
                  <wp:posOffset>99060</wp:posOffset>
                </wp:positionV>
                <wp:extent cx="228600" cy="198120"/>
                <wp:effectExtent l="0" t="0" r="0" b="0"/>
                <wp:wrapNone/>
                <wp:docPr id="14" name="_x0000_s2052"/>
                <wp:cNvGraphicFramePr/>
                <a:graphic xmlns:a="http://schemas.openxmlformats.org/drawingml/2006/main">
                  <a:graphicData uri="http://schemas.microsoft.com/office/word/2010/wordprocessingShape">
                    <wps:wsp>
                      <wps:cNvSpPr/>
                      <wps:spPr>
                        <a:xfrm>
                          <a:off x="0" y="0"/>
                          <a:ext cx="228600" cy="198120"/>
                        </a:xfrm>
                        <a:prstGeom prst="rect">
                          <a:avLst/>
                        </a:prstGeom>
                        <a:solidFill>
                          <a:prstClr val="white"/>
                        </a:solidFill>
                        <a:ln w="12700">
                          <a:solidFill>
                            <a:prstClr val="white"/>
                          </a:solidFill>
                        </a:ln>
                      </wps:spPr>
                      <wps:bodyPr rot="0" vert="horz" wrap="square" lIns="91440" tIns="45720" rIns="91440" bIns="45720" anchor="t" anchorCtr="0"/>
                    </wps:wsp>
                  </a:graphicData>
                </a:graphic>
              </wp:anchor>
            </w:drawing>
          </mc:Choice>
          <mc:Fallback>
            <w:pict>
              <v:rect id="_x0000_s2052" o:spid="_x0000_s1026" o:spt="1" style="position:absolute;left:0pt;margin-left:171pt;margin-top:7.8pt;height:15.6pt;width:18pt;z-index:251672576;mso-width-relative:page;mso-height-relative:page;" fillcolor="#FFFFFF" filled="t" stroked="t" coordsize="21600,21600" o:gfxdata="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UJWY7XAAAACQEA&#10;AA8AAAAAAAAAAQAgAAAAIgAAAGRycy9kb3ducmV2LnhtbFBLAQIUABQAAAAIAIdO4kCY4/Fs4gEA&#10;APcDAAAOAAAAAAAAAAEAIAAAACYBAABkcnMvZTJvRG9jLnhtbFBLBQYAAAAABgAGAFkBAAB6BQAA&#10;AAA=&#10;">
                <v:fill on="t" focussize="0,0"/>
                <v:stroke weight="1pt" color="#FFFFFF" joinstyle="round"/>
                <v:imagedata o:title=""/>
                <o:lock v:ext="edit" aspectratio="f"/>
              </v:rect>
            </w:pict>
          </mc:Fallback>
        </mc:AlternateContent>
      </w:r>
      <w:r>
        <w:rPr>
          <w:rFonts w:hint="eastAsia" w:ascii="宋体" w:hAnsi="宋体"/>
          <w:sz w:val="24"/>
          <w:szCs w:val="24"/>
        </w:rPr>
        <w:t>合同编号：</w:t>
      </w:r>
    </w:p>
    <w:p>
      <w:pPr>
        <w:rPr>
          <w:rFonts w:ascii="宋体" w:hAnsi="宋体"/>
          <w:b/>
          <w:sz w:val="72"/>
        </w:rPr>
      </w:pPr>
    </w:p>
    <w:p>
      <w:pPr>
        <w:jc w:val="center"/>
        <w:rPr>
          <w:rFonts w:ascii="宋体" w:hAnsi="宋体" w:cs="宋体"/>
          <w:b/>
          <w:color w:val="000000"/>
          <w:sz w:val="56"/>
          <w:szCs w:val="48"/>
        </w:rPr>
      </w:pPr>
      <w:r>
        <w:rPr>
          <w:rFonts w:hint="eastAsia" w:ascii="宋体" w:hAnsi="宋体" w:cs="宋体"/>
          <w:b/>
          <w:color w:val="000000"/>
          <w:sz w:val="56"/>
          <w:szCs w:val="48"/>
        </w:rPr>
        <w:t>建设工程设计合同</w:t>
      </w:r>
    </w:p>
    <w:p>
      <w:pPr>
        <w:jc w:val="center"/>
        <w:rPr>
          <w:rFonts w:ascii="宋体" w:hAnsi="宋体" w:cs="宋体"/>
          <w:b/>
          <w:color w:val="000000"/>
          <w:sz w:val="56"/>
          <w:szCs w:val="48"/>
        </w:rPr>
      </w:pPr>
      <w:r>
        <w:rPr>
          <w:rFonts w:hint="eastAsia" w:ascii="宋体" w:hAnsi="宋体" w:cs="宋体"/>
          <w:b/>
          <w:color w:val="000000"/>
          <w:sz w:val="56"/>
          <w:szCs w:val="48"/>
        </w:rPr>
        <w:t>（房屋建筑工程）</w:t>
      </w:r>
    </w:p>
    <w:p>
      <w:pPr>
        <w:rPr>
          <w:rFonts w:ascii="宋体" w:hAnsi="宋体"/>
        </w:rPr>
      </w:pPr>
      <w:r>
        <w:rPr>
          <w:rFonts w:hint="eastAsia" w:ascii="宋体" w:hAnsi="宋体"/>
        </w:rPr>
        <w:t xml:space="preserve">  </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jc w:val="center"/>
        <w:rPr>
          <w:rFonts w:ascii="宋体" w:hAnsi="宋体"/>
          <w:sz w:val="24"/>
        </w:rPr>
      </w:pPr>
    </w:p>
    <w:p>
      <w:pPr>
        <w:ind w:firstLine="1680" w:firstLineChars="700"/>
        <w:rPr>
          <w:rFonts w:ascii="宋体" w:hAnsi="宋体"/>
          <w:sz w:val="24"/>
          <w:szCs w:val="24"/>
        </w:rPr>
      </w:pPr>
      <w:r>
        <w:rPr>
          <w:rFonts w:hint="eastAsia" w:ascii="宋体" w:hAnsi="宋体"/>
          <w:sz w:val="24"/>
          <w:szCs w:val="24"/>
        </w:rPr>
        <w:t xml:space="preserve">项 目 名 称： </w:t>
      </w:r>
      <w:r>
        <w:rPr>
          <w:rFonts w:hint="eastAsia" w:ascii="宋体" w:hAnsi="宋体"/>
          <w:sz w:val="24"/>
          <w:szCs w:val="24"/>
          <w:u w:val="single"/>
        </w:rPr>
        <w:t xml:space="preserve">                                        </w:t>
      </w:r>
    </w:p>
    <w:p>
      <w:pPr>
        <w:rPr>
          <w:rFonts w:ascii="宋体" w:hAnsi="宋体"/>
          <w:sz w:val="24"/>
          <w:szCs w:val="24"/>
        </w:rPr>
      </w:pPr>
      <w:r>
        <w:rPr>
          <w:rFonts w:hint="eastAsia" w:ascii="宋体" w:hAnsi="宋体"/>
          <w:sz w:val="24"/>
          <w:szCs w:val="24"/>
        </w:rPr>
        <w:t xml:space="preserve">             </w:t>
      </w:r>
    </w:p>
    <w:p>
      <w:pPr>
        <w:rPr>
          <w:rFonts w:ascii="宋体" w:hAnsi="宋体"/>
          <w:sz w:val="24"/>
          <w:szCs w:val="24"/>
        </w:rPr>
      </w:pPr>
    </w:p>
    <w:p>
      <w:pPr>
        <w:ind w:firstLine="1680" w:firstLineChars="700"/>
        <w:rPr>
          <w:rFonts w:ascii="宋体" w:hAnsi="宋体"/>
          <w:sz w:val="24"/>
          <w:szCs w:val="24"/>
        </w:rPr>
      </w:pPr>
      <w:r>
        <w:rPr>
          <w:rFonts w:hint="eastAsia" w:ascii="宋体" w:hAnsi="宋体"/>
          <w:sz w:val="24"/>
          <w:szCs w:val="24"/>
        </w:rPr>
        <w:t>委托方（甲方）：</w:t>
      </w:r>
      <w:r>
        <w:rPr>
          <w:rFonts w:hint="eastAsia" w:ascii="宋体" w:hAnsi="宋体"/>
          <w:sz w:val="24"/>
          <w:szCs w:val="24"/>
          <w:u w:val="single"/>
        </w:rPr>
        <w:t xml:space="preserve">                                     </w:t>
      </w:r>
    </w:p>
    <w:p>
      <w:pPr>
        <w:ind w:firstLine="240" w:firstLineChars="100"/>
        <w:rPr>
          <w:rFonts w:ascii="宋体" w:hAnsi="宋体"/>
          <w:sz w:val="24"/>
          <w:szCs w:val="24"/>
        </w:rPr>
      </w:pPr>
      <w:r>
        <w:rPr>
          <w:rFonts w:hint="eastAsia" w:ascii="宋体" w:hAnsi="宋体"/>
          <w:sz w:val="24"/>
          <w:szCs w:val="24"/>
        </w:rPr>
        <w:t xml:space="preserve">  </w:t>
      </w:r>
    </w:p>
    <w:p>
      <w:pPr>
        <w:ind w:firstLine="1440" w:firstLineChars="600"/>
        <w:rPr>
          <w:rFonts w:ascii="宋体" w:hAnsi="宋体"/>
          <w:sz w:val="24"/>
          <w:szCs w:val="24"/>
        </w:rPr>
      </w:pPr>
    </w:p>
    <w:p>
      <w:pPr>
        <w:ind w:firstLine="1680" w:firstLineChars="700"/>
        <w:rPr>
          <w:rFonts w:ascii="宋体" w:hAnsi="宋体"/>
          <w:sz w:val="24"/>
          <w:szCs w:val="24"/>
        </w:rPr>
      </w:pPr>
      <w:r>
        <w:rPr>
          <w:rFonts w:hint="eastAsia" w:ascii="宋体" w:hAnsi="宋体"/>
          <w:sz w:val="24"/>
          <w:szCs w:val="24"/>
        </w:rPr>
        <w:t>设计方（乙方）：</w:t>
      </w:r>
      <w:r>
        <w:rPr>
          <w:rFonts w:hint="eastAsia" w:ascii="宋体" w:hAnsi="宋体"/>
          <w:sz w:val="24"/>
          <w:szCs w:val="24"/>
          <w:u w:val="single"/>
        </w:rPr>
        <w:t xml:space="preserve">                                     </w:t>
      </w:r>
      <w:r>
        <w:rPr>
          <w:rFonts w:hint="eastAsia" w:ascii="宋体" w:hAnsi="宋体"/>
          <w:sz w:val="24"/>
          <w:szCs w:val="24"/>
        </w:rPr>
        <w:t xml:space="preserve"> </w:t>
      </w: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ind w:firstLine="1680" w:firstLineChars="700"/>
        <w:rPr>
          <w:rFonts w:ascii="宋体" w:hAnsi="宋体"/>
          <w:sz w:val="24"/>
          <w:szCs w:val="24"/>
        </w:rPr>
      </w:pPr>
      <w:r>
        <w:rPr>
          <w:rFonts w:hint="eastAsia" w:ascii="宋体" w:hAnsi="宋体"/>
          <w:sz w:val="24"/>
          <w:szCs w:val="24"/>
        </w:rPr>
        <w:t>签 订 日 期：</w:t>
      </w:r>
      <w:r>
        <w:rPr>
          <w:rFonts w:hint="eastAsia" w:ascii="宋体" w:hAnsi="宋体"/>
          <w:sz w:val="24"/>
          <w:szCs w:val="24"/>
          <w:u w:val="single"/>
        </w:rPr>
        <w:t xml:space="preserve">            </w:t>
      </w:r>
      <w:r>
        <w:rPr>
          <w:rFonts w:hint="eastAsia" w:ascii="宋体" w:hAnsi="宋体"/>
          <w:sz w:val="24"/>
          <w:szCs w:val="24"/>
        </w:rPr>
        <w:t xml:space="preserve">   签 订 地 点：</w:t>
      </w:r>
      <w:r>
        <w:rPr>
          <w:rFonts w:hint="eastAsia" w:ascii="宋体" w:hAnsi="宋体"/>
          <w:sz w:val="24"/>
          <w:szCs w:val="24"/>
          <w:u w:val="single"/>
        </w:rPr>
        <w:t xml:space="preserve">            </w:t>
      </w:r>
    </w:p>
    <w:p>
      <w:pPr>
        <w:rPr>
          <w:rFonts w:ascii="宋体" w:hAnsi="宋体"/>
          <w:sz w:val="24"/>
          <w:szCs w:val="24"/>
        </w:rPr>
      </w:pPr>
      <w:r>
        <w:rPr>
          <w:rFonts w:hint="eastAsia" w:ascii="宋体" w:hAnsi="宋体"/>
          <w:sz w:val="24"/>
          <w:szCs w:val="24"/>
        </w:rPr>
        <w:t xml:space="preserve">                                                 </w:t>
      </w:r>
    </w:p>
    <w:p>
      <w:pPr>
        <w:ind w:firstLine="1680" w:firstLineChars="700"/>
        <w:rPr>
          <w:rFonts w:ascii="宋体" w:hAnsi="宋体"/>
          <w:sz w:val="24"/>
          <w:szCs w:val="24"/>
        </w:rPr>
      </w:pPr>
      <w:r>
        <w:rPr>
          <w:rFonts w:hint="eastAsia" w:ascii="宋体" w:hAnsi="宋体"/>
          <w:sz w:val="24"/>
          <w:szCs w:val="24"/>
        </w:rPr>
        <w:t>起 止 期 限：</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  至</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月  </w:t>
      </w:r>
    </w:p>
    <w:p>
      <w:pPr>
        <w:spacing w:line="288" w:lineRule="auto"/>
        <w:ind w:firstLine="560" w:firstLineChars="200"/>
        <w:rPr>
          <w:rFonts w:ascii="宋体" w:hAnsi="宋体"/>
          <w:sz w:val="28"/>
          <w:szCs w:val="28"/>
        </w:rPr>
      </w:pPr>
    </w:p>
    <w:p>
      <w:pPr>
        <w:spacing w:line="288" w:lineRule="auto"/>
        <w:ind w:firstLine="560" w:firstLineChars="200"/>
        <w:rPr>
          <w:rFonts w:ascii="宋体" w:hAnsi="宋体"/>
          <w:sz w:val="28"/>
          <w:szCs w:val="28"/>
        </w:rPr>
      </w:pPr>
    </w:p>
    <w:p>
      <w:pPr>
        <w:spacing w:line="288" w:lineRule="auto"/>
        <w:ind w:firstLine="560" w:firstLineChars="200"/>
        <w:rPr>
          <w:rFonts w:ascii="宋体" w:hAnsi="宋体"/>
          <w:sz w:val="28"/>
          <w:szCs w:val="28"/>
        </w:rPr>
      </w:pPr>
    </w:p>
    <w:p>
      <w:pPr>
        <w:spacing w:line="360" w:lineRule="auto"/>
        <w:ind w:firstLine="480" w:firstLineChars="200"/>
        <w:rPr>
          <w:rFonts w:ascii="宋体" w:hAnsi="宋体"/>
          <w:sz w:val="24"/>
          <w:szCs w:val="24"/>
        </w:rPr>
      </w:pPr>
      <w:r>
        <w:rPr>
          <w:rFonts w:hint="eastAsia" w:ascii="宋体" w:hAnsi="宋体"/>
          <w:sz w:val="24"/>
          <w:szCs w:val="24"/>
        </w:rPr>
        <w:t>为明确双方的权利、义务，经协商一致，依照《中华人民共和国民法典》，并遵循诚实、诚信、公平和自愿原则订立本合同。</w:t>
      </w:r>
    </w:p>
    <w:p>
      <w:pPr>
        <w:spacing w:line="360" w:lineRule="auto"/>
        <w:ind w:firstLine="480" w:firstLineChars="200"/>
        <w:rPr>
          <w:rFonts w:ascii="宋体" w:hAnsi="宋体"/>
          <w:bCs/>
          <w:sz w:val="24"/>
          <w:szCs w:val="24"/>
        </w:rPr>
      </w:pPr>
      <w:r>
        <w:rPr>
          <w:rFonts w:hint="eastAsia" w:ascii="宋体" w:hAnsi="宋体"/>
          <w:bCs/>
          <w:sz w:val="24"/>
          <w:szCs w:val="24"/>
        </w:rPr>
        <w:t>一、规划设计内容、形式及要求</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 xml:space="preserve">设计项目地点: </w:t>
      </w:r>
    </w:p>
    <w:p>
      <w:pPr>
        <w:spacing w:line="360" w:lineRule="auto"/>
        <w:ind w:firstLine="480" w:firstLineChars="200"/>
        <w:rPr>
          <w:rFonts w:ascii="宋体" w:hAnsi="宋体"/>
          <w:sz w:val="24"/>
          <w:szCs w:val="24"/>
          <w:u w:val="single"/>
        </w:rPr>
      </w:pPr>
      <w:r>
        <w:rPr>
          <w:rFonts w:hint="eastAsia" w:ascii="宋体" w:hAnsi="宋体"/>
          <w:sz w:val="24"/>
          <w:szCs w:val="24"/>
          <w:u w:val="single"/>
        </w:rPr>
        <w:t xml:space="preserve">               省        市        县                                      </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设计项目范围与规模：</w:t>
      </w:r>
    </w:p>
    <w:p>
      <w:pPr>
        <w:pStyle w:val="364"/>
        <w:spacing w:line="360" w:lineRule="auto"/>
        <w:ind w:firstLine="480"/>
        <w:rPr>
          <w:rFonts w:ascii="宋体" w:hAnsi="宋体"/>
          <w:color w:val="000000"/>
          <w:sz w:val="24"/>
          <w:szCs w:val="24"/>
          <w:u w:val="single"/>
        </w:rPr>
      </w:pPr>
      <w:r>
        <w:rPr>
          <w:rFonts w:hint="eastAsia" w:ascii="宋体" w:hAnsi="宋体"/>
          <w:color w:val="000000"/>
          <w:sz w:val="24"/>
          <w:szCs w:val="24"/>
          <w:u w:val="single"/>
        </w:rPr>
        <w:t xml:space="preserve">明确设计任务的深度及范围，含多项规划的，应分别规定。 </w:t>
      </w:r>
      <w:r>
        <w:rPr>
          <w:rFonts w:hint="eastAsia" w:ascii="宋体" w:hAnsi="宋体"/>
          <w:color w:val="FF0000"/>
          <w:sz w:val="24"/>
          <w:szCs w:val="24"/>
          <w:u w:val="single"/>
        </w:rPr>
        <w:t xml:space="preserve">  </w:t>
      </w:r>
      <w:r>
        <w:rPr>
          <w:rFonts w:hint="eastAsia" w:ascii="宋体" w:hAnsi="宋体"/>
          <w:sz w:val="24"/>
          <w:szCs w:val="24"/>
          <w:u w:val="single"/>
        </w:rPr>
        <w:t xml:space="preserve">                                                        </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成果内容：</w:t>
      </w:r>
    </w:p>
    <w:p>
      <w:pPr>
        <w:pStyle w:val="364"/>
        <w:spacing w:line="360" w:lineRule="auto"/>
        <w:ind w:firstLine="480"/>
        <w:rPr>
          <w:rFonts w:ascii="宋体" w:hAnsi="宋体"/>
          <w:color w:val="000000"/>
          <w:sz w:val="24"/>
          <w:szCs w:val="24"/>
          <w:u w:val="single"/>
        </w:rPr>
      </w:pPr>
      <w:r>
        <w:rPr>
          <w:rFonts w:hint="eastAsia" w:ascii="宋体" w:hAnsi="宋体"/>
          <w:color w:val="000000"/>
          <w:sz w:val="24"/>
          <w:szCs w:val="24"/>
          <w:u w:val="single"/>
        </w:rPr>
        <w:t xml:space="preserve">哈密市西河街道老旧小区改造（一期）项目哈密市丽园宝丰片区社区服务中心建设项目--规划编制、初步设计和施工图设计                                                     </w:t>
      </w:r>
      <w:r>
        <w:rPr>
          <w:rFonts w:hint="eastAsia" w:ascii="宋体" w:hAnsi="宋体"/>
          <w:sz w:val="24"/>
          <w:szCs w:val="24"/>
          <w:u w:val="single"/>
        </w:rPr>
        <w:t xml:space="preserve">                                                      </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成果形式：</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最终成果为说明书与图纸</w:t>
      </w:r>
      <w:r>
        <w:rPr>
          <w:rFonts w:hint="eastAsia" w:ascii="宋体" w:hAnsi="宋体"/>
          <w:bCs/>
          <w:color w:val="000000"/>
          <w:sz w:val="24"/>
          <w:szCs w:val="24"/>
          <w:u w:val="single"/>
        </w:rPr>
        <w:t xml:space="preserve">    </w:t>
      </w:r>
      <w:r>
        <w:rPr>
          <w:rFonts w:hint="eastAsia" w:ascii="宋体" w:hAnsi="宋体"/>
          <w:bCs/>
          <w:color w:val="000000"/>
          <w:sz w:val="24"/>
          <w:szCs w:val="24"/>
        </w:rPr>
        <w:t>套。</w:t>
      </w:r>
    </w:p>
    <w:p>
      <w:pPr>
        <w:spacing w:line="360" w:lineRule="auto"/>
        <w:ind w:firstLine="480" w:firstLineChars="200"/>
        <w:rPr>
          <w:rFonts w:ascii="宋体" w:hAnsi="宋体"/>
          <w:bCs/>
          <w:sz w:val="24"/>
          <w:szCs w:val="24"/>
        </w:rPr>
      </w:pPr>
      <w:r>
        <w:rPr>
          <w:rFonts w:hint="eastAsia" w:ascii="宋体" w:hAnsi="宋体"/>
          <w:bCs/>
          <w:sz w:val="24"/>
          <w:szCs w:val="24"/>
        </w:rPr>
        <w:t>二、进度安排与验收</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设计进度安排</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第一阶段：合同签订后</w:t>
      </w:r>
      <w:r>
        <w:rPr>
          <w:rFonts w:hint="eastAsia" w:ascii="宋体" w:hAnsi="宋体"/>
          <w:bCs/>
          <w:color w:val="000000"/>
          <w:sz w:val="24"/>
          <w:szCs w:val="24"/>
          <w:u w:val="single"/>
        </w:rPr>
        <w:t xml:space="preserve">       </w:t>
      </w:r>
      <w:r>
        <w:rPr>
          <w:rFonts w:hint="eastAsia" w:ascii="宋体" w:hAnsi="宋体"/>
          <w:bCs/>
          <w:color w:val="000000"/>
          <w:sz w:val="24"/>
          <w:szCs w:val="24"/>
        </w:rPr>
        <w:t>个工作日内，进行现场初步踏勘，本阶段共计</w:t>
      </w:r>
      <w:r>
        <w:rPr>
          <w:rFonts w:hint="eastAsia" w:ascii="宋体" w:hAnsi="宋体"/>
          <w:bCs/>
          <w:color w:val="000000"/>
          <w:sz w:val="24"/>
          <w:szCs w:val="24"/>
          <w:u w:val="single"/>
        </w:rPr>
        <w:t xml:space="preserve">            </w:t>
      </w:r>
      <w:r>
        <w:rPr>
          <w:rFonts w:hint="eastAsia" w:ascii="宋体" w:hAnsi="宋体"/>
          <w:bCs/>
          <w:color w:val="000000"/>
          <w:sz w:val="24"/>
          <w:szCs w:val="24"/>
        </w:rPr>
        <w:t>工作日；</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第二阶段：完成规划设计初步方案，提交委托方研讨及征询意见。本阶段共计</w:t>
      </w:r>
      <w:r>
        <w:rPr>
          <w:rFonts w:hint="eastAsia" w:ascii="宋体" w:hAnsi="宋体"/>
          <w:bCs/>
          <w:color w:val="000000"/>
          <w:sz w:val="24"/>
          <w:szCs w:val="24"/>
          <w:u w:val="single"/>
        </w:rPr>
        <w:t xml:space="preserve">            </w:t>
      </w:r>
      <w:r>
        <w:rPr>
          <w:rFonts w:hint="eastAsia" w:ascii="宋体" w:hAnsi="宋体"/>
          <w:bCs/>
          <w:color w:val="000000"/>
          <w:sz w:val="24"/>
          <w:szCs w:val="24"/>
        </w:rPr>
        <w:t>工作日；</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第三阶段：根据委托方修改意见，完成修改完善，形成正式成果，提交有关部门进行审查。本阶段共计</w:t>
      </w:r>
      <w:r>
        <w:rPr>
          <w:rFonts w:hint="eastAsia" w:ascii="宋体" w:hAnsi="宋体"/>
          <w:bCs/>
          <w:color w:val="000000"/>
          <w:sz w:val="24"/>
          <w:szCs w:val="24"/>
          <w:u w:val="single"/>
        </w:rPr>
        <w:t xml:space="preserve">            </w:t>
      </w:r>
      <w:r>
        <w:rPr>
          <w:rFonts w:hint="eastAsia" w:ascii="宋体" w:hAnsi="宋体"/>
          <w:bCs/>
          <w:color w:val="000000"/>
          <w:sz w:val="24"/>
          <w:szCs w:val="24"/>
        </w:rPr>
        <w:t>工作日；</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第四阶段：根据审查意见，修改完善，提交最终成果。本阶段共计</w:t>
      </w:r>
      <w:r>
        <w:rPr>
          <w:rFonts w:hint="eastAsia" w:ascii="宋体" w:hAnsi="宋体"/>
          <w:bCs/>
          <w:color w:val="000000"/>
          <w:sz w:val="24"/>
          <w:szCs w:val="24"/>
          <w:u w:val="single"/>
        </w:rPr>
        <w:t xml:space="preserve">            </w:t>
      </w:r>
      <w:r>
        <w:rPr>
          <w:rFonts w:hint="eastAsia" w:ascii="宋体" w:hAnsi="宋体"/>
          <w:bCs/>
          <w:color w:val="000000"/>
          <w:sz w:val="24"/>
          <w:szCs w:val="24"/>
        </w:rPr>
        <w:t>工作日；</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以上时间安排不包括方案讨论、评审会议及等待甲方意见回复意见的时间。</w:t>
      </w:r>
    </w:p>
    <w:p>
      <w:pPr>
        <w:pStyle w:val="364"/>
        <w:spacing w:line="360" w:lineRule="auto"/>
        <w:ind w:firstLine="480"/>
        <w:rPr>
          <w:rFonts w:ascii="宋体" w:hAnsi="宋体"/>
          <w:color w:val="000000"/>
          <w:sz w:val="24"/>
          <w:szCs w:val="24"/>
          <w:u w:val="single"/>
        </w:rPr>
      </w:pPr>
      <w:r>
        <w:rPr>
          <w:rFonts w:hint="eastAsia" w:ascii="宋体" w:hAnsi="宋体"/>
          <w:color w:val="000000"/>
          <w:sz w:val="24"/>
          <w:szCs w:val="24"/>
          <w:u w:val="single"/>
        </w:rPr>
        <w:t>可根据具体的规划类型与甲方协商确定进度安排。</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成果验收</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委托方负责按照前述时间节点的规定联系组织召开评审会或组织相应的技术审查，评审会或者相应技术审查阶段即为成果验收阶段。设计方根据评审会意见或相应技术审查意见进行调整、完善后提交成果，即视为履行完本合同中设计方的全部义务。</w:t>
      </w:r>
    </w:p>
    <w:p>
      <w:pPr>
        <w:spacing w:line="360" w:lineRule="auto"/>
        <w:ind w:firstLine="480" w:firstLineChars="200"/>
        <w:rPr>
          <w:rFonts w:ascii="宋体" w:hAnsi="宋体"/>
          <w:bCs/>
          <w:sz w:val="24"/>
          <w:szCs w:val="24"/>
        </w:rPr>
      </w:pPr>
      <w:r>
        <w:rPr>
          <w:rFonts w:hint="eastAsia" w:ascii="宋体" w:hAnsi="宋体"/>
          <w:bCs/>
          <w:sz w:val="24"/>
          <w:szCs w:val="24"/>
        </w:rPr>
        <w:t>三、设计经费与支付进程</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设计经费</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设计费总额人民币（大写）</w:t>
      </w:r>
      <w:r>
        <w:rPr>
          <w:rFonts w:hint="eastAsia" w:ascii="宋体" w:hAnsi="宋体"/>
          <w:bCs/>
          <w:color w:val="000000"/>
          <w:sz w:val="24"/>
          <w:szCs w:val="24"/>
          <w:u w:val="single"/>
        </w:rPr>
        <w:t xml:space="preserve">                              </w:t>
      </w:r>
      <w:r>
        <w:rPr>
          <w:rFonts w:hint="eastAsia" w:ascii="宋体" w:hAnsi="宋体"/>
          <w:bCs/>
          <w:color w:val="000000"/>
          <w:sz w:val="24"/>
          <w:szCs w:val="24"/>
        </w:rPr>
        <w:t>。</w:t>
      </w:r>
    </w:p>
    <w:p>
      <w:pPr>
        <w:numPr>
          <w:ilvl w:val="0"/>
          <w:numId w:val="21"/>
        </w:numPr>
        <w:spacing w:line="360" w:lineRule="auto"/>
        <w:ind w:left="0" w:firstLine="0"/>
        <w:jc w:val="left"/>
        <w:rPr>
          <w:rFonts w:ascii="宋体" w:hAnsi="宋体"/>
          <w:b/>
          <w:color w:val="000000"/>
          <w:sz w:val="24"/>
          <w:szCs w:val="24"/>
        </w:rPr>
      </w:pPr>
      <w:r>
        <w:rPr>
          <w:rFonts w:hint="eastAsia" w:ascii="宋体" w:hAnsi="宋体"/>
          <w:b/>
          <w:color w:val="000000"/>
          <w:sz w:val="24"/>
          <w:szCs w:val="24"/>
        </w:rPr>
        <w:t>支付进程：</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按下列第</w:t>
      </w:r>
      <w:r>
        <w:rPr>
          <w:rFonts w:hint="eastAsia" w:ascii="宋体" w:hAnsi="宋体"/>
          <w:bCs/>
          <w:color w:val="000000"/>
          <w:sz w:val="24"/>
          <w:szCs w:val="24"/>
          <w:u w:val="single"/>
        </w:rPr>
        <w:t xml:space="preserve">      </w:t>
      </w:r>
      <w:r>
        <w:rPr>
          <w:rFonts w:hint="eastAsia" w:ascii="宋体" w:hAnsi="宋体"/>
          <w:bCs/>
          <w:color w:val="000000"/>
          <w:sz w:val="24"/>
          <w:szCs w:val="24"/>
        </w:rPr>
        <w:t>种进程支付。</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（一）一次支付。合同签订后</w:t>
      </w:r>
      <w:r>
        <w:rPr>
          <w:rFonts w:hint="eastAsia" w:ascii="宋体" w:hAnsi="宋体"/>
          <w:bCs/>
          <w:color w:val="000000"/>
          <w:sz w:val="24"/>
          <w:szCs w:val="24"/>
          <w:u w:val="single"/>
        </w:rPr>
        <w:t xml:space="preserve">      个</w:t>
      </w:r>
      <w:r>
        <w:rPr>
          <w:rFonts w:hint="eastAsia" w:ascii="宋体" w:hAnsi="宋体"/>
          <w:bCs/>
          <w:color w:val="000000"/>
          <w:sz w:val="24"/>
          <w:szCs w:val="24"/>
        </w:rPr>
        <w:t>工作日内甲方向乙方全额支付规划设计费。</w:t>
      </w:r>
    </w:p>
    <w:p>
      <w:pPr>
        <w:spacing w:line="360" w:lineRule="auto"/>
        <w:ind w:firstLine="484" w:firstLineChars="202"/>
        <w:rPr>
          <w:rFonts w:ascii="宋体" w:hAnsi="宋体"/>
          <w:bCs/>
          <w:color w:val="000000"/>
          <w:sz w:val="24"/>
          <w:szCs w:val="24"/>
        </w:rPr>
      </w:pPr>
      <w:r>
        <w:rPr>
          <w:rFonts w:hint="eastAsia" w:ascii="宋体" w:hAnsi="宋体"/>
          <w:bCs/>
          <w:color w:val="000000"/>
          <w:sz w:val="24"/>
          <w:szCs w:val="24"/>
        </w:rPr>
        <w:t>（二）分期支付。</w:t>
      </w:r>
    </w:p>
    <w:p>
      <w:pPr>
        <w:spacing w:line="360" w:lineRule="auto"/>
        <w:ind w:firstLine="484" w:firstLineChars="202"/>
        <w:jc w:val="left"/>
        <w:rPr>
          <w:rFonts w:ascii="宋体" w:hAnsi="宋体"/>
          <w:bCs/>
          <w:color w:val="000000"/>
          <w:sz w:val="24"/>
          <w:szCs w:val="24"/>
        </w:rPr>
      </w:pPr>
      <w:r>
        <w:rPr>
          <w:rFonts w:hint="eastAsia" w:ascii="宋体" w:hAnsi="宋体"/>
          <w:bCs/>
          <w:color w:val="000000"/>
          <w:sz w:val="24"/>
          <w:szCs w:val="24"/>
        </w:rPr>
        <w:t>第一次支付设计费总额</w:t>
      </w:r>
      <w:r>
        <w:rPr>
          <w:rFonts w:hint="eastAsia" w:ascii="宋体" w:hAnsi="宋体"/>
          <w:bCs/>
          <w:color w:val="000000"/>
          <w:sz w:val="24"/>
          <w:szCs w:val="24"/>
          <w:u w:val="single"/>
        </w:rPr>
        <w:t xml:space="preserve">   </w:t>
      </w:r>
      <w:r>
        <w:rPr>
          <w:rFonts w:hint="eastAsia" w:ascii="宋体" w:hAnsi="宋体"/>
          <w:bCs/>
          <w:color w:val="000000"/>
          <w:sz w:val="24"/>
          <w:szCs w:val="24"/>
        </w:rPr>
        <w:t>％，合同签订后</w:t>
      </w:r>
      <w:r>
        <w:rPr>
          <w:rFonts w:hint="eastAsia" w:ascii="宋体" w:hAnsi="宋体"/>
          <w:bCs/>
          <w:color w:val="000000"/>
          <w:sz w:val="24"/>
          <w:szCs w:val="24"/>
          <w:u w:val="single"/>
        </w:rPr>
        <w:t xml:space="preserve">      个</w:t>
      </w:r>
      <w:r>
        <w:rPr>
          <w:rFonts w:hint="eastAsia" w:ascii="宋体" w:hAnsi="宋体"/>
          <w:bCs/>
          <w:color w:val="000000"/>
          <w:sz w:val="24"/>
          <w:szCs w:val="24"/>
        </w:rPr>
        <w:t>工作日内甲方支付给乙方人民币（大写）</w:t>
      </w:r>
      <w:r>
        <w:rPr>
          <w:rFonts w:hint="eastAsia" w:ascii="宋体" w:hAnsi="宋体"/>
          <w:bCs/>
          <w:color w:val="000000"/>
          <w:sz w:val="24"/>
          <w:szCs w:val="24"/>
          <w:u w:val="single"/>
        </w:rPr>
        <w:t xml:space="preserve">                                 </w:t>
      </w:r>
    </w:p>
    <w:p>
      <w:pPr>
        <w:spacing w:line="360" w:lineRule="auto"/>
        <w:ind w:firstLine="484" w:firstLineChars="202"/>
        <w:jc w:val="left"/>
        <w:rPr>
          <w:rFonts w:ascii="宋体" w:hAnsi="宋体"/>
          <w:bCs/>
          <w:color w:val="000000"/>
          <w:sz w:val="24"/>
          <w:szCs w:val="24"/>
        </w:rPr>
      </w:pPr>
      <w:r>
        <w:rPr>
          <w:rFonts w:hint="eastAsia" w:ascii="宋体" w:hAnsi="宋体"/>
          <w:bCs/>
          <w:color w:val="000000"/>
          <w:sz w:val="24"/>
          <w:szCs w:val="24"/>
        </w:rPr>
        <w:t>第二次支付设计费总额</w:t>
      </w:r>
      <w:r>
        <w:rPr>
          <w:rFonts w:hint="eastAsia" w:ascii="宋体" w:hAnsi="宋体"/>
          <w:bCs/>
          <w:color w:val="000000"/>
          <w:sz w:val="24"/>
          <w:szCs w:val="24"/>
          <w:u w:val="single"/>
        </w:rPr>
        <w:t xml:space="preserve">   </w:t>
      </w:r>
      <w:r>
        <w:rPr>
          <w:rFonts w:hint="eastAsia" w:ascii="宋体" w:hAnsi="宋体"/>
          <w:bCs/>
          <w:color w:val="000000"/>
          <w:sz w:val="24"/>
          <w:szCs w:val="24"/>
        </w:rPr>
        <w:t>％，乙方完成第二阶段工作后</w:t>
      </w:r>
      <w:r>
        <w:rPr>
          <w:rFonts w:hint="eastAsia" w:ascii="宋体" w:hAnsi="宋体"/>
          <w:bCs/>
          <w:color w:val="000000"/>
          <w:sz w:val="24"/>
          <w:szCs w:val="24"/>
          <w:u w:val="single"/>
        </w:rPr>
        <w:t xml:space="preserve">      个</w:t>
      </w:r>
      <w:r>
        <w:rPr>
          <w:rFonts w:hint="eastAsia" w:ascii="宋体" w:hAnsi="宋体"/>
          <w:bCs/>
          <w:color w:val="000000"/>
          <w:sz w:val="24"/>
          <w:szCs w:val="24"/>
        </w:rPr>
        <w:t>工作日内甲方支付给乙方人民币（大写）</w:t>
      </w:r>
      <w:r>
        <w:rPr>
          <w:rFonts w:hint="eastAsia" w:ascii="宋体" w:hAnsi="宋体"/>
          <w:bCs/>
          <w:color w:val="000000"/>
          <w:sz w:val="24"/>
          <w:szCs w:val="24"/>
          <w:u w:val="single"/>
        </w:rPr>
        <w:t xml:space="preserve">                      </w:t>
      </w:r>
    </w:p>
    <w:p>
      <w:pPr>
        <w:spacing w:line="360" w:lineRule="auto"/>
        <w:ind w:firstLine="484" w:firstLineChars="202"/>
        <w:jc w:val="left"/>
        <w:rPr>
          <w:rFonts w:ascii="宋体" w:hAnsi="宋体"/>
          <w:bCs/>
          <w:color w:val="000000"/>
          <w:sz w:val="24"/>
          <w:szCs w:val="24"/>
        </w:rPr>
      </w:pPr>
      <w:r>
        <w:rPr>
          <w:rFonts w:hint="eastAsia" w:ascii="宋体" w:hAnsi="宋体"/>
          <w:bCs/>
          <w:color w:val="000000"/>
          <w:sz w:val="24"/>
          <w:szCs w:val="24"/>
        </w:rPr>
        <w:t>第三次支付设计费总额</w:t>
      </w:r>
      <w:r>
        <w:rPr>
          <w:rFonts w:hint="eastAsia" w:ascii="宋体" w:hAnsi="宋体"/>
          <w:bCs/>
          <w:color w:val="000000"/>
          <w:sz w:val="24"/>
          <w:szCs w:val="24"/>
          <w:u w:val="single"/>
        </w:rPr>
        <w:t xml:space="preserve">   </w:t>
      </w:r>
      <w:r>
        <w:rPr>
          <w:rFonts w:hint="eastAsia" w:ascii="宋体" w:hAnsi="宋体"/>
          <w:bCs/>
          <w:color w:val="000000"/>
          <w:sz w:val="24"/>
          <w:szCs w:val="24"/>
        </w:rPr>
        <w:t>％，乙方完成第三阶段工作后</w:t>
      </w:r>
      <w:r>
        <w:rPr>
          <w:rFonts w:hint="eastAsia" w:ascii="宋体" w:hAnsi="宋体"/>
          <w:bCs/>
          <w:color w:val="000000"/>
          <w:sz w:val="24"/>
          <w:szCs w:val="24"/>
          <w:u w:val="single"/>
        </w:rPr>
        <w:t xml:space="preserve">      个</w:t>
      </w:r>
      <w:r>
        <w:rPr>
          <w:rFonts w:hint="eastAsia" w:ascii="宋体" w:hAnsi="宋体"/>
          <w:bCs/>
          <w:color w:val="000000"/>
          <w:sz w:val="24"/>
          <w:szCs w:val="24"/>
        </w:rPr>
        <w:t>工作日内甲方支付给乙方人民币（大写）</w:t>
      </w:r>
      <w:r>
        <w:rPr>
          <w:rFonts w:hint="eastAsia" w:ascii="宋体" w:hAnsi="宋体"/>
          <w:bCs/>
          <w:color w:val="000000"/>
          <w:sz w:val="24"/>
          <w:szCs w:val="24"/>
          <w:u w:val="single"/>
        </w:rPr>
        <w:t xml:space="preserve">                      </w:t>
      </w:r>
    </w:p>
    <w:p>
      <w:pPr>
        <w:spacing w:line="360" w:lineRule="auto"/>
        <w:ind w:firstLine="484" w:firstLineChars="202"/>
        <w:jc w:val="left"/>
        <w:rPr>
          <w:rFonts w:ascii="宋体" w:hAnsi="宋体"/>
          <w:bCs/>
          <w:color w:val="000000"/>
          <w:sz w:val="24"/>
          <w:szCs w:val="24"/>
        </w:rPr>
      </w:pPr>
      <w:r>
        <w:rPr>
          <w:rFonts w:hint="eastAsia" w:ascii="宋体" w:hAnsi="宋体"/>
          <w:bCs/>
          <w:color w:val="000000"/>
          <w:sz w:val="24"/>
          <w:szCs w:val="24"/>
        </w:rPr>
        <w:t>第四次支付设计费总额</w:t>
      </w:r>
      <w:r>
        <w:rPr>
          <w:rFonts w:hint="eastAsia" w:ascii="宋体" w:hAnsi="宋体"/>
          <w:bCs/>
          <w:color w:val="000000"/>
          <w:sz w:val="24"/>
          <w:szCs w:val="24"/>
          <w:u w:val="single"/>
        </w:rPr>
        <w:t xml:space="preserve">   </w:t>
      </w:r>
      <w:r>
        <w:rPr>
          <w:rFonts w:hint="eastAsia" w:ascii="宋体" w:hAnsi="宋体"/>
          <w:bCs/>
          <w:color w:val="000000"/>
          <w:sz w:val="24"/>
          <w:szCs w:val="24"/>
        </w:rPr>
        <w:t>％，乙方提交最终成果前</w:t>
      </w:r>
      <w:r>
        <w:rPr>
          <w:rFonts w:hint="eastAsia" w:ascii="宋体" w:hAnsi="宋体"/>
          <w:bCs/>
          <w:color w:val="000000"/>
          <w:sz w:val="24"/>
          <w:szCs w:val="24"/>
          <w:u w:val="single"/>
        </w:rPr>
        <w:t xml:space="preserve">    个</w:t>
      </w:r>
      <w:r>
        <w:rPr>
          <w:rFonts w:hint="eastAsia" w:ascii="宋体" w:hAnsi="宋体"/>
          <w:bCs/>
          <w:color w:val="000000"/>
          <w:sz w:val="24"/>
          <w:szCs w:val="24"/>
        </w:rPr>
        <w:t>工作日内，甲方结清全部设计费，即人民币（大写）</w:t>
      </w:r>
      <w:r>
        <w:rPr>
          <w:rFonts w:hint="eastAsia" w:ascii="宋体" w:hAnsi="宋体"/>
          <w:bCs/>
          <w:color w:val="000000"/>
          <w:sz w:val="24"/>
          <w:szCs w:val="24"/>
          <w:u w:val="single"/>
        </w:rPr>
        <w:t xml:space="preserve">                     </w:t>
      </w:r>
    </w:p>
    <w:p>
      <w:pPr>
        <w:spacing w:line="360" w:lineRule="auto"/>
        <w:ind w:firstLine="480" w:firstLineChars="200"/>
        <w:rPr>
          <w:rFonts w:ascii="宋体" w:hAnsi="宋体"/>
          <w:bCs/>
          <w:sz w:val="24"/>
          <w:szCs w:val="24"/>
        </w:rPr>
      </w:pPr>
      <w:r>
        <w:rPr>
          <w:rFonts w:hint="eastAsia" w:ascii="宋体" w:hAnsi="宋体"/>
          <w:bCs/>
          <w:sz w:val="24"/>
          <w:szCs w:val="24"/>
        </w:rPr>
        <w:t>四、双方责任与协作事项</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甲方责任</w:t>
      </w:r>
    </w:p>
    <w:p>
      <w:pPr>
        <w:spacing w:line="360" w:lineRule="auto"/>
        <w:ind w:firstLine="484" w:firstLineChars="202"/>
        <w:rPr>
          <w:rFonts w:ascii="宋体" w:hAnsi="宋体"/>
          <w:bCs/>
          <w:sz w:val="24"/>
          <w:szCs w:val="24"/>
        </w:rPr>
      </w:pPr>
      <w:r>
        <w:rPr>
          <w:rFonts w:hint="eastAsia" w:ascii="宋体" w:hAnsi="宋体"/>
          <w:bCs/>
          <w:sz w:val="24"/>
          <w:szCs w:val="24"/>
        </w:rPr>
        <w:t>（一）甲方必须在合同签订后</w:t>
      </w:r>
      <w:r>
        <w:rPr>
          <w:rFonts w:hint="eastAsia" w:ascii="宋体" w:hAnsi="宋体"/>
          <w:bCs/>
          <w:sz w:val="24"/>
          <w:szCs w:val="24"/>
          <w:u w:val="single"/>
        </w:rPr>
        <w:t xml:space="preserve">      </w:t>
      </w:r>
      <w:r>
        <w:rPr>
          <w:rFonts w:hint="eastAsia" w:ascii="宋体" w:hAnsi="宋体"/>
          <w:bCs/>
          <w:sz w:val="24"/>
          <w:szCs w:val="24"/>
        </w:rPr>
        <w:t>个工作日内提供基础资料及设计要求，在每阶段汇报讨论后应按合同要求及时出具书面意见。若提交时间超过约定期限，乙方可相应分别延迟提交各阶段规划设计成果。</w:t>
      </w:r>
    </w:p>
    <w:p>
      <w:pPr>
        <w:spacing w:line="360" w:lineRule="auto"/>
        <w:ind w:firstLine="480" w:firstLineChars="200"/>
        <w:rPr>
          <w:rFonts w:ascii="宋体" w:hAnsi="宋体"/>
          <w:bCs/>
          <w:sz w:val="24"/>
          <w:szCs w:val="24"/>
        </w:rPr>
      </w:pPr>
      <w:r>
        <w:rPr>
          <w:rFonts w:hint="eastAsia" w:ascii="宋体" w:hAnsi="宋体"/>
          <w:bCs/>
          <w:sz w:val="24"/>
          <w:szCs w:val="24"/>
        </w:rPr>
        <w:t>（二）甲方应协助乙方征询有关方面的意见，并在规划设计过程中做好有关部门的协调工作。</w:t>
      </w:r>
      <w:r>
        <w:rPr>
          <w:rFonts w:hint="eastAsia" w:ascii="宋体" w:hAnsi="宋体"/>
          <w:sz w:val="24"/>
          <w:szCs w:val="24"/>
        </w:rPr>
        <w:t>负责组织规划方案评审、报批，并承担有关费用。</w:t>
      </w:r>
    </w:p>
    <w:p>
      <w:pPr>
        <w:spacing w:line="360" w:lineRule="auto"/>
        <w:ind w:firstLine="484" w:firstLineChars="202"/>
        <w:rPr>
          <w:rFonts w:ascii="宋体" w:hAnsi="宋体"/>
          <w:bCs/>
          <w:sz w:val="24"/>
          <w:szCs w:val="24"/>
        </w:rPr>
      </w:pPr>
      <w:r>
        <w:rPr>
          <w:rFonts w:hint="eastAsia" w:ascii="宋体" w:hAnsi="宋体"/>
          <w:bCs/>
          <w:sz w:val="24"/>
          <w:szCs w:val="24"/>
        </w:rPr>
        <w:t>（三）甲方应根据合同规定按数如期支付规划设计费。</w:t>
      </w:r>
    </w:p>
    <w:p>
      <w:pPr>
        <w:spacing w:line="360" w:lineRule="auto"/>
        <w:ind w:firstLine="484" w:firstLineChars="202"/>
        <w:rPr>
          <w:rFonts w:ascii="宋体" w:hAnsi="宋体"/>
          <w:bCs/>
          <w:sz w:val="24"/>
          <w:szCs w:val="24"/>
        </w:rPr>
      </w:pPr>
      <w:r>
        <w:rPr>
          <w:rFonts w:hint="eastAsia" w:ascii="宋体" w:hAnsi="宋体"/>
          <w:bCs/>
          <w:sz w:val="24"/>
          <w:szCs w:val="24"/>
        </w:rPr>
        <w:t>（四）甲方应保护乙方的设计成果和专利技术。未经同意不得擅自修改、复制或向第三者转让或用于本合同外的项目。</w:t>
      </w:r>
    </w:p>
    <w:p>
      <w:pPr>
        <w:spacing w:line="360" w:lineRule="auto"/>
        <w:ind w:firstLine="484" w:firstLineChars="202"/>
        <w:rPr>
          <w:rFonts w:ascii="宋体" w:hAnsi="宋体"/>
          <w:bCs/>
          <w:sz w:val="24"/>
          <w:szCs w:val="24"/>
        </w:rPr>
      </w:pPr>
      <w:r>
        <w:rPr>
          <w:rFonts w:hint="eastAsia" w:ascii="宋体" w:hAnsi="宋体"/>
          <w:bCs/>
          <w:sz w:val="24"/>
          <w:szCs w:val="24"/>
        </w:rPr>
        <w:t>（五）甲方变更设计范围、内容和深度（变更量超过15％）或因提交的资料错误或提交的资料作较大修改以致造成乙方要返工时，双方需另行协商签订补充协议，调整原合同中有关条款，增付返工及新增规划设计内容的费用。如协商不成，甲方应按乙方已完成的设计内容支付相应的设计费用。</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乙方责任</w:t>
      </w:r>
    </w:p>
    <w:p>
      <w:pPr>
        <w:spacing w:line="360" w:lineRule="auto"/>
        <w:ind w:firstLine="480" w:firstLineChars="200"/>
        <w:rPr>
          <w:rFonts w:ascii="宋体" w:hAnsi="宋体"/>
          <w:sz w:val="24"/>
          <w:szCs w:val="24"/>
        </w:rPr>
      </w:pPr>
      <w:r>
        <w:rPr>
          <w:rFonts w:hint="eastAsia" w:ascii="宋体" w:hAnsi="宋体"/>
          <w:sz w:val="24"/>
          <w:szCs w:val="24"/>
        </w:rPr>
        <w:t>（一）乙方应按国家和地方有关法律、技术规范标准，以及合同约定的工作内容进行规划设计。</w:t>
      </w:r>
    </w:p>
    <w:p>
      <w:pPr>
        <w:spacing w:line="360" w:lineRule="auto"/>
        <w:ind w:firstLine="480" w:firstLineChars="200"/>
        <w:rPr>
          <w:rFonts w:ascii="宋体" w:hAnsi="宋体"/>
          <w:sz w:val="24"/>
          <w:szCs w:val="24"/>
        </w:rPr>
      </w:pPr>
      <w:r>
        <w:rPr>
          <w:rFonts w:hint="eastAsia" w:ascii="宋体" w:hAnsi="宋体"/>
          <w:sz w:val="24"/>
          <w:szCs w:val="24"/>
        </w:rPr>
        <w:t>（二）乙方应参加合同规定的向有关部门的汇报，负责提供所需的汇报资料。</w:t>
      </w:r>
    </w:p>
    <w:p>
      <w:pPr>
        <w:spacing w:line="360" w:lineRule="auto"/>
        <w:ind w:firstLine="480" w:firstLineChars="200"/>
        <w:rPr>
          <w:rFonts w:ascii="宋体" w:hAnsi="宋体"/>
          <w:sz w:val="24"/>
          <w:szCs w:val="24"/>
        </w:rPr>
      </w:pPr>
      <w:r>
        <w:rPr>
          <w:rFonts w:hint="eastAsia" w:ascii="宋体" w:hAnsi="宋体"/>
          <w:sz w:val="24"/>
          <w:szCs w:val="24"/>
        </w:rPr>
        <w:t>（三）乙方应按合同规定的进度、提交质量合格的规划设计成果，并对其负责。</w:t>
      </w:r>
    </w:p>
    <w:p>
      <w:pPr>
        <w:spacing w:line="360" w:lineRule="auto"/>
        <w:ind w:firstLine="480" w:firstLineChars="200"/>
        <w:rPr>
          <w:rFonts w:ascii="宋体" w:hAnsi="宋体"/>
          <w:sz w:val="24"/>
          <w:szCs w:val="24"/>
        </w:rPr>
      </w:pPr>
      <w:r>
        <w:rPr>
          <w:rFonts w:hint="eastAsia" w:ascii="宋体" w:hAnsi="宋体"/>
          <w:sz w:val="24"/>
          <w:szCs w:val="24"/>
        </w:rPr>
        <w:t>（四）乙方对委托方所提供的涉密资料承担保密义务。乙方按本合同规定编制的规划设计方案及各种成果资料，不得向其他单位提供和转让。</w:t>
      </w:r>
    </w:p>
    <w:p>
      <w:pPr>
        <w:spacing w:line="360" w:lineRule="auto"/>
        <w:ind w:firstLine="480" w:firstLineChars="200"/>
        <w:rPr>
          <w:rFonts w:ascii="宋体" w:hAnsi="宋体"/>
          <w:sz w:val="24"/>
          <w:szCs w:val="24"/>
        </w:rPr>
      </w:pPr>
      <w:r>
        <w:rPr>
          <w:rFonts w:hint="eastAsia" w:ascii="宋体" w:hAnsi="宋体"/>
          <w:sz w:val="24"/>
          <w:szCs w:val="24"/>
        </w:rPr>
        <w:t>（五）乙方对规划设计成果中的遗漏、差错应负责进行修改或补充，同时要根据甲方按政府部门审批过程中提出的修改意见和专家评审意见拟定的修改意见书进行修改（修改仅仅针对本合同规定的规划设计内容范围内的内容）。如超出本合同规定的规划设计内容，甲乙双方需另行协商签订补充协议，就超出范围的修改内容的完成时间、新增费用等作出规定。</w:t>
      </w:r>
    </w:p>
    <w:p>
      <w:pPr>
        <w:spacing w:line="360" w:lineRule="auto"/>
        <w:ind w:firstLine="480" w:firstLineChars="200"/>
        <w:rPr>
          <w:rFonts w:ascii="宋体" w:hAnsi="宋体"/>
          <w:bCs/>
          <w:sz w:val="24"/>
          <w:szCs w:val="24"/>
        </w:rPr>
      </w:pPr>
      <w:r>
        <w:rPr>
          <w:rFonts w:hint="eastAsia" w:ascii="宋体" w:hAnsi="宋体"/>
          <w:bCs/>
          <w:sz w:val="24"/>
          <w:szCs w:val="24"/>
        </w:rPr>
        <w:t>五、违约及争议解决方式</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违约责任</w:t>
      </w:r>
    </w:p>
    <w:p>
      <w:pPr>
        <w:pStyle w:val="71"/>
        <w:rPr>
          <w:rFonts w:ascii="宋体" w:hAnsi="宋体"/>
          <w:b/>
          <w:szCs w:val="24"/>
        </w:rPr>
      </w:pPr>
      <w:r>
        <w:rPr>
          <w:rFonts w:hint="eastAsia" w:ascii="宋体" w:hAnsi="宋体"/>
          <w:b/>
          <w:szCs w:val="24"/>
        </w:rPr>
        <w:t>/</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争议解决方式</w:t>
      </w:r>
    </w:p>
    <w:p>
      <w:pPr>
        <w:spacing w:line="360" w:lineRule="auto"/>
        <w:ind w:firstLine="480" w:firstLineChars="200"/>
        <w:rPr>
          <w:rFonts w:ascii="宋体" w:hAnsi="宋体"/>
          <w:sz w:val="24"/>
          <w:szCs w:val="24"/>
        </w:rPr>
      </w:pPr>
      <w:r>
        <w:rPr>
          <w:rFonts w:hint="eastAsia" w:ascii="宋体" w:hAnsi="宋体"/>
          <w:sz w:val="24"/>
          <w:szCs w:val="24"/>
        </w:rPr>
        <w:t>本合同产生的争议，由双方协商解决；协商不成的，双方同意将争议提交</w:t>
      </w:r>
      <w:r>
        <w:rPr>
          <w:rFonts w:hint="eastAsia" w:ascii="宋体" w:hAnsi="宋体"/>
          <w:b/>
          <w:bCs/>
          <w:sz w:val="24"/>
          <w:szCs w:val="24"/>
        </w:rPr>
        <w:t>项目所在地法院</w:t>
      </w:r>
      <w:r>
        <w:rPr>
          <w:rFonts w:hint="eastAsia" w:ascii="宋体" w:hAnsi="宋体"/>
          <w:sz w:val="24"/>
          <w:szCs w:val="24"/>
        </w:rPr>
        <w:t>审理。</w:t>
      </w:r>
    </w:p>
    <w:p>
      <w:pPr>
        <w:numPr>
          <w:ilvl w:val="0"/>
          <w:numId w:val="21"/>
        </w:numPr>
        <w:spacing w:line="360" w:lineRule="auto"/>
        <w:ind w:left="0" w:firstLine="0"/>
        <w:jc w:val="left"/>
        <w:rPr>
          <w:rFonts w:ascii="宋体" w:hAnsi="宋体"/>
          <w:b/>
          <w:sz w:val="24"/>
          <w:szCs w:val="24"/>
        </w:rPr>
      </w:pPr>
      <w:r>
        <w:rPr>
          <w:rFonts w:hint="eastAsia" w:ascii="宋体" w:hAnsi="宋体"/>
          <w:b/>
          <w:sz w:val="24"/>
          <w:szCs w:val="24"/>
        </w:rPr>
        <w:t>其他</w:t>
      </w:r>
    </w:p>
    <w:p>
      <w:pPr>
        <w:spacing w:line="360" w:lineRule="auto"/>
        <w:ind w:firstLine="480" w:firstLineChars="200"/>
        <w:rPr>
          <w:rFonts w:ascii="宋体" w:hAnsi="宋体"/>
          <w:sz w:val="24"/>
          <w:szCs w:val="24"/>
        </w:rPr>
      </w:pPr>
      <w:r>
        <w:rPr>
          <w:rFonts w:hint="eastAsia" w:ascii="宋体" w:hAnsi="宋体"/>
          <w:sz w:val="24"/>
          <w:szCs w:val="24"/>
        </w:rPr>
        <w:t>（一）本合同自甲乙双方法定代表人或委托代理人签字或并加盖公章或者合同专用章之日起生效。</w:t>
      </w:r>
    </w:p>
    <w:p>
      <w:pPr>
        <w:spacing w:line="360" w:lineRule="auto"/>
        <w:ind w:firstLine="480" w:firstLineChars="200"/>
        <w:rPr>
          <w:rFonts w:ascii="宋体" w:hAnsi="宋体"/>
          <w:sz w:val="24"/>
          <w:szCs w:val="24"/>
        </w:rPr>
      </w:pPr>
      <w:r>
        <w:rPr>
          <w:rFonts w:hint="eastAsia" w:ascii="宋体" w:hAnsi="宋体"/>
          <w:sz w:val="24"/>
          <w:szCs w:val="24"/>
        </w:rPr>
        <w:t>（二）合同有效期为自本合同生效之日起至</w:t>
      </w:r>
      <w:r>
        <w:rPr>
          <w:rFonts w:hint="eastAsia" w:ascii="宋体" w:hAnsi="宋体"/>
          <w:sz w:val="24"/>
          <w:szCs w:val="24"/>
          <w:u w:val="single"/>
        </w:rPr>
        <w:t xml:space="preserve">      </w:t>
      </w:r>
      <w:r>
        <w:rPr>
          <w:rFonts w:hint="eastAsia" w:ascii="宋体" w:hAnsi="宋体"/>
          <w:sz w:val="24"/>
          <w:szCs w:val="24"/>
        </w:rPr>
        <w:t>日止。在合同约定期内因各种原因未能如期履行完毕，双方应友好协商另行约定合同有效期限。</w:t>
      </w:r>
    </w:p>
    <w:p>
      <w:pPr>
        <w:pStyle w:val="82"/>
        <w:spacing w:line="360" w:lineRule="auto"/>
        <w:ind w:firstLine="480" w:firstLineChars="200"/>
        <w:rPr>
          <w:sz w:val="24"/>
        </w:rPr>
      </w:pPr>
      <w:r>
        <w:rPr>
          <w:rFonts w:hint="eastAsia"/>
          <w:sz w:val="24"/>
        </w:rPr>
        <w:t>（三）本合同未尽事宜，甲乙双方可签订补充协议，有关协议及双方认定的来往电报、传真、会议纪要等，均为本合同组成部分，与本合同具有同等法律效力。</w:t>
      </w:r>
    </w:p>
    <w:p>
      <w:pPr>
        <w:pStyle w:val="82"/>
        <w:spacing w:line="360" w:lineRule="auto"/>
        <w:ind w:firstLine="480" w:firstLineChars="200"/>
        <w:rPr>
          <w:sz w:val="24"/>
        </w:rPr>
      </w:pPr>
      <w:r>
        <w:rPr>
          <w:rFonts w:hint="eastAsia"/>
          <w:sz w:val="24"/>
        </w:rPr>
        <w:t>（四）本合同一式四份，甲、乙方各存二份。</w:t>
      </w:r>
    </w:p>
    <w:p>
      <w:pPr>
        <w:spacing w:line="288" w:lineRule="auto"/>
        <w:ind w:firstLine="480" w:firstLineChars="200"/>
        <w:rPr>
          <w:rFonts w:ascii="宋体" w:hAnsi="宋体"/>
          <w:sz w:val="24"/>
          <w:szCs w:val="24"/>
        </w:rPr>
      </w:pPr>
    </w:p>
    <w:p>
      <w:pPr>
        <w:spacing w:line="288" w:lineRule="auto"/>
        <w:rPr>
          <w:rFonts w:ascii="宋体" w:hAnsi="宋体"/>
          <w:sz w:val="24"/>
          <w:szCs w:val="24"/>
        </w:rPr>
      </w:pPr>
    </w:p>
    <w:p>
      <w:pPr>
        <w:spacing w:line="288" w:lineRule="auto"/>
        <w:ind w:firstLine="480" w:firstLineChars="200"/>
        <w:rPr>
          <w:rFonts w:ascii="宋体" w:hAnsi="宋体"/>
          <w:sz w:val="24"/>
          <w:szCs w:val="24"/>
        </w:rPr>
      </w:pPr>
    </w:p>
    <w:p>
      <w:pPr>
        <w:spacing w:line="560" w:lineRule="exact"/>
        <w:rPr>
          <w:rFonts w:ascii="宋体" w:hAnsi="宋体"/>
          <w:sz w:val="24"/>
          <w:szCs w:val="24"/>
        </w:rPr>
      </w:pPr>
      <w:r>
        <w:rPr>
          <w:rFonts w:hint="eastAsia" w:ascii="宋体" w:hAnsi="宋体"/>
          <w:sz w:val="24"/>
          <w:szCs w:val="24"/>
        </w:rPr>
        <w:t>甲方                            乙方</w:t>
      </w:r>
    </w:p>
    <w:p>
      <w:pPr>
        <w:spacing w:line="560" w:lineRule="exact"/>
        <w:rPr>
          <w:rFonts w:ascii="宋体" w:hAnsi="宋体"/>
          <w:sz w:val="24"/>
          <w:szCs w:val="24"/>
        </w:rPr>
      </w:pPr>
      <w:r>
        <w:rPr>
          <w:rFonts w:hint="eastAsia" w:ascii="宋体" w:hAnsi="宋体"/>
          <w:sz w:val="24"/>
          <w:szCs w:val="24"/>
        </w:rPr>
        <w:t>（盖章）                       （盖章）</w:t>
      </w:r>
    </w:p>
    <w:p>
      <w:pPr>
        <w:spacing w:line="560" w:lineRule="exact"/>
        <w:rPr>
          <w:rFonts w:ascii="宋体" w:hAnsi="宋体"/>
          <w:sz w:val="24"/>
          <w:szCs w:val="24"/>
        </w:rPr>
      </w:pPr>
      <w:r>
        <w:rPr>
          <w:rFonts w:hint="eastAsia" w:ascii="宋体" w:hAnsi="宋体"/>
          <w:sz w:val="24"/>
          <w:szCs w:val="24"/>
        </w:rPr>
        <w:t>法定代表人：                   法定代表人：</w:t>
      </w:r>
    </w:p>
    <w:p>
      <w:pPr>
        <w:spacing w:line="560" w:lineRule="exact"/>
        <w:rPr>
          <w:rFonts w:ascii="宋体" w:hAnsi="宋体"/>
          <w:sz w:val="24"/>
          <w:szCs w:val="24"/>
        </w:rPr>
      </w:pPr>
      <w:r>
        <w:rPr>
          <w:rFonts w:hint="eastAsia" w:ascii="宋体" w:hAnsi="宋体"/>
          <w:sz w:val="24"/>
          <w:szCs w:val="24"/>
        </w:rPr>
        <w:t>委托代理人：                   委托代理人：</w:t>
      </w:r>
    </w:p>
    <w:p>
      <w:pPr>
        <w:spacing w:line="560" w:lineRule="exact"/>
        <w:rPr>
          <w:rFonts w:ascii="宋体" w:hAnsi="宋体"/>
          <w:sz w:val="24"/>
          <w:szCs w:val="24"/>
        </w:rPr>
      </w:pPr>
      <w:r>
        <w:rPr>
          <w:rFonts w:hint="eastAsia" w:ascii="宋体" w:hAnsi="宋体"/>
          <w:sz w:val="24"/>
          <w:szCs w:val="24"/>
        </w:rPr>
        <w:t>联系人：                       联系人：</w:t>
      </w:r>
    </w:p>
    <w:p>
      <w:pPr>
        <w:spacing w:line="560" w:lineRule="exact"/>
        <w:rPr>
          <w:rFonts w:ascii="宋体" w:hAnsi="宋体"/>
          <w:sz w:val="24"/>
          <w:szCs w:val="24"/>
        </w:rPr>
      </w:pPr>
      <w:r>
        <w:rPr>
          <w:rFonts w:hint="eastAsia" w:ascii="宋体" w:hAnsi="宋体"/>
          <w:sz w:val="24"/>
          <w:szCs w:val="24"/>
        </w:rPr>
        <w:t>单位地址：                     单位地址：</w:t>
      </w:r>
    </w:p>
    <w:p>
      <w:pPr>
        <w:spacing w:line="560" w:lineRule="exact"/>
        <w:rPr>
          <w:rFonts w:ascii="宋体" w:hAnsi="宋体"/>
          <w:sz w:val="24"/>
          <w:szCs w:val="24"/>
        </w:rPr>
      </w:pPr>
      <w:r>
        <w:rPr>
          <w:rFonts w:hint="eastAsia" w:ascii="宋体" w:hAnsi="宋体"/>
          <w:sz w:val="24"/>
          <w:szCs w:val="24"/>
        </w:rPr>
        <w:t>邮政编码：                     邮政编码：</w:t>
      </w:r>
    </w:p>
    <w:p>
      <w:pPr>
        <w:spacing w:line="560" w:lineRule="exact"/>
        <w:rPr>
          <w:rFonts w:ascii="宋体" w:hAnsi="宋体"/>
          <w:sz w:val="24"/>
          <w:szCs w:val="24"/>
        </w:rPr>
      </w:pPr>
      <w:r>
        <w:rPr>
          <w:rFonts w:hint="eastAsia" w:ascii="宋体" w:hAnsi="宋体"/>
          <w:sz w:val="24"/>
          <w:szCs w:val="24"/>
        </w:rPr>
        <w:t>电    话：                     电    话：</w:t>
      </w:r>
    </w:p>
    <w:p>
      <w:pPr>
        <w:spacing w:line="560" w:lineRule="exact"/>
        <w:rPr>
          <w:rFonts w:ascii="宋体" w:hAnsi="宋体"/>
          <w:sz w:val="24"/>
          <w:szCs w:val="24"/>
        </w:rPr>
      </w:pPr>
      <w:r>
        <w:rPr>
          <w:rFonts w:hint="eastAsia" w:ascii="宋体" w:hAnsi="宋体"/>
          <w:sz w:val="24"/>
          <w:szCs w:val="24"/>
        </w:rPr>
        <w:t>传    真：                     传    真：</w:t>
      </w:r>
    </w:p>
    <w:p>
      <w:pPr>
        <w:spacing w:line="560" w:lineRule="exact"/>
        <w:rPr>
          <w:rFonts w:ascii="宋体" w:hAnsi="宋体"/>
          <w:sz w:val="24"/>
          <w:szCs w:val="24"/>
        </w:rPr>
      </w:pPr>
      <w:r>
        <w:rPr>
          <w:rFonts w:hint="eastAsia" w:ascii="宋体" w:hAnsi="宋体"/>
          <w:sz w:val="24"/>
          <w:szCs w:val="24"/>
        </w:rPr>
        <w:t>开户银行：                     开户银行：</w:t>
      </w:r>
    </w:p>
    <w:p>
      <w:pPr>
        <w:spacing w:line="560" w:lineRule="exact"/>
        <w:rPr>
          <w:rFonts w:ascii="宋体" w:hAnsi="宋体"/>
          <w:sz w:val="24"/>
          <w:szCs w:val="24"/>
        </w:rPr>
      </w:pPr>
      <w:r>
        <w:rPr>
          <w:rFonts w:hint="eastAsia" w:ascii="宋体" w:hAnsi="宋体"/>
          <w:sz w:val="24"/>
          <w:szCs w:val="24"/>
        </w:rPr>
        <w:t>银行帐号：                     银行帐号：</w:t>
      </w:r>
    </w:p>
    <w:p>
      <w:pPr>
        <w:spacing w:line="560" w:lineRule="exact"/>
        <w:ind w:firstLine="480" w:firstLineChars="200"/>
        <w:rPr>
          <w:rFonts w:ascii="宋体" w:hAnsi="宋体"/>
          <w:sz w:val="24"/>
          <w:szCs w:val="24"/>
        </w:rPr>
      </w:pPr>
      <w:r>
        <w:rPr>
          <w:rFonts w:hint="eastAsia" w:ascii="宋体" w:hAnsi="宋体"/>
          <w:sz w:val="24"/>
          <w:szCs w:val="24"/>
        </w:rPr>
        <w:t>年  月  日                     年  月  日</w:t>
      </w:r>
    </w:p>
    <w:p>
      <w:pPr>
        <w:pStyle w:val="49"/>
        <w:outlineLvl w:val="9"/>
        <w:rPr>
          <w:lang w:val="zh-CN"/>
        </w:rPr>
      </w:pPr>
    </w:p>
    <w:p/>
    <w:p>
      <w:pPr>
        <w:spacing w:line="312" w:lineRule="auto"/>
        <w:rPr>
          <w:rFonts w:ascii="仿宋" w:hAnsi="仿宋" w:eastAsia="仿宋"/>
          <w:sz w:val="24"/>
          <w:szCs w:val="24"/>
        </w:rPr>
      </w:pPr>
    </w:p>
    <w:p>
      <w:bookmarkStart w:id="142" w:name="_Toc351203652"/>
    </w:p>
    <w:p>
      <w:pPr>
        <w:spacing w:line="312" w:lineRule="auto"/>
        <w:rPr>
          <w:rFonts w:ascii="仿宋" w:hAnsi="仿宋" w:eastAsia="仿宋"/>
          <w:b/>
          <w:sz w:val="24"/>
          <w:szCs w:val="24"/>
        </w:rPr>
      </w:pPr>
      <w:r>
        <w:rPr>
          <w:rFonts w:hint="eastAsia" w:ascii="仿宋" w:hAnsi="仿宋" w:eastAsia="仿宋"/>
          <w:b/>
          <w:sz w:val="24"/>
          <w:szCs w:val="24"/>
        </w:rPr>
        <w:br w:type="page"/>
      </w:r>
    </w:p>
    <w:bookmarkEnd w:id="142"/>
    <w:p>
      <w:pPr>
        <w:pStyle w:val="3"/>
        <w:numPr>
          <w:ilvl w:val="0"/>
          <w:numId w:val="0"/>
        </w:numPr>
        <w:spacing w:before="0" w:after="0" w:line="240" w:lineRule="auto"/>
        <w:rPr>
          <w:rFonts w:ascii="宋体" w:hAnsi="宋体" w:cs="宋体"/>
          <w:kern w:val="2"/>
          <w:szCs w:val="32"/>
        </w:rPr>
      </w:pPr>
      <w:bookmarkStart w:id="143" w:name="_Toc303"/>
      <w:r>
        <w:rPr>
          <w:rFonts w:hint="eastAsia" w:ascii="宋体" w:hAnsi="宋体" w:cs="宋体"/>
          <w:kern w:val="2"/>
          <w:szCs w:val="32"/>
        </w:rPr>
        <w:t>第六章  投标文件封皮格式</w:t>
      </w:r>
      <w:bookmarkEnd w:id="139"/>
      <w:bookmarkEnd w:id="140"/>
      <w:bookmarkEnd w:id="141"/>
      <w:bookmarkEnd w:id="143"/>
    </w:p>
    <w:p>
      <w:pPr>
        <w:jc w:val="right"/>
        <w:outlineLvl w:val="0"/>
        <w:rPr>
          <w:rStyle w:val="60"/>
          <w:rFonts w:ascii="仿宋" w:hAnsi="仿宋" w:eastAsia="仿宋" w:cs="仿宋"/>
        </w:rPr>
      </w:pPr>
      <w:bookmarkStart w:id="144" w:name="_Toc14804"/>
      <w:bookmarkStart w:id="145" w:name="_Toc24316"/>
      <w:bookmarkStart w:id="146" w:name="_Toc15868"/>
      <w:bookmarkStart w:id="147" w:name="_Toc21606"/>
      <w:bookmarkStart w:id="148" w:name="_Toc14180"/>
      <w:r>
        <w:rPr>
          <w:rStyle w:val="60"/>
          <w:rFonts w:hint="eastAsia" w:ascii="仿宋" w:hAnsi="仿宋" w:eastAsia="仿宋" w:cs="仿宋"/>
        </w:rPr>
        <w:t>正本/副本</w:t>
      </w:r>
      <w:bookmarkEnd w:id="144"/>
      <w:bookmarkEnd w:id="145"/>
      <w:bookmarkEnd w:id="146"/>
      <w:bookmarkEnd w:id="147"/>
      <w:bookmarkEnd w:id="148"/>
    </w:p>
    <w:p>
      <w:pPr>
        <w:jc w:val="left"/>
        <w:rPr>
          <w:rStyle w:val="60"/>
          <w:rFonts w:ascii="仿宋" w:hAnsi="仿宋" w:eastAsia="仿宋" w:cs="仿宋"/>
        </w:rPr>
      </w:pPr>
    </w:p>
    <w:p>
      <w:pPr>
        <w:rPr>
          <w:rFonts w:ascii="仿宋" w:hAnsi="仿宋" w:eastAsia="仿宋" w:cs="仿宋"/>
          <w:sz w:val="28"/>
          <w:szCs w:val="28"/>
          <w:u w:val="single"/>
        </w:rPr>
      </w:pPr>
    </w:p>
    <w:p>
      <w:pPr>
        <w:jc w:val="center"/>
        <w:rPr>
          <w:rFonts w:ascii="仿宋" w:hAnsi="仿宋" w:eastAsia="仿宋" w:cs="仿宋"/>
          <w:sz w:val="28"/>
          <w:szCs w:val="28"/>
          <w:u w:val="single"/>
        </w:rPr>
      </w:pPr>
      <w:r>
        <w:rPr>
          <w:rFonts w:hint="eastAsia" w:ascii="仿宋" w:hAnsi="仿宋" w:eastAsia="仿宋" w:cs="仿宋"/>
          <w:sz w:val="28"/>
          <w:szCs w:val="28"/>
          <w:u w:val="single"/>
        </w:rPr>
        <w:t>（项目名称）</w:t>
      </w:r>
    </w:p>
    <w:p>
      <w:pPr>
        <w:jc w:val="center"/>
        <w:rPr>
          <w:rFonts w:ascii="仿宋" w:hAnsi="仿宋" w:eastAsia="仿宋" w:cs="仿宋"/>
          <w:sz w:val="28"/>
          <w:szCs w:val="28"/>
          <w:u w:val="single"/>
        </w:rPr>
      </w:pPr>
    </w:p>
    <w:p>
      <w:pPr>
        <w:rPr>
          <w:rFonts w:ascii="仿宋" w:hAnsi="仿宋" w:eastAsia="仿宋" w:cs="仿宋"/>
          <w:sz w:val="20"/>
          <w:szCs w:val="20"/>
        </w:rPr>
      </w:pPr>
    </w:p>
    <w:p>
      <w:pPr>
        <w:rPr>
          <w:rFonts w:ascii="仿宋" w:hAnsi="仿宋" w:eastAsia="仿宋" w:cs="仿宋"/>
          <w:sz w:val="20"/>
          <w:szCs w:val="20"/>
        </w:rPr>
      </w:pPr>
    </w:p>
    <w:p>
      <w:pPr>
        <w:jc w:val="center"/>
        <w:rPr>
          <w:rFonts w:ascii="仿宋" w:hAnsi="仿宋" w:eastAsia="仿宋" w:cs="仿宋"/>
          <w:sz w:val="84"/>
          <w:szCs w:val="84"/>
        </w:rPr>
      </w:pPr>
      <w:r>
        <w:rPr>
          <w:rFonts w:hint="eastAsia" w:ascii="仿宋" w:hAnsi="仿宋" w:eastAsia="仿宋" w:cs="仿宋"/>
          <w:sz w:val="84"/>
          <w:szCs w:val="84"/>
        </w:rPr>
        <w:t>投  标  文  件</w:t>
      </w:r>
    </w:p>
    <w:p>
      <w:pP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t>项目编号：</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spacing w:line="500" w:lineRule="exact"/>
        <w:ind w:left="1079" w:leftChars="514"/>
        <w:jc w:val="left"/>
        <w:rPr>
          <w:rFonts w:ascii="仿宋" w:hAnsi="仿宋" w:eastAsia="仿宋" w:cs="仿宋"/>
          <w:sz w:val="28"/>
          <w:szCs w:val="28"/>
          <w:u w:val="single"/>
        </w:rPr>
      </w:pPr>
      <w:r>
        <w:rPr>
          <w:rFonts w:hint="eastAsia" w:ascii="仿宋" w:hAnsi="仿宋" w:eastAsia="仿宋" w:cs="仿宋"/>
          <w:sz w:val="28"/>
          <w:szCs w:val="28"/>
        </w:rPr>
        <w:t>投标人：</w:t>
      </w:r>
      <w:r>
        <w:rPr>
          <w:rFonts w:hint="eastAsia" w:ascii="仿宋" w:hAnsi="仿宋" w:eastAsia="仿宋" w:cs="仿宋"/>
          <w:sz w:val="28"/>
          <w:szCs w:val="28"/>
          <w:u w:val="single"/>
        </w:rPr>
        <w:t xml:space="preserve">                              </w:t>
      </w:r>
      <w:r>
        <w:rPr>
          <w:rFonts w:hint="eastAsia" w:ascii="仿宋" w:hAnsi="仿宋" w:eastAsia="仿宋" w:cs="仿宋"/>
          <w:sz w:val="28"/>
          <w:szCs w:val="28"/>
        </w:rPr>
        <w:t>（盖单位章）</w:t>
      </w:r>
    </w:p>
    <w:p>
      <w:pPr>
        <w:spacing w:line="500" w:lineRule="exact"/>
        <w:ind w:left="1079" w:leftChars="514"/>
        <w:jc w:val="left"/>
        <w:rPr>
          <w:rFonts w:ascii="仿宋" w:hAnsi="仿宋" w:eastAsia="仿宋" w:cs="仿宋"/>
          <w:sz w:val="28"/>
          <w:szCs w:val="28"/>
        </w:rPr>
      </w:pPr>
      <w:r>
        <w:rPr>
          <w:rFonts w:hint="eastAsia" w:ascii="仿宋" w:hAnsi="仿宋" w:eastAsia="仿宋" w:cs="仿宋"/>
          <w:sz w:val="28"/>
          <w:szCs w:val="28"/>
        </w:rPr>
        <w:t>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（签字盖章）</w:t>
      </w:r>
    </w:p>
    <w:p>
      <w:pPr>
        <w:pStyle w:val="26"/>
        <w:spacing w:line="500" w:lineRule="exact"/>
        <w:ind w:firstLine="1120" w:firstLineChars="400"/>
        <w:rPr>
          <w:rFonts w:ascii="仿宋" w:hAnsi="仿宋" w:eastAsia="仿宋" w:cs="仿宋"/>
          <w:sz w:val="28"/>
          <w:szCs w:val="28"/>
          <w:u w:val="single"/>
        </w:rPr>
      </w:pPr>
      <w:r>
        <w:rPr>
          <w:rFonts w:hint="eastAsia" w:ascii="仿宋" w:hAnsi="仿宋" w:eastAsia="仿宋" w:cs="仿宋"/>
          <w:sz w:val="28"/>
          <w:szCs w:val="28"/>
        </w:rPr>
        <w:t>联系人：</w:t>
      </w:r>
      <w:r>
        <w:rPr>
          <w:rFonts w:hint="eastAsia" w:ascii="仿宋" w:hAnsi="仿宋" w:eastAsia="仿宋" w:cs="仿宋"/>
          <w:sz w:val="28"/>
          <w:szCs w:val="28"/>
          <w:u w:val="single"/>
        </w:rPr>
        <w:t xml:space="preserve">                        </w:t>
      </w:r>
    </w:p>
    <w:p>
      <w:pPr>
        <w:pStyle w:val="26"/>
        <w:spacing w:line="500" w:lineRule="exact"/>
        <w:ind w:firstLine="1120" w:firstLineChars="400"/>
        <w:rPr>
          <w:rFonts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jc w:val="center"/>
        <w:rPr>
          <w:rFonts w:ascii="仿宋" w:hAnsi="仿宋" w:eastAsia="仿宋" w:cs="仿宋"/>
          <w:sz w:val="28"/>
          <w:szCs w:val="28"/>
          <w:u w:val="single"/>
        </w:rPr>
      </w:pPr>
    </w:p>
    <w:p>
      <w:pPr>
        <w:jc w:val="center"/>
        <w:rPr>
          <w:rFonts w:ascii="仿宋" w:hAnsi="仿宋" w:eastAsia="仿宋" w:cs="仿宋"/>
          <w:sz w:val="28"/>
          <w:szCs w:val="28"/>
          <w:u w:val="single"/>
        </w:rPr>
      </w:pPr>
    </w:p>
    <w:p>
      <w:pPr>
        <w:jc w:val="center"/>
        <w:rPr>
          <w:rFonts w:ascii="仿宋" w:hAnsi="仿宋" w:eastAsia="仿宋" w:cs="仿宋"/>
          <w:sz w:val="28"/>
          <w:szCs w:val="28"/>
          <w:u w:val="single"/>
        </w:rPr>
      </w:pPr>
    </w:p>
    <w:p>
      <w:pPr>
        <w:jc w:val="cente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spacing w:line="440" w:lineRule="exact"/>
        <w:rPr>
          <w:rFonts w:ascii="仿宋" w:hAnsi="仿宋" w:eastAsia="仿宋" w:cs="仿宋"/>
          <w:sz w:val="20"/>
          <w:szCs w:val="20"/>
        </w:rPr>
      </w:pPr>
    </w:p>
    <w:p>
      <w:pPr>
        <w:spacing w:line="400" w:lineRule="exact"/>
        <w:rPr>
          <w:rFonts w:ascii="仿宋" w:hAnsi="仿宋" w:eastAsia="仿宋" w:cs="仿宋"/>
        </w:rPr>
      </w:pPr>
    </w:p>
    <w:p>
      <w:pPr>
        <w:pStyle w:val="4"/>
        <w:rPr>
          <w:rFonts w:ascii="仿宋" w:hAnsi="仿宋" w:eastAsia="仿宋" w:cs="仿宋"/>
          <w:b/>
          <w:bCs/>
          <w:sz w:val="30"/>
          <w:szCs w:val="30"/>
        </w:rPr>
      </w:pPr>
      <w:bookmarkStart w:id="149" w:name="_Toc443572891"/>
      <w:bookmarkStart w:id="150" w:name="_Toc464375164"/>
      <w:bookmarkStart w:id="151" w:name="_Toc152045787"/>
      <w:bookmarkStart w:id="152" w:name="_Toc152042576"/>
      <w:bookmarkStart w:id="153" w:name="_Toc144974856"/>
      <w:r>
        <w:rPr>
          <w:rFonts w:hint="eastAsia" w:ascii="仿宋" w:hAnsi="仿宋" w:eastAsia="仿宋" w:cs="仿宋"/>
          <w:b/>
          <w:bCs/>
          <w:sz w:val="30"/>
          <w:szCs w:val="30"/>
        </w:rPr>
        <w:t>目    录</w:t>
      </w:r>
      <w:bookmarkEnd w:id="149"/>
      <w:bookmarkEnd w:id="150"/>
      <w:bookmarkEnd w:id="151"/>
      <w:bookmarkEnd w:id="152"/>
      <w:bookmarkEnd w:id="153"/>
    </w:p>
    <w:p>
      <w:pPr>
        <w:spacing w:line="540" w:lineRule="exact"/>
        <w:rPr>
          <w:rFonts w:ascii="仿宋" w:hAnsi="仿宋" w:eastAsia="仿宋" w:cs="仿宋"/>
          <w:sz w:val="24"/>
          <w:szCs w:val="24"/>
        </w:rPr>
      </w:pP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一、开标一览表及投标函</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二、法定代表人身份证明及授权委托书</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 xml:space="preserve">三、投标保证金 </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四、企业基本情况表</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五、拟派往本项目的项目人员情况表</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六、投标人类似项目业绩</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七、项目负责人简历表（附项目负责人类似项目业绩）</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八、中小微企业声明函（如有）</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九、其他资格证明文件</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十、不参与围标串标承诺书</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十一、供应商自觉抵制政府采购领域商业贿赂行为承诺书</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十二、技术部分</w:t>
      </w:r>
    </w:p>
    <w:p>
      <w:pPr>
        <w:pStyle w:val="37"/>
        <w:spacing w:line="360" w:lineRule="auto"/>
        <w:rPr>
          <w:rFonts w:ascii="宋体" w:hAnsi="宋体" w:eastAsia="宋体" w:cs="宋体"/>
          <w:color w:val="000000"/>
          <w:kern w:val="0"/>
          <w:sz w:val="24"/>
        </w:rPr>
      </w:pPr>
      <w:r>
        <w:rPr>
          <w:rFonts w:hint="eastAsia" w:ascii="宋体" w:hAnsi="宋体" w:eastAsia="宋体" w:cs="宋体"/>
          <w:color w:val="000000"/>
          <w:kern w:val="0"/>
          <w:sz w:val="24"/>
        </w:rPr>
        <w:t>十三、投标人认为需要提供的其它资料</w:t>
      </w:r>
    </w:p>
    <w:p>
      <w:pPr>
        <w:spacing w:line="540" w:lineRule="exact"/>
        <w:jc w:val="center"/>
        <w:rPr>
          <w:rFonts w:ascii="仿宋" w:hAnsi="仿宋" w:eastAsia="仿宋" w:cs="仿宋"/>
        </w:rPr>
      </w:pPr>
      <w:r>
        <w:rPr>
          <w:rFonts w:hint="eastAsia" w:ascii="仿宋" w:hAnsi="仿宋" w:eastAsia="仿宋" w:cs="仿宋"/>
        </w:rPr>
        <w:br w:type="page"/>
      </w:r>
      <w:bookmarkStart w:id="154" w:name="_Toc464375165"/>
      <w:bookmarkStart w:id="155" w:name="_Toc152045788"/>
      <w:bookmarkStart w:id="156" w:name="_Toc144974857"/>
      <w:bookmarkStart w:id="157" w:name="_Toc152042577"/>
      <w:bookmarkStart w:id="158" w:name="_Toc443572892"/>
      <w:r>
        <w:rPr>
          <w:rFonts w:hint="eastAsia" w:ascii="仿宋" w:hAnsi="仿宋" w:eastAsia="仿宋" w:cs="仿宋"/>
          <w:b/>
          <w:bCs/>
          <w:sz w:val="30"/>
          <w:szCs w:val="30"/>
        </w:rPr>
        <w:t>一、开标一览表及投标函</w:t>
      </w:r>
      <w:bookmarkEnd w:id="154"/>
    </w:p>
    <w:p>
      <w:pPr>
        <w:pStyle w:val="5"/>
        <w:rPr>
          <w:rFonts w:ascii="仿宋" w:hAnsi="仿宋" w:eastAsia="仿宋" w:cs="仿宋"/>
          <w:sz w:val="30"/>
          <w:szCs w:val="30"/>
        </w:rPr>
      </w:pPr>
      <w:r>
        <w:rPr>
          <w:rFonts w:hint="eastAsia" w:ascii="仿宋" w:hAnsi="仿宋" w:eastAsia="仿宋" w:cs="仿宋"/>
          <w:sz w:val="30"/>
          <w:szCs w:val="30"/>
        </w:rPr>
        <w:t>（一）开标一览表</w:t>
      </w:r>
    </w:p>
    <w:p>
      <w:pPr>
        <w:pStyle w:val="397"/>
        <w:ind w:firstLine="0" w:firstLineChars="0"/>
        <w:rPr>
          <w:sz w:val="24"/>
          <w:szCs w:val="24"/>
        </w:rPr>
      </w:pPr>
      <w:r>
        <w:rPr>
          <w:rFonts w:hint="eastAsia"/>
          <w:sz w:val="24"/>
          <w:szCs w:val="24"/>
        </w:rPr>
        <w:t>项目编号：</w:t>
      </w:r>
      <w:r>
        <w:rPr>
          <w:rFonts w:hint="eastAsia"/>
          <w:sz w:val="24"/>
          <w:szCs w:val="24"/>
          <w:u w:val="single"/>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400"/>
              <w:spacing w:line="360" w:lineRule="auto"/>
              <w:jc w:val="center"/>
              <w:rPr>
                <w:rFonts w:ascii="宋体" w:hAnsi="宋体"/>
                <w:sz w:val="24"/>
                <w:szCs w:val="24"/>
              </w:rPr>
            </w:pPr>
            <w:r>
              <w:rPr>
                <w:rFonts w:hint="eastAsia" w:ascii="宋体" w:hAnsi="宋体"/>
                <w:sz w:val="24"/>
                <w:szCs w:val="24"/>
              </w:rPr>
              <w:t>项目名称</w:t>
            </w:r>
          </w:p>
        </w:tc>
        <w:tc>
          <w:tcPr>
            <w:tcW w:w="6770" w:type="dxa"/>
            <w:tcBorders>
              <w:top w:val="single" w:color="auto" w:sz="4" w:space="0"/>
              <w:left w:val="nil"/>
              <w:bottom w:val="single" w:color="auto" w:sz="4" w:space="0"/>
              <w:right w:val="single" w:color="auto" w:sz="4" w:space="0"/>
            </w:tcBorders>
            <w:vAlign w:val="center"/>
          </w:tcPr>
          <w:p>
            <w:pPr>
              <w:pStyle w:val="40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0" w:hRule="atLeast"/>
          <w:jc w:val="center"/>
        </w:trPr>
        <w:tc>
          <w:tcPr>
            <w:tcW w:w="2410" w:type="dxa"/>
            <w:tcBorders>
              <w:top w:val="nil"/>
              <w:left w:val="single" w:color="auto" w:sz="4" w:space="0"/>
              <w:right w:val="single" w:color="auto" w:sz="4" w:space="0"/>
            </w:tcBorders>
            <w:vAlign w:val="center"/>
          </w:tcPr>
          <w:p>
            <w:pPr>
              <w:pStyle w:val="400"/>
              <w:spacing w:line="360" w:lineRule="auto"/>
              <w:jc w:val="center"/>
              <w:rPr>
                <w:rFonts w:ascii="宋体" w:hAnsi="宋体"/>
                <w:sz w:val="24"/>
                <w:szCs w:val="24"/>
              </w:rPr>
            </w:pPr>
            <w:r>
              <w:rPr>
                <w:rFonts w:hint="eastAsia" w:ascii="宋体" w:hAnsi="宋体"/>
                <w:sz w:val="24"/>
                <w:szCs w:val="24"/>
              </w:rPr>
              <w:t>投标报价（元）</w:t>
            </w:r>
          </w:p>
        </w:tc>
        <w:tc>
          <w:tcPr>
            <w:tcW w:w="6770" w:type="dxa"/>
            <w:tcBorders>
              <w:top w:val="single" w:color="auto" w:sz="4" w:space="0"/>
              <w:left w:val="nil"/>
              <w:right w:val="single" w:color="auto" w:sz="4" w:space="0"/>
            </w:tcBorders>
            <w:vAlign w:val="center"/>
          </w:tcPr>
          <w:p>
            <w:pPr>
              <w:pStyle w:val="400"/>
              <w:spacing w:line="360" w:lineRule="auto"/>
              <w:jc w:val="left"/>
              <w:rPr>
                <w:rFonts w:ascii="宋体" w:hAnsi="宋体"/>
                <w:sz w:val="24"/>
                <w:szCs w:val="24"/>
                <w:u w:val="single"/>
              </w:rPr>
            </w:pPr>
            <w:r>
              <w:rPr>
                <w:rFonts w:hint="eastAsia" w:ascii="宋体" w:hAnsi="宋体"/>
                <w:sz w:val="24"/>
                <w:szCs w:val="24"/>
              </w:rPr>
              <w:t>小写：</w:t>
            </w:r>
            <w:r>
              <w:rPr>
                <w:rFonts w:hint="eastAsia" w:ascii="宋体" w:hAnsi="宋体"/>
                <w:sz w:val="24"/>
                <w:szCs w:val="24"/>
                <w:u w:val="single"/>
              </w:rPr>
              <w:t xml:space="preserve">                                    </w:t>
            </w:r>
          </w:p>
          <w:p>
            <w:pPr>
              <w:pStyle w:val="400"/>
              <w:spacing w:line="360" w:lineRule="auto"/>
              <w:jc w:val="left"/>
              <w:rPr>
                <w:rFonts w:ascii="宋体" w:hAnsi="宋体"/>
                <w:sz w:val="24"/>
                <w:szCs w:val="24"/>
              </w:rPr>
            </w:pP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400"/>
              <w:spacing w:line="360" w:lineRule="auto"/>
              <w:jc w:val="center"/>
              <w:rPr>
                <w:rFonts w:ascii="宋体" w:hAnsi="宋体"/>
                <w:sz w:val="24"/>
                <w:szCs w:val="24"/>
              </w:rPr>
            </w:pPr>
            <w:r>
              <w:rPr>
                <w:rFonts w:hint="eastAsia" w:ascii="宋体" w:hAnsi="宋体"/>
                <w:sz w:val="24"/>
                <w:szCs w:val="24"/>
              </w:rPr>
              <w:t>项目负责人</w:t>
            </w:r>
          </w:p>
        </w:tc>
        <w:tc>
          <w:tcPr>
            <w:tcW w:w="6770" w:type="dxa"/>
            <w:tcBorders>
              <w:top w:val="single" w:color="auto" w:sz="4" w:space="0"/>
              <w:left w:val="nil"/>
              <w:bottom w:val="single" w:color="auto" w:sz="4" w:space="0"/>
              <w:right w:val="single" w:color="auto" w:sz="4" w:space="0"/>
            </w:tcBorders>
          </w:tcPr>
          <w:p>
            <w:pPr>
              <w:pStyle w:val="400"/>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400"/>
              <w:spacing w:line="360" w:lineRule="auto"/>
              <w:jc w:val="center"/>
              <w:rPr>
                <w:rFonts w:ascii="宋体" w:hAnsi="宋体"/>
                <w:sz w:val="24"/>
                <w:szCs w:val="24"/>
              </w:rPr>
            </w:pPr>
            <w:r>
              <w:rPr>
                <w:rFonts w:hint="eastAsia" w:ascii="宋体" w:hAnsi="宋体"/>
                <w:sz w:val="24"/>
                <w:szCs w:val="24"/>
              </w:rPr>
              <w:t>服务期限</w:t>
            </w:r>
          </w:p>
        </w:tc>
        <w:tc>
          <w:tcPr>
            <w:tcW w:w="6770" w:type="dxa"/>
            <w:tcBorders>
              <w:top w:val="single" w:color="auto" w:sz="4" w:space="0"/>
              <w:left w:val="nil"/>
              <w:bottom w:val="single" w:color="auto" w:sz="4" w:space="0"/>
              <w:right w:val="single" w:color="auto" w:sz="4" w:space="0"/>
            </w:tcBorders>
            <w:vAlign w:val="center"/>
          </w:tcPr>
          <w:p>
            <w:pPr>
              <w:pStyle w:val="10"/>
              <w:spacing w:line="360" w:lineRule="auto"/>
              <w:jc w:val="left"/>
              <w:rPr>
                <w:rFonts w:ascii="宋体" w:hAnsi="宋体" w:cs="宋体"/>
                <w:sz w:val="24"/>
              </w:rPr>
            </w:pPr>
            <w:r>
              <w:rPr>
                <w:rFonts w:hint="eastAsia" w:ascii="宋体" w:hAnsi="宋体"/>
                <w:bCs/>
                <w:kern w:val="0"/>
                <w:sz w:val="24"/>
              </w:rPr>
              <w:t>本设计服务周期自本工程合同签订之日起，至项目成果验收合格之日止。其中，总设计周期为90个日历日。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400"/>
              <w:spacing w:line="360" w:lineRule="auto"/>
              <w:jc w:val="center"/>
              <w:rPr>
                <w:rFonts w:ascii="宋体" w:hAnsi="宋体"/>
                <w:sz w:val="24"/>
                <w:szCs w:val="24"/>
              </w:rPr>
            </w:pPr>
            <w:r>
              <w:rPr>
                <w:rFonts w:hint="eastAsia" w:ascii="宋体" w:hAnsi="宋体"/>
                <w:sz w:val="24"/>
                <w:szCs w:val="24"/>
              </w:rPr>
              <w:t>质量要求</w:t>
            </w:r>
          </w:p>
        </w:tc>
        <w:tc>
          <w:tcPr>
            <w:tcW w:w="6770" w:type="dxa"/>
            <w:tcBorders>
              <w:top w:val="single" w:color="auto" w:sz="4" w:space="0"/>
              <w:left w:val="nil"/>
              <w:bottom w:val="single" w:color="auto" w:sz="4" w:space="0"/>
              <w:right w:val="single" w:color="auto" w:sz="4" w:space="0"/>
            </w:tcBorders>
          </w:tcPr>
          <w:p>
            <w:pPr>
              <w:pStyle w:val="400"/>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9180" w:type="dxa"/>
            <w:gridSpan w:val="2"/>
            <w:tcBorders>
              <w:top w:val="single" w:color="auto" w:sz="4" w:space="0"/>
              <w:left w:val="single" w:color="auto" w:sz="4" w:space="0"/>
              <w:bottom w:val="single" w:color="auto" w:sz="4" w:space="0"/>
              <w:right w:val="single" w:color="auto" w:sz="4" w:space="0"/>
            </w:tcBorders>
          </w:tcPr>
          <w:p>
            <w:pPr>
              <w:pStyle w:val="400"/>
              <w:spacing w:line="360" w:lineRule="auto"/>
              <w:rPr>
                <w:rFonts w:ascii="宋体" w:hAnsi="宋体"/>
                <w:sz w:val="24"/>
                <w:szCs w:val="24"/>
              </w:rPr>
            </w:pPr>
            <w:r>
              <w:rPr>
                <w:rFonts w:hint="eastAsia" w:ascii="宋体" w:hAnsi="宋体"/>
                <w:sz w:val="24"/>
                <w:szCs w:val="24"/>
              </w:rPr>
              <w:t>备注：</w:t>
            </w:r>
          </w:p>
        </w:tc>
      </w:tr>
    </w:tbl>
    <w:p>
      <w:pPr>
        <w:pStyle w:val="398"/>
        <w:spacing w:line="360" w:lineRule="auto"/>
        <w:rPr>
          <w:rFonts w:ascii="宋体" w:hAnsi="宋体"/>
          <w:sz w:val="24"/>
        </w:rPr>
      </w:pPr>
      <w:r>
        <w:rPr>
          <w:rFonts w:hint="eastAsia" w:ascii="宋体" w:hAnsi="宋体"/>
          <w:sz w:val="24"/>
        </w:rPr>
        <w:t>说明：1、供应商严格按照规定的格式填写。</w:t>
      </w:r>
    </w:p>
    <w:p>
      <w:r>
        <w:rPr>
          <w:rFonts w:hint="eastAsia" w:ascii="宋体" w:hAnsi="宋体" w:cs="宋体"/>
          <w:sz w:val="24"/>
        </w:rPr>
        <w:t xml:space="preserve">      2、任何有选择或有条件的投标报价或表中某一包填写多个报价，均将导致投标被拒绝。</w:t>
      </w:r>
    </w:p>
    <w:p>
      <w:pPr>
        <w:spacing w:line="440" w:lineRule="exact"/>
        <w:rPr>
          <w:rFonts w:ascii="仿宋" w:hAnsi="仿宋" w:eastAsia="仿宋" w:cs="仿宋"/>
          <w:sz w:val="24"/>
          <w:szCs w:val="24"/>
        </w:rPr>
      </w:pPr>
    </w:p>
    <w:p>
      <w:pPr>
        <w:spacing w:line="440" w:lineRule="exact"/>
        <w:rPr>
          <w:rFonts w:ascii="仿宋" w:hAnsi="仿宋" w:eastAsia="仿宋" w:cs="仿宋"/>
          <w:sz w:val="24"/>
          <w:szCs w:val="24"/>
        </w:rPr>
      </w:pPr>
      <w:r>
        <w:rPr>
          <w:rFonts w:hint="eastAsia" w:ascii="仿宋" w:hAnsi="仿宋" w:eastAsia="仿宋" w:cs="仿宋"/>
          <w:sz w:val="24"/>
          <w:szCs w:val="24"/>
        </w:rPr>
        <w:t>投 标 人：</w:t>
      </w:r>
      <w:r>
        <w:rPr>
          <w:rFonts w:hint="eastAsia" w:ascii="仿宋" w:hAnsi="仿宋" w:eastAsia="仿宋" w:cs="仿宋"/>
          <w:sz w:val="24"/>
          <w:szCs w:val="24"/>
          <w:u w:val="single"/>
        </w:rPr>
        <w:t xml:space="preserve">                      </w:t>
      </w:r>
      <w:r>
        <w:rPr>
          <w:rFonts w:hint="eastAsia" w:ascii="仿宋" w:hAnsi="仿宋" w:eastAsia="仿宋" w:cs="仿宋"/>
          <w:sz w:val="24"/>
          <w:szCs w:val="24"/>
        </w:rPr>
        <w:t>（盖单位章）</w:t>
      </w:r>
    </w:p>
    <w:p>
      <w:pPr>
        <w:spacing w:line="440" w:lineRule="exact"/>
        <w:rPr>
          <w:rFonts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（签字盖章）</w:t>
      </w:r>
    </w:p>
    <w:p>
      <w:pPr>
        <w:spacing w:line="440" w:lineRule="exact"/>
        <w:rPr>
          <w:rFonts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 xml:space="preserve">                                     </w:t>
      </w:r>
    </w:p>
    <w:p>
      <w:pPr>
        <w:spacing w:line="440" w:lineRule="exact"/>
        <w:rPr>
          <w:rFonts w:ascii="仿宋" w:hAnsi="仿宋" w:eastAsia="仿宋" w:cs="仿宋"/>
          <w:sz w:val="24"/>
          <w:szCs w:val="24"/>
        </w:rPr>
      </w:pPr>
      <w:r>
        <w:rPr>
          <w:rFonts w:hint="eastAsia" w:ascii="仿宋" w:hAnsi="仿宋" w:eastAsia="仿宋" w:cs="仿宋"/>
          <w:sz w:val="24"/>
          <w:szCs w:val="24"/>
        </w:rPr>
        <w:t>电话：</w:t>
      </w:r>
      <w:r>
        <w:rPr>
          <w:rFonts w:hint="eastAsia" w:ascii="仿宋" w:hAnsi="仿宋" w:eastAsia="仿宋" w:cs="仿宋"/>
          <w:sz w:val="24"/>
          <w:szCs w:val="24"/>
          <w:u w:val="single"/>
        </w:rPr>
        <w:t xml:space="preserve">                                     </w:t>
      </w:r>
    </w:p>
    <w:p>
      <w:pPr>
        <w:spacing w:line="440" w:lineRule="exact"/>
        <w:rPr>
          <w:rFonts w:ascii="仿宋" w:hAnsi="仿宋" w:eastAsia="仿宋" w:cs="仿宋"/>
          <w:sz w:val="24"/>
          <w:szCs w:val="24"/>
        </w:rPr>
      </w:pPr>
      <w:r>
        <w:rPr>
          <w:rFonts w:hint="eastAsia" w:ascii="仿宋" w:hAnsi="仿宋" w:eastAsia="仿宋" w:cs="仿宋"/>
          <w:sz w:val="24"/>
          <w:szCs w:val="24"/>
        </w:rPr>
        <w:t>邮政编码：</w:t>
      </w:r>
      <w:r>
        <w:rPr>
          <w:rFonts w:hint="eastAsia" w:ascii="仿宋" w:hAnsi="仿宋" w:eastAsia="仿宋" w:cs="仿宋"/>
          <w:sz w:val="24"/>
          <w:szCs w:val="24"/>
          <w:u w:val="single"/>
        </w:rPr>
        <w:t xml:space="preserve">                                 </w:t>
      </w:r>
    </w:p>
    <w:p>
      <w:pPr>
        <w:spacing w:line="440" w:lineRule="exact"/>
        <w:ind w:firstLine="4200" w:firstLineChars="1750"/>
        <w:rPr>
          <w:rFonts w:ascii="仿宋" w:hAnsi="仿宋" w:eastAsia="仿宋" w:cs="仿宋"/>
          <w:sz w:val="24"/>
          <w:szCs w:val="24"/>
        </w:rPr>
      </w:pPr>
    </w:p>
    <w:p>
      <w:pPr>
        <w:spacing w:line="440" w:lineRule="exact"/>
        <w:ind w:firstLine="5760" w:firstLineChars="2400"/>
        <w:rPr>
          <w:rFonts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bookmarkEnd w:id="155"/>
    <w:bookmarkEnd w:id="156"/>
    <w:bookmarkEnd w:id="157"/>
    <w:bookmarkEnd w:id="158"/>
    <w:p>
      <w:pPr>
        <w:spacing w:line="440" w:lineRule="exact"/>
        <w:jc w:val="center"/>
        <w:rPr>
          <w:rFonts w:ascii="仿宋" w:hAnsi="仿宋" w:eastAsia="仿宋" w:cs="仿宋"/>
        </w:rPr>
      </w:pPr>
      <w:r>
        <w:rPr>
          <w:rFonts w:hint="eastAsia" w:ascii="仿宋" w:hAnsi="仿宋" w:eastAsia="仿宋" w:cs="仿宋"/>
        </w:rPr>
        <w:br w:type="page"/>
      </w:r>
      <w:r>
        <w:rPr>
          <w:rFonts w:hint="eastAsia" w:ascii="仿宋" w:hAnsi="仿宋" w:eastAsia="仿宋" w:cs="仿宋"/>
          <w:b/>
          <w:bCs/>
          <w:sz w:val="30"/>
          <w:szCs w:val="30"/>
        </w:rPr>
        <w:t>（二）投标函</w:t>
      </w:r>
    </w:p>
    <w:p>
      <w:pPr>
        <w:pStyle w:val="15"/>
        <w:ind w:firstLine="0" w:firstLineChars="0"/>
        <w:rPr>
          <w:rFonts w:ascii="仿宋" w:hAnsi="仿宋" w:eastAsia="仿宋" w:cs="仿宋"/>
        </w:rPr>
      </w:pPr>
    </w:p>
    <w:p>
      <w:pPr>
        <w:spacing w:line="440" w:lineRule="exact"/>
        <w:rPr>
          <w:rFonts w:ascii="宋体" w:hAnsi="宋体" w:cs="宋体"/>
          <w:sz w:val="24"/>
          <w:szCs w:val="24"/>
        </w:rPr>
      </w:pPr>
      <w:r>
        <w:rPr>
          <w:rFonts w:hint="eastAsia" w:ascii="仿宋" w:hAnsi="仿宋" w:eastAsia="仿宋" w:cs="仿宋"/>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（采购人名称）：</w:t>
      </w:r>
    </w:p>
    <w:p>
      <w:pPr>
        <w:spacing w:line="440" w:lineRule="exact"/>
        <w:rPr>
          <w:rFonts w:ascii="宋体" w:hAnsi="宋体" w:cs="宋体"/>
          <w:sz w:val="24"/>
          <w:szCs w:val="24"/>
        </w:rPr>
      </w:pPr>
    </w:p>
    <w:p>
      <w:pPr>
        <w:spacing w:line="440" w:lineRule="exact"/>
        <w:ind w:firstLine="480" w:firstLineChars="200"/>
        <w:rPr>
          <w:rFonts w:ascii="宋体" w:hAnsi="宋体" w:cs="宋体"/>
          <w:sz w:val="24"/>
          <w:szCs w:val="24"/>
        </w:rPr>
      </w:pPr>
      <w:r>
        <w:rPr>
          <w:rFonts w:hint="eastAsia" w:ascii="宋体" w:hAnsi="宋体" w:cs="宋体"/>
          <w:sz w:val="24"/>
          <w:szCs w:val="24"/>
        </w:rPr>
        <w:t>1．我方已仔细研究了</w:t>
      </w:r>
      <w:r>
        <w:rPr>
          <w:rFonts w:hint="eastAsia" w:ascii="宋体" w:hAnsi="宋体" w:cs="宋体"/>
          <w:sz w:val="24"/>
          <w:szCs w:val="24"/>
          <w:u w:val="single"/>
        </w:rPr>
        <w:t xml:space="preserve">          （项目名称）      </w:t>
      </w:r>
      <w:r>
        <w:rPr>
          <w:rFonts w:hint="eastAsia" w:ascii="宋体" w:hAnsi="宋体" w:cs="宋体"/>
          <w:sz w:val="24"/>
          <w:szCs w:val="24"/>
        </w:rPr>
        <w:t>招标文件的全部内容，愿意以人民币（大写）</w:t>
      </w:r>
      <w:r>
        <w:rPr>
          <w:rFonts w:hint="eastAsia" w:ascii="宋体" w:hAnsi="宋体" w:cs="宋体"/>
          <w:sz w:val="24"/>
          <w:szCs w:val="24"/>
          <w:u w:val="single"/>
        </w:rPr>
        <w:t xml:space="preserve">         </w:t>
      </w:r>
      <w:r>
        <w:rPr>
          <w:rFonts w:hint="eastAsia" w:ascii="宋体" w:hAnsi="宋体" w:cs="宋体"/>
          <w:sz w:val="24"/>
          <w:szCs w:val="24"/>
        </w:rPr>
        <w:t>元（¥</w:t>
      </w:r>
      <w:r>
        <w:rPr>
          <w:rFonts w:hint="eastAsia" w:ascii="宋体" w:hAnsi="宋体" w:cs="宋体"/>
          <w:sz w:val="24"/>
          <w:szCs w:val="24"/>
          <w:u w:val="single"/>
        </w:rPr>
        <w:t xml:space="preserve">           </w:t>
      </w:r>
      <w:r>
        <w:rPr>
          <w:rFonts w:hint="eastAsia" w:ascii="宋体" w:hAnsi="宋体" w:cs="宋体"/>
          <w:sz w:val="24"/>
          <w:szCs w:val="24"/>
        </w:rPr>
        <w:t>）的投标总报价，服务期限为</w:t>
      </w:r>
      <w:r>
        <w:rPr>
          <w:rFonts w:hint="eastAsia" w:ascii="宋体" w:hAnsi="宋体" w:cs="宋体"/>
          <w:sz w:val="24"/>
          <w:szCs w:val="24"/>
          <w:u w:val="single"/>
        </w:rPr>
        <w:t xml:space="preserve">          </w:t>
      </w:r>
      <w:r>
        <w:rPr>
          <w:rFonts w:hint="eastAsia" w:ascii="宋体" w:hAnsi="宋体" w:cs="宋体"/>
          <w:sz w:val="24"/>
          <w:szCs w:val="24"/>
        </w:rPr>
        <w:t xml:space="preserve"> ，按合同约定实施和完成本合同中的全部合同内容，质量要求</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440" w:lineRule="exact"/>
        <w:ind w:firstLine="480" w:firstLineChars="200"/>
        <w:rPr>
          <w:rFonts w:ascii="宋体" w:hAnsi="宋体" w:cs="宋体"/>
          <w:sz w:val="24"/>
          <w:szCs w:val="24"/>
        </w:rPr>
      </w:pPr>
      <w:r>
        <w:rPr>
          <w:rFonts w:hint="eastAsia" w:ascii="宋体" w:hAnsi="宋体" w:cs="宋体"/>
          <w:sz w:val="24"/>
          <w:szCs w:val="24"/>
        </w:rPr>
        <w:t>2．我方承诺在投标有效期（</w:t>
      </w:r>
      <w:r>
        <w:rPr>
          <w:rFonts w:hint="eastAsia" w:ascii="宋体" w:hAnsi="宋体" w:cs="宋体"/>
          <w:sz w:val="24"/>
          <w:szCs w:val="24"/>
          <w:u w:val="single"/>
        </w:rPr>
        <w:t xml:space="preserve">        </w:t>
      </w:r>
      <w:r>
        <w:rPr>
          <w:rFonts w:hint="eastAsia" w:ascii="宋体" w:hAnsi="宋体" w:cs="宋体"/>
          <w:sz w:val="24"/>
          <w:szCs w:val="24"/>
        </w:rPr>
        <w:t xml:space="preserve">日历天）内不修改、撤销投标文件。 </w:t>
      </w:r>
    </w:p>
    <w:p>
      <w:pPr>
        <w:spacing w:line="440" w:lineRule="exact"/>
        <w:ind w:firstLine="480" w:firstLineChars="200"/>
        <w:rPr>
          <w:rFonts w:ascii="宋体" w:hAnsi="宋体" w:cs="宋体"/>
          <w:sz w:val="24"/>
          <w:szCs w:val="24"/>
        </w:rPr>
      </w:pPr>
      <w:r>
        <w:rPr>
          <w:rFonts w:hint="eastAsia" w:ascii="宋体" w:hAnsi="宋体" w:cs="宋体"/>
          <w:sz w:val="24"/>
          <w:szCs w:val="24"/>
        </w:rPr>
        <w:t>3．随同本投标函提交投标保证金一份，金额为人民币（大写）</w:t>
      </w:r>
      <w:r>
        <w:rPr>
          <w:rFonts w:hint="eastAsia" w:ascii="宋体" w:hAnsi="宋体" w:cs="宋体"/>
          <w:sz w:val="24"/>
          <w:szCs w:val="24"/>
          <w:u w:val="single"/>
        </w:rPr>
        <w:t xml:space="preserve">        </w:t>
      </w:r>
      <w:r>
        <w:rPr>
          <w:rFonts w:hint="eastAsia" w:ascii="宋体" w:hAnsi="宋体" w:cs="宋体"/>
          <w:sz w:val="24"/>
          <w:szCs w:val="24"/>
        </w:rPr>
        <w:t>元（¥</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440" w:lineRule="exact"/>
        <w:ind w:firstLine="480" w:firstLineChars="200"/>
        <w:rPr>
          <w:rFonts w:ascii="宋体" w:hAnsi="宋体" w:cs="宋体"/>
          <w:sz w:val="24"/>
          <w:szCs w:val="24"/>
        </w:rPr>
      </w:pPr>
      <w:r>
        <w:rPr>
          <w:rFonts w:hint="eastAsia" w:ascii="宋体" w:hAnsi="宋体" w:cs="宋体"/>
          <w:sz w:val="24"/>
          <w:szCs w:val="24"/>
        </w:rPr>
        <w:t>4．如我方中标：</w:t>
      </w:r>
    </w:p>
    <w:p>
      <w:pPr>
        <w:spacing w:line="440" w:lineRule="exact"/>
        <w:ind w:firstLine="820" w:firstLineChars="342"/>
        <w:rPr>
          <w:rFonts w:ascii="宋体" w:hAnsi="宋体" w:cs="宋体"/>
          <w:sz w:val="24"/>
          <w:szCs w:val="24"/>
        </w:rPr>
      </w:pPr>
      <w:r>
        <w:rPr>
          <w:rFonts w:hint="eastAsia" w:ascii="宋体" w:hAnsi="宋体" w:cs="宋体"/>
          <w:sz w:val="24"/>
          <w:szCs w:val="24"/>
        </w:rPr>
        <w:t>（1）我方承诺在收到中标通知书后，在中标通知书规定的期限内与你方签订合同。</w:t>
      </w:r>
    </w:p>
    <w:p>
      <w:pPr>
        <w:spacing w:line="440" w:lineRule="exact"/>
        <w:ind w:firstLine="820" w:firstLineChars="342"/>
        <w:rPr>
          <w:rFonts w:ascii="宋体" w:hAnsi="宋体" w:cs="宋体"/>
          <w:sz w:val="24"/>
          <w:szCs w:val="24"/>
        </w:rPr>
      </w:pPr>
      <w:r>
        <w:rPr>
          <w:rFonts w:hint="eastAsia" w:ascii="宋体" w:hAnsi="宋体" w:cs="宋体"/>
          <w:sz w:val="24"/>
          <w:szCs w:val="24"/>
        </w:rPr>
        <w:t>（2）我方承诺在合同约定的期限内完成并移交全部合同。</w:t>
      </w:r>
    </w:p>
    <w:p>
      <w:pPr>
        <w:spacing w:line="440" w:lineRule="exact"/>
        <w:ind w:firstLine="480" w:firstLineChars="200"/>
        <w:rPr>
          <w:rFonts w:ascii="宋体" w:hAnsi="宋体" w:cs="宋体"/>
          <w:sz w:val="24"/>
          <w:szCs w:val="24"/>
        </w:rPr>
      </w:pPr>
      <w:r>
        <w:rPr>
          <w:rFonts w:hint="eastAsia" w:ascii="宋体" w:hAnsi="宋体" w:cs="宋体"/>
          <w:sz w:val="24"/>
          <w:szCs w:val="24"/>
        </w:rPr>
        <w:t>5．我方在此声明，所递交的投标文件及有关资料内容完整、真实和准确。</w:t>
      </w:r>
    </w:p>
    <w:p>
      <w:pPr>
        <w:spacing w:line="440" w:lineRule="exact"/>
        <w:rPr>
          <w:rFonts w:ascii="宋体" w:hAnsi="宋体" w:cs="宋体"/>
          <w:sz w:val="24"/>
          <w:szCs w:val="24"/>
        </w:rPr>
      </w:pPr>
    </w:p>
    <w:p>
      <w:pPr>
        <w:spacing w:line="440" w:lineRule="exact"/>
        <w:ind w:firstLine="4200" w:firstLineChars="1750"/>
        <w:rPr>
          <w:rFonts w:ascii="宋体" w:hAnsi="宋体" w:cs="宋体"/>
          <w:sz w:val="24"/>
          <w:szCs w:val="24"/>
        </w:rPr>
      </w:pPr>
      <w:r>
        <w:rPr>
          <w:rFonts w:hint="eastAsia" w:ascii="宋体" w:hAnsi="宋体" w:cs="宋体"/>
          <w:sz w:val="24"/>
          <w:szCs w:val="24"/>
        </w:rPr>
        <w:t>投 标 人：</w:t>
      </w:r>
      <w:r>
        <w:rPr>
          <w:rFonts w:hint="eastAsia" w:ascii="宋体" w:hAnsi="宋体" w:cs="宋体"/>
          <w:sz w:val="24"/>
          <w:szCs w:val="24"/>
          <w:u w:val="single"/>
        </w:rPr>
        <w:t xml:space="preserve">                      </w:t>
      </w:r>
      <w:r>
        <w:rPr>
          <w:rFonts w:hint="eastAsia" w:ascii="宋体" w:hAnsi="宋体" w:cs="宋体"/>
          <w:sz w:val="24"/>
          <w:szCs w:val="24"/>
        </w:rPr>
        <w:t>（全称并加盖单位章）</w:t>
      </w:r>
    </w:p>
    <w:p>
      <w:pPr>
        <w:spacing w:line="440" w:lineRule="exact"/>
        <w:ind w:firstLine="4200" w:firstLineChars="1750"/>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（签字盖章）</w:t>
      </w:r>
    </w:p>
    <w:p>
      <w:pPr>
        <w:spacing w:line="440" w:lineRule="exact"/>
        <w:ind w:firstLine="4200" w:firstLineChars="1750"/>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p>
    <w:p>
      <w:pPr>
        <w:spacing w:line="440" w:lineRule="exact"/>
        <w:ind w:firstLine="4200" w:firstLineChars="1750"/>
        <w:rPr>
          <w:rFonts w:ascii="宋体" w:hAnsi="宋体" w:cs="宋体"/>
          <w:sz w:val="24"/>
          <w:szCs w:val="24"/>
        </w:rPr>
      </w:pPr>
      <w:r>
        <w:rPr>
          <w:rFonts w:hint="eastAsia" w:ascii="宋体" w:hAnsi="宋体" w:cs="宋体"/>
          <w:sz w:val="24"/>
          <w:szCs w:val="24"/>
        </w:rPr>
        <w:t>电话：</w:t>
      </w:r>
      <w:r>
        <w:rPr>
          <w:rFonts w:hint="eastAsia" w:ascii="宋体" w:hAnsi="宋体" w:cs="宋体"/>
          <w:sz w:val="24"/>
          <w:szCs w:val="24"/>
          <w:u w:val="single"/>
        </w:rPr>
        <w:t xml:space="preserve">                                     </w:t>
      </w:r>
    </w:p>
    <w:p>
      <w:pPr>
        <w:spacing w:line="440" w:lineRule="exact"/>
        <w:ind w:firstLine="4200" w:firstLineChars="1750"/>
        <w:rPr>
          <w:rFonts w:ascii="宋体" w:hAnsi="宋体" w:cs="宋体"/>
          <w:sz w:val="24"/>
          <w:szCs w:val="24"/>
        </w:rPr>
      </w:pPr>
      <w:r>
        <w:rPr>
          <w:rFonts w:hint="eastAsia" w:ascii="宋体" w:hAnsi="宋体" w:cs="宋体"/>
          <w:sz w:val="24"/>
          <w:szCs w:val="24"/>
        </w:rPr>
        <w:t>传真：</w:t>
      </w:r>
      <w:r>
        <w:rPr>
          <w:rFonts w:hint="eastAsia" w:ascii="宋体" w:hAnsi="宋体" w:cs="宋体"/>
          <w:sz w:val="24"/>
          <w:szCs w:val="24"/>
          <w:u w:val="single"/>
        </w:rPr>
        <w:t xml:space="preserve">                                     </w:t>
      </w:r>
    </w:p>
    <w:p>
      <w:pPr>
        <w:spacing w:line="440" w:lineRule="exact"/>
        <w:ind w:firstLine="4200" w:firstLineChars="1750"/>
        <w:rPr>
          <w:rFonts w:ascii="宋体" w:hAnsi="宋体" w:cs="宋体"/>
          <w:sz w:val="24"/>
          <w:szCs w:val="24"/>
        </w:rPr>
      </w:pPr>
      <w:r>
        <w:rPr>
          <w:rFonts w:hint="eastAsia" w:ascii="宋体" w:hAnsi="宋体" w:cs="宋体"/>
          <w:sz w:val="24"/>
          <w:szCs w:val="24"/>
        </w:rPr>
        <w:t>邮政编码：</w:t>
      </w:r>
      <w:r>
        <w:rPr>
          <w:rFonts w:hint="eastAsia" w:ascii="宋体" w:hAnsi="宋体" w:cs="宋体"/>
          <w:sz w:val="24"/>
          <w:szCs w:val="24"/>
          <w:u w:val="single"/>
        </w:rPr>
        <w:t xml:space="preserve">                                 </w:t>
      </w:r>
    </w:p>
    <w:p>
      <w:pPr>
        <w:spacing w:line="440" w:lineRule="exact"/>
        <w:ind w:firstLine="4200" w:firstLineChars="1750"/>
        <w:rPr>
          <w:rFonts w:ascii="宋体" w:hAnsi="宋体" w:cs="宋体"/>
          <w:sz w:val="24"/>
          <w:szCs w:val="24"/>
        </w:rPr>
      </w:pPr>
    </w:p>
    <w:p>
      <w:pPr>
        <w:spacing w:line="440" w:lineRule="exact"/>
        <w:ind w:firstLine="5760" w:firstLineChars="2400"/>
        <w:rPr>
          <w:rFonts w:ascii="仿宋" w:hAnsi="仿宋" w:eastAsia="仿宋" w:cs="仿宋"/>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仿宋" w:hAnsi="仿宋" w:eastAsia="仿宋" w:cs="仿宋"/>
          <w:sz w:val="24"/>
          <w:szCs w:val="24"/>
          <w:u w:val="single"/>
        </w:rPr>
        <w:t xml:space="preserve">   </w:t>
      </w:r>
      <w:r>
        <w:rPr>
          <w:rFonts w:hint="eastAsia" w:ascii="宋体" w:hAnsi="宋体" w:cs="宋体"/>
          <w:sz w:val="24"/>
          <w:szCs w:val="24"/>
        </w:rPr>
        <w:t>日</w:t>
      </w:r>
    </w:p>
    <w:p>
      <w:pPr>
        <w:spacing w:line="440" w:lineRule="exact"/>
        <w:rPr>
          <w:rFonts w:ascii="仿宋" w:hAnsi="仿宋" w:eastAsia="仿宋" w:cs="仿宋"/>
          <w:sz w:val="20"/>
          <w:szCs w:val="20"/>
        </w:rPr>
      </w:pPr>
    </w:p>
    <w:p>
      <w:pPr>
        <w:pStyle w:val="15"/>
        <w:ind w:firstLine="200"/>
        <w:rPr>
          <w:rFonts w:ascii="仿宋" w:hAnsi="仿宋" w:eastAsia="仿宋" w:cs="仿宋"/>
          <w:sz w:val="20"/>
          <w:szCs w:val="20"/>
        </w:rPr>
      </w:pPr>
    </w:p>
    <w:p>
      <w:pPr>
        <w:pStyle w:val="15"/>
        <w:ind w:firstLine="200"/>
        <w:rPr>
          <w:rFonts w:ascii="仿宋" w:hAnsi="仿宋" w:eastAsia="仿宋" w:cs="仿宋"/>
          <w:sz w:val="20"/>
          <w:szCs w:val="20"/>
        </w:rPr>
      </w:pPr>
    </w:p>
    <w:p>
      <w:pPr>
        <w:pStyle w:val="15"/>
        <w:ind w:firstLine="200"/>
        <w:rPr>
          <w:rFonts w:ascii="仿宋" w:hAnsi="仿宋" w:eastAsia="仿宋" w:cs="仿宋"/>
          <w:sz w:val="20"/>
          <w:szCs w:val="20"/>
        </w:rPr>
      </w:pPr>
    </w:p>
    <w:p>
      <w:pPr>
        <w:pStyle w:val="15"/>
        <w:ind w:firstLine="200"/>
        <w:rPr>
          <w:rFonts w:ascii="仿宋" w:hAnsi="仿宋" w:eastAsia="仿宋" w:cs="仿宋"/>
          <w:sz w:val="20"/>
          <w:szCs w:val="20"/>
        </w:rPr>
      </w:pPr>
    </w:p>
    <w:p>
      <w:pPr>
        <w:pStyle w:val="15"/>
        <w:ind w:firstLine="200"/>
        <w:rPr>
          <w:rFonts w:ascii="仿宋" w:hAnsi="仿宋" w:eastAsia="仿宋" w:cs="仿宋"/>
          <w:sz w:val="20"/>
          <w:szCs w:val="20"/>
        </w:rPr>
      </w:pPr>
    </w:p>
    <w:p>
      <w:pPr>
        <w:pStyle w:val="4"/>
        <w:rPr>
          <w:rFonts w:ascii="仿宋" w:hAnsi="仿宋" w:eastAsia="仿宋" w:cs="仿宋"/>
          <w:b/>
          <w:bCs/>
          <w:sz w:val="30"/>
          <w:szCs w:val="30"/>
        </w:rPr>
      </w:pPr>
      <w:bookmarkStart w:id="159" w:name="_Toc443572893"/>
      <w:bookmarkStart w:id="160" w:name="_Toc152042580"/>
      <w:bookmarkStart w:id="161" w:name="_Toc144974860"/>
      <w:bookmarkStart w:id="162" w:name="_Toc152045791"/>
      <w:bookmarkStart w:id="163" w:name="_Toc464375166"/>
      <w:r>
        <w:rPr>
          <w:rFonts w:hint="eastAsia" w:ascii="仿宋" w:hAnsi="仿宋" w:eastAsia="仿宋" w:cs="仿宋"/>
          <w:b/>
          <w:bCs/>
          <w:sz w:val="30"/>
          <w:szCs w:val="30"/>
        </w:rPr>
        <w:t>二、法定代表人身份证明</w:t>
      </w:r>
      <w:bookmarkEnd w:id="159"/>
      <w:bookmarkEnd w:id="160"/>
      <w:bookmarkEnd w:id="161"/>
      <w:bookmarkEnd w:id="162"/>
      <w:r>
        <w:rPr>
          <w:rFonts w:hint="eastAsia" w:ascii="仿宋" w:hAnsi="仿宋" w:eastAsia="仿宋" w:cs="仿宋"/>
          <w:b/>
          <w:bCs/>
          <w:sz w:val="30"/>
          <w:szCs w:val="30"/>
        </w:rPr>
        <w:t>及授权委托书</w:t>
      </w:r>
      <w:bookmarkEnd w:id="163"/>
    </w:p>
    <w:p>
      <w:pPr>
        <w:pStyle w:val="5"/>
        <w:rPr>
          <w:rFonts w:ascii="仿宋" w:hAnsi="仿宋" w:eastAsia="仿宋" w:cs="仿宋"/>
          <w:sz w:val="28"/>
          <w:szCs w:val="22"/>
        </w:rPr>
      </w:pPr>
      <w:r>
        <w:rPr>
          <w:rFonts w:hint="eastAsia" w:ascii="仿宋" w:hAnsi="仿宋" w:eastAsia="仿宋" w:cs="仿宋"/>
          <w:sz w:val="28"/>
          <w:szCs w:val="36"/>
        </w:rPr>
        <w:t>（一）法定代表人身份证明</w:t>
      </w:r>
    </w:p>
    <w:p>
      <w:pPr>
        <w:spacing w:line="440" w:lineRule="exact"/>
        <w:rPr>
          <w:rFonts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spacing w:line="440" w:lineRule="exact"/>
        <w:rPr>
          <w:rFonts w:ascii="宋体" w:hAnsi="宋体" w:cs="宋体"/>
          <w:sz w:val="24"/>
          <w:szCs w:val="24"/>
        </w:rPr>
      </w:pPr>
      <w:r>
        <w:rPr>
          <w:rFonts w:hint="eastAsia" w:ascii="宋体" w:hAnsi="宋体" w:cs="宋体"/>
          <w:sz w:val="24"/>
          <w:szCs w:val="24"/>
        </w:rPr>
        <w:t>单位性质：</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spacing w:line="440" w:lineRule="exact"/>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spacing w:line="440" w:lineRule="exact"/>
        <w:rPr>
          <w:rFonts w:ascii="宋体" w:hAnsi="宋体" w:cs="宋体"/>
          <w:sz w:val="24"/>
          <w:szCs w:val="24"/>
        </w:rPr>
      </w:pPr>
      <w:r>
        <w:rPr>
          <w:rFonts w:hint="eastAsia" w:ascii="宋体" w:hAnsi="宋体" w:cs="宋体"/>
          <w:sz w:val="24"/>
          <w:szCs w:val="24"/>
        </w:rPr>
        <w:t>成立时间：</w:t>
      </w:r>
      <w:r>
        <w:rPr>
          <w:rFonts w:hint="eastAsia" w:ascii="宋体" w:hAnsi="宋体" w:cs="宋体"/>
          <w:sz w:val="24"/>
          <w:szCs w:val="24"/>
          <w:u w:val="single"/>
        </w:rPr>
        <w:t xml:space="preserve">         </w:t>
      </w:r>
      <w:r>
        <w:rPr>
          <w:rFonts w:hint="eastAsia" w:ascii="宋体" w:hAnsi="宋体" w:cs="宋体"/>
          <w:sz w:val="24"/>
          <w:szCs w:val="24"/>
        </w:rPr>
        <w:t xml:space="preserve"> 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pPr>
        <w:spacing w:line="440" w:lineRule="exact"/>
        <w:rPr>
          <w:rFonts w:ascii="宋体" w:hAnsi="宋体" w:cs="宋体"/>
          <w:sz w:val="24"/>
          <w:szCs w:val="24"/>
        </w:rPr>
      </w:pPr>
      <w:r>
        <w:rPr>
          <w:rFonts w:hint="eastAsia" w:ascii="宋体" w:hAnsi="宋体" w:cs="宋体"/>
          <w:sz w:val="24"/>
          <w:szCs w:val="24"/>
        </w:rPr>
        <w:t>经营期限：</w:t>
      </w:r>
      <w:r>
        <w:rPr>
          <w:rFonts w:hint="eastAsia" w:ascii="宋体" w:hAnsi="宋体" w:cs="宋体"/>
          <w:sz w:val="24"/>
          <w:szCs w:val="24"/>
          <w:u w:val="single"/>
        </w:rPr>
        <w:t xml:space="preserve">                               </w:t>
      </w:r>
    </w:p>
    <w:p>
      <w:pPr>
        <w:spacing w:line="440" w:lineRule="exact"/>
        <w:rPr>
          <w:rFonts w:ascii="宋体" w:hAnsi="宋体" w:cs="宋体"/>
          <w:sz w:val="24"/>
          <w:szCs w:val="24"/>
        </w:rPr>
      </w:pPr>
      <w:r>
        <w:rPr>
          <w:rFonts w:hint="eastAsia" w:ascii="宋体" w:hAnsi="宋体" w:cs="宋体"/>
          <w:sz w:val="24"/>
          <w:szCs w:val="24"/>
        </w:rPr>
        <w:t>姓名：</w:t>
      </w:r>
      <w:r>
        <w:rPr>
          <w:rFonts w:hint="eastAsia" w:ascii="宋体" w:hAnsi="宋体" w:cs="宋体"/>
          <w:sz w:val="24"/>
          <w:szCs w:val="24"/>
          <w:u w:val="single"/>
        </w:rPr>
        <w:t xml:space="preserve">        </w:t>
      </w:r>
      <w:r>
        <w:rPr>
          <w:rFonts w:hint="eastAsia" w:ascii="宋体" w:hAnsi="宋体" w:cs="宋体"/>
          <w:sz w:val="24"/>
          <w:szCs w:val="24"/>
        </w:rPr>
        <w:t xml:space="preserve"> 性别：</w:t>
      </w:r>
      <w:r>
        <w:rPr>
          <w:rFonts w:hint="eastAsia" w:ascii="宋体" w:hAnsi="宋体" w:cs="宋体"/>
          <w:sz w:val="24"/>
          <w:szCs w:val="24"/>
          <w:u w:val="single"/>
        </w:rPr>
        <w:t xml:space="preserve">         </w:t>
      </w:r>
      <w:r>
        <w:rPr>
          <w:rFonts w:hint="eastAsia" w:ascii="宋体" w:hAnsi="宋体" w:cs="宋体"/>
          <w:sz w:val="24"/>
          <w:szCs w:val="24"/>
        </w:rPr>
        <w:t xml:space="preserve"> 年龄：</w:t>
      </w:r>
      <w:r>
        <w:rPr>
          <w:rFonts w:hint="eastAsia" w:ascii="宋体" w:hAnsi="宋体" w:cs="宋体"/>
          <w:sz w:val="24"/>
          <w:szCs w:val="24"/>
          <w:u w:val="single"/>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pPr>
        <w:spacing w:line="440" w:lineRule="exact"/>
        <w:rPr>
          <w:rFonts w:ascii="宋体" w:hAnsi="宋体" w:cs="宋体"/>
          <w:sz w:val="24"/>
          <w:szCs w:val="24"/>
        </w:rPr>
      </w:pPr>
      <w:r>
        <w:rPr>
          <w:rFonts w:hint="eastAsia" w:ascii="宋体" w:hAnsi="宋体" w:cs="宋体"/>
          <w:sz w:val="24"/>
          <w:szCs w:val="24"/>
        </w:rPr>
        <w:t>系</w:t>
      </w:r>
      <w:r>
        <w:rPr>
          <w:rFonts w:hint="eastAsia" w:ascii="宋体" w:hAnsi="宋体" w:cs="宋体"/>
          <w:sz w:val="24"/>
          <w:szCs w:val="24"/>
          <w:u w:val="single"/>
        </w:rPr>
        <w:t xml:space="preserve">                             </w:t>
      </w:r>
      <w:r>
        <w:rPr>
          <w:rFonts w:hint="eastAsia" w:ascii="宋体" w:hAnsi="宋体" w:cs="宋体"/>
          <w:sz w:val="24"/>
          <w:szCs w:val="24"/>
        </w:rPr>
        <w:t xml:space="preserve"> （投标人名称）的法定代表人。</w:t>
      </w:r>
    </w:p>
    <w:p>
      <w:pPr>
        <w:spacing w:line="440" w:lineRule="exact"/>
        <w:ind w:firstLine="480" w:firstLineChars="200"/>
        <w:rPr>
          <w:rFonts w:ascii="宋体" w:hAnsi="宋体" w:cs="宋体"/>
          <w:sz w:val="24"/>
          <w:szCs w:val="24"/>
        </w:rPr>
      </w:pPr>
      <w:r>
        <w:rPr>
          <w:rFonts w:hint="eastAsia" w:ascii="宋体" w:hAnsi="宋体" w:cs="宋体"/>
          <w:sz w:val="24"/>
          <w:szCs w:val="24"/>
        </w:rPr>
        <w:t>特此证明。</w:t>
      </w:r>
    </w:p>
    <w:p>
      <w:pPr>
        <w:spacing w:line="440" w:lineRule="exact"/>
        <w:rPr>
          <w:rFonts w:ascii="宋体" w:hAnsi="宋体" w:cs="宋体"/>
          <w:sz w:val="24"/>
          <w:szCs w:val="24"/>
        </w:rPr>
      </w:pPr>
    </w:p>
    <w:p>
      <w:pPr>
        <w:pStyle w:val="2"/>
        <w:rPr>
          <w:rFonts w:ascii="宋体" w:hAnsi="宋体" w:cs="宋体"/>
          <w:sz w:val="24"/>
          <w:szCs w:val="24"/>
        </w:rPr>
      </w:pPr>
    </w:p>
    <w:p/>
    <w:p>
      <w:pPr>
        <w:spacing w:line="440" w:lineRule="exact"/>
        <w:rPr>
          <w:rFonts w:ascii="宋体" w:hAnsi="宋体" w:cs="宋体"/>
          <w:b/>
          <w:sz w:val="24"/>
          <w:szCs w:val="24"/>
        </w:rPr>
      </w:pPr>
      <w:r>
        <w:rPr>
          <w:rFonts w:hint="eastAsia" w:ascii="宋体" w:hAnsi="宋体" w:cs="宋体"/>
          <w:b/>
          <w:sz w:val="24"/>
          <w:szCs w:val="24"/>
        </w:rPr>
        <w:t>附：法定代表人身份证复印件。</w:t>
      </w:r>
    </w:p>
    <w:p>
      <w:pPr>
        <w:spacing w:line="440" w:lineRule="exact"/>
        <w:rPr>
          <w:rFonts w:ascii="宋体" w:hAnsi="宋体" w:cs="宋体"/>
          <w:sz w:val="24"/>
          <w:szCs w:val="24"/>
        </w:rPr>
      </w:pPr>
      <w:r>
        <w:rPr>
          <w:rFonts w:hint="eastAsia" w:ascii="宋体" w:hAnsi="宋体" w:cs="宋体"/>
          <w:sz w:val="24"/>
          <w:szCs w:val="24"/>
        </w:rPr>
        <w:t xml:space="preserve">                         </w:t>
      </w:r>
    </w:p>
    <w:p>
      <w:pPr>
        <w:pStyle w:val="2"/>
        <w:rPr>
          <w:rFonts w:ascii="宋体" w:hAnsi="宋体" w:cs="宋体"/>
          <w:sz w:val="24"/>
          <w:szCs w:val="24"/>
        </w:rPr>
      </w:pPr>
    </w:p>
    <w:p/>
    <w:p>
      <w:pPr>
        <w:spacing w:line="440" w:lineRule="exact"/>
        <w:rPr>
          <w:rFonts w:ascii="宋体" w:hAnsi="宋体" w:cs="宋体"/>
          <w:sz w:val="24"/>
          <w:szCs w:val="24"/>
        </w:rPr>
      </w:pPr>
    </w:p>
    <w:p>
      <w:pPr>
        <w:spacing w:line="440" w:lineRule="exact"/>
        <w:ind w:firstLine="3120" w:firstLineChars="1300"/>
        <w:rPr>
          <w:rFonts w:ascii="宋体" w:hAnsi="宋体" w:cs="宋体"/>
          <w:sz w:val="24"/>
          <w:szCs w:val="24"/>
        </w:rPr>
      </w:pPr>
      <w:r>
        <w:rPr>
          <w:rFonts w:hint="eastAsia" w:ascii="宋体" w:hAnsi="宋体" w:cs="宋体"/>
          <w:sz w:val="24"/>
          <w:szCs w:val="24"/>
        </w:rPr>
        <w:t xml:space="preserve"> 投标人：</w:t>
      </w:r>
      <w:r>
        <w:rPr>
          <w:rFonts w:hint="eastAsia" w:ascii="宋体" w:hAnsi="宋体" w:cs="宋体"/>
          <w:sz w:val="24"/>
          <w:szCs w:val="24"/>
          <w:u w:val="single"/>
        </w:rPr>
        <w:t xml:space="preserve">                 </w:t>
      </w:r>
      <w:r>
        <w:rPr>
          <w:rFonts w:hint="eastAsia" w:ascii="宋体" w:hAnsi="宋体" w:cs="宋体"/>
          <w:sz w:val="24"/>
          <w:szCs w:val="24"/>
        </w:rPr>
        <w:t>（全称并加盖单位章）</w:t>
      </w:r>
    </w:p>
    <w:p>
      <w:pPr>
        <w:spacing w:line="440" w:lineRule="exact"/>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 xml:space="preserve">日           </w:t>
      </w:r>
    </w:p>
    <w:p>
      <w:pPr>
        <w:spacing w:line="440" w:lineRule="exact"/>
        <w:rPr>
          <w:rFonts w:ascii="宋体" w:hAnsi="宋体" w:cs="宋体"/>
          <w:sz w:val="24"/>
          <w:szCs w:val="24"/>
        </w:rPr>
      </w:pPr>
    </w:p>
    <w:p>
      <w:pPr>
        <w:pStyle w:val="15"/>
        <w:ind w:firstLine="240"/>
        <w:rPr>
          <w:rFonts w:ascii="宋体" w:hAnsi="宋体" w:cs="宋体"/>
          <w:sz w:val="24"/>
        </w:rPr>
      </w:pPr>
    </w:p>
    <w:p>
      <w:pPr>
        <w:spacing w:line="440" w:lineRule="exact"/>
        <w:rPr>
          <w:rFonts w:ascii="仿宋" w:hAnsi="仿宋" w:eastAsia="仿宋" w:cs="仿宋"/>
          <w:szCs w:val="21"/>
        </w:rPr>
      </w:pPr>
    </w:p>
    <w:p>
      <w:pPr>
        <w:pStyle w:val="15"/>
        <w:ind w:firstLine="200"/>
        <w:rPr>
          <w:rFonts w:ascii="仿宋" w:hAnsi="仿宋" w:eastAsia="仿宋" w:cs="仿宋"/>
          <w:sz w:val="20"/>
          <w:szCs w:val="20"/>
        </w:rPr>
      </w:pPr>
    </w:p>
    <w:p>
      <w:pPr>
        <w:pStyle w:val="15"/>
        <w:ind w:firstLine="200"/>
        <w:rPr>
          <w:rFonts w:ascii="仿宋" w:hAnsi="仿宋" w:eastAsia="仿宋" w:cs="仿宋"/>
          <w:sz w:val="20"/>
          <w:szCs w:val="20"/>
        </w:rPr>
      </w:pPr>
    </w:p>
    <w:p>
      <w:r>
        <w:rPr>
          <w:rFonts w:hint="eastAsia"/>
        </w:rPr>
        <w:br w:type="page"/>
      </w:r>
    </w:p>
    <w:p>
      <w:pPr>
        <w:pStyle w:val="5"/>
        <w:rPr>
          <w:rFonts w:ascii="仿宋" w:hAnsi="仿宋" w:eastAsia="仿宋" w:cs="仿宋"/>
          <w:sz w:val="28"/>
          <w:szCs w:val="36"/>
        </w:rPr>
      </w:pPr>
      <w:r>
        <w:rPr>
          <w:rFonts w:hint="eastAsia" w:ascii="仿宋" w:hAnsi="仿宋" w:eastAsia="仿宋" w:cs="仿宋"/>
          <w:sz w:val="28"/>
          <w:szCs w:val="36"/>
        </w:rPr>
        <w:t>（二）授权委托书</w:t>
      </w:r>
    </w:p>
    <w:p>
      <w:pPr>
        <w:topLinePunct/>
        <w:spacing w:line="440" w:lineRule="exact"/>
        <w:ind w:firstLine="480" w:firstLineChars="200"/>
        <w:rPr>
          <w:rFonts w:ascii="宋体" w:hAnsi="宋体" w:cs="宋体"/>
          <w:sz w:val="24"/>
          <w:szCs w:val="24"/>
        </w:rPr>
      </w:pPr>
      <w:r>
        <w:rPr>
          <w:rFonts w:hint="eastAsia" w:ascii="宋体" w:hAnsi="宋体" w:cs="宋体"/>
          <w:sz w:val="24"/>
          <w:szCs w:val="24"/>
        </w:rPr>
        <w:t>本人</w:t>
      </w:r>
      <w:r>
        <w:rPr>
          <w:rFonts w:hint="eastAsia" w:ascii="宋体" w:hAnsi="宋体" w:cs="宋体"/>
          <w:sz w:val="24"/>
          <w:szCs w:val="24"/>
          <w:u w:val="single"/>
        </w:rPr>
        <w:t>（姓名）</w:t>
      </w:r>
      <w:r>
        <w:rPr>
          <w:rFonts w:hint="eastAsia" w:ascii="宋体" w:hAnsi="宋体" w:cs="宋体"/>
          <w:sz w:val="24"/>
          <w:szCs w:val="24"/>
        </w:rPr>
        <w:t>系</w:t>
      </w:r>
      <w:r>
        <w:rPr>
          <w:rFonts w:hint="eastAsia" w:ascii="宋体" w:hAnsi="宋体" w:cs="宋体"/>
          <w:sz w:val="24"/>
          <w:szCs w:val="24"/>
          <w:u w:val="single"/>
        </w:rPr>
        <w:t>（投标人名称）</w:t>
      </w:r>
      <w:r>
        <w:rPr>
          <w:rFonts w:hint="eastAsia" w:ascii="宋体" w:hAnsi="宋体" w:cs="宋体"/>
          <w:sz w:val="24"/>
          <w:szCs w:val="24"/>
        </w:rPr>
        <w:t>的法定代表人，现委托</w:t>
      </w:r>
      <w:r>
        <w:rPr>
          <w:rFonts w:hint="eastAsia" w:ascii="宋体" w:hAnsi="宋体" w:cs="宋体"/>
          <w:sz w:val="24"/>
          <w:szCs w:val="24"/>
          <w:u w:val="single"/>
        </w:rPr>
        <w:t>（姓名）</w:t>
      </w:r>
      <w:r>
        <w:rPr>
          <w:rFonts w:hint="eastAsia" w:ascii="宋体" w:hAnsi="宋体" w:cs="宋体"/>
          <w:sz w:val="24"/>
          <w:szCs w:val="24"/>
        </w:rPr>
        <w:t>为我方代理人。代理人根据授权，以我方名义签署、澄清、说明、补正、递交、撤回、修改</w:t>
      </w:r>
      <w:r>
        <w:rPr>
          <w:rFonts w:hint="eastAsia" w:ascii="宋体" w:hAnsi="宋体" w:cs="宋体"/>
          <w:sz w:val="24"/>
          <w:szCs w:val="24"/>
          <w:u w:val="single"/>
        </w:rPr>
        <w:t>（项目名称）</w:t>
      </w:r>
      <w:r>
        <w:rPr>
          <w:rFonts w:hint="eastAsia" w:ascii="宋体" w:hAnsi="宋体" w:cs="宋体"/>
          <w:sz w:val="24"/>
          <w:szCs w:val="24"/>
        </w:rPr>
        <w:t>投标文件、签订合同和处理有关事宜，其法律后果由我方承担。</w:t>
      </w:r>
    </w:p>
    <w:p>
      <w:pPr>
        <w:spacing w:line="440" w:lineRule="exact"/>
        <w:rPr>
          <w:rFonts w:ascii="宋体" w:hAnsi="宋体" w:cs="宋体"/>
          <w:sz w:val="24"/>
          <w:szCs w:val="24"/>
        </w:rPr>
      </w:pPr>
      <w:r>
        <w:rPr>
          <w:rFonts w:hint="eastAsia" w:ascii="宋体" w:hAnsi="宋体" w:cs="宋体"/>
          <w:sz w:val="24"/>
          <w:szCs w:val="24"/>
        </w:rPr>
        <w:t xml:space="preserve">    委托期限：</w:t>
      </w:r>
      <w:r>
        <w:rPr>
          <w:rFonts w:hint="eastAsia" w:ascii="宋体" w:hAnsi="宋体" w:cs="宋体"/>
          <w:sz w:val="24"/>
          <w:szCs w:val="24"/>
          <w:u w:val="single"/>
        </w:rPr>
        <w:t xml:space="preserve">                        </w:t>
      </w:r>
    </w:p>
    <w:p>
      <w:pPr>
        <w:spacing w:line="440" w:lineRule="exact"/>
        <w:ind w:firstLine="480" w:firstLineChars="200"/>
        <w:rPr>
          <w:rFonts w:ascii="宋体" w:hAnsi="宋体" w:cs="宋体"/>
          <w:sz w:val="24"/>
          <w:szCs w:val="24"/>
        </w:rPr>
      </w:pPr>
      <w:r>
        <w:rPr>
          <w:rFonts w:hint="eastAsia" w:ascii="宋体" w:hAnsi="宋体" w:cs="宋体"/>
          <w:sz w:val="24"/>
          <w:szCs w:val="24"/>
        </w:rPr>
        <w:t>代理人无转委托权。</w:t>
      </w:r>
    </w:p>
    <w:p>
      <w:pPr>
        <w:spacing w:line="360" w:lineRule="auto"/>
        <w:ind w:firstLine="435"/>
        <w:rPr>
          <w:rFonts w:asciiTheme="majorEastAsia" w:hAnsiTheme="majorEastAsia" w:eastAsiaTheme="majorEastAsia" w:cstheme="majorEastAsia"/>
          <w:color w:val="000000"/>
          <w:sz w:val="22"/>
          <w:szCs w:val="21"/>
        </w:rPr>
      </w:pPr>
      <w:r>
        <w:rPr>
          <w:rFonts w:hint="eastAsia" w:ascii="宋体" w:hAnsi="宋体" w:cs="宋体"/>
          <w:sz w:val="24"/>
          <w:szCs w:val="24"/>
        </w:rPr>
        <w:t>本授权书于</w:t>
      </w:r>
      <w:r>
        <w:rPr>
          <w:rFonts w:hint="eastAsia" w:asciiTheme="majorEastAsia" w:hAnsiTheme="majorEastAsia" w:eastAsiaTheme="majorEastAsia" w:cstheme="majorEastAsia"/>
          <w:color w:val="000000"/>
          <w:sz w:val="22"/>
          <w:szCs w:val="21"/>
          <w:u w:val="single"/>
        </w:rPr>
        <w:t xml:space="preserve">      </w:t>
      </w:r>
      <w:r>
        <w:rPr>
          <w:rFonts w:hint="eastAsia" w:ascii="宋体" w:hAnsi="宋体" w:cs="宋体"/>
          <w:sz w:val="24"/>
          <w:szCs w:val="24"/>
        </w:rPr>
        <w:t>年</w:t>
      </w:r>
      <w:r>
        <w:rPr>
          <w:rFonts w:hint="eastAsia" w:asciiTheme="majorEastAsia" w:hAnsiTheme="majorEastAsia" w:eastAsiaTheme="majorEastAsia" w:cstheme="majorEastAsia"/>
          <w:color w:val="000000"/>
          <w:sz w:val="22"/>
          <w:szCs w:val="21"/>
          <w:u w:val="single"/>
        </w:rPr>
        <w:t xml:space="preserve">    </w:t>
      </w:r>
      <w:r>
        <w:rPr>
          <w:rFonts w:hint="eastAsia" w:ascii="宋体" w:hAnsi="宋体" w:cs="宋体"/>
          <w:sz w:val="24"/>
          <w:szCs w:val="24"/>
        </w:rPr>
        <w:t>月</w:t>
      </w:r>
      <w:r>
        <w:rPr>
          <w:rFonts w:hint="eastAsia" w:asciiTheme="majorEastAsia" w:hAnsiTheme="majorEastAsia" w:eastAsiaTheme="majorEastAsia" w:cstheme="majorEastAsia"/>
          <w:color w:val="000000"/>
          <w:sz w:val="22"/>
          <w:szCs w:val="21"/>
          <w:u w:val="single"/>
        </w:rPr>
        <w:t xml:space="preserve">    </w:t>
      </w:r>
      <w:r>
        <w:rPr>
          <w:rFonts w:hint="eastAsia" w:ascii="宋体" w:hAnsi="宋体" w:cs="宋体"/>
          <w:sz w:val="24"/>
          <w:szCs w:val="24"/>
        </w:rPr>
        <w:t>日签字生效，特此声明。</w:t>
      </w:r>
    </w:p>
    <w:p>
      <w:pPr>
        <w:adjustRightInd w:val="0"/>
        <w:snapToGrid w:val="0"/>
        <w:spacing w:before="157" w:beforeLines="50" w:line="360" w:lineRule="auto"/>
        <w:ind w:firstLine="440" w:firstLineChars="200"/>
        <w:rPr>
          <w:rFonts w:ascii="仿宋" w:hAnsi="仿宋" w:eastAsia="仿宋"/>
          <w:color w:val="000000"/>
          <w:sz w:val="22"/>
          <w:szCs w:val="21"/>
        </w:rPr>
      </w:pPr>
    </w:p>
    <w:p>
      <w:pPr>
        <w:adjustRightInd w:val="0"/>
        <w:snapToGrid w:val="0"/>
        <w:spacing w:line="360" w:lineRule="auto"/>
        <w:ind w:right="420"/>
        <w:rPr>
          <w:rFonts w:ascii="仿宋" w:hAnsi="仿宋" w:eastAsia="仿宋"/>
          <w:color w:val="000000"/>
          <w:sz w:val="22"/>
          <w:szCs w:val="21"/>
        </w:rPr>
      </w:pPr>
    </w:p>
    <w:p>
      <w:pPr>
        <w:topLinePunct/>
        <w:spacing w:line="440" w:lineRule="exact"/>
        <w:ind w:firstLine="482" w:firstLineChars="200"/>
        <w:rPr>
          <w:rFonts w:ascii="宋体" w:hAnsi="宋体" w:cs="宋体"/>
          <w:b/>
          <w:bCs/>
          <w:sz w:val="24"/>
          <w:szCs w:val="24"/>
        </w:rPr>
      </w:pPr>
      <w:r>
        <w:rPr>
          <w:rFonts w:hint="eastAsia" w:ascii="宋体" w:hAnsi="宋体" w:cs="宋体"/>
          <w:b/>
          <w:bCs/>
          <w:sz w:val="24"/>
          <w:szCs w:val="24"/>
        </w:rPr>
        <w:t>附：法定代表人身份证复印件</w:t>
      </w:r>
    </w:p>
    <w:p>
      <w:pPr>
        <w:topLinePunct/>
        <w:spacing w:line="440" w:lineRule="exact"/>
        <w:ind w:firstLine="482" w:firstLineChars="200"/>
        <w:rPr>
          <w:rFonts w:ascii="宋体" w:hAnsi="宋体" w:cs="宋体"/>
          <w:b/>
          <w:bCs/>
          <w:sz w:val="24"/>
          <w:szCs w:val="24"/>
        </w:rPr>
      </w:pPr>
    </w:p>
    <w:p>
      <w:pPr>
        <w:topLinePunct/>
        <w:spacing w:line="440" w:lineRule="exact"/>
        <w:ind w:firstLine="482" w:firstLineChars="200"/>
        <w:rPr>
          <w:rFonts w:ascii="宋体" w:hAnsi="宋体" w:cs="宋体"/>
          <w:b/>
          <w:bCs/>
          <w:sz w:val="24"/>
          <w:szCs w:val="24"/>
        </w:rPr>
      </w:pPr>
    </w:p>
    <w:p>
      <w:pPr>
        <w:topLinePunct/>
        <w:spacing w:line="440" w:lineRule="exact"/>
        <w:ind w:firstLine="482" w:firstLineChars="200"/>
        <w:rPr>
          <w:rFonts w:ascii="宋体" w:hAnsi="宋体" w:cs="宋体"/>
          <w:b/>
          <w:bCs/>
          <w:sz w:val="24"/>
          <w:szCs w:val="24"/>
        </w:rPr>
      </w:pPr>
      <w:r>
        <w:rPr>
          <w:rFonts w:hint="eastAsia" w:ascii="宋体" w:hAnsi="宋体" w:cs="宋体"/>
          <w:b/>
          <w:bCs/>
          <w:sz w:val="24"/>
          <w:szCs w:val="24"/>
        </w:rPr>
        <w:t>附：被授权人身份证复印件</w:t>
      </w:r>
    </w:p>
    <w:p>
      <w:pPr>
        <w:spacing w:line="440" w:lineRule="exact"/>
        <w:rPr>
          <w:rFonts w:ascii="宋体" w:hAnsi="宋体" w:cs="宋体"/>
          <w:sz w:val="24"/>
          <w:szCs w:val="24"/>
        </w:rPr>
      </w:pPr>
    </w:p>
    <w:p>
      <w:pPr>
        <w:pStyle w:val="2"/>
        <w:rPr>
          <w:rFonts w:ascii="宋体" w:hAnsi="宋体" w:cs="宋体"/>
          <w:sz w:val="24"/>
          <w:szCs w:val="24"/>
        </w:rPr>
      </w:pPr>
    </w:p>
    <w:p>
      <w:pPr>
        <w:rPr>
          <w:rFonts w:ascii="宋体" w:hAnsi="宋体" w:cs="宋体"/>
          <w:b/>
          <w:sz w:val="24"/>
          <w:szCs w:val="24"/>
        </w:rPr>
      </w:pPr>
    </w:p>
    <w:p>
      <w:pPr>
        <w:pStyle w:val="2"/>
        <w:rPr>
          <w:rFonts w:ascii="宋体" w:hAnsi="宋体" w:cs="宋体"/>
          <w:sz w:val="24"/>
          <w:szCs w:val="24"/>
        </w:rPr>
      </w:pPr>
    </w:p>
    <w:p/>
    <w:p>
      <w:pPr>
        <w:spacing w:line="440" w:lineRule="exact"/>
        <w:rPr>
          <w:rFonts w:ascii="宋体" w:hAnsi="宋体" w:cs="宋体"/>
          <w:sz w:val="24"/>
          <w:szCs w:val="24"/>
        </w:rPr>
      </w:pPr>
    </w:p>
    <w:p>
      <w:pPr>
        <w:pStyle w:val="2"/>
      </w:pPr>
    </w:p>
    <w:p>
      <w:pPr>
        <w:spacing w:line="360" w:lineRule="auto"/>
        <w:ind w:firstLine="480" w:firstLineChars="200"/>
        <w:jc w:val="right"/>
        <w:rPr>
          <w:rFonts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r>
        <w:rPr>
          <w:rFonts w:hint="eastAsia" w:ascii="宋体" w:hAnsi="宋体" w:cs="宋体"/>
          <w:sz w:val="24"/>
          <w:szCs w:val="24"/>
        </w:rPr>
        <w:t>（全称并加盖单位章）</w:t>
      </w:r>
    </w:p>
    <w:p>
      <w:pPr>
        <w:spacing w:line="360" w:lineRule="auto"/>
        <w:ind w:firstLine="480" w:firstLineChars="200"/>
        <w:jc w:val="center"/>
        <w:rPr>
          <w:rFonts w:ascii="宋体" w:hAnsi="宋体" w:cs="宋体"/>
          <w:sz w:val="24"/>
          <w:szCs w:val="24"/>
        </w:rPr>
      </w:pPr>
      <w:r>
        <w:rPr>
          <w:rFonts w:hint="eastAsia" w:ascii="宋体" w:hAnsi="宋体" w:cs="宋体"/>
          <w:sz w:val="24"/>
          <w:szCs w:val="24"/>
        </w:rPr>
        <w:t xml:space="preserve">                 法定代表人 ：</w:t>
      </w:r>
      <w:r>
        <w:rPr>
          <w:rFonts w:hint="eastAsia" w:ascii="宋体" w:hAnsi="宋体" w:cs="宋体"/>
          <w:sz w:val="24"/>
          <w:szCs w:val="24"/>
          <w:u w:val="single"/>
        </w:rPr>
        <w:t xml:space="preserve">                </w:t>
      </w:r>
      <w:r>
        <w:rPr>
          <w:rFonts w:hint="eastAsia" w:ascii="宋体" w:hAnsi="宋体" w:cs="宋体"/>
          <w:sz w:val="24"/>
          <w:szCs w:val="24"/>
        </w:rPr>
        <w:t>（签字盖章）</w:t>
      </w:r>
    </w:p>
    <w:p>
      <w:pPr>
        <w:spacing w:line="360" w:lineRule="auto"/>
        <w:ind w:firstLine="480" w:firstLineChars="200"/>
        <w:jc w:val="center"/>
        <w:rPr>
          <w:rFonts w:ascii="宋体" w:hAnsi="宋体" w:cs="宋体"/>
          <w:sz w:val="24"/>
          <w:szCs w:val="24"/>
        </w:rPr>
      </w:pPr>
      <w:r>
        <w:rPr>
          <w:rFonts w:hint="eastAsia" w:ascii="宋体" w:hAnsi="宋体" w:cs="宋体"/>
          <w:sz w:val="24"/>
          <w:szCs w:val="24"/>
        </w:rPr>
        <w:t xml:space="preserve">              委托代理人：</w:t>
      </w:r>
      <w:r>
        <w:rPr>
          <w:rFonts w:hint="eastAsia" w:ascii="宋体" w:hAnsi="宋体" w:cs="宋体"/>
          <w:sz w:val="24"/>
          <w:szCs w:val="24"/>
          <w:u w:val="single"/>
        </w:rPr>
        <w:t xml:space="preserve">                 </w:t>
      </w:r>
      <w:r>
        <w:rPr>
          <w:rFonts w:hint="eastAsia" w:ascii="宋体" w:hAnsi="宋体" w:cs="宋体"/>
          <w:sz w:val="24"/>
          <w:szCs w:val="24"/>
        </w:rPr>
        <w:t xml:space="preserve">（签字） </w:t>
      </w:r>
    </w:p>
    <w:p>
      <w:pPr>
        <w:spacing w:line="440" w:lineRule="exact"/>
        <w:ind w:firstLine="3840" w:firstLineChars="16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spacing w:line="400" w:lineRule="exact"/>
        <w:rPr>
          <w:rFonts w:ascii="仿宋" w:hAnsi="仿宋" w:eastAsia="仿宋" w:cs="仿宋"/>
          <w:sz w:val="20"/>
          <w:szCs w:val="20"/>
        </w:rPr>
      </w:pPr>
    </w:p>
    <w:p>
      <w:pPr>
        <w:spacing w:line="400" w:lineRule="exact"/>
        <w:rPr>
          <w:rFonts w:ascii="仿宋" w:hAnsi="仿宋" w:eastAsia="仿宋" w:cs="仿宋"/>
          <w:sz w:val="20"/>
          <w:szCs w:val="20"/>
        </w:rPr>
      </w:pPr>
    </w:p>
    <w:p>
      <w:pPr>
        <w:spacing w:line="400" w:lineRule="exact"/>
        <w:rPr>
          <w:rFonts w:ascii="仿宋" w:hAnsi="仿宋" w:eastAsia="仿宋" w:cs="仿宋"/>
          <w:sz w:val="20"/>
          <w:szCs w:val="20"/>
        </w:rPr>
      </w:pPr>
    </w:p>
    <w:p>
      <w:pPr>
        <w:spacing w:line="400" w:lineRule="exact"/>
        <w:rPr>
          <w:rFonts w:ascii="仿宋" w:hAnsi="仿宋" w:eastAsia="仿宋" w:cs="仿宋"/>
          <w:sz w:val="20"/>
          <w:szCs w:val="20"/>
        </w:rPr>
      </w:pPr>
    </w:p>
    <w:p>
      <w:pPr>
        <w:pStyle w:val="15"/>
        <w:ind w:firstLine="0" w:firstLineChars="0"/>
        <w:rPr>
          <w:rFonts w:ascii="仿宋" w:hAnsi="仿宋" w:eastAsia="仿宋" w:cs="仿宋"/>
          <w:sz w:val="20"/>
          <w:szCs w:val="20"/>
        </w:rPr>
      </w:pPr>
    </w:p>
    <w:p>
      <w:pPr>
        <w:pStyle w:val="4"/>
        <w:numPr>
          <w:ilvl w:val="0"/>
          <w:numId w:val="22"/>
        </w:numPr>
        <w:rPr>
          <w:rFonts w:ascii="仿宋" w:hAnsi="仿宋" w:eastAsia="仿宋" w:cs="仿宋"/>
          <w:b/>
          <w:bCs/>
          <w:sz w:val="30"/>
          <w:szCs w:val="30"/>
        </w:rPr>
      </w:pPr>
      <w:bookmarkStart w:id="164" w:name="_Toc152045794"/>
      <w:bookmarkStart w:id="165" w:name="_Toc152042583"/>
      <w:bookmarkStart w:id="166" w:name="_Toc144974862"/>
      <w:bookmarkStart w:id="167" w:name="_Toc464375167"/>
      <w:bookmarkStart w:id="168" w:name="_Toc443572895"/>
      <w:r>
        <w:rPr>
          <w:rFonts w:hint="eastAsia" w:ascii="仿宋" w:hAnsi="仿宋" w:eastAsia="仿宋" w:cs="仿宋"/>
          <w:b/>
          <w:bCs/>
          <w:sz w:val="30"/>
          <w:szCs w:val="30"/>
        </w:rPr>
        <w:t>投标保证金</w:t>
      </w:r>
      <w:bookmarkEnd w:id="164"/>
      <w:bookmarkEnd w:id="165"/>
      <w:bookmarkEnd w:id="166"/>
      <w:bookmarkEnd w:id="167"/>
      <w:bookmarkEnd w:id="168"/>
    </w:p>
    <w:p>
      <w:pPr>
        <w:pStyle w:val="180"/>
        <w:adjustRightInd w:val="0"/>
        <w:snapToGrid w:val="0"/>
        <w:ind w:firstLine="0" w:firstLineChars="0"/>
        <w:jc w:val="left"/>
        <w:rPr>
          <w:rFonts w:ascii="宋体" w:hAnsi="宋体" w:cs="宋体"/>
          <w:color w:val="000000"/>
          <w:sz w:val="24"/>
          <w:szCs w:val="24"/>
        </w:rPr>
      </w:pPr>
      <w:r>
        <w:rPr>
          <w:rFonts w:hint="eastAsia" w:ascii="宋体" w:hAnsi="宋体" w:cs="宋体"/>
          <w:color w:val="000000"/>
          <w:sz w:val="24"/>
          <w:szCs w:val="24"/>
        </w:rPr>
        <w:t>说明：保证金交纳凭证或银行转账成功的截图</w:t>
      </w:r>
    </w:p>
    <w:p>
      <w:pPr>
        <w:pStyle w:val="180"/>
        <w:adjustRightInd w:val="0"/>
        <w:snapToGrid w:val="0"/>
        <w:ind w:firstLine="0" w:firstLineChars="0"/>
        <w:jc w:val="center"/>
        <w:rPr>
          <w:rFonts w:ascii="宋体" w:hAnsi="宋体" w:cs="宋体"/>
          <w:color w:val="000000"/>
          <w:sz w:val="24"/>
          <w:szCs w:val="24"/>
        </w:rPr>
      </w:pPr>
    </w:p>
    <w:p>
      <w:pPr>
        <w:spacing w:line="440" w:lineRule="exact"/>
        <w:jc w:val="left"/>
        <w:rPr>
          <w:rFonts w:ascii="仿宋" w:hAnsi="仿宋" w:eastAsia="仿宋" w:cs="仿宋"/>
          <w:sz w:val="24"/>
        </w:rPr>
      </w:pPr>
    </w:p>
    <w:p>
      <w:pPr>
        <w:spacing w:line="440" w:lineRule="exact"/>
        <w:jc w:val="left"/>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spacing w:line="440" w:lineRule="exact"/>
        <w:jc w:val="left"/>
        <w:rPr>
          <w:rFonts w:ascii="仿宋" w:hAnsi="仿宋" w:eastAsia="仿宋" w:cs="仿宋"/>
          <w:sz w:val="24"/>
        </w:rPr>
        <w:sectPr>
          <w:pgSz w:w="11905" w:h="16838"/>
          <w:pgMar w:top="1327" w:right="1406" w:bottom="1327" w:left="1406" w:header="850" w:footer="992" w:gutter="0"/>
          <w:cols w:space="720" w:num="1"/>
          <w:titlePg/>
          <w:docGrid w:type="lines" w:linePitch="315" w:charSpace="0"/>
        </w:sectPr>
      </w:pPr>
    </w:p>
    <w:p>
      <w:pPr>
        <w:pStyle w:val="4"/>
        <w:rPr>
          <w:rFonts w:ascii="仿宋" w:hAnsi="仿宋" w:eastAsia="仿宋" w:cs="仿宋"/>
          <w:b/>
          <w:bCs/>
          <w:sz w:val="30"/>
          <w:szCs w:val="30"/>
        </w:rPr>
      </w:pPr>
      <w:r>
        <w:rPr>
          <w:rFonts w:hint="eastAsia" w:ascii="仿宋" w:hAnsi="仿宋" w:eastAsia="仿宋" w:cs="仿宋"/>
          <w:b/>
          <w:bCs/>
          <w:sz w:val="30"/>
          <w:szCs w:val="30"/>
        </w:rPr>
        <w:t>四、企业基本情况表</w:t>
      </w:r>
    </w:p>
    <w:p>
      <w:pPr>
        <w:spacing w:line="148" w:lineRule="exact"/>
        <w:rPr>
          <w:rFonts w:ascii="仿宋" w:hAnsi="仿宋" w:eastAsia="仿宋" w:cs="仿宋"/>
          <w:szCs w:val="21"/>
        </w:rPr>
      </w:pPr>
    </w:p>
    <w:tbl>
      <w:tblPr>
        <w:tblStyle w:val="33"/>
        <w:tblW w:w="0" w:type="auto"/>
        <w:tblInd w:w="0" w:type="dxa"/>
        <w:tblLayout w:type="fixed"/>
        <w:tblCellMar>
          <w:top w:w="0" w:type="dxa"/>
          <w:left w:w="0" w:type="dxa"/>
          <w:bottom w:w="0" w:type="dxa"/>
          <w:right w:w="0" w:type="dxa"/>
        </w:tblCellMar>
      </w:tblPr>
      <w:tblGrid>
        <w:gridCol w:w="942"/>
        <w:gridCol w:w="942"/>
        <w:gridCol w:w="2212"/>
        <w:gridCol w:w="1863"/>
        <w:gridCol w:w="3154"/>
      </w:tblGrid>
      <w:tr>
        <w:tblPrEx>
          <w:tblCellMar>
            <w:top w:w="0" w:type="dxa"/>
            <w:left w:w="0" w:type="dxa"/>
            <w:bottom w:w="0" w:type="dxa"/>
            <w:right w:w="0" w:type="dxa"/>
          </w:tblCellMar>
        </w:tblPrEx>
        <w:trPr>
          <w:trHeight w:val="554" w:hRule="atLeast"/>
        </w:trPr>
        <w:tc>
          <w:tcPr>
            <w:tcW w:w="1884" w:type="dxa"/>
            <w:gridSpan w:val="2"/>
            <w:tcBorders>
              <w:top w:val="single" w:color="auto" w:sz="8" w:space="0"/>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投标人名称</w:t>
            </w:r>
          </w:p>
        </w:tc>
        <w:tc>
          <w:tcPr>
            <w:tcW w:w="2212" w:type="dxa"/>
            <w:tcBorders>
              <w:top w:val="single" w:color="auto" w:sz="8" w:space="0"/>
            </w:tcBorders>
            <w:vAlign w:val="bottom"/>
          </w:tcPr>
          <w:p>
            <w:pPr>
              <w:spacing w:line="0" w:lineRule="atLeast"/>
              <w:rPr>
                <w:rFonts w:ascii="仿宋" w:hAnsi="仿宋" w:eastAsia="仿宋" w:cs="仿宋"/>
                <w:szCs w:val="21"/>
              </w:rPr>
            </w:pPr>
          </w:p>
        </w:tc>
        <w:tc>
          <w:tcPr>
            <w:tcW w:w="1863" w:type="dxa"/>
            <w:tcBorders>
              <w:top w:val="single" w:color="auto" w:sz="8" w:space="0"/>
            </w:tcBorders>
            <w:vAlign w:val="bottom"/>
          </w:tcPr>
          <w:p>
            <w:pPr>
              <w:spacing w:line="0" w:lineRule="atLeast"/>
              <w:rPr>
                <w:rFonts w:ascii="仿宋" w:hAnsi="仿宋" w:eastAsia="仿宋" w:cs="仿宋"/>
                <w:szCs w:val="21"/>
              </w:rPr>
            </w:pPr>
          </w:p>
        </w:tc>
        <w:tc>
          <w:tcPr>
            <w:tcW w:w="3154" w:type="dxa"/>
            <w:tcBorders>
              <w:top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3"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成立时间</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7"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2"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详细地址</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8"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4"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邮政编码</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3"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联系电话</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7" w:hRule="atLeast"/>
        </w:trPr>
        <w:tc>
          <w:tcPr>
            <w:tcW w:w="942" w:type="dxa"/>
            <w:tcBorders>
              <w:left w:val="single" w:color="auto" w:sz="8" w:space="0"/>
              <w:bottom w:val="single" w:color="auto" w:sz="8" w:space="0"/>
            </w:tcBorders>
            <w:vAlign w:val="bottom"/>
          </w:tcPr>
          <w:p>
            <w:pPr>
              <w:spacing w:line="274" w:lineRule="exact"/>
              <w:ind w:left="120"/>
              <w:jc w:val="center"/>
              <w:rPr>
                <w:rFonts w:ascii="仿宋" w:hAnsi="仿宋" w:eastAsia="仿宋" w:cs="仿宋"/>
                <w:szCs w:val="21"/>
              </w:rPr>
            </w:pPr>
          </w:p>
        </w:tc>
        <w:tc>
          <w:tcPr>
            <w:tcW w:w="942" w:type="dxa"/>
            <w:tcBorders>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2" w:hRule="atLeast"/>
        </w:trPr>
        <w:tc>
          <w:tcPr>
            <w:tcW w:w="942" w:type="dxa"/>
            <w:tcBorders>
              <w:lef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传</w:t>
            </w:r>
          </w:p>
        </w:tc>
        <w:tc>
          <w:tcPr>
            <w:tcW w:w="942" w:type="dxa"/>
            <w:tcBorders>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真</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8"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4"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电子邮箱</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3"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法定代表人</w:t>
            </w:r>
          </w:p>
        </w:tc>
        <w:tc>
          <w:tcPr>
            <w:tcW w:w="2212" w:type="dxa"/>
            <w:tcBorders>
              <w:right w:val="single" w:color="auto" w:sz="8" w:space="0"/>
            </w:tcBorders>
            <w:vAlign w:val="bottom"/>
          </w:tcPr>
          <w:p>
            <w:pPr>
              <w:spacing w:line="0" w:lineRule="atLeast"/>
              <w:rPr>
                <w:rFonts w:ascii="仿宋" w:hAnsi="仿宋" w:eastAsia="仿宋" w:cs="仿宋"/>
                <w:szCs w:val="21"/>
              </w:rPr>
            </w:pPr>
          </w:p>
        </w:tc>
        <w:tc>
          <w:tcPr>
            <w:tcW w:w="1863" w:type="dxa"/>
            <w:tcBorders>
              <w:right w:val="single" w:color="auto" w:sz="8" w:space="0"/>
            </w:tcBorders>
            <w:vAlign w:val="bottom"/>
          </w:tcPr>
          <w:p>
            <w:pPr>
              <w:spacing w:line="274" w:lineRule="exact"/>
              <w:ind w:left="120"/>
              <w:rPr>
                <w:rFonts w:ascii="仿宋" w:hAnsi="仿宋" w:eastAsia="仿宋" w:cs="仿宋"/>
                <w:szCs w:val="21"/>
              </w:rPr>
            </w:pPr>
            <w:r>
              <w:rPr>
                <w:rFonts w:hint="eastAsia" w:ascii="仿宋" w:hAnsi="仿宋" w:eastAsia="仿宋" w:cs="仿宋"/>
                <w:szCs w:val="21"/>
              </w:rPr>
              <w:t>电话（含手机）</w:t>
            </w: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7"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2"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公司类型</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8"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4"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注册资本</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3"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经营范围</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7"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2"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业务开始时间</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8" w:hRule="atLeast"/>
        </w:trPr>
        <w:tc>
          <w:tcPr>
            <w:tcW w:w="1884" w:type="dxa"/>
            <w:gridSpan w:val="2"/>
            <w:tcBorders>
              <w:left w:val="single" w:color="auto" w:sz="8" w:space="0"/>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34" w:hRule="atLeast"/>
        </w:trPr>
        <w:tc>
          <w:tcPr>
            <w:tcW w:w="1884" w:type="dxa"/>
            <w:gridSpan w:val="2"/>
            <w:tcBorders>
              <w:left w:val="single" w:color="auto" w:sz="8" w:space="0"/>
              <w:right w:val="single" w:color="auto" w:sz="8" w:space="0"/>
            </w:tcBorders>
            <w:vAlign w:val="bottom"/>
          </w:tcPr>
          <w:p>
            <w:pPr>
              <w:spacing w:line="274" w:lineRule="exact"/>
              <w:ind w:left="120"/>
              <w:jc w:val="center"/>
              <w:rPr>
                <w:rFonts w:ascii="仿宋" w:hAnsi="仿宋" w:eastAsia="仿宋" w:cs="仿宋"/>
                <w:szCs w:val="21"/>
              </w:rPr>
            </w:pPr>
            <w:r>
              <w:rPr>
                <w:rFonts w:hint="eastAsia" w:ascii="仿宋" w:hAnsi="仿宋" w:eastAsia="仿宋" w:cs="仿宋"/>
                <w:szCs w:val="21"/>
              </w:rPr>
              <w:t>公司人员情况</w:t>
            </w: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942" w:type="dxa"/>
            <w:tcBorders>
              <w:left w:val="single" w:color="auto" w:sz="8" w:space="0"/>
            </w:tcBorders>
            <w:vAlign w:val="bottom"/>
          </w:tcPr>
          <w:p>
            <w:pPr>
              <w:spacing w:line="274" w:lineRule="exact"/>
              <w:ind w:left="120"/>
              <w:jc w:val="center"/>
              <w:rPr>
                <w:rFonts w:ascii="仿宋" w:hAnsi="仿宋" w:eastAsia="仿宋" w:cs="仿宋"/>
                <w:szCs w:val="21"/>
              </w:rPr>
            </w:pPr>
          </w:p>
        </w:tc>
        <w:tc>
          <w:tcPr>
            <w:tcW w:w="942" w:type="dxa"/>
            <w:tcBorders>
              <w:right w:val="single" w:color="auto" w:sz="8" w:space="0"/>
            </w:tcBorders>
            <w:vAlign w:val="bottom"/>
          </w:tcPr>
          <w:p>
            <w:pPr>
              <w:spacing w:line="274" w:lineRule="exact"/>
              <w:ind w:left="120"/>
              <w:jc w:val="center"/>
              <w:rPr>
                <w:rFonts w:ascii="仿宋" w:hAnsi="仿宋" w:eastAsia="仿宋" w:cs="仿宋"/>
                <w:szCs w:val="21"/>
              </w:rPr>
            </w:pPr>
          </w:p>
        </w:tc>
        <w:tc>
          <w:tcPr>
            <w:tcW w:w="2212" w:type="dxa"/>
            <w:vAlign w:val="bottom"/>
          </w:tcPr>
          <w:p>
            <w:pPr>
              <w:spacing w:line="0" w:lineRule="atLeast"/>
              <w:rPr>
                <w:rFonts w:ascii="仿宋" w:hAnsi="仿宋" w:eastAsia="仿宋" w:cs="仿宋"/>
                <w:szCs w:val="21"/>
              </w:rPr>
            </w:pPr>
          </w:p>
        </w:tc>
        <w:tc>
          <w:tcPr>
            <w:tcW w:w="1863" w:type="dxa"/>
            <w:vAlign w:val="bottom"/>
          </w:tcPr>
          <w:p>
            <w:pPr>
              <w:spacing w:line="0" w:lineRule="atLeast"/>
              <w:rPr>
                <w:rFonts w:ascii="仿宋" w:hAnsi="仿宋" w:eastAsia="仿宋" w:cs="仿宋"/>
                <w:szCs w:val="21"/>
              </w:rPr>
            </w:pPr>
          </w:p>
        </w:tc>
        <w:tc>
          <w:tcPr>
            <w:tcW w:w="3154" w:type="dxa"/>
            <w:tcBorders>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306" w:hRule="atLeast"/>
        </w:trPr>
        <w:tc>
          <w:tcPr>
            <w:tcW w:w="942" w:type="dxa"/>
            <w:tcBorders>
              <w:left w:val="single" w:color="auto" w:sz="8" w:space="0"/>
              <w:bottom w:val="single" w:color="auto" w:sz="8" w:space="0"/>
            </w:tcBorders>
            <w:vAlign w:val="bottom"/>
          </w:tcPr>
          <w:p>
            <w:pPr>
              <w:spacing w:line="274" w:lineRule="exact"/>
              <w:ind w:left="120"/>
              <w:jc w:val="center"/>
              <w:rPr>
                <w:rFonts w:ascii="仿宋" w:hAnsi="仿宋" w:eastAsia="仿宋" w:cs="仿宋"/>
                <w:szCs w:val="21"/>
              </w:rPr>
            </w:pPr>
          </w:p>
        </w:tc>
        <w:tc>
          <w:tcPr>
            <w:tcW w:w="942" w:type="dxa"/>
            <w:tcBorders>
              <w:bottom w:val="single" w:color="auto" w:sz="8" w:space="0"/>
              <w:right w:val="single" w:color="auto" w:sz="8" w:space="0"/>
            </w:tcBorders>
            <w:vAlign w:val="bottom"/>
          </w:tcPr>
          <w:p>
            <w:pPr>
              <w:spacing w:line="274" w:lineRule="exact"/>
              <w:ind w:left="120"/>
              <w:jc w:val="center"/>
              <w:rPr>
                <w:rFonts w:ascii="仿宋" w:hAnsi="仿宋" w:eastAsia="仿宋" w:cs="仿宋"/>
                <w:szCs w:val="21"/>
              </w:rPr>
            </w:pPr>
          </w:p>
        </w:tc>
        <w:tc>
          <w:tcPr>
            <w:tcW w:w="2212" w:type="dxa"/>
            <w:tcBorders>
              <w:bottom w:val="single" w:color="auto" w:sz="8" w:space="0"/>
            </w:tcBorders>
            <w:vAlign w:val="bottom"/>
          </w:tcPr>
          <w:p>
            <w:pPr>
              <w:spacing w:line="0" w:lineRule="atLeast"/>
              <w:rPr>
                <w:rFonts w:ascii="仿宋" w:hAnsi="仿宋" w:eastAsia="仿宋" w:cs="仿宋"/>
                <w:szCs w:val="21"/>
              </w:rPr>
            </w:pPr>
          </w:p>
        </w:tc>
        <w:tc>
          <w:tcPr>
            <w:tcW w:w="1863" w:type="dxa"/>
            <w:tcBorders>
              <w:bottom w:val="single" w:color="auto" w:sz="8" w:space="0"/>
            </w:tcBorders>
            <w:vAlign w:val="bottom"/>
          </w:tcPr>
          <w:p>
            <w:pPr>
              <w:spacing w:line="0" w:lineRule="atLeast"/>
              <w:rPr>
                <w:rFonts w:ascii="仿宋" w:hAnsi="仿宋" w:eastAsia="仿宋" w:cs="仿宋"/>
                <w:szCs w:val="21"/>
              </w:rPr>
            </w:pPr>
          </w:p>
        </w:tc>
        <w:tc>
          <w:tcPr>
            <w:tcW w:w="315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bl>
    <w:p>
      <w:pPr>
        <w:spacing w:line="0" w:lineRule="atLeast"/>
        <w:jc w:val="center"/>
        <w:rPr>
          <w:rFonts w:ascii="仿宋" w:hAnsi="仿宋" w:eastAsia="仿宋" w:cs="仿宋"/>
          <w:szCs w:val="21"/>
        </w:rPr>
        <w:sectPr>
          <w:type w:val="continuous"/>
          <w:pgSz w:w="11905" w:h="16838"/>
          <w:pgMar w:top="1327" w:right="1406" w:bottom="1327" w:left="1406" w:header="850" w:footer="992" w:gutter="0"/>
          <w:cols w:space="720" w:num="1"/>
          <w:titlePg/>
          <w:docGrid w:type="lines" w:linePitch="315" w:charSpace="0"/>
        </w:sectPr>
      </w:pPr>
    </w:p>
    <w:p>
      <w:pPr>
        <w:spacing w:line="360" w:lineRule="auto"/>
        <w:ind w:right="-39"/>
        <w:rPr>
          <w:rFonts w:ascii="仿宋" w:hAnsi="仿宋" w:eastAsia="仿宋" w:cs="仿宋"/>
          <w:b/>
          <w:sz w:val="28"/>
          <w:szCs w:val="28"/>
        </w:rPr>
      </w:pPr>
    </w:p>
    <w:p>
      <w:pPr>
        <w:pStyle w:val="4"/>
        <w:rPr>
          <w:rFonts w:ascii="仿宋" w:hAnsi="仿宋" w:eastAsia="仿宋" w:cs="仿宋"/>
          <w:b/>
          <w:bCs/>
          <w:sz w:val="30"/>
          <w:szCs w:val="30"/>
        </w:rPr>
      </w:pPr>
      <w:r>
        <w:rPr>
          <w:rFonts w:hint="eastAsia" w:ascii="仿宋" w:hAnsi="仿宋" w:eastAsia="仿宋" w:cs="仿宋"/>
          <w:b/>
          <w:bCs/>
          <w:sz w:val="30"/>
          <w:szCs w:val="30"/>
        </w:rPr>
        <w:t>五、拟派往本项目的项目人员情况</w:t>
      </w:r>
    </w:p>
    <w:p>
      <w:pPr>
        <w:spacing w:line="148" w:lineRule="exact"/>
        <w:rPr>
          <w:rFonts w:ascii="仿宋" w:hAnsi="仿宋" w:eastAsia="仿宋" w:cs="仿宋"/>
          <w:szCs w:val="21"/>
        </w:rPr>
      </w:pPr>
    </w:p>
    <w:tbl>
      <w:tblPr>
        <w:tblStyle w:val="33"/>
        <w:tblW w:w="0" w:type="auto"/>
        <w:tblInd w:w="0" w:type="dxa"/>
        <w:tblLayout w:type="fixed"/>
        <w:tblCellMar>
          <w:top w:w="0" w:type="dxa"/>
          <w:left w:w="0" w:type="dxa"/>
          <w:bottom w:w="0" w:type="dxa"/>
          <w:right w:w="0" w:type="dxa"/>
        </w:tblCellMar>
      </w:tblPr>
      <w:tblGrid>
        <w:gridCol w:w="1122"/>
        <w:gridCol w:w="1542"/>
        <w:gridCol w:w="982"/>
        <w:gridCol w:w="1121"/>
        <w:gridCol w:w="1401"/>
        <w:gridCol w:w="1544"/>
        <w:gridCol w:w="1401"/>
      </w:tblGrid>
      <w:tr>
        <w:tblPrEx>
          <w:tblCellMar>
            <w:top w:w="0" w:type="dxa"/>
            <w:left w:w="0" w:type="dxa"/>
            <w:bottom w:w="0" w:type="dxa"/>
            <w:right w:w="0" w:type="dxa"/>
          </w:tblCellMar>
        </w:tblPrEx>
        <w:trPr>
          <w:trHeight w:val="403" w:hRule="atLeast"/>
        </w:trPr>
        <w:tc>
          <w:tcPr>
            <w:tcW w:w="1122" w:type="dxa"/>
            <w:tcBorders>
              <w:top w:val="single" w:color="auto" w:sz="8" w:space="0"/>
              <w:left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序号</w:t>
            </w:r>
          </w:p>
        </w:tc>
        <w:tc>
          <w:tcPr>
            <w:tcW w:w="1542"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姓名</w:t>
            </w:r>
          </w:p>
        </w:tc>
        <w:tc>
          <w:tcPr>
            <w:tcW w:w="982"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年龄</w:t>
            </w:r>
          </w:p>
        </w:tc>
        <w:tc>
          <w:tcPr>
            <w:tcW w:w="1121"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专业</w:t>
            </w:r>
          </w:p>
        </w:tc>
        <w:tc>
          <w:tcPr>
            <w:tcW w:w="1401"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学历</w:t>
            </w:r>
          </w:p>
        </w:tc>
        <w:tc>
          <w:tcPr>
            <w:tcW w:w="1544"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职称</w:t>
            </w:r>
          </w:p>
        </w:tc>
        <w:tc>
          <w:tcPr>
            <w:tcW w:w="1401" w:type="dxa"/>
            <w:tcBorders>
              <w:top w:val="single" w:color="auto" w:sz="8" w:space="0"/>
              <w:right w:val="single" w:color="auto" w:sz="8" w:space="0"/>
            </w:tcBorders>
            <w:vAlign w:val="bottom"/>
          </w:tcPr>
          <w:p>
            <w:pPr>
              <w:spacing w:line="274" w:lineRule="exact"/>
              <w:jc w:val="center"/>
              <w:rPr>
                <w:rFonts w:ascii="仿宋" w:hAnsi="仿宋" w:eastAsia="仿宋" w:cs="仿宋"/>
                <w:szCs w:val="21"/>
              </w:rPr>
            </w:pPr>
            <w:r>
              <w:rPr>
                <w:rFonts w:hint="eastAsia" w:ascii="仿宋" w:hAnsi="仿宋" w:eastAsia="仿宋" w:cs="仿宋"/>
                <w:szCs w:val="21"/>
              </w:rPr>
              <w:t>备注</w:t>
            </w:r>
          </w:p>
        </w:tc>
      </w:tr>
      <w:tr>
        <w:tblPrEx>
          <w:tblCellMar>
            <w:top w:w="0" w:type="dxa"/>
            <w:left w:w="0" w:type="dxa"/>
            <w:bottom w:w="0" w:type="dxa"/>
            <w:right w:w="0" w:type="dxa"/>
          </w:tblCellMar>
        </w:tblPrEx>
        <w:trPr>
          <w:trHeight w:val="158"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r>
        <w:tblPrEx>
          <w:tblCellMar>
            <w:top w:w="0" w:type="dxa"/>
            <w:left w:w="0" w:type="dxa"/>
            <w:bottom w:w="0" w:type="dxa"/>
            <w:right w:w="0" w:type="dxa"/>
          </w:tblCellMar>
        </w:tblPrEx>
        <w:trPr>
          <w:trHeight w:val="506" w:hRule="atLeast"/>
        </w:trPr>
        <w:tc>
          <w:tcPr>
            <w:tcW w:w="1122" w:type="dxa"/>
            <w:tcBorders>
              <w:left w:val="single" w:color="auto" w:sz="8" w:space="0"/>
              <w:bottom w:val="single" w:color="auto" w:sz="8" w:space="0"/>
              <w:right w:val="single" w:color="auto" w:sz="8" w:space="0"/>
            </w:tcBorders>
            <w:vAlign w:val="bottom"/>
          </w:tcPr>
          <w:p>
            <w:pPr>
              <w:spacing w:line="0" w:lineRule="atLeast"/>
              <w:rPr>
                <w:rFonts w:ascii="仿宋" w:hAnsi="仿宋" w:eastAsia="仿宋" w:cs="仿宋"/>
                <w:szCs w:val="21"/>
              </w:rPr>
            </w:pPr>
          </w:p>
        </w:tc>
        <w:tc>
          <w:tcPr>
            <w:tcW w:w="154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982"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12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544"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c>
          <w:tcPr>
            <w:tcW w:w="1401" w:type="dxa"/>
            <w:tcBorders>
              <w:bottom w:val="single" w:color="auto" w:sz="8" w:space="0"/>
              <w:right w:val="single" w:color="auto" w:sz="8" w:space="0"/>
            </w:tcBorders>
            <w:vAlign w:val="bottom"/>
          </w:tcPr>
          <w:p>
            <w:pPr>
              <w:spacing w:line="0" w:lineRule="atLeast"/>
              <w:rPr>
                <w:rFonts w:ascii="仿宋" w:hAnsi="仿宋" w:eastAsia="仿宋" w:cs="仿宋"/>
                <w:szCs w:val="21"/>
              </w:rPr>
            </w:pPr>
          </w:p>
        </w:tc>
      </w:tr>
    </w:tbl>
    <w:p>
      <w:pPr>
        <w:pStyle w:val="5"/>
        <w:keepNext w:val="0"/>
        <w:jc w:val="both"/>
        <w:rPr>
          <w:rFonts w:ascii="仿宋" w:hAnsi="仿宋" w:eastAsia="仿宋" w:cs="仿宋"/>
          <w:bCs w:val="0"/>
          <w:sz w:val="28"/>
          <w:szCs w:val="28"/>
        </w:rPr>
      </w:pPr>
    </w:p>
    <w:p>
      <w:pPr>
        <w:pStyle w:val="5"/>
        <w:keepNext w:val="0"/>
        <w:jc w:val="both"/>
        <w:rPr>
          <w:rFonts w:ascii="仿宋" w:hAnsi="仿宋" w:eastAsia="仿宋" w:cs="仿宋"/>
          <w:bCs w:val="0"/>
          <w:sz w:val="28"/>
          <w:szCs w:val="28"/>
        </w:rPr>
      </w:pPr>
    </w:p>
    <w:p>
      <w:pPr>
        <w:pStyle w:val="5"/>
        <w:keepNext w:val="0"/>
        <w:jc w:val="both"/>
        <w:rPr>
          <w:rFonts w:ascii="仿宋" w:hAnsi="仿宋" w:eastAsia="仿宋" w:cs="仿宋"/>
          <w:bCs w:val="0"/>
          <w:sz w:val="28"/>
          <w:szCs w:val="28"/>
        </w:rPr>
      </w:pPr>
    </w:p>
    <w:p>
      <w:pPr>
        <w:pStyle w:val="5"/>
        <w:keepNext w:val="0"/>
        <w:rPr>
          <w:rFonts w:ascii="仿宋" w:hAnsi="仿宋" w:eastAsia="仿宋" w:cs="仿宋"/>
          <w:bCs w:val="0"/>
          <w:sz w:val="28"/>
          <w:szCs w:val="28"/>
        </w:rPr>
      </w:pPr>
    </w:p>
    <w:p>
      <w:pPr>
        <w:pStyle w:val="5"/>
        <w:keepNext w:val="0"/>
        <w:rPr>
          <w:rFonts w:ascii="仿宋" w:hAnsi="仿宋" w:eastAsia="仿宋" w:cs="仿宋"/>
          <w:bCs w:val="0"/>
          <w:sz w:val="28"/>
          <w:szCs w:val="28"/>
        </w:rPr>
      </w:pPr>
    </w:p>
    <w:p>
      <w:pPr>
        <w:pStyle w:val="5"/>
        <w:keepNext w:val="0"/>
        <w:rPr>
          <w:rFonts w:ascii="仿宋" w:hAnsi="仿宋" w:eastAsia="仿宋" w:cs="仿宋"/>
          <w:bCs w:val="0"/>
          <w:sz w:val="28"/>
          <w:szCs w:val="28"/>
        </w:rPr>
      </w:pPr>
    </w:p>
    <w:p>
      <w:pPr>
        <w:rPr>
          <w:rFonts w:ascii="仿宋" w:hAnsi="仿宋" w:eastAsia="仿宋" w:cs="仿宋"/>
          <w:sz w:val="28"/>
          <w:szCs w:val="28"/>
        </w:rPr>
      </w:pPr>
      <w:r>
        <w:rPr>
          <w:rFonts w:ascii="仿宋" w:hAnsi="仿宋" w:eastAsia="仿宋" w:cs="仿宋"/>
          <w:sz w:val="28"/>
          <w:szCs w:val="28"/>
        </w:rPr>
        <w:br w:type="page"/>
      </w:r>
    </w:p>
    <w:p>
      <w:pPr>
        <w:pStyle w:val="31"/>
        <w:spacing w:before="0" w:beforeAutospacing="0" w:after="0" w:afterAutospacing="0" w:line="360" w:lineRule="auto"/>
        <w:jc w:val="center"/>
        <w:outlineLvl w:val="2"/>
        <w:rPr>
          <w:rFonts w:ascii="仿宋" w:hAnsi="仿宋" w:eastAsia="仿宋" w:cs="仿宋"/>
          <w:b/>
          <w:bCs/>
          <w:kern w:val="2"/>
          <w:sz w:val="30"/>
          <w:szCs w:val="30"/>
        </w:rPr>
      </w:pPr>
      <w:r>
        <w:rPr>
          <w:rFonts w:hint="eastAsia" w:ascii="仿宋" w:hAnsi="仿宋" w:eastAsia="仿宋" w:cs="仿宋"/>
          <w:b/>
          <w:bCs/>
          <w:kern w:val="2"/>
          <w:sz w:val="30"/>
          <w:szCs w:val="30"/>
        </w:rPr>
        <w:t>六、投标人类似项目业绩</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800"/>
        <w:gridCol w:w="986"/>
        <w:gridCol w:w="1276"/>
        <w:gridCol w:w="1948"/>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序号</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项目名称</w:t>
            </w:r>
          </w:p>
        </w:tc>
        <w:tc>
          <w:tcPr>
            <w:tcW w:w="9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采购人</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服务内容</w:t>
            </w:r>
          </w:p>
        </w:tc>
        <w:tc>
          <w:tcPr>
            <w:tcW w:w="19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合同金额（元）</w:t>
            </w:r>
          </w:p>
        </w:tc>
        <w:tc>
          <w:tcPr>
            <w:tcW w:w="7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cs="宋体"/>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28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8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9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79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28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8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9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79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28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8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9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79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28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8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9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79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r>
    </w:tbl>
    <w:p>
      <w:pPr>
        <w:pStyle w:val="401"/>
        <w:autoSpaceDE w:val="0"/>
        <w:autoSpaceDN w:val="0"/>
        <w:spacing w:line="360" w:lineRule="auto"/>
        <w:rPr>
          <w:rFonts w:ascii="宋体" w:hAnsi="宋体"/>
          <w:sz w:val="24"/>
          <w:szCs w:val="24"/>
        </w:rPr>
      </w:pPr>
      <w:r>
        <w:rPr>
          <w:rFonts w:hint="eastAsia" w:ascii="宋体" w:hAnsi="宋体"/>
          <w:sz w:val="24"/>
          <w:szCs w:val="24"/>
        </w:rPr>
        <w:t>说明：1．每个业绩须单独附表，并提供中标通知书或成交通知书或合同复印件，以合同签订日期或中标（成交）通知书落款日期为准)，否则专家在评审时将不予采信；</w:t>
      </w:r>
    </w:p>
    <w:p>
      <w:pPr>
        <w:pStyle w:val="402"/>
        <w:ind w:firstLine="720" w:firstLineChars="300"/>
        <w:outlineLvl w:val="1"/>
        <w:rPr>
          <w:rFonts w:ascii="宋体" w:hAnsi="宋体" w:eastAsia="宋体" w:cs="宋体"/>
          <w:b w:val="0"/>
          <w:kern w:val="2"/>
          <w:sz w:val="24"/>
        </w:rPr>
      </w:pPr>
      <w:r>
        <w:rPr>
          <w:rFonts w:hint="eastAsia" w:ascii="宋体" w:hAnsi="宋体" w:eastAsia="宋体" w:cs="宋体"/>
          <w:b w:val="0"/>
          <w:kern w:val="2"/>
          <w:sz w:val="24"/>
        </w:rPr>
        <w:t>2.业绩为2018年1月1日起至今</w:t>
      </w:r>
    </w:p>
    <w:p>
      <w:pPr>
        <w:pStyle w:val="402"/>
        <w:ind w:firstLine="720" w:firstLineChars="300"/>
        <w:outlineLvl w:val="1"/>
        <w:rPr>
          <w:rFonts w:ascii="宋体" w:hAnsi="宋体" w:eastAsia="宋体" w:cs="宋体"/>
          <w:b w:val="0"/>
          <w:kern w:val="2"/>
          <w:sz w:val="24"/>
        </w:rPr>
      </w:pPr>
    </w:p>
    <w:p>
      <w:pPr>
        <w:pStyle w:val="401"/>
        <w:adjustRightInd w:val="0"/>
        <w:snapToGrid w:val="0"/>
        <w:spacing w:line="500" w:lineRule="exact"/>
        <w:rPr>
          <w:rFonts w:ascii="宋体" w:hAnsi="宋体"/>
          <w:sz w:val="24"/>
          <w:szCs w:val="24"/>
        </w:rPr>
      </w:pPr>
      <w:r>
        <w:rPr>
          <w:rFonts w:hint="eastAsia" w:ascii="宋体" w:hAnsi="宋体"/>
          <w:sz w:val="24"/>
          <w:szCs w:val="24"/>
        </w:rPr>
        <w:t>供应商法定代表人（签字盖章）：</w:t>
      </w:r>
      <w:r>
        <w:rPr>
          <w:rFonts w:hint="eastAsia" w:ascii="宋体" w:hAnsi="宋体"/>
          <w:sz w:val="24"/>
          <w:szCs w:val="24"/>
          <w:u w:val="single"/>
        </w:rPr>
        <w:t xml:space="preserve">                  </w:t>
      </w:r>
    </w:p>
    <w:p>
      <w:pPr>
        <w:pStyle w:val="401"/>
        <w:adjustRightInd w:val="0"/>
        <w:snapToGrid w:val="0"/>
        <w:spacing w:line="500" w:lineRule="exact"/>
        <w:rPr>
          <w:rFonts w:ascii="宋体" w:hAnsi="宋体"/>
          <w:sz w:val="24"/>
          <w:szCs w:val="24"/>
          <w:u w:val="single"/>
        </w:rPr>
      </w:pPr>
      <w:r>
        <w:rPr>
          <w:rFonts w:hint="eastAsia" w:ascii="宋体" w:hAnsi="宋体"/>
          <w:sz w:val="24"/>
          <w:szCs w:val="24"/>
        </w:rPr>
        <w:t>供应商名称（全称并加盖单位章）：</w:t>
      </w:r>
      <w:r>
        <w:rPr>
          <w:rFonts w:hint="eastAsia" w:ascii="宋体" w:hAnsi="宋体"/>
          <w:sz w:val="24"/>
          <w:szCs w:val="24"/>
          <w:u w:val="single"/>
        </w:rPr>
        <w:t xml:space="preserve">                       </w:t>
      </w:r>
    </w:p>
    <w:p>
      <w:pPr>
        <w:pStyle w:val="401"/>
        <w:spacing w:line="500" w:lineRule="exact"/>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rPr>
          <w:rFonts w:ascii="宋体" w:hAnsi="宋体" w:cs="宋体"/>
          <w:sz w:val="24"/>
          <w:szCs w:val="24"/>
        </w:rPr>
      </w:pPr>
      <w:r>
        <w:rPr>
          <w:rFonts w:hint="eastAsia" w:ascii="宋体" w:hAnsi="宋体" w:cs="宋体"/>
          <w:sz w:val="24"/>
          <w:szCs w:val="24"/>
        </w:rPr>
        <w:br w:type="page"/>
      </w:r>
    </w:p>
    <w:p>
      <w:pPr>
        <w:pStyle w:val="31"/>
        <w:spacing w:before="0" w:beforeAutospacing="0" w:after="0" w:afterAutospacing="0" w:line="360" w:lineRule="auto"/>
        <w:jc w:val="center"/>
        <w:outlineLvl w:val="2"/>
        <w:rPr>
          <w:rFonts w:ascii="仿宋" w:hAnsi="仿宋" w:eastAsia="仿宋" w:cs="仿宋"/>
          <w:b/>
          <w:bCs/>
          <w:kern w:val="2"/>
          <w:sz w:val="30"/>
          <w:szCs w:val="30"/>
        </w:rPr>
      </w:pPr>
      <w:r>
        <w:rPr>
          <w:rFonts w:hint="eastAsia" w:ascii="仿宋" w:hAnsi="仿宋" w:eastAsia="仿宋" w:cs="仿宋"/>
          <w:b/>
          <w:bCs/>
          <w:kern w:val="2"/>
          <w:sz w:val="30"/>
          <w:szCs w:val="30"/>
        </w:rPr>
        <w:t>七、项目负责人简历表（附项目负责人类似项目业绩）</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pPr>
              <w:pStyle w:val="399"/>
              <w:spacing w:line="360" w:lineRule="auto"/>
              <w:jc w:val="center"/>
              <w:rPr>
                <w:rFonts w:ascii="宋体" w:hAnsi="宋体" w:cs="宋体"/>
                <w:sz w:val="24"/>
                <w:szCs w:val="24"/>
              </w:rPr>
            </w:pPr>
            <w:r>
              <w:rPr>
                <w:rFonts w:hint="eastAsia" w:ascii="宋体" w:hAnsi="宋体" w:cs="宋体"/>
                <w:sz w:val="24"/>
                <w:szCs w:val="24"/>
              </w:rPr>
              <w:t>拟在本项目任职</w:t>
            </w:r>
          </w:p>
        </w:tc>
        <w:tc>
          <w:tcPr>
            <w:tcW w:w="2135"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毕业学校</w:t>
            </w:r>
          </w:p>
        </w:tc>
        <w:tc>
          <w:tcPr>
            <w:tcW w:w="7336" w:type="dxa"/>
            <w:gridSpan w:val="8"/>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 w:val="24"/>
                <w:szCs w:val="24"/>
              </w:rPr>
            </w:pPr>
            <w:r>
              <w:rPr>
                <w:rFonts w:hint="eastAsia" w:ascii="宋体" w:hAnsi="宋体" w:cs="宋体"/>
                <w:sz w:val="24"/>
                <w:szCs w:val="24"/>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担任职务</w:t>
            </w:r>
          </w:p>
        </w:tc>
        <w:tc>
          <w:tcPr>
            <w:tcW w:w="2296" w:type="dxa"/>
            <w:gridSpan w:val="2"/>
            <w:tcBorders>
              <w:top w:val="single" w:color="auto" w:sz="4" w:space="0"/>
              <w:left w:val="single" w:color="auto" w:sz="4" w:space="0"/>
              <w:bottom w:val="single" w:color="auto" w:sz="4" w:space="0"/>
              <w:right w:val="single" w:color="auto" w:sz="4" w:space="0"/>
            </w:tcBorders>
            <w:vAlign w:val="center"/>
          </w:tcPr>
          <w:p>
            <w:pPr>
              <w:pStyle w:val="399"/>
              <w:spacing w:line="360" w:lineRule="auto"/>
              <w:rPr>
                <w:rFonts w:ascii="宋体" w:hAnsi="宋体" w:cs="宋体"/>
                <w:sz w:val="24"/>
                <w:szCs w:val="24"/>
              </w:rPr>
            </w:pPr>
            <w:r>
              <w:rPr>
                <w:rFonts w:hint="eastAsia" w:ascii="宋体" w:hAnsi="宋体" w:cs="宋体"/>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3420" w:type="dxa"/>
            <w:gridSpan w:val="4"/>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1261" w:type="dxa"/>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c>
          <w:tcPr>
            <w:tcW w:w="2296" w:type="dxa"/>
            <w:gridSpan w:val="2"/>
            <w:tcBorders>
              <w:top w:val="single" w:color="auto" w:sz="4" w:space="0"/>
              <w:left w:val="single" w:color="auto" w:sz="4" w:space="0"/>
              <w:bottom w:val="single" w:color="auto" w:sz="4" w:space="0"/>
              <w:right w:val="single" w:color="auto" w:sz="4" w:space="0"/>
            </w:tcBorders>
          </w:tcPr>
          <w:p>
            <w:pPr>
              <w:pStyle w:val="399"/>
              <w:spacing w:line="360" w:lineRule="auto"/>
              <w:rPr>
                <w:rFonts w:ascii="宋体" w:hAnsi="宋体" w:cs="宋体"/>
                <w:szCs w:val="21"/>
              </w:rPr>
            </w:pPr>
          </w:p>
        </w:tc>
      </w:tr>
    </w:tbl>
    <w:p>
      <w:pPr>
        <w:pStyle w:val="398"/>
        <w:spacing w:line="520" w:lineRule="exact"/>
        <w:rPr>
          <w:rFonts w:ascii="Times New Roman" w:hAnsi="宋体" w:cs="Times New Roman"/>
          <w:kern w:val="0"/>
          <w:sz w:val="24"/>
          <w:szCs w:val="24"/>
        </w:rPr>
      </w:pPr>
      <w:r>
        <w:rPr>
          <w:rFonts w:hint="eastAsia" w:ascii="Times New Roman" w:hAnsi="宋体" w:cs="Times New Roman"/>
          <w:kern w:val="0"/>
          <w:sz w:val="24"/>
          <w:szCs w:val="24"/>
        </w:rPr>
        <w:t>注：1、表后应附提供中标通知书或成交通知书或合同复印件等证明材料，以合同签订日期或中标（成交）通知书落款日期为准。</w:t>
      </w:r>
    </w:p>
    <w:p>
      <w:pPr>
        <w:pStyle w:val="401"/>
        <w:numPr>
          <w:ilvl w:val="0"/>
          <w:numId w:val="23"/>
        </w:numPr>
        <w:spacing w:line="500" w:lineRule="exact"/>
        <w:ind w:firstLine="480" w:firstLineChars="200"/>
        <w:rPr>
          <w:rFonts w:ascii="Times New Roman" w:hAnsi="宋体" w:cs="Times New Roman"/>
          <w:kern w:val="0"/>
          <w:sz w:val="24"/>
          <w:szCs w:val="24"/>
        </w:rPr>
      </w:pPr>
      <w:r>
        <w:rPr>
          <w:rFonts w:hint="eastAsia" w:ascii="Times New Roman" w:hAnsi="宋体" w:cs="Times New Roman"/>
          <w:kern w:val="0"/>
          <w:sz w:val="24"/>
          <w:szCs w:val="24"/>
        </w:rPr>
        <w:t>业绩为2018年1月1日起至今</w:t>
      </w:r>
    </w:p>
    <w:p>
      <w:pPr>
        <w:ind w:firstLine="480" w:firstLineChars="200"/>
        <w:rPr>
          <w:rFonts w:ascii="仿宋" w:hAnsi="仿宋" w:eastAsia="仿宋" w:cs="仿宋"/>
          <w:b/>
          <w:sz w:val="28"/>
          <w:szCs w:val="28"/>
        </w:rPr>
      </w:pPr>
      <w:r>
        <w:rPr>
          <w:rFonts w:ascii="宋体" w:hAnsi="宋体" w:cs="宋体"/>
          <w:sz w:val="24"/>
        </w:rPr>
        <w:br w:type="page"/>
      </w:r>
    </w:p>
    <w:p>
      <w:pPr>
        <w:spacing w:line="200" w:lineRule="exact"/>
        <w:rPr>
          <w:rFonts w:ascii="仿宋" w:hAnsi="仿宋" w:eastAsia="仿宋" w:cs="仿宋"/>
          <w:szCs w:val="21"/>
        </w:rPr>
      </w:pPr>
    </w:p>
    <w:p>
      <w:pPr>
        <w:spacing w:line="200" w:lineRule="exact"/>
        <w:rPr>
          <w:rFonts w:ascii="仿宋" w:hAnsi="仿宋" w:eastAsia="仿宋" w:cs="仿宋"/>
          <w:szCs w:val="21"/>
        </w:rPr>
      </w:pPr>
    </w:p>
    <w:p>
      <w:pPr>
        <w:spacing w:line="200" w:lineRule="exact"/>
        <w:rPr>
          <w:rFonts w:ascii="仿宋" w:hAnsi="仿宋" w:eastAsia="仿宋" w:cs="仿宋"/>
          <w:szCs w:val="21"/>
        </w:rPr>
      </w:pPr>
    </w:p>
    <w:p>
      <w:pPr>
        <w:pStyle w:val="388"/>
        <w:jc w:val="center"/>
        <w:outlineLvl w:val="2"/>
        <w:rPr>
          <w:rFonts w:ascii="仿宋" w:hAnsi="仿宋" w:eastAsia="仿宋" w:cs="仿宋"/>
          <w:bCs/>
          <w:kern w:val="2"/>
          <w:sz w:val="30"/>
          <w:szCs w:val="30"/>
        </w:rPr>
      </w:pPr>
      <w:bookmarkStart w:id="169" w:name="_Toc63519689"/>
      <w:r>
        <w:rPr>
          <w:rFonts w:hint="eastAsia" w:ascii="仿宋" w:hAnsi="仿宋" w:eastAsia="仿宋" w:cs="仿宋"/>
          <w:bCs/>
          <w:kern w:val="2"/>
          <w:sz w:val="30"/>
          <w:szCs w:val="30"/>
        </w:rPr>
        <w:t>八、中、小微企业声明函（中、小、微型企业产品价格需扣除的须提供）</w:t>
      </w:r>
      <w:bookmarkEnd w:id="169"/>
    </w:p>
    <w:p>
      <w:pPr>
        <w:pStyle w:val="388"/>
        <w:jc w:val="center"/>
        <w:rPr>
          <w:rFonts w:ascii="宋体" w:hAnsi="宋体" w:eastAsia="宋体" w:cs="宋体"/>
          <w:bCs/>
          <w:color w:val="000000"/>
          <w:kern w:val="2"/>
          <w:sz w:val="28"/>
          <w:szCs w:val="28"/>
        </w:rPr>
      </w:pPr>
    </w:p>
    <w:p>
      <w:pPr>
        <w:spacing w:line="360" w:lineRule="auto"/>
        <w:ind w:firstLine="720" w:firstLineChars="300"/>
        <w:rPr>
          <w:rFonts w:hAnsi="宋体"/>
          <w:kern w:val="0"/>
          <w:sz w:val="24"/>
          <w:szCs w:val="24"/>
        </w:rPr>
      </w:pPr>
      <w:r>
        <w:rPr>
          <w:rFonts w:hint="eastAsia" w:hAnsi="宋体"/>
          <w:kern w:val="0"/>
          <w:sz w:val="24"/>
          <w:szCs w:val="24"/>
        </w:rPr>
        <w:t>本公司（联合体）郑重声明，根据《政府采购促进中小企业发展管理办法》（财库[2020]46号）的规定，本公司（联合体）参加</w:t>
      </w:r>
      <w:r>
        <w:rPr>
          <w:rFonts w:hint="eastAsia" w:hAnsi="宋体"/>
          <w:kern w:val="0"/>
          <w:sz w:val="24"/>
          <w:szCs w:val="24"/>
          <w:u w:val="single"/>
        </w:rPr>
        <w:t>（单位名称）</w:t>
      </w:r>
      <w:r>
        <w:rPr>
          <w:rFonts w:hint="eastAsia" w:hAnsi="宋体"/>
          <w:kern w:val="0"/>
          <w:sz w:val="24"/>
          <w:szCs w:val="24"/>
        </w:rPr>
        <w:t>的</w:t>
      </w:r>
      <w:r>
        <w:rPr>
          <w:rFonts w:hint="eastAsia" w:hAnsi="宋体"/>
          <w:kern w:val="0"/>
          <w:sz w:val="24"/>
          <w:szCs w:val="24"/>
          <w:u w:val="single"/>
        </w:rPr>
        <w:t>（项目名称）</w:t>
      </w:r>
      <w:r>
        <w:rPr>
          <w:rFonts w:hint="eastAsia" w:hAnsi="宋体"/>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Ansi="宋体"/>
          <w:kern w:val="0"/>
          <w:sz w:val="24"/>
          <w:szCs w:val="24"/>
        </w:rPr>
      </w:pPr>
      <w:r>
        <w:rPr>
          <w:rFonts w:hint="eastAsia" w:hAnsi="宋体"/>
          <w:kern w:val="0"/>
          <w:sz w:val="24"/>
          <w:szCs w:val="24"/>
        </w:rPr>
        <w:t>1.</w:t>
      </w:r>
      <w:r>
        <w:rPr>
          <w:rFonts w:hint="eastAsia" w:hAnsi="宋体"/>
          <w:kern w:val="0"/>
          <w:sz w:val="24"/>
          <w:szCs w:val="24"/>
          <w:u w:val="single"/>
        </w:rPr>
        <w:t>（标的名称）</w:t>
      </w:r>
      <w:r>
        <w:rPr>
          <w:rFonts w:hint="eastAsia" w:hAnsi="宋体"/>
          <w:kern w:val="0"/>
          <w:sz w:val="24"/>
          <w:szCs w:val="24"/>
        </w:rPr>
        <w:t>，属于</w:t>
      </w:r>
      <w:r>
        <w:rPr>
          <w:rFonts w:hint="eastAsia" w:hAnsi="宋体"/>
          <w:kern w:val="0"/>
          <w:sz w:val="24"/>
          <w:szCs w:val="24"/>
          <w:u w:val="single"/>
        </w:rPr>
        <w:t>（采购文件中明确的所属行业）</w:t>
      </w:r>
      <w:r>
        <w:rPr>
          <w:rFonts w:hint="eastAsia" w:hAnsi="宋体"/>
          <w:kern w:val="0"/>
          <w:sz w:val="24"/>
          <w:szCs w:val="24"/>
        </w:rPr>
        <w:t>；承建（承接）企业为</w:t>
      </w:r>
      <w:r>
        <w:rPr>
          <w:rFonts w:hint="eastAsia" w:hAnsi="宋体"/>
          <w:kern w:val="0"/>
          <w:sz w:val="24"/>
          <w:szCs w:val="24"/>
          <w:u w:val="single"/>
        </w:rPr>
        <w:t>（企业名称）</w:t>
      </w:r>
      <w:r>
        <w:rPr>
          <w:rFonts w:hint="eastAsia" w:hAnsi="宋体"/>
          <w:kern w:val="0"/>
          <w:sz w:val="24"/>
          <w:szCs w:val="24"/>
        </w:rPr>
        <w:t>，从业人员</w:t>
      </w:r>
      <w:r>
        <w:rPr>
          <w:rFonts w:hint="eastAsia" w:hAnsi="宋体"/>
          <w:kern w:val="0"/>
          <w:sz w:val="24"/>
          <w:szCs w:val="24"/>
          <w:u w:val="single"/>
        </w:rPr>
        <w:t xml:space="preserve">  </w:t>
      </w:r>
      <w:r>
        <w:rPr>
          <w:rFonts w:hint="eastAsia" w:hAnsi="宋体"/>
          <w:kern w:val="0"/>
          <w:sz w:val="24"/>
          <w:szCs w:val="24"/>
        </w:rPr>
        <w:t>人，营业收入为</w:t>
      </w:r>
      <w:r>
        <w:rPr>
          <w:rFonts w:hint="eastAsia" w:hAnsi="宋体"/>
          <w:kern w:val="0"/>
          <w:sz w:val="24"/>
          <w:szCs w:val="24"/>
          <w:u w:val="single"/>
        </w:rPr>
        <w:t xml:space="preserve">  </w:t>
      </w:r>
      <w:r>
        <w:rPr>
          <w:rFonts w:hint="eastAsia" w:hAnsi="宋体"/>
          <w:kern w:val="0"/>
          <w:sz w:val="24"/>
          <w:szCs w:val="24"/>
        </w:rPr>
        <w:t>万元，资产总额为</w:t>
      </w:r>
      <w:r>
        <w:rPr>
          <w:rFonts w:hint="eastAsia" w:hAnsi="宋体"/>
          <w:kern w:val="0"/>
          <w:sz w:val="24"/>
          <w:szCs w:val="24"/>
          <w:u w:val="single"/>
        </w:rPr>
        <w:t xml:space="preserve">  </w:t>
      </w:r>
      <w:r>
        <w:rPr>
          <w:rFonts w:hint="eastAsia" w:hAnsi="宋体"/>
          <w:kern w:val="0"/>
          <w:sz w:val="24"/>
          <w:szCs w:val="24"/>
        </w:rPr>
        <w:t>万元，属于</w:t>
      </w:r>
      <w:r>
        <w:rPr>
          <w:rFonts w:hint="eastAsia" w:hAnsi="宋体"/>
          <w:kern w:val="0"/>
          <w:sz w:val="24"/>
          <w:szCs w:val="24"/>
          <w:u w:val="single"/>
        </w:rPr>
        <w:t>（中型企业、小型企业、微型企业）</w:t>
      </w:r>
      <w:r>
        <w:rPr>
          <w:rFonts w:hint="eastAsia" w:hAnsi="宋体"/>
          <w:kern w:val="0"/>
          <w:sz w:val="24"/>
          <w:szCs w:val="24"/>
        </w:rPr>
        <w:t>；</w:t>
      </w:r>
    </w:p>
    <w:p>
      <w:pPr>
        <w:spacing w:line="360" w:lineRule="auto"/>
        <w:ind w:firstLine="720" w:firstLineChars="300"/>
        <w:rPr>
          <w:rFonts w:hAnsi="宋体"/>
          <w:kern w:val="0"/>
          <w:sz w:val="24"/>
          <w:szCs w:val="24"/>
        </w:rPr>
      </w:pPr>
      <w:r>
        <w:rPr>
          <w:rFonts w:hint="eastAsia" w:hAnsi="宋体"/>
          <w:kern w:val="0"/>
          <w:sz w:val="24"/>
          <w:szCs w:val="24"/>
        </w:rPr>
        <w:t xml:space="preserve">2. </w:t>
      </w:r>
      <w:r>
        <w:rPr>
          <w:rFonts w:hint="eastAsia" w:hAnsi="宋体"/>
          <w:kern w:val="0"/>
          <w:sz w:val="24"/>
          <w:szCs w:val="24"/>
          <w:u w:val="single"/>
        </w:rPr>
        <w:t>（标的名称）</w:t>
      </w:r>
      <w:r>
        <w:rPr>
          <w:rFonts w:hint="eastAsia" w:hAnsi="宋体"/>
          <w:kern w:val="0"/>
          <w:sz w:val="24"/>
          <w:szCs w:val="24"/>
        </w:rPr>
        <w:t>，属于</w:t>
      </w:r>
      <w:r>
        <w:rPr>
          <w:rFonts w:hint="eastAsia" w:hAnsi="宋体"/>
          <w:kern w:val="0"/>
          <w:sz w:val="24"/>
          <w:szCs w:val="24"/>
          <w:u w:val="single"/>
        </w:rPr>
        <w:t>（采购文件中明确的所属行业）</w:t>
      </w:r>
      <w:r>
        <w:rPr>
          <w:rFonts w:hint="eastAsia" w:hAnsi="宋体"/>
          <w:kern w:val="0"/>
          <w:sz w:val="24"/>
          <w:szCs w:val="24"/>
        </w:rPr>
        <w:t>；承建（承接）企业为</w:t>
      </w:r>
      <w:r>
        <w:rPr>
          <w:rFonts w:hint="eastAsia" w:hAnsi="宋体"/>
          <w:kern w:val="0"/>
          <w:sz w:val="24"/>
          <w:szCs w:val="24"/>
          <w:u w:val="single"/>
        </w:rPr>
        <w:t>（企业名称）</w:t>
      </w:r>
      <w:r>
        <w:rPr>
          <w:rFonts w:hint="eastAsia" w:hAnsi="宋体"/>
          <w:kern w:val="0"/>
          <w:sz w:val="24"/>
          <w:szCs w:val="24"/>
        </w:rPr>
        <w:t>，从业人员</w:t>
      </w:r>
      <w:r>
        <w:rPr>
          <w:rFonts w:hint="eastAsia" w:hAnsi="宋体"/>
          <w:kern w:val="0"/>
          <w:sz w:val="24"/>
          <w:szCs w:val="24"/>
          <w:u w:val="single"/>
        </w:rPr>
        <w:t xml:space="preserve">  </w:t>
      </w:r>
      <w:r>
        <w:rPr>
          <w:rFonts w:hint="eastAsia" w:hAnsi="宋体"/>
          <w:kern w:val="0"/>
          <w:sz w:val="24"/>
          <w:szCs w:val="24"/>
        </w:rPr>
        <w:t>人，营业收入为</w:t>
      </w:r>
      <w:r>
        <w:rPr>
          <w:rFonts w:hint="eastAsia" w:hAnsi="宋体"/>
          <w:kern w:val="0"/>
          <w:sz w:val="24"/>
          <w:szCs w:val="24"/>
          <w:u w:val="single"/>
        </w:rPr>
        <w:t xml:space="preserve">  </w:t>
      </w:r>
      <w:r>
        <w:rPr>
          <w:rFonts w:hint="eastAsia" w:hAnsi="宋体"/>
          <w:kern w:val="0"/>
          <w:sz w:val="24"/>
          <w:szCs w:val="24"/>
        </w:rPr>
        <w:t>万元，资产总额为</w:t>
      </w:r>
      <w:r>
        <w:rPr>
          <w:rFonts w:hint="eastAsia" w:hAnsi="宋体"/>
          <w:kern w:val="0"/>
          <w:sz w:val="24"/>
          <w:szCs w:val="24"/>
          <w:u w:val="single"/>
        </w:rPr>
        <w:t xml:space="preserve">  </w:t>
      </w:r>
      <w:r>
        <w:rPr>
          <w:rFonts w:hint="eastAsia" w:hAnsi="宋体"/>
          <w:kern w:val="0"/>
          <w:sz w:val="24"/>
          <w:szCs w:val="24"/>
        </w:rPr>
        <w:t>万元，属于</w:t>
      </w:r>
      <w:r>
        <w:rPr>
          <w:rFonts w:hint="eastAsia" w:hAnsi="宋体"/>
          <w:kern w:val="0"/>
          <w:sz w:val="24"/>
          <w:szCs w:val="24"/>
          <w:u w:val="single"/>
        </w:rPr>
        <w:t>（中型企业、小型企业、微型企业）</w:t>
      </w:r>
      <w:r>
        <w:rPr>
          <w:rFonts w:hint="eastAsia" w:hAnsi="宋体"/>
          <w:kern w:val="0"/>
          <w:sz w:val="24"/>
          <w:szCs w:val="24"/>
        </w:rPr>
        <w:t>；</w:t>
      </w:r>
    </w:p>
    <w:p>
      <w:pPr>
        <w:spacing w:line="360" w:lineRule="auto"/>
        <w:ind w:firstLine="720" w:firstLineChars="300"/>
        <w:rPr>
          <w:rFonts w:hAnsi="宋体"/>
          <w:kern w:val="0"/>
          <w:sz w:val="24"/>
          <w:szCs w:val="24"/>
        </w:rPr>
      </w:pPr>
      <w:r>
        <w:rPr>
          <w:rFonts w:hint="eastAsia" w:hAnsi="宋体"/>
          <w:kern w:val="0"/>
          <w:sz w:val="24"/>
          <w:szCs w:val="24"/>
        </w:rPr>
        <w:t>……</w:t>
      </w:r>
    </w:p>
    <w:p>
      <w:pPr>
        <w:spacing w:line="360" w:lineRule="auto"/>
        <w:ind w:firstLine="720" w:firstLineChars="300"/>
        <w:rPr>
          <w:rFonts w:hAnsi="宋体"/>
          <w:kern w:val="0"/>
          <w:sz w:val="24"/>
          <w:szCs w:val="24"/>
        </w:rPr>
      </w:pPr>
      <w:r>
        <w:rPr>
          <w:rFonts w:hint="eastAsia" w:hAnsi="宋体"/>
          <w:kern w:val="0"/>
          <w:sz w:val="24"/>
          <w:szCs w:val="24"/>
        </w:rPr>
        <w:t>以上企业，不属于大企业的分支机构，不存在控股股东为大企业的情形，也不存在与大企业的负责人为同一人的情形。</w:t>
      </w:r>
    </w:p>
    <w:p>
      <w:pPr>
        <w:spacing w:line="360" w:lineRule="auto"/>
        <w:ind w:firstLine="720" w:firstLineChars="300"/>
        <w:rPr>
          <w:rFonts w:hAnsi="宋体"/>
          <w:kern w:val="0"/>
          <w:sz w:val="24"/>
          <w:szCs w:val="24"/>
        </w:rPr>
      </w:pPr>
      <w:r>
        <w:rPr>
          <w:rFonts w:hint="eastAsia" w:hAnsi="宋体"/>
          <w:kern w:val="0"/>
          <w:sz w:val="24"/>
          <w:szCs w:val="24"/>
        </w:rPr>
        <w:t>本企业对上述声明内容的真实性负责。如有虚假，将依法承担相应责任。</w:t>
      </w:r>
    </w:p>
    <w:p>
      <w:pPr>
        <w:spacing w:line="360" w:lineRule="auto"/>
        <w:ind w:firstLine="720" w:firstLineChars="300"/>
        <w:rPr>
          <w:rFonts w:hAnsi="宋体"/>
          <w:kern w:val="0"/>
          <w:sz w:val="24"/>
          <w:szCs w:val="24"/>
        </w:rPr>
      </w:pPr>
      <w:r>
        <w:rPr>
          <w:rFonts w:hint="eastAsia" w:hAnsi="宋体"/>
          <w:kern w:val="0"/>
          <w:sz w:val="24"/>
          <w:szCs w:val="24"/>
        </w:rPr>
        <w:t xml:space="preserve">                     </w:t>
      </w:r>
    </w:p>
    <w:p>
      <w:pPr>
        <w:spacing w:line="360" w:lineRule="auto"/>
        <w:ind w:firstLine="720" w:firstLineChars="300"/>
        <w:rPr>
          <w:rFonts w:hAnsi="宋体"/>
          <w:kern w:val="0"/>
          <w:sz w:val="24"/>
          <w:szCs w:val="24"/>
        </w:rPr>
      </w:pPr>
    </w:p>
    <w:p>
      <w:pPr>
        <w:spacing w:line="360" w:lineRule="auto"/>
        <w:ind w:firstLine="720" w:firstLineChars="300"/>
        <w:rPr>
          <w:rFonts w:hAnsi="宋体"/>
          <w:kern w:val="0"/>
          <w:sz w:val="24"/>
          <w:szCs w:val="24"/>
        </w:rPr>
      </w:pPr>
    </w:p>
    <w:p>
      <w:pPr>
        <w:spacing w:line="360" w:lineRule="auto"/>
        <w:rPr>
          <w:rFonts w:hAnsi="宋体"/>
          <w:kern w:val="0"/>
          <w:sz w:val="24"/>
          <w:szCs w:val="24"/>
        </w:rPr>
      </w:pPr>
    </w:p>
    <w:p>
      <w:pPr>
        <w:spacing w:line="360" w:lineRule="auto"/>
        <w:ind w:firstLine="720" w:firstLineChars="300"/>
        <w:rPr>
          <w:rFonts w:hAnsi="宋体"/>
          <w:kern w:val="0"/>
          <w:sz w:val="24"/>
          <w:szCs w:val="24"/>
        </w:rPr>
      </w:pPr>
    </w:p>
    <w:p>
      <w:pPr>
        <w:tabs>
          <w:tab w:val="left" w:pos="3544"/>
        </w:tabs>
        <w:spacing w:line="360" w:lineRule="auto"/>
        <w:ind w:firstLine="480" w:firstLineChars="200"/>
        <w:rPr>
          <w:rFonts w:ascii="宋体" w:hAnsi="宋体" w:cs="宋体"/>
          <w:sz w:val="24"/>
          <w:szCs w:val="24"/>
        </w:rPr>
      </w:pPr>
      <w:r>
        <w:rPr>
          <w:rFonts w:hint="eastAsia" w:hAnsi="宋体"/>
          <w:kern w:val="0"/>
          <w:sz w:val="24"/>
          <w:szCs w:val="24"/>
        </w:rPr>
        <w:t xml:space="preserve">                                        </w:t>
      </w:r>
    </w:p>
    <w:p>
      <w:pPr>
        <w:tabs>
          <w:tab w:val="left" w:pos="3544"/>
        </w:tabs>
        <w:spacing w:line="360" w:lineRule="auto"/>
        <w:ind w:firstLine="5280" w:firstLineChars="2200"/>
        <w:rPr>
          <w:rFonts w:ascii="宋体" w:hAnsi="宋体" w:cs="宋体"/>
          <w:sz w:val="24"/>
          <w:szCs w:val="24"/>
        </w:rPr>
      </w:pPr>
      <w:r>
        <w:rPr>
          <w:rFonts w:hint="eastAsia" w:ascii="宋体" w:hAnsi="宋体" w:cs="宋体"/>
          <w:sz w:val="24"/>
          <w:szCs w:val="24"/>
        </w:rPr>
        <w:t>企业名称（盖章）</w:t>
      </w:r>
    </w:p>
    <w:p>
      <w:pPr>
        <w:tabs>
          <w:tab w:val="left" w:pos="3544"/>
        </w:tabs>
        <w:spacing w:line="360" w:lineRule="auto"/>
        <w:ind w:firstLine="5280" w:firstLineChars="2200"/>
        <w:rPr>
          <w:rFonts w:ascii="宋体" w:hAnsi="宋体" w:cs="宋体"/>
          <w:sz w:val="24"/>
          <w:szCs w:val="24"/>
        </w:rPr>
      </w:pPr>
      <w:r>
        <w:rPr>
          <w:rFonts w:hint="eastAsia" w:ascii="宋体" w:hAnsi="宋体" w:cs="宋体"/>
          <w:sz w:val="24"/>
          <w:szCs w:val="24"/>
        </w:rPr>
        <w:t>年  月  日</w:t>
      </w:r>
    </w:p>
    <w:p>
      <w:pPr>
        <w:spacing w:line="360" w:lineRule="auto"/>
        <w:ind w:firstLine="6960" w:firstLineChars="2900"/>
        <w:rPr>
          <w:rFonts w:hAnsi="宋体"/>
          <w:kern w:val="0"/>
          <w:sz w:val="24"/>
          <w:szCs w:val="24"/>
        </w:rPr>
      </w:pPr>
    </w:p>
    <w:p>
      <w:pPr>
        <w:adjustRightInd w:val="0"/>
        <w:snapToGrid w:val="0"/>
        <w:spacing w:line="360" w:lineRule="auto"/>
        <w:rPr>
          <w:rFonts w:ascii="宋体" w:hAnsi="宋体"/>
          <w:b/>
          <w:color w:val="000000"/>
          <w:sz w:val="32"/>
          <w:szCs w:val="32"/>
        </w:rPr>
      </w:pPr>
    </w:p>
    <w:p>
      <w:pPr>
        <w:adjustRightInd w:val="0"/>
        <w:snapToGrid w:val="0"/>
        <w:spacing w:line="360" w:lineRule="auto"/>
        <w:rPr>
          <w:rFonts w:ascii="宋体" w:hAnsi="宋体"/>
          <w:b/>
          <w:color w:val="000000"/>
          <w:sz w:val="32"/>
          <w:szCs w:val="32"/>
        </w:rPr>
      </w:pPr>
      <w:r>
        <w:rPr>
          <w:rFonts w:hint="eastAsia" w:ascii="宋体" w:hAnsi="宋体"/>
          <w:bCs/>
          <w:color w:val="000000"/>
          <w:szCs w:val="21"/>
        </w:rPr>
        <w:t>从业人员、营业收入、资产总额填报上一年度数据，无上一年度数据的新成立企业可不填报。</w:t>
      </w:r>
    </w:p>
    <w:p>
      <w:pPr>
        <w:pStyle w:val="392"/>
        <w:spacing w:line="360" w:lineRule="auto"/>
        <w:ind w:firstLine="482" w:firstLineChars="200"/>
        <w:rPr>
          <w:b/>
          <w:bCs/>
          <w:sz w:val="24"/>
        </w:rPr>
      </w:pPr>
      <w:r>
        <w:rPr>
          <w:b/>
          <w:bCs/>
          <w:sz w:val="24"/>
        </w:rPr>
        <w:t>注：</w:t>
      </w:r>
    </w:p>
    <w:p>
      <w:pPr>
        <w:pStyle w:val="392"/>
        <w:spacing w:line="360" w:lineRule="auto"/>
        <w:ind w:firstLine="482" w:firstLineChars="200"/>
        <w:rPr>
          <w:b/>
          <w:bCs/>
          <w:sz w:val="24"/>
        </w:rPr>
      </w:pPr>
      <w:r>
        <w:rPr>
          <w:rFonts w:hint="eastAsia"/>
          <w:b/>
          <w:bCs/>
          <w:sz w:val="24"/>
        </w:rPr>
        <w:t>1、</w:t>
      </w:r>
      <w:r>
        <w:rPr>
          <w:b/>
          <w:bCs/>
          <w:sz w:val="24"/>
        </w:rPr>
        <w:t>所有潜在投标供应商在做出以上声明前，需根据《关于印发中小企业划型标准规定的通知》、《政府采购促进中小企业发展管理办法》的相应内容，确定自身是否可以享受中小企业政策。如可以享受中小企业政策的供应商，按照如上声明函的内容如实填写，若不满足中小企业政策的供应商，请不要填写。</w:t>
      </w:r>
    </w:p>
    <w:p>
      <w:pPr>
        <w:pStyle w:val="392"/>
        <w:spacing w:line="360" w:lineRule="auto"/>
        <w:ind w:firstLine="482" w:firstLineChars="200"/>
        <w:rPr>
          <w:rFonts w:ascii="Times New Roman" w:hAnsi="Times New Roman"/>
          <w:b/>
          <w:bCs/>
          <w:sz w:val="24"/>
        </w:rPr>
      </w:pPr>
      <w:r>
        <w:rPr>
          <w:rFonts w:hint="eastAsia" w:ascii="Times New Roman" w:hAnsi="Times New Roman"/>
          <w:b/>
          <w:bCs/>
          <w:sz w:val="24"/>
        </w:rPr>
        <w:t>2、</w:t>
      </w:r>
      <w:r>
        <w:rPr>
          <w:rFonts w:ascii="Times New Roman" w:hAnsi="Times New Roman"/>
          <w:b/>
          <w:bCs/>
          <w:sz w:val="24"/>
        </w:rPr>
        <w:t>如存在虚假声明或未按实际内容填写，供应商需承担由此产生的一切后果及相应的法律责任。</w:t>
      </w:r>
    </w:p>
    <w:p>
      <w:pPr>
        <w:pStyle w:val="393"/>
        <w:spacing w:line="360" w:lineRule="auto"/>
        <w:ind w:firstLine="482" w:firstLineChars="200"/>
        <w:outlineLvl w:val="2"/>
        <w:rPr>
          <w:rFonts w:ascii="Times New Roman" w:hAnsi="Times New Roman" w:eastAsia="宋体"/>
          <w:b w:val="0"/>
          <w:kern w:val="2"/>
          <w:sz w:val="21"/>
        </w:rPr>
        <w:sectPr>
          <w:pgSz w:w="11906" w:h="16838"/>
          <w:pgMar w:top="620" w:right="1417" w:bottom="1134" w:left="1587" w:header="851" w:footer="992" w:gutter="0"/>
          <w:cols w:space="720" w:num="1"/>
          <w:docGrid w:linePitch="312" w:charSpace="0"/>
        </w:sectPr>
      </w:pPr>
      <w:r>
        <w:rPr>
          <w:rFonts w:hint="eastAsia" w:ascii="Times New Roman" w:hAnsi="Times New Roman" w:eastAsia="宋体"/>
          <w:bCs/>
          <w:sz w:val="24"/>
        </w:rPr>
        <w:t>3、</w:t>
      </w:r>
      <w:r>
        <w:rPr>
          <w:rFonts w:ascii="Times New Roman" w:hAnsi="Times New Roman" w:eastAsia="宋体"/>
          <w:bCs/>
          <w:sz w:val="24"/>
        </w:rPr>
        <w:t>后附中小企业划型标准的部分内容。详细内容请在中国政府采购网上查询获取</w:t>
      </w:r>
      <w:r>
        <w:rPr>
          <w:bCs/>
          <w:sz w:val="24"/>
        </w:rPr>
        <w:t>。</w:t>
      </w:r>
    </w:p>
    <w:p>
      <w:pPr>
        <w:spacing w:line="560" w:lineRule="exact"/>
        <w:rPr>
          <w:b/>
          <w:bCs/>
          <w:sz w:val="24"/>
          <w:szCs w:val="24"/>
        </w:rPr>
      </w:pPr>
      <w:r>
        <w:rPr>
          <w:b/>
          <w:bCs/>
          <w:sz w:val="24"/>
          <w:szCs w:val="24"/>
        </w:rPr>
        <w:t>附</w:t>
      </w:r>
      <w:r>
        <w:rPr>
          <w:rFonts w:hint="eastAsia"/>
          <w:b/>
          <w:bCs/>
          <w:sz w:val="24"/>
          <w:szCs w:val="24"/>
        </w:rPr>
        <w:t>表</w:t>
      </w:r>
      <w:r>
        <w:rPr>
          <w:b/>
          <w:bCs/>
          <w:sz w:val="24"/>
          <w:szCs w:val="24"/>
        </w:rPr>
        <w:t>：</w:t>
      </w:r>
      <w:r>
        <w:rPr>
          <w:rFonts w:hint="eastAsia"/>
          <w:b/>
          <w:bCs/>
          <w:sz w:val="24"/>
          <w:szCs w:val="24"/>
        </w:rPr>
        <w:t>大中小微型企业划分标准</w:t>
      </w:r>
    </w:p>
    <w:tbl>
      <w:tblPr>
        <w:tblStyle w:val="33"/>
        <w:tblW w:w="9764" w:type="dxa"/>
        <w:jc w:val="center"/>
        <w:tblLayout w:type="fixed"/>
        <w:tblCellMar>
          <w:top w:w="0" w:type="dxa"/>
          <w:left w:w="108" w:type="dxa"/>
          <w:bottom w:w="0" w:type="dxa"/>
          <w:right w:w="108" w:type="dxa"/>
        </w:tblCellMar>
      </w:tblPr>
      <w:tblGrid>
        <w:gridCol w:w="2023"/>
        <w:gridCol w:w="1369"/>
        <w:gridCol w:w="709"/>
        <w:gridCol w:w="1125"/>
        <w:gridCol w:w="1828"/>
        <w:gridCol w:w="1588"/>
        <w:gridCol w:w="1122"/>
      </w:tblGrid>
      <w:tr>
        <w:tblPrEx>
          <w:tblCellMar>
            <w:top w:w="0" w:type="dxa"/>
            <w:left w:w="108" w:type="dxa"/>
            <w:bottom w:w="0" w:type="dxa"/>
            <w:right w:w="108" w:type="dxa"/>
          </w:tblCellMar>
        </w:tblPrEx>
        <w:trPr>
          <w:trHeight w:val="622" w:hRule="exact"/>
          <w:jc w:val="center"/>
        </w:trPr>
        <w:tc>
          <w:tcPr>
            <w:tcW w:w="2023"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b/>
                <w:bCs/>
                <w:kern w:val="0"/>
                <w:sz w:val="20"/>
              </w:rPr>
            </w:pPr>
            <w:r>
              <w:rPr>
                <w:b/>
                <w:bCs/>
                <w:kern w:val="0"/>
                <w:sz w:val="20"/>
              </w:rPr>
              <w:t>行业名称</w:t>
            </w:r>
          </w:p>
        </w:tc>
        <w:tc>
          <w:tcPr>
            <w:tcW w:w="1369" w:type="dxa"/>
            <w:tcBorders>
              <w:top w:val="single" w:color="auto" w:sz="4" w:space="0"/>
              <w:left w:val="nil"/>
              <w:bottom w:val="single" w:color="auto" w:sz="4" w:space="0"/>
              <w:right w:val="single" w:color="auto" w:sz="4" w:space="0"/>
            </w:tcBorders>
            <w:noWrap/>
            <w:vAlign w:val="center"/>
          </w:tcPr>
          <w:p>
            <w:pPr>
              <w:widowControl/>
              <w:jc w:val="center"/>
              <w:rPr>
                <w:b/>
                <w:bCs/>
                <w:kern w:val="0"/>
                <w:sz w:val="20"/>
                <w:szCs w:val="20"/>
              </w:rPr>
            </w:pPr>
            <w:r>
              <w:rPr>
                <w:b/>
                <w:bCs/>
                <w:kern w:val="0"/>
                <w:sz w:val="20"/>
                <w:szCs w:val="20"/>
              </w:rPr>
              <w:t>指标名称</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b/>
                <w:bCs/>
                <w:kern w:val="0"/>
                <w:sz w:val="20"/>
                <w:szCs w:val="20"/>
              </w:rPr>
            </w:pPr>
            <w:r>
              <w:rPr>
                <w:b/>
                <w:bCs/>
                <w:kern w:val="0"/>
                <w:sz w:val="20"/>
                <w:szCs w:val="20"/>
              </w:rPr>
              <w:t>计量</w:t>
            </w:r>
            <w:r>
              <w:rPr>
                <w:b/>
                <w:bCs/>
                <w:kern w:val="0"/>
                <w:sz w:val="20"/>
                <w:szCs w:val="20"/>
              </w:rPr>
              <w:br w:type="textWrapping"/>
            </w:r>
            <w:r>
              <w:rPr>
                <w:b/>
                <w:bCs/>
                <w:kern w:val="0"/>
                <w:sz w:val="20"/>
                <w:szCs w:val="20"/>
              </w:rPr>
              <w:t>单位</w:t>
            </w:r>
          </w:p>
        </w:tc>
        <w:tc>
          <w:tcPr>
            <w:tcW w:w="1125" w:type="dxa"/>
            <w:tcBorders>
              <w:top w:val="single" w:color="auto" w:sz="4" w:space="0"/>
              <w:left w:val="nil"/>
              <w:bottom w:val="single" w:color="auto" w:sz="4" w:space="0"/>
              <w:right w:val="single" w:color="auto" w:sz="4" w:space="0"/>
            </w:tcBorders>
            <w:noWrap/>
            <w:vAlign w:val="center"/>
          </w:tcPr>
          <w:p>
            <w:pPr>
              <w:widowControl/>
              <w:jc w:val="center"/>
              <w:rPr>
                <w:b/>
                <w:bCs/>
                <w:kern w:val="0"/>
                <w:sz w:val="20"/>
                <w:szCs w:val="20"/>
              </w:rPr>
            </w:pPr>
            <w:r>
              <w:rPr>
                <w:b/>
                <w:bCs/>
                <w:kern w:val="0"/>
                <w:sz w:val="20"/>
                <w:szCs w:val="20"/>
              </w:rPr>
              <w:t>大型</w:t>
            </w:r>
          </w:p>
        </w:tc>
        <w:tc>
          <w:tcPr>
            <w:tcW w:w="1828" w:type="dxa"/>
            <w:tcBorders>
              <w:top w:val="single" w:color="auto" w:sz="4" w:space="0"/>
              <w:left w:val="nil"/>
              <w:bottom w:val="single" w:color="auto" w:sz="4" w:space="0"/>
              <w:right w:val="single" w:color="auto" w:sz="4" w:space="0"/>
            </w:tcBorders>
            <w:noWrap/>
            <w:vAlign w:val="center"/>
          </w:tcPr>
          <w:p>
            <w:pPr>
              <w:widowControl/>
              <w:jc w:val="center"/>
              <w:rPr>
                <w:b/>
                <w:bCs/>
                <w:kern w:val="0"/>
                <w:sz w:val="20"/>
                <w:szCs w:val="20"/>
              </w:rPr>
            </w:pPr>
            <w:r>
              <w:rPr>
                <w:b/>
                <w:bCs/>
                <w:kern w:val="0"/>
                <w:sz w:val="20"/>
                <w:szCs w:val="20"/>
              </w:rPr>
              <w:t>中型</w:t>
            </w:r>
          </w:p>
        </w:tc>
        <w:tc>
          <w:tcPr>
            <w:tcW w:w="1588" w:type="dxa"/>
            <w:tcBorders>
              <w:top w:val="single" w:color="auto" w:sz="4" w:space="0"/>
              <w:left w:val="nil"/>
              <w:bottom w:val="single" w:color="auto" w:sz="4" w:space="0"/>
              <w:right w:val="single" w:color="auto" w:sz="4" w:space="0"/>
            </w:tcBorders>
            <w:noWrap/>
            <w:vAlign w:val="center"/>
          </w:tcPr>
          <w:p>
            <w:pPr>
              <w:widowControl/>
              <w:jc w:val="center"/>
              <w:rPr>
                <w:b/>
                <w:bCs/>
                <w:kern w:val="0"/>
                <w:sz w:val="20"/>
                <w:szCs w:val="20"/>
              </w:rPr>
            </w:pPr>
            <w:r>
              <w:rPr>
                <w:b/>
                <w:bCs/>
                <w:kern w:val="0"/>
                <w:sz w:val="20"/>
                <w:szCs w:val="20"/>
              </w:rPr>
              <w:t>小型</w:t>
            </w:r>
          </w:p>
        </w:tc>
        <w:tc>
          <w:tcPr>
            <w:tcW w:w="1122" w:type="dxa"/>
            <w:tcBorders>
              <w:top w:val="single" w:color="auto" w:sz="4" w:space="0"/>
              <w:left w:val="nil"/>
              <w:bottom w:val="single" w:color="auto" w:sz="4" w:space="0"/>
              <w:right w:val="nil"/>
            </w:tcBorders>
            <w:noWrap/>
            <w:vAlign w:val="center"/>
          </w:tcPr>
          <w:p>
            <w:pPr>
              <w:widowControl/>
              <w:jc w:val="center"/>
              <w:rPr>
                <w:b/>
                <w:bCs/>
                <w:kern w:val="0"/>
                <w:sz w:val="20"/>
                <w:szCs w:val="20"/>
              </w:rPr>
            </w:pPr>
            <w:r>
              <w:rPr>
                <w:b/>
                <w:bCs/>
                <w:kern w:val="0"/>
                <w:sz w:val="20"/>
                <w:szCs w:val="20"/>
              </w:rPr>
              <w:t>微型</w:t>
            </w:r>
          </w:p>
        </w:tc>
      </w:tr>
      <w:tr>
        <w:tblPrEx>
          <w:tblCellMar>
            <w:top w:w="0" w:type="dxa"/>
            <w:left w:w="108" w:type="dxa"/>
            <w:bottom w:w="0" w:type="dxa"/>
            <w:right w:w="108" w:type="dxa"/>
          </w:tblCellMar>
        </w:tblPrEx>
        <w:trPr>
          <w:trHeight w:val="397" w:hRule="exact"/>
          <w:jc w:val="center"/>
        </w:trPr>
        <w:tc>
          <w:tcPr>
            <w:tcW w:w="2023" w:type="dxa"/>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农、林、牧、渔业</w:t>
            </w:r>
          </w:p>
        </w:tc>
        <w:tc>
          <w:tcPr>
            <w:tcW w:w="136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Y≥20000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500≤Y＜20000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50≤Y＜500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Y＜50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工业 *</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X≥1000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300≤X＜1000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20≤X＜300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X＜20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Y≥40000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2000≤Y＜40000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300≤Y＜2000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Y＜300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建筑业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营业收入(Y)</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Y≥80000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6000≤Y＜80000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300≤Y＜6000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Y＜300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资产总额(Z)</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Z≥80000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5000≤Z＜80000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300≤Z＜5000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Z＜300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批发业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X≥200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20≤X＜200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5≤X＜20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X＜5</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Y≥40000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5000≤Y＜40000</w:t>
            </w:r>
          </w:p>
        </w:tc>
        <w:tc>
          <w:tcPr>
            <w:tcW w:w="1588" w:type="dxa"/>
            <w:tcBorders>
              <w:top w:val="nil"/>
              <w:left w:val="nil"/>
              <w:bottom w:val="single" w:color="auto" w:sz="4" w:space="0"/>
              <w:right w:val="single" w:color="auto" w:sz="4" w:space="0"/>
            </w:tcBorders>
            <w:noWrap/>
            <w:vAlign w:val="center"/>
          </w:tcPr>
          <w:p>
            <w:pPr>
              <w:widowControl/>
              <w:ind w:left="-1" w:leftChars="-1" w:hanging="1"/>
              <w:jc w:val="center"/>
              <w:rPr>
                <w:kern w:val="0"/>
                <w:sz w:val="20"/>
                <w:szCs w:val="20"/>
              </w:rPr>
            </w:pPr>
            <w:r>
              <w:rPr>
                <w:kern w:val="0"/>
                <w:sz w:val="20"/>
                <w:szCs w:val="20"/>
              </w:rPr>
              <w:t>1000≤Y＜5000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零售业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50≤X＜300</w:t>
            </w:r>
          </w:p>
        </w:tc>
        <w:tc>
          <w:tcPr>
            <w:tcW w:w="1588" w:type="dxa"/>
            <w:tcBorders>
              <w:top w:val="nil"/>
              <w:left w:val="nil"/>
              <w:bottom w:val="nil"/>
              <w:right w:val="single" w:color="auto" w:sz="4" w:space="0"/>
            </w:tcBorders>
            <w:noWrap/>
            <w:vAlign w:val="center"/>
          </w:tcPr>
          <w:p>
            <w:pPr>
              <w:widowControl/>
              <w:ind w:left="-1" w:leftChars="-1" w:hanging="1"/>
              <w:jc w:val="center"/>
              <w:rPr>
                <w:kern w:val="0"/>
                <w:sz w:val="20"/>
                <w:szCs w:val="20"/>
              </w:rPr>
            </w:pPr>
            <w:r>
              <w:rPr>
                <w:kern w:val="0"/>
                <w:sz w:val="20"/>
                <w:szCs w:val="20"/>
              </w:rPr>
              <w:t xml:space="preserve">10≤X＜50 </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Y≥20000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500≤Y＜20000</w:t>
            </w:r>
          </w:p>
        </w:tc>
        <w:tc>
          <w:tcPr>
            <w:tcW w:w="1588" w:type="dxa"/>
            <w:tcBorders>
              <w:top w:val="nil"/>
              <w:left w:val="nil"/>
              <w:bottom w:val="single" w:color="auto" w:sz="4" w:space="0"/>
              <w:right w:val="single" w:color="auto" w:sz="4" w:space="0"/>
            </w:tcBorders>
            <w:noWrap/>
            <w:vAlign w:val="center"/>
          </w:tcPr>
          <w:p>
            <w:pPr>
              <w:widowControl/>
              <w:ind w:left="-1" w:leftChars="-1" w:hanging="1"/>
              <w:jc w:val="center"/>
              <w:rPr>
                <w:kern w:val="0"/>
                <w:sz w:val="20"/>
                <w:szCs w:val="20"/>
              </w:rPr>
            </w:pPr>
            <w:r>
              <w:rPr>
                <w:kern w:val="0"/>
                <w:sz w:val="20"/>
                <w:szCs w:val="20"/>
              </w:rPr>
              <w:t xml:space="preserve">100≤Y＜500 </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交通运输业 *</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X≥1000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300≤X＜1000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20≤X＜300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X＜20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Y≥30000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3000≤Y＜30000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200≤Y＜3000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Y＜200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仓储业*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X≥200</w:t>
            </w:r>
          </w:p>
        </w:tc>
        <w:tc>
          <w:tcPr>
            <w:tcW w:w="1828" w:type="dxa"/>
            <w:tcBorders>
              <w:top w:val="nil"/>
              <w:left w:val="nil"/>
              <w:bottom w:val="nil"/>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100≤X＜200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20≤X＜100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X＜20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Y≥30000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1000≤Y＜30000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100≤Y＜1000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邮政业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X≥1000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300≤X＜1000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20≤X＜300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X＜20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Y≥30000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2000≤Y＜30000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100≤Y＜2000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住宿业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nil"/>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100≤X＜300 </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Y≥10000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2000≤Y＜10000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100≤Y＜2000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餐饮业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nil"/>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100≤X＜300 </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Y≥10000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2000≤Y＜10000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100≤Y＜2000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97"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信息传输业 *</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X≥2000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100≤X＜2000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97"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Y≥100000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1000≤Y＜100000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100≤Y＜1000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40" w:hRule="exact"/>
          <w:jc w:val="center"/>
        </w:trPr>
        <w:tc>
          <w:tcPr>
            <w:tcW w:w="2023" w:type="dxa"/>
            <w:vMerge w:val="restart"/>
            <w:tcBorders>
              <w:top w:val="single" w:color="auto" w:sz="4" w:space="0"/>
              <w:left w:val="nil"/>
              <w:bottom w:val="single" w:color="auto" w:sz="4" w:space="0"/>
              <w:right w:val="single" w:color="auto" w:sz="4" w:space="0"/>
            </w:tcBorders>
            <w:noWrap/>
            <w:vAlign w:val="center"/>
          </w:tcPr>
          <w:p>
            <w:pPr>
              <w:widowControl/>
              <w:spacing w:line="240" w:lineRule="exact"/>
              <w:jc w:val="left"/>
              <w:rPr>
                <w:spacing w:val="-12"/>
                <w:kern w:val="0"/>
                <w:sz w:val="20"/>
                <w:szCs w:val="20"/>
              </w:rPr>
            </w:pPr>
            <w:r>
              <w:rPr>
                <w:spacing w:val="-12"/>
                <w:kern w:val="0"/>
                <w:sz w:val="20"/>
                <w:szCs w:val="20"/>
              </w:rPr>
              <w:t>软件和信息技术服</w:t>
            </w:r>
            <w:r>
              <w:rPr>
                <w:kern w:val="0"/>
                <w:sz w:val="20"/>
                <w:szCs w:val="20"/>
              </w:rPr>
              <w:t>务业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nil"/>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100≤X＜300 </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40" w:hRule="exact"/>
          <w:jc w:val="center"/>
        </w:trPr>
        <w:tc>
          <w:tcPr>
            <w:tcW w:w="2023" w:type="dxa"/>
            <w:vMerge w:val="continue"/>
            <w:tcBorders>
              <w:top w:val="single" w:color="auto" w:sz="4" w:space="0"/>
              <w:left w:val="nil"/>
              <w:bottom w:val="single" w:color="auto" w:sz="4" w:space="0"/>
              <w:right w:val="single" w:color="auto" w:sz="4" w:space="0"/>
            </w:tcBorders>
            <w:noWrap/>
            <w:vAlign w:val="center"/>
          </w:tcPr>
          <w:p>
            <w:pPr>
              <w:widowControl/>
              <w:jc w:val="left"/>
              <w:rPr>
                <w:spacing w:val="-12"/>
                <w:kern w:val="0"/>
                <w:sz w:val="20"/>
                <w:szCs w:val="20"/>
              </w:rPr>
            </w:pPr>
          </w:p>
        </w:tc>
        <w:tc>
          <w:tcPr>
            <w:tcW w:w="136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Y≥10000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1000≤Y＜10000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50≤Y＜1000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Y＜50</w:t>
            </w:r>
          </w:p>
        </w:tc>
      </w:tr>
      <w:tr>
        <w:tblPrEx>
          <w:tblCellMar>
            <w:top w:w="0" w:type="dxa"/>
            <w:left w:w="108" w:type="dxa"/>
            <w:bottom w:w="0" w:type="dxa"/>
            <w:right w:w="108" w:type="dxa"/>
          </w:tblCellMar>
        </w:tblPrEx>
        <w:trPr>
          <w:trHeight w:val="340"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房地产开发经营</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营业收入(Y)</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Y≥200000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1000≤Y＜200000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100≤Y＜1000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Y＜100</w:t>
            </w:r>
          </w:p>
        </w:tc>
      </w:tr>
      <w:tr>
        <w:tblPrEx>
          <w:tblCellMar>
            <w:top w:w="0" w:type="dxa"/>
            <w:left w:w="108" w:type="dxa"/>
            <w:bottom w:w="0" w:type="dxa"/>
            <w:right w:w="108" w:type="dxa"/>
          </w:tblCellMar>
        </w:tblPrEx>
        <w:trPr>
          <w:trHeight w:val="340"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资产总额(Z)</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Z≥10000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5000≤Z＜10000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2000≤Z＜5000   </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Z＜2000</w:t>
            </w:r>
          </w:p>
        </w:tc>
      </w:tr>
      <w:tr>
        <w:tblPrEx>
          <w:tblCellMar>
            <w:top w:w="0" w:type="dxa"/>
            <w:left w:w="108" w:type="dxa"/>
            <w:bottom w:w="0" w:type="dxa"/>
            <w:right w:w="108" w:type="dxa"/>
          </w:tblCellMar>
        </w:tblPrEx>
        <w:trPr>
          <w:trHeight w:val="340"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物业管理</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X≥1000</w:t>
            </w:r>
          </w:p>
        </w:tc>
        <w:tc>
          <w:tcPr>
            <w:tcW w:w="182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300≤X＜1000</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100≤X＜300 </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X＜100</w:t>
            </w:r>
          </w:p>
        </w:tc>
      </w:tr>
      <w:tr>
        <w:tblPrEx>
          <w:tblCellMar>
            <w:top w:w="0" w:type="dxa"/>
            <w:left w:w="108" w:type="dxa"/>
            <w:bottom w:w="0" w:type="dxa"/>
            <w:right w:w="108" w:type="dxa"/>
          </w:tblCellMar>
        </w:tblPrEx>
        <w:trPr>
          <w:trHeight w:val="340"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营业收入(Y)</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Y≥5000</w:t>
            </w:r>
          </w:p>
        </w:tc>
        <w:tc>
          <w:tcPr>
            <w:tcW w:w="1828" w:type="dxa"/>
            <w:tcBorders>
              <w:top w:val="nil"/>
              <w:left w:val="nil"/>
              <w:bottom w:val="single" w:color="auto" w:sz="4" w:space="0"/>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1000≤Y＜5000 </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500≤Y＜1000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Y＜500</w:t>
            </w:r>
          </w:p>
        </w:tc>
      </w:tr>
      <w:tr>
        <w:tblPrEx>
          <w:tblCellMar>
            <w:top w:w="0" w:type="dxa"/>
            <w:left w:w="108" w:type="dxa"/>
            <w:bottom w:w="0" w:type="dxa"/>
            <w:right w:w="108" w:type="dxa"/>
          </w:tblCellMar>
        </w:tblPrEx>
        <w:trPr>
          <w:trHeight w:val="340" w:hRule="exact"/>
          <w:jc w:val="center"/>
        </w:trPr>
        <w:tc>
          <w:tcPr>
            <w:tcW w:w="2023" w:type="dxa"/>
            <w:vMerge w:val="restart"/>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租赁和商务服务业</w:t>
            </w:r>
          </w:p>
        </w:tc>
        <w:tc>
          <w:tcPr>
            <w:tcW w:w="136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nil"/>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100≤X＜300 </w:t>
            </w:r>
          </w:p>
        </w:tc>
        <w:tc>
          <w:tcPr>
            <w:tcW w:w="1588" w:type="dxa"/>
            <w:tcBorders>
              <w:top w:val="nil"/>
              <w:left w:val="nil"/>
              <w:bottom w:val="nil"/>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nil"/>
              <w:right w:val="nil"/>
            </w:tcBorders>
            <w:noWrap/>
            <w:vAlign w:val="center"/>
          </w:tcPr>
          <w:p>
            <w:pPr>
              <w:widowControl/>
              <w:jc w:val="center"/>
              <w:rPr>
                <w:kern w:val="0"/>
                <w:sz w:val="20"/>
                <w:szCs w:val="20"/>
              </w:rPr>
            </w:pPr>
            <w:r>
              <w:rPr>
                <w:kern w:val="0"/>
                <w:sz w:val="20"/>
                <w:szCs w:val="20"/>
              </w:rPr>
              <w:t>X＜10</w:t>
            </w:r>
          </w:p>
        </w:tc>
      </w:tr>
      <w:tr>
        <w:tblPrEx>
          <w:tblCellMar>
            <w:top w:w="0" w:type="dxa"/>
            <w:left w:w="108" w:type="dxa"/>
            <w:bottom w:w="0" w:type="dxa"/>
            <w:right w:w="108" w:type="dxa"/>
          </w:tblCellMar>
        </w:tblPrEx>
        <w:trPr>
          <w:trHeight w:val="340" w:hRule="exact"/>
          <w:jc w:val="center"/>
        </w:trPr>
        <w:tc>
          <w:tcPr>
            <w:tcW w:w="2023" w:type="dxa"/>
            <w:vMerge w:val="continue"/>
            <w:tcBorders>
              <w:top w:val="nil"/>
              <w:left w:val="nil"/>
              <w:bottom w:val="single" w:color="auto" w:sz="4" w:space="0"/>
              <w:right w:val="single" w:color="auto" w:sz="4" w:space="0"/>
            </w:tcBorders>
            <w:noWrap/>
            <w:vAlign w:val="center"/>
          </w:tcPr>
          <w:p>
            <w:pPr>
              <w:widowControl/>
              <w:jc w:val="left"/>
              <w:rPr>
                <w:kern w:val="0"/>
                <w:sz w:val="20"/>
                <w:szCs w:val="20"/>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kern w:val="0"/>
                <w:sz w:val="20"/>
                <w:szCs w:val="20"/>
              </w:rPr>
            </w:pPr>
            <w:r>
              <w:rPr>
                <w:kern w:val="0"/>
                <w:sz w:val="20"/>
                <w:szCs w:val="20"/>
              </w:rPr>
              <w:t>资产总额(Z)</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万元</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Z≥120000</w:t>
            </w:r>
          </w:p>
        </w:tc>
        <w:tc>
          <w:tcPr>
            <w:tcW w:w="182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8000≤Z＜120000</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100≤Z＜8000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Z＜100</w:t>
            </w:r>
          </w:p>
        </w:tc>
      </w:tr>
      <w:tr>
        <w:tblPrEx>
          <w:tblCellMar>
            <w:top w:w="0" w:type="dxa"/>
            <w:left w:w="108" w:type="dxa"/>
            <w:bottom w:w="0" w:type="dxa"/>
            <w:right w:w="108" w:type="dxa"/>
          </w:tblCellMar>
        </w:tblPrEx>
        <w:trPr>
          <w:trHeight w:val="397" w:hRule="exact"/>
          <w:jc w:val="center"/>
        </w:trPr>
        <w:tc>
          <w:tcPr>
            <w:tcW w:w="2023" w:type="dxa"/>
            <w:tcBorders>
              <w:top w:val="nil"/>
              <w:left w:val="nil"/>
              <w:bottom w:val="single" w:color="auto" w:sz="4" w:space="0"/>
              <w:right w:val="single" w:color="auto" w:sz="4" w:space="0"/>
            </w:tcBorders>
            <w:noWrap/>
            <w:vAlign w:val="center"/>
          </w:tcPr>
          <w:p>
            <w:pPr>
              <w:widowControl/>
              <w:spacing w:line="240" w:lineRule="exact"/>
              <w:jc w:val="left"/>
              <w:rPr>
                <w:kern w:val="0"/>
                <w:sz w:val="20"/>
                <w:szCs w:val="20"/>
              </w:rPr>
            </w:pPr>
            <w:r>
              <w:rPr>
                <w:kern w:val="0"/>
                <w:sz w:val="20"/>
                <w:szCs w:val="20"/>
              </w:rPr>
              <w:t>其他未列明行业 *</w:t>
            </w:r>
          </w:p>
        </w:tc>
        <w:tc>
          <w:tcPr>
            <w:tcW w:w="136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从业人员(X)</w:t>
            </w:r>
          </w:p>
        </w:tc>
        <w:tc>
          <w:tcPr>
            <w:tcW w:w="709"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人</w:t>
            </w:r>
          </w:p>
        </w:tc>
        <w:tc>
          <w:tcPr>
            <w:tcW w:w="1125"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X≥300</w:t>
            </w:r>
          </w:p>
        </w:tc>
        <w:tc>
          <w:tcPr>
            <w:tcW w:w="1828" w:type="dxa"/>
            <w:tcBorders>
              <w:top w:val="nil"/>
              <w:left w:val="nil"/>
              <w:bottom w:val="single" w:color="auto" w:sz="4" w:space="0"/>
              <w:right w:val="single" w:color="auto" w:sz="4" w:space="0"/>
            </w:tcBorders>
            <w:noWrap/>
            <w:vAlign w:val="center"/>
          </w:tcPr>
          <w:p>
            <w:pPr>
              <w:widowControl/>
              <w:ind w:left="13" w:leftChars="-51" w:hanging="120" w:hangingChars="60"/>
              <w:jc w:val="center"/>
              <w:rPr>
                <w:kern w:val="0"/>
                <w:sz w:val="20"/>
                <w:szCs w:val="20"/>
              </w:rPr>
            </w:pPr>
            <w:r>
              <w:rPr>
                <w:kern w:val="0"/>
                <w:sz w:val="20"/>
                <w:szCs w:val="20"/>
              </w:rPr>
              <w:t xml:space="preserve">100≤X＜300 </w:t>
            </w:r>
          </w:p>
        </w:tc>
        <w:tc>
          <w:tcPr>
            <w:tcW w:w="1588" w:type="dxa"/>
            <w:tcBorders>
              <w:top w:val="nil"/>
              <w:left w:val="nil"/>
              <w:bottom w:val="single" w:color="auto" w:sz="4" w:space="0"/>
              <w:right w:val="single" w:color="auto" w:sz="4" w:space="0"/>
            </w:tcBorders>
            <w:noWrap/>
            <w:vAlign w:val="center"/>
          </w:tcPr>
          <w:p>
            <w:pPr>
              <w:widowControl/>
              <w:jc w:val="center"/>
              <w:rPr>
                <w:kern w:val="0"/>
                <w:sz w:val="20"/>
                <w:szCs w:val="20"/>
              </w:rPr>
            </w:pPr>
            <w:r>
              <w:rPr>
                <w:kern w:val="0"/>
                <w:sz w:val="20"/>
                <w:szCs w:val="20"/>
              </w:rPr>
              <w:t xml:space="preserve"> 10≤X＜100</w:t>
            </w:r>
          </w:p>
        </w:tc>
        <w:tc>
          <w:tcPr>
            <w:tcW w:w="1122" w:type="dxa"/>
            <w:tcBorders>
              <w:top w:val="nil"/>
              <w:left w:val="nil"/>
              <w:bottom w:val="single" w:color="auto" w:sz="4" w:space="0"/>
              <w:right w:val="nil"/>
            </w:tcBorders>
            <w:noWrap/>
            <w:vAlign w:val="center"/>
          </w:tcPr>
          <w:p>
            <w:pPr>
              <w:widowControl/>
              <w:jc w:val="center"/>
              <w:rPr>
                <w:kern w:val="0"/>
                <w:sz w:val="20"/>
                <w:szCs w:val="20"/>
              </w:rPr>
            </w:pPr>
            <w:r>
              <w:rPr>
                <w:kern w:val="0"/>
                <w:sz w:val="20"/>
                <w:szCs w:val="20"/>
              </w:rPr>
              <w:t>X＜10</w:t>
            </w:r>
          </w:p>
        </w:tc>
      </w:tr>
    </w:tbl>
    <w:p>
      <w:pPr>
        <w:pStyle w:val="372"/>
        <w:tabs>
          <w:tab w:val="left" w:pos="8786"/>
        </w:tabs>
        <w:spacing w:after="0" w:line="360" w:lineRule="auto"/>
        <w:rPr>
          <w:rFonts w:ascii="宋体" w:hAnsi="宋体"/>
          <w:b/>
          <w:color w:val="000000"/>
          <w:sz w:val="24"/>
        </w:rPr>
      </w:pPr>
    </w:p>
    <w:p>
      <w:pPr>
        <w:pStyle w:val="372"/>
        <w:tabs>
          <w:tab w:val="left" w:pos="8786"/>
        </w:tabs>
        <w:spacing w:after="0" w:line="360" w:lineRule="auto"/>
        <w:rPr>
          <w:rFonts w:ascii="宋体" w:hAnsi="宋体"/>
          <w:b/>
          <w:color w:val="000000"/>
          <w:sz w:val="24"/>
        </w:rPr>
      </w:pPr>
    </w:p>
    <w:p>
      <w:pPr>
        <w:pStyle w:val="49"/>
        <w:rPr>
          <w:rFonts w:ascii="仿宋" w:hAnsi="仿宋" w:eastAsia="仿宋" w:cs="仿宋"/>
          <w:kern w:val="2"/>
          <w:sz w:val="30"/>
          <w:szCs w:val="30"/>
        </w:rPr>
      </w:pPr>
      <w:r>
        <w:br w:type="page"/>
      </w:r>
      <w:bookmarkStart w:id="170" w:name="_Toc63519690"/>
      <w:r>
        <w:rPr>
          <w:rFonts w:hint="eastAsia" w:ascii="仿宋" w:hAnsi="仿宋" w:eastAsia="仿宋" w:cs="仿宋"/>
          <w:kern w:val="2"/>
          <w:sz w:val="30"/>
          <w:szCs w:val="30"/>
        </w:rPr>
        <w:t>九、</w:t>
      </w:r>
      <w:bookmarkEnd w:id="170"/>
      <w:r>
        <w:rPr>
          <w:rFonts w:hint="eastAsia" w:ascii="仿宋" w:hAnsi="仿宋" w:eastAsia="仿宋" w:cs="仿宋"/>
          <w:kern w:val="2"/>
          <w:sz w:val="30"/>
          <w:szCs w:val="30"/>
        </w:rPr>
        <w:t>其他资格证明文件</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（1）具有独立承担民事责任的能力；（提供合法有效的法人营业执照）；</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（2）具有良好的商业信誉和健全的财务会计制度（提供2022年财务审计报告或2022年财务报表，新成立不足一年的公司无需提供）；</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（3）具有履行合同所必需的设备和专业技术能力；（根据项目需求提供履行合同所必需的设备和专业技术能力的加盖单位公章的书面承诺函）；</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（4）有依法缴纳税收和社会保障资金的良好记录；（提供参加本次政府采购活动前近半年内任意一个月的依法缴纳税收和社会保障资金的相关材料）；</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（5）参加政府采购活动前三年内，在经营活动中没有重大违法记录；（提供参加本次政府采购活动前3年内在经营活动中没有重大违法记录的书面承诺函并加盖单位公章）；</w:t>
      </w:r>
    </w:p>
    <w:p>
      <w:pPr>
        <w:pStyle w:val="363"/>
        <w:spacing w:line="360" w:lineRule="auto"/>
        <w:ind w:firstLine="480" w:firstLineChars="200"/>
        <w:rPr>
          <w:rFonts w:ascii="宋体" w:hAnsi="宋体" w:cs="宋体"/>
          <w:sz w:val="24"/>
          <w:szCs w:val="24"/>
        </w:rPr>
      </w:pPr>
      <w:r>
        <w:rPr>
          <w:rFonts w:hint="eastAsia" w:ascii="宋体" w:hAnsi="宋体" w:cs="宋体"/>
          <w:sz w:val="24"/>
          <w:szCs w:val="24"/>
        </w:rPr>
        <w:t>（6）法律、行政法规规定的其他条件。根据《财政部关于在政府采购活动中查询及使用信用记录有关问题的通知》（财库﹝2016﹞125号）的要求，凡拟参加本次招标项目的投标人，如在“信用中国”网站（www.creditchina.gov.cn） 被列入失信被执行人、重大税收违法失信主体（搜索栏输入单位全称-点击总公司-截图）、中国政府采购网（http://www.ccgp.gov.cn/search/cr/）严重违法失信行为记录名单的（尚在处罚期内的），将拒绝其参加本次招标活动；</w:t>
      </w:r>
    </w:p>
    <w:p>
      <w:pPr>
        <w:widowControl/>
        <w:spacing w:line="460" w:lineRule="exact"/>
        <w:ind w:firstLine="480" w:firstLineChars="200"/>
        <w:jc w:val="left"/>
        <w:rPr>
          <w:rFonts w:ascii="宋体" w:hAnsi="宋体" w:cs="宋体"/>
          <w:color w:val="000000"/>
          <w:kern w:val="0"/>
          <w:sz w:val="24"/>
          <w:szCs w:val="24"/>
          <w:lang w:bidi="ar"/>
        </w:rPr>
      </w:pPr>
      <w:r>
        <w:rPr>
          <w:rFonts w:hint="eastAsia" w:ascii="宋体" w:hAnsi="宋体" w:cs="宋体"/>
          <w:sz w:val="24"/>
          <w:szCs w:val="24"/>
        </w:rPr>
        <w:t>（7）</w:t>
      </w:r>
      <w:r>
        <w:rPr>
          <w:rFonts w:hint="eastAsia" w:ascii="宋体" w:hAnsi="宋体" w:cs="宋体"/>
          <w:color w:val="000000"/>
          <w:kern w:val="0"/>
          <w:sz w:val="24"/>
          <w:szCs w:val="24"/>
          <w:lang w:bidi="ar"/>
        </w:rPr>
        <w:t>供应商应具备有效的城乡规划编制甲级资质和工程设计建筑行业（建筑工程）甲级及以上资质</w:t>
      </w:r>
    </w:p>
    <w:p>
      <w:pPr>
        <w:pStyle w:val="391"/>
        <w:rPr>
          <w:rFonts w:ascii="宋体" w:hAnsi="宋体"/>
          <w:sz w:val="24"/>
        </w:rPr>
      </w:pPr>
    </w:p>
    <w:p>
      <w:pPr>
        <w:pStyle w:val="395"/>
        <w:jc w:val="center"/>
        <w:outlineLvl w:val="2"/>
        <w:rPr>
          <w:rFonts w:ascii="仿宋" w:hAnsi="仿宋" w:eastAsia="仿宋" w:cs="仿宋"/>
          <w:bCs/>
          <w:kern w:val="2"/>
          <w:sz w:val="30"/>
          <w:szCs w:val="30"/>
        </w:rPr>
      </w:pPr>
      <w:r>
        <w:br w:type="page"/>
      </w:r>
      <w:bookmarkStart w:id="171" w:name="_Toc63519691"/>
      <w:r>
        <w:rPr>
          <w:rFonts w:hint="eastAsia" w:ascii="仿宋" w:hAnsi="仿宋" w:eastAsia="仿宋" w:cs="仿宋"/>
          <w:bCs/>
          <w:kern w:val="2"/>
          <w:sz w:val="30"/>
          <w:szCs w:val="30"/>
        </w:rPr>
        <w:t>十、不参与围标串标承诺书</w:t>
      </w:r>
      <w:bookmarkEnd w:id="171"/>
    </w:p>
    <w:p>
      <w:pPr>
        <w:pStyle w:val="388"/>
        <w:spacing w:line="640" w:lineRule="exact"/>
        <w:ind w:firstLine="480" w:firstLineChars="200"/>
        <w:rPr>
          <w:rFonts w:ascii="宋体" w:hAnsi="宋体" w:eastAsia="宋体" w:cs="宋体"/>
          <w:b w:val="0"/>
          <w:bCs/>
          <w:sz w:val="24"/>
        </w:rPr>
      </w:pPr>
      <w:r>
        <w:rPr>
          <w:rFonts w:hint="eastAsia" w:ascii="宋体" w:hAnsi="宋体" w:eastAsia="宋体" w:cs="宋体"/>
          <w:b w:val="0"/>
          <w:bCs/>
          <w:sz w:val="24"/>
        </w:rPr>
        <w:t>本人作为</w:t>
      </w:r>
      <w:r>
        <w:rPr>
          <w:rFonts w:hint="eastAsia" w:ascii="宋体" w:hAnsi="宋体" w:eastAsia="宋体" w:cs="宋体"/>
          <w:b w:val="0"/>
          <w:bCs/>
          <w:sz w:val="24"/>
          <w:u w:val="single"/>
        </w:rPr>
        <w:t xml:space="preserve">（单位名称）                      </w:t>
      </w:r>
      <w:r>
        <w:rPr>
          <w:rFonts w:hint="eastAsia" w:ascii="宋体" w:hAnsi="宋体" w:eastAsia="宋体" w:cs="宋体"/>
          <w:b w:val="0"/>
          <w:bCs/>
          <w:sz w:val="24"/>
        </w:rPr>
        <w:t>的法人，清楚知晓我公司本项目投标活动，对以下事项作出承诺：</w:t>
      </w:r>
    </w:p>
    <w:p>
      <w:pPr>
        <w:pStyle w:val="388"/>
        <w:spacing w:line="640" w:lineRule="exact"/>
        <w:ind w:firstLine="480" w:firstLineChars="200"/>
        <w:rPr>
          <w:rFonts w:ascii="宋体" w:hAnsi="宋体" w:eastAsia="宋体" w:cs="宋体"/>
          <w:b w:val="0"/>
          <w:bCs/>
          <w:sz w:val="24"/>
        </w:rPr>
      </w:pPr>
      <w:r>
        <w:rPr>
          <w:rFonts w:hint="eastAsia" w:ascii="宋体" w:hAnsi="宋体" w:eastAsia="宋体" w:cs="宋体"/>
          <w:b w:val="0"/>
          <w:bCs/>
          <w:sz w:val="24"/>
        </w:rPr>
        <w:t>一、我单位遵循公开、公平、公正、诚实守信的原则，依法依规参与本项目竞标。</w:t>
      </w:r>
    </w:p>
    <w:p>
      <w:pPr>
        <w:pStyle w:val="388"/>
        <w:spacing w:line="640" w:lineRule="exact"/>
        <w:ind w:firstLine="480" w:firstLineChars="200"/>
        <w:rPr>
          <w:rFonts w:ascii="宋体" w:hAnsi="宋体" w:eastAsia="宋体" w:cs="宋体"/>
          <w:b w:val="0"/>
          <w:bCs/>
          <w:sz w:val="24"/>
        </w:rPr>
      </w:pPr>
      <w:r>
        <w:rPr>
          <w:rFonts w:hint="eastAsia" w:ascii="宋体" w:hAnsi="宋体" w:eastAsia="宋体" w:cs="宋体"/>
          <w:b w:val="0"/>
          <w:bCs/>
          <w:sz w:val="24"/>
        </w:rPr>
        <w:t>二、我单位在本项目招标投标活动中，未参与围标串标。</w:t>
      </w:r>
    </w:p>
    <w:p>
      <w:pPr>
        <w:pStyle w:val="388"/>
        <w:spacing w:line="640" w:lineRule="exact"/>
        <w:ind w:firstLine="480" w:firstLineChars="200"/>
        <w:rPr>
          <w:rFonts w:ascii="宋体" w:hAnsi="宋体" w:eastAsia="宋体" w:cs="宋体"/>
          <w:b w:val="0"/>
          <w:bCs/>
          <w:sz w:val="24"/>
        </w:rPr>
      </w:pPr>
      <w:r>
        <w:rPr>
          <w:rFonts w:hint="eastAsia" w:ascii="宋体" w:hAnsi="宋体" w:eastAsia="宋体" w:cs="宋体"/>
          <w:b w:val="0"/>
          <w:bCs/>
          <w:sz w:val="24"/>
        </w:rPr>
        <w:t>三、我单位如被查实在本项目招标投标活动中存在围标串标的，递交投标文件行为作为实施串通投标违法行为的关键环节，本人承担直接责任人员法律责任，接受相应行政处罚和失信惩戒。</w:t>
      </w:r>
    </w:p>
    <w:p>
      <w:pPr>
        <w:pStyle w:val="388"/>
        <w:spacing w:line="640" w:lineRule="exact"/>
        <w:rPr>
          <w:rFonts w:ascii="宋体" w:hAnsi="宋体" w:eastAsia="宋体" w:cs="宋体"/>
          <w:b w:val="0"/>
          <w:bCs/>
          <w:sz w:val="24"/>
        </w:rPr>
      </w:pPr>
      <w:r>
        <w:rPr>
          <w:rFonts w:hint="eastAsia" w:ascii="宋体" w:hAnsi="宋体" w:eastAsia="宋体" w:cs="宋体"/>
          <w:b w:val="0"/>
          <w:bCs/>
          <w:sz w:val="24"/>
        </w:rPr>
        <w:t xml:space="preserve">    </w:t>
      </w:r>
    </w:p>
    <w:p>
      <w:pPr>
        <w:pStyle w:val="388"/>
        <w:spacing w:line="640" w:lineRule="exact"/>
        <w:rPr>
          <w:rFonts w:ascii="宋体" w:hAnsi="宋体" w:eastAsia="宋体" w:cs="宋体"/>
          <w:b w:val="0"/>
          <w:bCs/>
          <w:sz w:val="24"/>
        </w:rPr>
      </w:pPr>
    </w:p>
    <w:p>
      <w:pPr>
        <w:pStyle w:val="388"/>
        <w:spacing w:line="640" w:lineRule="exact"/>
        <w:rPr>
          <w:rFonts w:ascii="宋体" w:hAnsi="宋体" w:eastAsia="宋体" w:cs="宋体"/>
          <w:b w:val="0"/>
          <w:bCs/>
          <w:sz w:val="24"/>
        </w:rPr>
      </w:pPr>
    </w:p>
    <w:p>
      <w:pPr>
        <w:pStyle w:val="388"/>
        <w:spacing w:line="640" w:lineRule="exact"/>
        <w:jc w:val="center"/>
        <w:rPr>
          <w:rFonts w:ascii="宋体" w:hAnsi="宋体" w:eastAsia="宋体" w:cs="宋体"/>
          <w:b w:val="0"/>
          <w:bCs/>
          <w:sz w:val="24"/>
        </w:rPr>
      </w:pPr>
      <w:r>
        <w:rPr>
          <w:rFonts w:hint="eastAsia" w:ascii="宋体" w:hAnsi="宋体" w:eastAsia="宋体" w:cs="宋体"/>
          <w:b w:val="0"/>
          <w:bCs/>
          <w:sz w:val="24"/>
        </w:rPr>
        <w:t>供应商单位名称（盖章）：</w:t>
      </w:r>
    </w:p>
    <w:p>
      <w:pPr>
        <w:pStyle w:val="388"/>
        <w:spacing w:line="640" w:lineRule="exact"/>
        <w:jc w:val="center"/>
        <w:rPr>
          <w:rFonts w:ascii="宋体" w:hAnsi="宋体" w:eastAsia="宋体" w:cs="宋体"/>
          <w:b w:val="0"/>
          <w:bCs/>
          <w:sz w:val="24"/>
        </w:rPr>
      </w:pPr>
      <w:r>
        <w:rPr>
          <w:rFonts w:hint="eastAsia" w:ascii="宋体" w:hAnsi="宋体" w:eastAsia="宋体" w:cs="宋体"/>
          <w:b w:val="0"/>
          <w:bCs/>
          <w:sz w:val="24"/>
        </w:rPr>
        <w:t>供应商法人签名：</w:t>
      </w:r>
    </w:p>
    <w:p>
      <w:pPr>
        <w:pStyle w:val="388"/>
        <w:spacing w:line="640" w:lineRule="exact"/>
        <w:jc w:val="center"/>
        <w:rPr>
          <w:rFonts w:ascii="宋体" w:hAnsi="宋体" w:eastAsia="宋体" w:cs="宋体"/>
          <w:b w:val="0"/>
          <w:bCs/>
          <w:sz w:val="24"/>
        </w:rPr>
      </w:pPr>
      <w:r>
        <w:rPr>
          <w:rFonts w:hint="eastAsia" w:ascii="宋体" w:hAnsi="宋体" w:eastAsia="宋体" w:cs="宋体"/>
          <w:b w:val="0"/>
          <w:bCs/>
          <w:sz w:val="24"/>
        </w:rPr>
        <w:t>年   月   日</w:t>
      </w:r>
    </w:p>
    <w:p>
      <w:pPr>
        <w:pStyle w:val="394"/>
        <w:jc w:val="center"/>
        <w:outlineLvl w:val="1"/>
        <w:rPr>
          <w:rFonts w:ascii="仿宋" w:hAnsi="仿宋" w:eastAsia="仿宋" w:cs="仿宋"/>
          <w:bCs/>
          <w:kern w:val="2"/>
          <w:sz w:val="30"/>
          <w:szCs w:val="30"/>
        </w:rPr>
      </w:pPr>
      <w:r>
        <w:br w:type="page"/>
      </w:r>
      <w:bookmarkStart w:id="172" w:name="_Toc1126"/>
      <w:r>
        <w:rPr>
          <w:rFonts w:hint="eastAsia" w:ascii="仿宋" w:hAnsi="仿宋" w:eastAsia="仿宋" w:cs="仿宋"/>
          <w:bCs/>
          <w:kern w:val="2"/>
          <w:sz w:val="30"/>
          <w:szCs w:val="30"/>
        </w:rPr>
        <w:t>十一、供应商自觉抵制政府采购领域商业贿赂行为承诺书</w:t>
      </w:r>
      <w:bookmarkEnd w:id="172"/>
    </w:p>
    <w:p>
      <w:pPr>
        <w:pStyle w:val="396"/>
        <w:adjustRightInd w:val="0"/>
        <w:snapToGrid w:val="0"/>
        <w:spacing w:line="360" w:lineRule="auto"/>
        <w:ind w:firstLine="480" w:firstLineChars="200"/>
        <w:rPr>
          <w:sz w:val="24"/>
          <w:szCs w:val="24"/>
        </w:rPr>
      </w:pP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和政府采购市场环境，维护政府采购制度良好声誉，在参与政府采购活动中，我们庄重承诺：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一、依法参与政府采购活动，遵纪守法，诚信经营，公平竞争。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二、不向采购单位、采购代理机构和政府采购评审专家提供任何形式的商业贿赂；对索取或接受商业贿赂的单位和个人，及时向财政部门和纪检监察机关举报。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三、不以提供虚假资质文件等形式参与政府采购活动，不以虚假材料谋取中标或成交。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四、不采取不正当手段诋毁、排挤其他供应商，与其他参与政府采购活动供应商保持良性的竞争关系。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五、不与采购单位、采购代理机构和政府采购评审专家恶意串通，自觉维护政府采购公平竞争的市场秩序。 </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六、不与其他供应商串通采取围标、陪标等商业欺诈手段谋取中标或成交，积极维护国家利益、社会公共利益和采购单位的合法权益。</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七、严格履行政府采购合同约定义务，不在政府采购合同执行过程中采取降低质量或标准、减少数量、拖延交付时间等方式损害采购单位的利益，并自觉承担违约责任。</w:t>
      </w:r>
    </w:p>
    <w:p>
      <w:pPr>
        <w:pStyle w:val="396"/>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八、自觉接受并积极配合财政部门和纪检监察机关依法实施的监督检查，如实反映情况，及时提供有关证明材料。</w:t>
      </w:r>
    </w:p>
    <w:p>
      <w:pPr>
        <w:pStyle w:val="396"/>
        <w:adjustRightInd w:val="0"/>
        <w:snapToGrid w:val="0"/>
        <w:spacing w:line="360" w:lineRule="auto"/>
        <w:ind w:firstLine="480" w:firstLineChars="200"/>
        <w:rPr>
          <w:rFonts w:ascii="宋体" w:hAnsi="宋体" w:cs="宋体"/>
          <w:sz w:val="24"/>
          <w:szCs w:val="24"/>
        </w:rPr>
      </w:pPr>
    </w:p>
    <w:p>
      <w:pPr>
        <w:pStyle w:val="391"/>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供应商全称并加盖单位章：</w:t>
      </w:r>
    </w:p>
    <w:p>
      <w:pPr>
        <w:pStyle w:val="391"/>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供应商法定代表人签字盖章：</w:t>
      </w:r>
    </w:p>
    <w:p>
      <w:pPr>
        <w:pStyle w:val="396"/>
        <w:adjustRightInd w:val="0"/>
        <w:snapToGrid w:val="0"/>
        <w:spacing w:line="480" w:lineRule="auto"/>
        <w:jc w:val="center"/>
        <w:rPr>
          <w:rFonts w:ascii="宋体" w:hAnsi="宋体" w:cs="宋体"/>
          <w:sz w:val="24"/>
          <w:szCs w:val="24"/>
        </w:rPr>
        <w:sectPr>
          <w:pgSz w:w="11906" w:h="16838"/>
          <w:pgMar w:top="1440" w:right="1417" w:bottom="1134" w:left="1587" w:header="851" w:footer="992" w:gutter="0"/>
          <w:cols w:space="720" w:num="1"/>
          <w:docGrid w:type="lines" w:linePitch="312" w:charSpace="0"/>
        </w:sectPr>
      </w:pPr>
      <w:r>
        <w:rPr>
          <w:rFonts w:hint="eastAsia" w:ascii="宋体" w:hAnsi="宋体" w:cs="宋体"/>
          <w:sz w:val="24"/>
          <w:szCs w:val="24"/>
        </w:rPr>
        <w:t>日期：   年   月  日</w:t>
      </w:r>
    </w:p>
    <w:p>
      <w:pPr>
        <w:adjustRightInd w:val="0"/>
        <w:snapToGrid w:val="0"/>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十二、技术部分</w:t>
      </w:r>
    </w:p>
    <w:p>
      <w:pPr>
        <w:pStyle w:val="15"/>
        <w:ind w:firstLine="0" w:firstLineChars="0"/>
      </w:pPr>
    </w:p>
    <w:p>
      <w:pPr>
        <w:spacing w:line="500" w:lineRule="exact"/>
        <w:rPr>
          <w:rFonts w:ascii="宋体" w:hAnsi="宋体" w:cs="宋体"/>
          <w:sz w:val="24"/>
          <w:szCs w:val="24"/>
        </w:rPr>
      </w:pPr>
      <w:r>
        <w:rPr>
          <w:rFonts w:hint="eastAsia" w:ascii="宋体" w:hAnsi="宋体" w:cs="宋体"/>
          <w:sz w:val="24"/>
          <w:szCs w:val="24"/>
        </w:rPr>
        <w:t>参照评标办法，包括但不限于以下内容（格式内容自拟）：</w:t>
      </w:r>
    </w:p>
    <w:p>
      <w:pPr>
        <w:numPr>
          <w:ilvl w:val="0"/>
          <w:numId w:val="24"/>
        </w:numPr>
        <w:adjustRightInd w:val="0"/>
        <w:spacing w:line="500" w:lineRule="exact"/>
        <w:jc w:val="left"/>
        <w:rPr>
          <w:sz w:val="24"/>
          <w:szCs w:val="24"/>
        </w:rPr>
      </w:pPr>
      <w:r>
        <w:rPr>
          <w:rFonts w:hint="eastAsia"/>
          <w:sz w:val="24"/>
          <w:szCs w:val="24"/>
        </w:rPr>
        <w:t>对项目工作背景的理解；</w:t>
      </w:r>
    </w:p>
    <w:p>
      <w:pPr>
        <w:numPr>
          <w:ilvl w:val="0"/>
          <w:numId w:val="24"/>
        </w:numPr>
        <w:adjustRightInd w:val="0"/>
        <w:spacing w:line="500" w:lineRule="exact"/>
        <w:jc w:val="left"/>
        <w:rPr>
          <w:sz w:val="24"/>
          <w:szCs w:val="24"/>
        </w:rPr>
      </w:pPr>
      <w:r>
        <w:rPr>
          <w:rFonts w:hint="eastAsia"/>
          <w:sz w:val="24"/>
          <w:szCs w:val="24"/>
        </w:rPr>
        <w:t>建设内容策划；</w:t>
      </w:r>
    </w:p>
    <w:p>
      <w:pPr>
        <w:numPr>
          <w:ilvl w:val="0"/>
          <w:numId w:val="24"/>
        </w:numPr>
        <w:adjustRightInd w:val="0"/>
        <w:spacing w:line="500" w:lineRule="exact"/>
        <w:jc w:val="left"/>
        <w:rPr>
          <w:sz w:val="24"/>
          <w:szCs w:val="24"/>
          <w:lang w:val="zh-CN"/>
        </w:rPr>
      </w:pPr>
      <w:r>
        <w:rPr>
          <w:rFonts w:hint="eastAsia"/>
          <w:sz w:val="24"/>
          <w:szCs w:val="24"/>
          <w:lang w:val="zh-CN"/>
        </w:rPr>
        <w:t>项目整体风貌、风格的分析和方案；</w:t>
      </w:r>
    </w:p>
    <w:p>
      <w:pPr>
        <w:numPr>
          <w:ilvl w:val="0"/>
          <w:numId w:val="24"/>
        </w:numPr>
        <w:adjustRightInd w:val="0"/>
        <w:spacing w:line="500" w:lineRule="exact"/>
        <w:jc w:val="left"/>
        <w:rPr>
          <w:sz w:val="24"/>
          <w:szCs w:val="24"/>
        </w:rPr>
      </w:pPr>
      <w:r>
        <w:rPr>
          <w:rFonts w:hint="eastAsia"/>
          <w:sz w:val="24"/>
          <w:szCs w:val="24"/>
          <w:lang w:val="zh-CN"/>
        </w:rPr>
        <w:t>项目总图规划和建筑方案设计；</w:t>
      </w:r>
    </w:p>
    <w:p>
      <w:pPr>
        <w:numPr>
          <w:ilvl w:val="0"/>
          <w:numId w:val="24"/>
        </w:numPr>
        <w:adjustRightInd w:val="0"/>
        <w:spacing w:line="500" w:lineRule="exact"/>
        <w:jc w:val="left"/>
        <w:rPr>
          <w:sz w:val="24"/>
          <w:szCs w:val="24"/>
          <w:lang w:val="zh-CN"/>
        </w:rPr>
      </w:pPr>
      <w:r>
        <w:rPr>
          <w:rFonts w:hint="eastAsia"/>
          <w:sz w:val="24"/>
          <w:szCs w:val="24"/>
          <w:lang w:val="zh-CN"/>
        </w:rPr>
        <w:t>专项设计理念和方案；</w:t>
      </w:r>
    </w:p>
    <w:p>
      <w:pPr>
        <w:numPr>
          <w:ilvl w:val="0"/>
          <w:numId w:val="24"/>
        </w:numPr>
        <w:adjustRightInd w:val="0"/>
        <w:spacing w:line="500" w:lineRule="exact"/>
        <w:jc w:val="left"/>
        <w:rPr>
          <w:sz w:val="24"/>
          <w:szCs w:val="24"/>
        </w:rPr>
      </w:pPr>
      <w:r>
        <w:rPr>
          <w:rFonts w:hint="eastAsia"/>
          <w:sz w:val="24"/>
          <w:szCs w:val="24"/>
          <w:lang w:val="zh-CN"/>
        </w:rPr>
        <w:t>各专业设计方案及说明；</w:t>
      </w:r>
    </w:p>
    <w:p>
      <w:pPr>
        <w:numPr>
          <w:ilvl w:val="0"/>
          <w:numId w:val="24"/>
        </w:numPr>
        <w:adjustRightInd w:val="0"/>
        <w:spacing w:line="500" w:lineRule="exact"/>
        <w:jc w:val="left"/>
        <w:rPr>
          <w:sz w:val="24"/>
          <w:szCs w:val="24"/>
        </w:rPr>
      </w:pPr>
      <w:r>
        <w:rPr>
          <w:rFonts w:hint="eastAsia"/>
          <w:sz w:val="24"/>
          <w:szCs w:val="24"/>
        </w:rPr>
        <w:t>重点、难点分析及应对措施；</w:t>
      </w:r>
    </w:p>
    <w:p>
      <w:pPr>
        <w:numPr>
          <w:ilvl w:val="0"/>
          <w:numId w:val="24"/>
        </w:numPr>
        <w:adjustRightInd w:val="0"/>
        <w:spacing w:line="500" w:lineRule="exact"/>
        <w:jc w:val="left"/>
        <w:rPr>
          <w:sz w:val="24"/>
          <w:szCs w:val="24"/>
        </w:rPr>
      </w:pPr>
      <w:r>
        <w:rPr>
          <w:rFonts w:hint="eastAsia"/>
          <w:sz w:val="24"/>
          <w:szCs w:val="24"/>
        </w:rPr>
        <w:t>工作进度；</w:t>
      </w:r>
    </w:p>
    <w:p>
      <w:pPr>
        <w:numPr>
          <w:ilvl w:val="0"/>
          <w:numId w:val="24"/>
        </w:numPr>
        <w:adjustRightInd w:val="0"/>
        <w:spacing w:line="500" w:lineRule="exact"/>
        <w:jc w:val="left"/>
        <w:rPr>
          <w:sz w:val="24"/>
          <w:szCs w:val="24"/>
        </w:rPr>
      </w:pPr>
      <w:r>
        <w:rPr>
          <w:rFonts w:hint="eastAsia"/>
          <w:sz w:val="24"/>
          <w:szCs w:val="24"/>
        </w:rPr>
        <w:t>质量保证。</w:t>
      </w:r>
    </w:p>
    <w:p>
      <w:pPr>
        <w:pStyle w:val="2"/>
      </w:pPr>
    </w:p>
    <w:p>
      <w:pPr>
        <w:pStyle w:val="388"/>
        <w:spacing w:line="640" w:lineRule="exact"/>
        <w:jc w:val="both"/>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rPr>
          <w:rFonts w:ascii="宋体" w:hAnsi="宋体" w:cs="宋体"/>
          <w:b/>
          <w:bCs/>
          <w:color w:val="000000"/>
          <w:sz w:val="28"/>
          <w:szCs w:val="28"/>
        </w:rPr>
      </w:pPr>
      <w:r>
        <w:rPr>
          <w:rFonts w:hint="eastAsia" w:ascii="宋体" w:hAnsi="宋体" w:cs="宋体"/>
          <w:b/>
          <w:bCs/>
          <w:color w:val="000000"/>
          <w:sz w:val="28"/>
          <w:szCs w:val="28"/>
        </w:rPr>
        <w:br w:type="page"/>
      </w:r>
    </w:p>
    <w:p>
      <w:pPr>
        <w:adjustRightInd w:val="0"/>
        <w:snapToGrid w:val="0"/>
        <w:spacing w:line="360" w:lineRule="auto"/>
        <w:jc w:val="center"/>
        <w:outlineLvl w:val="1"/>
        <w:rPr>
          <w:rFonts w:ascii="宋体" w:hAnsi="宋体" w:cs="宋体"/>
          <w:b/>
          <w:bCs/>
          <w:color w:val="000000"/>
          <w:sz w:val="28"/>
          <w:szCs w:val="28"/>
        </w:rPr>
      </w:pPr>
      <w:bookmarkStart w:id="173" w:name="_Toc420948032"/>
      <w:r>
        <w:rPr>
          <w:rFonts w:hint="eastAsia" w:ascii="仿宋" w:hAnsi="仿宋" w:eastAsia="仿宋"/>
          <w:b/>
          <w:color w:val="000000"/>
          <w:sz w:val="32"/>
          <w:szCs w:val="28"/>
        </w:rPr>
        <w:t>十三、</w:t>
      </w:r>
      <w:r>
        <w:rPr>
          <w:rFonts w:hint="eastAsia" w:ascii="仿宋" w:hAnsi="仿宋" w:eastAsia="仿宋" w:cs="仿宋"/>
          <w:b/>
          <w:bCs/>
          <w:sz w:val="30"/>
          <w:szCs w:val="30"/>
        </w:rPr>
        <w:t>投标人认为需要提供的其它资料</w:t>
      </w:r>
      <w:bookmarkEnd w:id="173"/>
    </w:p>
    <w:p>
      <w:pPr>
        <w:pStyle w:val="388"/>
        <w:spacing w:line="640" w:lineRule="exact"/>
        <w:jc w:val="center"/>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pStyle w:val="388"/>
        <w:spacing w:line="640" w:lineRule="exact"/>
        <w:jc w:val="both"/>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pStyle w:val="388"/>
        <w:spacing w:line="640" w:lineRule="exact"/>
        <w:jc w:val="center"/>
        <w:rPr>
          <w:rFonts w:ascii="宋体" w:hAnsi="宋体" w:eastAsia="宋体" w:cs="宋体"/>
          <w:bCs/>
          <w:color w:val="000000"/>
          <w:kern w:val="2"/>
          <w:sz w:val="28"/>
          <w:szCs w:val="28"/>
        </w:rPr>
      </w:pPr>
    </w:p>
    <w:p>
      <w:pPr>
        <w:rPr>
          <w:rFonts w:ascii="宋体" w:hAnsi="宋体" w:cs="宋体"/>
          <w:b/>
          <w:bCs/>
          <w:color w:val="000000"/>
          <w:sz w:val="28"/>
          <w:szCs w:val="28"/>
        </w:rPr>
      </w:pPr>
    </w:p>
    <w:sectPr>
      <w:headerReference r:id="rId7" w:type="default"/>
      <w:footerReference r:id="rId8" w:type="default"/>
      <w:pgSz w:w="11906" w:h="16838"/>
      <w:pgMar w:top="1247" w:right="1247" w:bottom="1247" w:left="124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auto"/>
    <w:pitch w:val="default"/>
    <w:sig w:usb0="00000001" w:usb1="080E0000" w:usb2="0000000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创艺简粗黑.销.">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MingLiU_HKSCS">
    <w:altName w:val="MingLiU-ExtB"/>
    <w:panose1 w:val="00000000000000000000"/>
    <w:charset w:val="88"/>
    <w:family w:val="roman"/>
    <w:pitch w:val="default"/>
    <w:sig w:usb0="00000000" w:usb1="00000000" w:usb2="00000016" w:usb3="00000000" w:csb0="0010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2"/>
      <w:ind w:firstLine="48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785" cy="131445"/>
              <wp:effectExtent l="3810" t="0" r="0" b="0"/>
              <wp:wrapNone/>
              <wp:docPr id="1728688741" name="Text Box 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22"/>
                          </w:pPr>
                          <w:r>
                            <w:fldChar w:fldCharType="begin"/>
                          </w:r>
                          <w:r>
                            <w:instrText xml:space="preserve"> PAGE  \* MERGEFORMAT </w:instrText>
                          </w:r>
                          <w:r>
                            <w:fldChar w:fldCharType="separate"/>
                          </w:r>
                          <w:r>
                            <w:t>- 2 -</w:t>
                          </w:r>
                          <w:r>
                            <w:fldChar w:fldCharType="end"/>
                          </w:r>
                        </w:p>
                      </w:txbxContent>
                    </wps:txbx>
                    <wps:bodyPr rot="0" vert="horz" wrap="none" lIns="0" tIns="0" rIns="0" bIns="0" anchor="t" anchorCtr="0" upright="1">
                      <a:spAutoFit/>
                    </wps:bodyPr>
                  </wps:wsp>
                </a:graphicData>
              </a:graphic>
            </wp:anchor>
          </w:drawing>
        </mc:Choice>
        <mc:Fallback>
          <w:pict>
            <v:shape id="Text Box 8" o:spid="_x0000_s1026" o:spt="202" type="#_x0000_t202" style="position:absolute;left:0pt;margin-top:0pt;height:10.35pt;width:4.55pt;mso-position-horizontal:center;mso-position-horizontal-relative:margin;mso-wrap-style:none;z-index:25166745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3UTQAAAAAgEAAA8AAAAAAAAAAQAgAAAAIgAAAGRycy9kb3ducmV2Lnht&#10;bFBLAQIUABQAAAAIAIdO4kD5ZpajAQIAAAkEAAAOAAAAAAAAAAEAIAAAAB8BAABkcnMvZTJvRG9j&#10;LnhtbFBLBQYAAAAABgAGAFkBAACS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0490" cy="131445"/>
              <wp:effectExtent l="0" t="0" r="3810" b="0"/>
              <wp:wrapNone/>
              <wp:docPr id="157611036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10490" cy="131445"/>
                      </a:xfrm>
                      <a:prstGeom prst="rect">
                        <a:avLst/>
                      </a:prstGeom>
                      <a:noFill/>
                      <a:ln>
                        <a:noFill/>
                      </a:ln>
                    </wps:spPr>
                    <wps:txbx>
                      <w:txbxContent>
                        <w:p>
                          <w:pPr>
                            <w:pStyle w:val="22"/>
                          </w:pPr>
                          <w:r>
                            <w:fldChar w:fldCharType="begin"/>
                          </w:r>
                          <w:r>
                            <w:instrText xml:space="preserve"> PAGE  \* MERGEFORMAT </w:instrText>
                          </w:r>
                          <w:r>
                            <w:fldChar w:fldCharType="separate"/>
                          </w:r>
                          <w:r>
                            <w:t>- 1 -</w:t>
                          </w:r>
                          <w:r>
                            <w:fldChar w:fldCharType="end"/>
                          </w:r>
                        </w:p>
                      </w:txbxContent>
                    </wps:txbx>
                    <wps:bodyPr rot="0" vert="horz" wrap="none" lIns="0" tIns="0" rIns="0" bIns="0" anchor="t" anchorCtr="0" upright="1">
                      <a:spAutoFit/>
                    </wps:bodyPr>
                  </wps:wsp>
                </a:graphicData>
              </a:graphic>
            </wp:anchor>
          </w:drawing>
        </mc:Choice>
        <mc:Fallback>
          <w:pict>
            <v:shape id="Text Box 12" o:spid="_x0000_s1026" o:spt="202" type="#_x0000_t202" style="position:absolute;left:0pt;margin-top:0pt;height:10.35pt;width:8.7pt;mso-position-horizontal:center;mso-position-horizontal-relative:margin;mso-wrap-style:none;z-index:251670528;mso-width-relative:page;mso-height-relative:page;" filled="f" stroked="f" coordsize="21600,21600" o:gfxdata="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yOFU/QAAAAAwEAAA8AAAAAAAAAAQAgAAAAIgAAAGRycy9kb3ducmV2Lnht&#10;bFBLAQIUABQAAAAIAIdO4kDS6pFMAQIAAAsEAAAOAAAAAAAAAAEAIAAAAB8BAABkcnMvZTJvRG9j&#10;LnhtbFBLBQYAAAAABgAGAFkBAACS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635" b="0"/>
              <wp:wrapNone/>
              <wp:docPr id="496374454" name="Text Box 1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22"/>
                          </w:pPr>
                          <w:r>
                            <w:fldChar w:fldCharType="begin"/>
                          </w:r>
                          <w:r>
                            <w:instrText xml:space="preserve"> PAGE  \* MERGEFORMAT </w:instrText>
                          </w:r>
                          <w:r>
                            <w:fldChar w:fldCharType="separate"/>
                          </w:r>
                          <w:r>
                            <w:t>- 37 -</w:t>
                          </w:r>
                          <w:r>
                            <w:fldChar w:fldCharType="end"/>
                          </w:r>
                        </w:p>
                      </w:txbxContent>
                    </wps:txbx>
                    <wps:bodyPr rot="0" vert="horz" wrap="none" lIns="0" tIns="0" rIns="0" bIns="0" anchor="t" anchorCtr="0" upright="1">
                      <a:spAutoFit/>
                    </wps:bodyPr>
                  </wps:wsp>
                </a:graphicData>
              </a:graphic>
            </wp:anchor>
          </w:drawing>
        </mc:Choice>
        <mc:Fallback>
          <w:pict>
            <v:shape id="Text Box 11"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V+SdAAAAADAQAADwAAAAAAAAABACAAAAAiAAAAZHJzL2Rvd25yZXYueG1s&#10;UEsBAhQAFAAAAAgAh07iQERKtrsAAgAACgQAAA4AAAAAAAAAAQAgAAAAHwEAAGRycy9lMm9Eb2Mu&#10;eG1sUEsFBgAAAAAGAAYAWQEAAJE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4"/>
      <w:pBdr>
        <w:bottom w:val="none" w:color="000000"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4"/>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5CB3"/>
    <w:multiLevelType w:val="singleLevel"/>
    <w:tmpl w:val="872E5CB3"/>
    <w:lvl w:ilvl="0" w:tentative="0">
      <w:start w:val="1"/>
      <w:numFmt w:val="decimal"/>
      <w:lvlText w:val="%1."/>
      <w:lvlJc w:val="left"/>
      <w:pPr>
        <w:tabs>
          <w:tab w:val="left" w:pos="312"/>
        </w:tabs>
      </w:pPr>
    </w:lvl>
  </w:abstractNum>
  <w:abstractNum w:abstractNumId="1">
    <w:nsid w:val="EC5445E0"/>
    <w:multiLevelType w:val="singleLevel"/>
    <w:tmpl w:val="EC5445E0"/>
    <w:lvl w:ilvl="0" w:tentative="0">
      <w:start w:val="2"/>
      <w:numFmt w:val="decimal"/>
      <w:suff w:val="nothing"/>
      <w:lvlText w:val="%1、"/>
      <w:lvlJc w:val="left"/>
    </w:lvl>
  </w:abstractNum>
  <w:abstractNum w:abstractNumId="2">
    <w:nsid w:val="FFFFFF7D"/>
    <w:multiLevelType w:val="singleLevel"/>
    <w:tmpl w:val="FFFFFF7D"/>
    <w:lvl w:ilvl="0" w:tentative="0">
      <w:start w:val="1"/>
      <w:numFmt w:val="decimal"/>
      <w:pStyle w:val="95"/>
      <w:lvlText w:val="%1."/>
      <w:lvlJc w:val="left"/>
      <w:pPr>
        <w:tabs>
          <w:tab w:val="left" w:pos="1620"/>
        </w:tabs>
        <w:ind w:left="1620" w:hanging="360"/>
      </w:pPr>
    </w:lvl>
  </w:abstractNum>
  <w:abstractNum w:abstractNumId="3">
    <w:nsid w:val="00000003"/>
    <w:multiLevelType w:val="singleLevel"/>
    <w:tmpl w:val="00000003"/>
    <w:lvl w:ilvl="0" w:tentative="0">
      <w:start w:val="1"/>
      <w:numFmt w:val="decimal"/>
      <w:pStyle w:val="293"/>
      <w:lvlText w:val="%1."/>
      <w:lvlJc w:val="left"/>
      <w:pPr>
        <w:tabs>
          <w:tab w:val="left" w:pos="780"/>
        </w:tabs>
        <w:ind w:left="780" w:hanging="360"/>
      </w:pPr>
    </w:lvl>
  </w:abstractNum>
  <w:abstractNum w:abstractNumId="4">
    <w:nsid w:val="00000006"/>
    <w:multiLevelType w:val="singleLevel"/>
    <w:tmpl w:val="00000006"/>
    <w:lvl w:ilvl="0" w:tentative="0">
      <w:start w:val="1"/>
      <w:numFmt w:val="bullet"/>
      <w:pStyle w:val="230"/>
      <w:lvlText w:val=""/>
      <w:lvlJc w:val="left"/>
      <w:pPr>
        <w:tabs>
          <w:tab w:val="left" w:pos="1620"/>
        </w:tabs>
        <w:ind w:left="1620" w:hanging="360"/>
      </w:pPr>
      <w:rPr>
        <w:rFonts w:ascii="Wingdings" w:hAnsi="Wingdings"/>
      </w:rPr>
    </w:lvl>
  </w:abstractNum>
  <w:abstractNum w:abstractNumId="5">
    <w:nsid w:val="00000007"/>
    <w:multiLevelType w:val="multilevel"/>
    <w:tmpl w:val="00000007"/>
    <w:lvl w:ilvl="0" w:tentative="0">
      <w:start w:val="1"/>
      <w:numFmt w:val="bullet"/>
      <w:pStyle w:val="233"/>
      <w:lvlText w:val=""/>
      <w:lvlJc w:val="left"/>
      <w:pPr>
        <w:tabs>
          <w:tab w:val="left" w:pos="987"/>
        </w:tabs>
        <w:ind w:left="987" w:hanging="420"/>
      </w:pPr>
      <w:rPr>
        <w:rFonts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8"/>
    <w:multiLevelType w:val="multilevel"/>
    <w:tmpl w:val="00000008"/>
    <w:lvl w:ilvl="0" w:tentative="0">
      <w:start w:val="1"/>
      <w:numFmt w:val="chineseCountingThousand"/>
      <w:pStyle w:val="70"/>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9"/>
    <w:multiLevelType w:val="multilevel"/>
    <w:tmpl w:val="00000009"/>
    <w:lvl w:ilvl="0" w:tentative="0">
      <w:start w:val="1"/>
      <w:numFmt w:val="upperLetter"/>
      <w:pStyle w:val="210"/>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21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0000000A"/>
    <w:multiLevelType w:val="multilevel"/>
    <w:tmpl w:val="0000000A"/>
    <w:lvl w:ilvl="0" w:tentative="0">
      <w:start w:val="8"/>
      <w:numFmt w:val="decimal"/>
      <w:pStyle w:val="312"/>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0000012"/>
    <w:multiLevelType w:val="singleLevel"/>
    <w:tmpl w:val="00000012"/>
    <w:lvl w:ilvl="0" w:tentative="0">
      <w:start w:val="1"/>
      <w:numFmt w:val="bullet"/>
      <w:pStyle w:val="354"/>
      <w:lvlText w:val=""/>
      <w:lvlJc w:val="left"/>
      <w:pPr>
        <w:tabs>
          <w:tab w:val="left" w:pos="780"/>
        </w:tabs>
        <w:ind w:left="780" w:hanging="360"/>
      </w:pPr>
      <w:rPr>
        <w:rFonts w:ascii="Wingdings" w:hAnsi="Wingdings"/>
      </w:rPr>
    </w:lvl>
  </w:abstractNum>
  <w:abstractNum w:abstractNumId="10">
    <w:nsid w:val="00000013"/>
    <w:multiLevelType w:val="multilevel"/>
    <w:tmpl w:val="00000013"/>
    <w:lvl w:ilvl="0" w:tentative="0">
      <w:start w:val="1"/>
      <w:numFmt w:val="bullet"/>
      <w:pStyle w:val="262"/>
      <w:lvlText w:val=""/>
      <w:lvlJc w:val="left"/>
      <w:pPr>
        <w:tabs>
          <w:tab w:val="left" w:pos="1644"/>
        </w:tabs>
        <w:ind w:left="1644" w:hanging="510"/>
      </w:pPr>
      <w:rPr>
        <w:rFonts w:ascii="Wingdings" w:hAnsi="Wingdings"/>
        <w:color w:val="000000"/>
        <w:sz w:val="13"/>
        <w:u w:val="none"/>
      </w:rPr>
    </w:lvl>
    <w:lvl w:ilvl="1" w:tentative="0">
      <w:start w:val="1"/>
      <w:numFmt w:val="bullet"/>
      <w:lvlText w:val=""/>
      <w:lvlJc w:val="left"/>
      <w:pPr>
        <w:tabs>
          <w:tab w:val="left" w:pos="840"/>
        </w:tabs>
        <w:ind w:left="840" w:hanging="420"/>
      </w:pPr>
      <w:rPr>
        <w:rFonts w:ascii="Wingdings" w:hAnsi="Wingdings"/>
        <w:color w:val="000000"/>
        <w:sz w:val="13"/>
        <w:u w:val="none"/>
      </w:rPr>
    </w:lvl>
    <w:lvl w:ilvl="2" w:tentative="0">
      <w:start w:val="1"/>
      <w:numFmt w:val="bullet"/>
      <w:lvlText w:val=""/>
      <w:lvlJc w:val="left"/>
      <w:pPr>
        <w:tabs>
          <w:tab w:val="left" w:pos="1260"/>
        </w:tabs>
        <w:ind w:left="1260" w:hanging="420"/>
      </w:pPr>
      <w:rPr>
        <w:rFonts w:ascii="Wingdings" w:hAnsi="Wingdings"/>
      </w:rPr>
    </w:lvl>
    <w:lvl w:ilvl="3" w:tentative="0">
      <w:start w:val="1"/>
      <w:numFmt w:val="bullet"/>
      <w:lvlText w:val=""/>
      <w:lvlJc w:val="left"/>
      <w:pPr>
        <w:tabs>
          <w:tab w:val="left" w:pos="1680"/>
        </w:tabs>
        <w:ind w:left="1680" w:hanging="420"/>
      </w:pPr>
      <w:rPr>
        <w:rFonts w:ascii="Wingdings" w:hAnsi="Wingdings"/>
      </w:rPr>
    </w:lvl>
    <w:lvl w:ilvl="4" w:tentative="0">
      <w:start w:val="1"/>
      <w:numFmt w:val="bullet"/>
      <w:lvlText w:val=""/>
      <w:lvlJc w:val="left"/>
      <w:pPr>
        <w:tabs>
          <w:tab w:val="left" w:pos="2100"/>
        </w:tabs>
        <w:ind w:left="2100" w:hanging="420"/>
      </w:pPr>
      <w:rPr>
        <w:rFonts w:ascii="Wingdings" w:hAnsi="Wingdings"/>
      </w:rPr>
    </w:lvl>
    <w:lvl w:ilvl="5" w:tentative="0">
      <w:start w:val="1"/>
      <w:numFmt w:val="bullet"/>
      <w:lvlText w:val=""/>
      <w:lvlJc w:val="left"/>
      <w:pPr>
        <w:tabs>
          <w:tab w:val="left" w:pos="2520"/>
        </w:tabs>
        <w:ind w:left="2520" w:hanging="420"/>
      </w:pPr>
      <w:rPr>
        <w:rFonts w:ascii="Wingdings" w:hAnsi="Wingdings"/>
      </w:rPr>
    </w:lvl>
    <w:lvl w:ilvl="6" w:tentative="0">
      <w:start w:val="1"/>
      <w:numFmt w:val="bullet"/>
      <w:lvlText w:val=""/>
      <w:lvlJc w:val="left"/>
      <w:pPr>
        <w:tabs>
          <w:tab w:val="left" w:pos="2940"/>
        </w:tabs>
        <w:ind w:left="2940" w:hanging="420"/>
      </w:pPr>
      <w:rPr>
        <w:rFonts w:ascii="Wingdings" w:hAnsi="Wingdings"/>
      </w:rPr>
    </w:lvl>
    <w:lvl w:ilvl="7" w:tentative="0">
      <w:start w:val="1"/>
      <w:numFmt w:val="bullet"/>
      <w:lvlText w:val=""/>
      <w:lvlJc w:val="left"/>
      <w:pPr>
        <w:tabs>
          <w:tab w:val="left" w:pos="3360"/>
        </w:tabs>
        <w:ind w:left="3360" w:hanging="420"/>
      </w:pPr>
      <w:rPr>
        <w:rFonts w:ascii="Wingdings" w:hAnsi="Wingdings"/>
      </w:rPr>
    </w:lvl>
    <w:lvl w:ilvl="8" w:tentative="0">
      <w:start w:val="1"/>
      <w:numFmt w:val="bullet"/>
      <w:lvlText w:val=""/>
      <w:lvlJc w:val="left"/>
      <w:pPr>
        <w:tabs>
          <w:tab w:val="left" w:pos="3780"/>
        </w:tabs>
        <w:ind w:left="3780" w:hanging="420"/>
      </w:pPr>
      <w:rPr>
        <w:rFonts w:ascii="Wingdings" w:hAnsi="Wingdings"/>
      </w:rPr>
    </w:lvl>
  </w:abstractNum>
  <w:abstractNum w:abstractNumId="11">
    <w:nsid w:val="00000015"/>
    <w:multiLevelType w:val="multilevel"/>
    <w:tmpl w:val="00000015"/>
    <w:lvl w:ilvl="0" w:tentative="0">
      <w:start w:val="1"/>
      <w:numFmt w:val="decimal"/>
      <w:lvlText w:val="(%1)"/>
      <w:lvlJc w:val="left"/>
      <w:pPr>
        <w:tabs>
          <w:tab w:val="left" w:pos="397"/>
        </w:tabs>
        <w:ind w:left="397" w:hanging="397"/>
      </w:pPr>
      <w:rPr>
        <w:rFonts w:ascii="Arial" w:hAnsi="Arial" w:eastAsia="宋体"/>
        <w:b w:val="0"/>
        <w:i w:val="0"/>
        <w:color w:val="000000"/>
        <w:sz w:val="18"/>
      </w:rPr>
    </w:lvl>
    <w:lvl w:ilvl="1" w:tentative="0">
      <w:start w:val="1"/>
      <w:numFmt w:val="lowerLetter"/>
      <w:pStyle w:val="32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6"/>
    <w:multiLevelType w:val="singleLevel"/>
    <w:tmpl w:val="00000016"/>
    <w:lvl w:ilvl="0" w:tentative="0">
      <w:start w:val="1"/>
      <w:numFmt w:val="bullet"/>
      <w:pStyle w:val="347"/>
      <w:lvlText w:val=""/>
      <w:lvlJc w:val="left"/>
      <w:pPr>
        <w:tabs>
          <w:tab w:val="left" w:pos="360"/>
        </w:tabs>
        <w:ind w:left="360" w:hanging="360"/>
      </w:pPr>
      <w:rPr>
        <w:rFonts w:ascii="Wingdings" w:hAnsi="Wingdings"/>
      </w:rPr>
    </w:lvl>
  </w:abstractNum>
  <w:abstractNum w:abstractNumId="13">
    <w:nsid w:val="00000019"/>
    <w:multiLevelType w:val="singleLevel"/>
    <w:tmpl w:val="00000019"/>
    <w:lvl w:ilvl="0" w:tentative="0">
      <w:start w:val="1"/>
      <w:numFmt w:val="decimal"/>
      <w:pStyle w:val="69"/>
      <w:lvlText w:val="%1)"/>
      <w:lvlJc w:val="left"/>
      <w:pPr>
        <w:tabs>
          <w:tab w:val="left" w:pos="425"/>
        </w:tabs>
        <w:ind w:left="425" w:hanging="425"/>
      </w:pPr>
      <w:rPr>
        <w:rFonts w:hint="eastAsia"/>
      </w:rPr>
    </w:lvl>
  </w:abstractNum>
  <w:abstractNum w:abstractNumId="14">
    <w:nsid w:val="0000001A"/>
    <w:multiLevelType w:val="multilevel"/>
    <w:tmpl w:val="0000001A"/>
    <w:lvl w:ilvl="0" w:tentative="0">
      <w:start w:val="1"/>
      <w:numFmt w:val="decimal"/>
      <w:pStyle w:val="81"/>
      <w:lvlText w:val="（%1）"/>
      <w:lvlJc w:val="left"/>
      <w:pPr>
        <w:tabs>
          <w:tab w:val="left" w:pos="1230"/>
        </w:tabs>
        <w:ind w:left="0" w:firstLine="510"/>
      </w:pPr>
      <w:rPr>
        <w:rFonts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D"/>
    <w:multiLevelType w:val="multilevel"/>
    <w:tmpl w:val="0000001D"/>
    <w:lvl w:ilvl="0" w:tentative="0">
      <w:start w:val="1"/>
      <w:numFmt w:val="chineseCountingThousand"/>
      <w:pStyle w:val="35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679F78C"/>
    <w:multiLevelType w:val="singleLevel"/>
    <w:tmpl w:val="0679F78C"/>
    <w:lvl w:ilvl="0" w:tentative="0">
      <w:start w:val="1"/>
      <w:numFmt w:val="decimal"/>
      <w:suff w:val="nothing"/>
      <w:lvlText w:val="%1、"/>
      <w:lvlJc w:val="left"/>
    </w:lvl>
  </w:abstractNum>
  <w:abstractNum w:abstractNumId="17">
    <w:nsid w:val="149E3569"/>
    <w:multiLevelType w:val="singleLevel"/>
    <w:tmpl w:val="149E3569"/>
    <w:lvl w:ilvl="0" w:tentative="0">
      <w:start w:val="3"/>
      <w:numFmt w:val="chineseCounting"/>
      <w:suff w:val="nothing"/>
      <w:lvlText w:val="%1、"/>
      <w:lvlJc w:val="left"/>
      <w:rPr>
        <w:rFonts w:hint="eastAsia"/>
      </w:rPr>
    </w:lvl>
  </w:abstractNum>
  <w:abstractNum w:abstractNumId="18">
    <w:nsid w:val="3C7D36E3"/>
    <w:multiLevelType w:val="multilevel"/>
    <w:tmpl w:val="3C7D36E3"/>
    <w:lvl w:ilvl="0" w:tentative="0">
      <w:start w:val="1"/>
      <w:numFmt w:val="japaneseCounting"/>
      <w:pStyle w:val="3"/>
      <w:lvlText w:val="%1．"/>
      <w:lvlJc w:val="left"/>
      <w:pPr>
        <w:tabs>
          <w:tab w:val="left" w:pos="3060"/>
        </w:tabs>
        <w:ind w:left="6810" w:hanging="720"/>
      </w:pPr>
      <w:rPr>
        <w:b/>
        <w:sz w:val="36"/>
        <w:szCs w:val="36"/>
      </w:rPr>
    </w:lvl>
    <w:lvl w:ilvl="1" w:tentative="0">
      <w:start w:val="6"/>
      <w:numFmt w:val="decimal"/>
      <w:lvlText w:val="%2、"/>
      <w:lvlJc w:val="left"/>
      <w:pPr>
        <w:tabs>
          <w:tab w:val="left" w:pos="3160"/>
        </w:tabs>
        <w:ind w:left="6910" w:hanging="825"/>
      </w:pPr>
    </w:lvl>
    <w:lvl w:ilvl="2" w:tentative="0">
      <w:start w:val="2"/>
      <w:numFmt w:val="japaneseCounting"/>
      <w:lvlText w:val="%3、"/>
      <w:lvlJc w:val="left"/>
      <w:pPr>
        <w:tabs>
          <w:tab w:val="left" w:pos="3475"/>
        </w:tabs>
        <w:ind w:left="7225" w:hanging="720"/>
      </w:pPr>
      <w:rPr>
        <w:b/>
      </w:rPr>
    </w:lvl>
    <w:lvl w:ilvl="3" w:tentative="0">
      <w:start w:val="1"/>
      <w:numFmt w:val="decimal"/>
      <w:lvlText w:val="%4."/>
      <w:lvlJc w:val="left"/>
      <w:pPr>
        <w:tabs>
          <w:tab w:val="left" w:pos="2880"/>
        </w:tabs>
        <w:ind w:left="6630" w:hanging="360"/>
      </w:pPr>
    </w:lvl>
    <w:lvl w:ilvl="4" w:tentative="0">
      <w:start w:val="1"/>
      <w:numFmt w:val="decimal"/>
      <w:lvlText w:val="%5."/>
      <w:lvlJc w:val="left"/>
      <w:pPr>
        <w:tabs>
          <w:tab w:val="left" w:pos="3600"/>
        </w:tabs>
        <w:ind w:left="7350" w:hanging="360"/>
      </w:pPr>
    </w:lvl>
    <w:lvl w:ilvl="5" w:tentative="0">
      <w:start w:val="1"/>
      <w:numFmt w:val="decimal"/>
      <w:lvlText w:val="%6."/>
      <w:lvlJc w:val="left"/>
      <w:pPr>
        <w:tabs>
          <w:tab w:val="left" w:pos="4320"/>
        </w:tabs>
        <w:ind w:left="8070" w:hanging="360"/>
      </w:pPr>
    </w:lvl>
    <w:lvl w:ilvl="6" w:tentative="0">
      <w:start w:val="1"/>
      <w:numFmt w:val="decimal"/>
      <w:lvlText w:val="%7."/>
      <w:lvlJc w:val="left"/>
      <w:pPr>
        <w:tabs>
          <w:tab w:val="left" w:pos="5040"/>
        </w:tabs>
        <w:ind w:left="8790" w:hanging="360"/>
      </w:pPr>
    </w:lvl>
    <w:lvl w:ilvl="7" w:tentative="0">
      <w:start w:val="1"/>
      <w:numFmt w:val="decimal"/>
      <w:lvlText w:val="%8."/>
      <w:lvlJc w:val="left"/>
      <w:pPr>
        <w:tabs>
          <w:tab w:val="left" w:pos="5760"/>
        </w:tabs>
        <w:ind w:left="9510" w:hanging="360"/>
      </w:pPr>
    </w:lvl>
    <w:lvl w:ilvl="8" w:tentative="0">
      <w:start w:val="1"/>
      <w:numFmt w:val="decimal"/>
      <w:lvlText w:val="%9."/>
      <w:lvlJc w:val="left"/>
      <w:pPr>
        <w:tabs>
          <w:tab w:val="left" w:pos="6480"/>
        </w:tabs>
        <w:ind w:left="10230" w:hanging="360"/>
      </w:pPr>
    </w:lvl>
  </w:abstractNum>
  <w:abstractNum w:abstractNumId="19">
    <w:nsid w:val="3F544A6D"/>
    <w:multiLevelType w:val="multilevel"/>
    <w:tmpl w:val="3F544A6D"/>
    <w:lvl w:ilvl="0" w:tentative="0">
      <w:start w:val="1"/>
      <w:numFmt w:val="japaneseCounting"/>
      <w:lvlText w:val="第%1条"/>
      <w:lvlJc w:val="left"/>
      <w:pPr>
        <w:ind w:left="980" w:hanging="420"/>
      </w:pPr>
      <w:rPr>
        <w:rFonts w:hint="eastAsia"/>
        <w:u w:val="none"/>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4F915D76"/>
    <w:multiLevelType w:val="singleLevel"/>
    <w:tmpl w:val="4F915D76"/>
    <w:lvl w:ilvl="0" w:tentative="0">
      <w:start w:val="1"/>
      <w:numFmt w:val="decimal"/>
      <w:lvlText w:val="(%1)"/>
      <w:lvlJc w:val="left"/>
      <w:pPr>
        <w:tabs>
          <w:tab w:val="left" w:pos="312"/>
        </w:tabs>
      </w:pPr>
    </w:lvl>
  </w:abstractNum>
  <w:abstractNum w:abstractNumId="21">
    <w:nsid w:val="54F84579"/>
    <w:multiLevelType w:val="singleLevel"/>
    <w:tmpl w:val="54F84579"/>
    <w:lvl w:ilvl="0" w:tentative="0">
      <w:start w:val="1"/>
      <w:numFmt w:val="decimal"/>
      <w:pStyle w:val="51"/>
      <w:lvlText w:val="%1."/>
      <w:lvlJc w:val="left"/>
      <w:pPr>
        <w:tabs>
          <w:tab w:val="left" w:pos="1620"/>
        </w:tabs>
        <w:ind w:left="1620" w:hanging="360"/>
      </w:pPr>
    </w:lvl>
  </w:abstractNum>
  <w:abstractNum w:abstractNumId="22">
    <w:nsid w:val="55288708"/>
    <w:multiLevelType w:val="singleLevel"/>
    <w:tmpl w:val="55288708"/>
    <w:lvl w:ilvl="0" w:tentative="0">
      <w:start w:val="2"/>
      <w:numFmt w:val="decimal"/>
      <w:pStyle w:val="92"/>
      <w:suff w:val="nothing"/>
      <w:lvlText w:val="%1、"/>
      <w:lvlJc w:val="left"/>
    </w:lvl>
  </w:abstractNum>
  <w:abstractNum w:abstractNumId="23">
    <w:nsid w:val="68FECE46"/>
    <w:multiLevelType w:val="singleLevel"/>
    <w:tmpl w:val="68FECE46"/>
    <w:lvl w:ilvl="0" w:tentative="0">
      <w:start w:val="1"/>
      <w:numFmt w:val="decimal"/>
      <w:lvlText w:val="%1."/>
      <w:lvlJc w:val="left"/>
      <w:pPr>
        <w:tabs>
          <w:tab w:val="left" w:pos="312"/>
        </w:tabs>
      </w:pPr>
    </w:lvl>
  </w:abstractNum>
  <w:num w:numId="1">
    <w:abstractNumId w:val="18"/>
  </w:num>
  <w:num w:numId="2">
    <w:abstractNumId w:val="21"/>
  </w:num>
  <w:num w:numId="3">
    <w:abstractNumId w:val="13"/>
  </w:num>
  <w:num w:numId="4">
    <w:abstractNumId w:val="6"/>
  </w:num>
  <w:num w:numId="5">
    <w:abstractNumId w:val="14"/>
  </w:num>
  <w:num w:numId="6">
    <w:abstractNumId w:val="22"/>
  </w:num>
  <w:num w:numId="7">
    <w:abstractNumId w:val="2"/>
  </w:num>
  <w:num w:numId="8">
    <w:abstractNumId w:val="7"/>
  </w:num>
  <w:num w:numId="9">
    <w:abstractNumId w:val="4"/>
  </w:num>
  <w:num w:numId="10">
    <w:abstractNumId w:val="5"/>
  </w:num>
  <w:num w:numId="11">
    <w:abstractNumId w:val="10"/>
  </w:num>
  <w:num w:numId="12">
    <w:abstractNumId w:val="3"/>
  </w:num>
  <w:num w:numId="13">
    <w:abstractNumId w:val="8"/>
  </w:num>
  <w:num w:numId="14">
    <w:abstractNumId w:val="11"/>
  </w:num>
  <w:num w:numId="15">
    <w:abstractNumId w:val="12"/>
  </w:num>
  <w:num w:numId="16">
    <w:abstractNumId w:val="9"/>
  </w:num>
  <w:num w:numId="17">
    <w:abstractNumId w:val="15"/>
  </w:num>
  <w:num w:numId="18">
    <w:abstractNumId w:val="0"/>
  </w:num>
  <w:num w:numId="19">
    <w:abstractNumId w:val="20"/>
  </w:num>
  <w:num w:numId="20">
    <w:abstractNumId w:val="16"/>
  </w:num>
  <w:num w:numId="21">
    <w:abstractNumId w:val="19"/>
  </w:num>
  <w:num w:numId="22">
    <w:abstractNumId w:val="17"/>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noPunctuationKerning w:val="1"/>
  <w:characterSpacingControl w:val="doNotCompress"/>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zODYxMjY1MWUwZGNmZDQ1NjFkOTUyOTRjMDk1ZjAifQ=="/>
  </w:docVars>
  <w:rsids>
    <w:rsidRoot w:val="00943144"/>
    <w:rsid w:val="00017B1D"/>
    <w:rsid w:val="00046CA0"/>
    <w:rsid w:val="00087540"/>
    <w:rsid w:val="003A4DB8"/>
    <w:rsid w:val="00661709"/>
    <w:rsid w:val="00724552"/>
    <w:rsid w:val="00793D4F"/>
    <w:rsid w:val="007F6175"/>
    <w:rsid w:val="00877C45"/>
    <w:rsid w:val="008D138C"/>
    <w:rsid w:val="00943144"/>
    <w:rsid w:val="00973FB8"/>
    <w:rsid w:val="00A010BF"/>
    <w:rsid w:val="00A40483"/>
    <w:rsid w:val="00B76409"/>
    <w:rsid w:val="00B946B2"/>
    <w:rsid w:val="00BE32F3"/>
    <w:rsid w:val="01161381"/>
    <w:rsid w:val="011B2144"/>
    <w:rsid w:val="011C44BE"/>
    <w:rsid w:val="01233A9E"/>
    <w:rsid w:val="013E4434"/>
    <w:rsid w:val="01505F15"/>
    <w:rsid w:val="0153159D"/>
    <w:rsid w:val="0159301C"/>
    <w:rsid w:val="015D0D5E"/>
    <w:rsid w:val="019F1377"/>
    <w:rsid w:val="01AC687F"/>
    <w:rsid w:val="01BD2168"/>
    <w:rsid w:val="01CF1530"/>
    <w:rsid w:val="020411DA"/>
    <w:rsid w:val="02070CCA"/>
    <w:rsid w:val="021358C1"/>
    <w:rsid w:val="022C0730"/>
    <w:rsid w:val="02446DC7"/>
    <w:rsid w:val="02922C89"/>
    <w:rsid w:val="02E903CF"/>
    <w:rsid w:val="03035935"/>
    <w:rsid w:val="035E789D"/>
    <w:rsid w:val="038A3960"/>
    <w:rsid w:val="03912F41"/>
    <w:rsid w:val="03D33559"/>
    <w:rsid w:val="03EC63C9"/>
    <w:rsid w:val="03FF3601"/>
    <w:rsid w:val="03FF434E"/>
    <w:rsid w:val="04137DFA"/>
    <w:rsid w:val="041D6583"/>
    <w:rsid w:val="04230F09"/>
    <w:rsid w:val="043560BB"/>
    <w:rsid w:val="0436279A"/>
    <w:rsid w:val="04506958"/>
    <w:rsid w:val="047022AD"/>
    <w:rsid w:val="0495080F"/>
    <w:rsid w:val="049D3B67"/>
    <w:rsid w:val="04A647CA"/>
    <w:rsid w:val="04AF0EAD"/>
    <w:rsid w:val="04B472CB"/>
    <w:rsid w:val="04BF763A"/>
    <w:rsid w:val="04E15802"/>
    <w:rsid w:val="04F73278"/>
    <w:rsid w:val="05015EA4"/>
    <w:rsid w:val="05104339"/>
    <w:rsid w:val="05187A88"/>
    <w:rsid w:val="056106F1"/>
    <w:rsid w:val="056326BB"/>
    <w:rsid w:val="0576386D"/>
    <w:rsid w:val="057A17B3"/>
    <w:rsid w:val="057E427E"/>
    <w:rsid w:val="05850883"/>
    <w:rsid w:val="059705B7"/>
    <w:rsid w:val="05A50F26"/>
    <w:rsid w:val="05A76A4C"/>
    <w:rsid w:val="05B20F4D"/>
    <w:rsid w:val="05B57EDE"/>
    <w:rsid w:val="05D868B2"/>
    <w:rsid w:val="05E208D6"/>
    <w:rsid w:val="05EF21A1"/>
    <w:rsid w:val="05FB6D97"/>
    <w:rsid w:val="063B2E28"/>
    <w:rsid w:val="06404547"/>
    <w:rsid w:val="066F5090"/>
    <w:rsid w:val="06712BB6"/>
    <w:rsid w:val="06A74829"/>
    <w:rsid w:val="06BA27AF"/>
    <w:rsid w:val="06C74ECC"/>
    <w:rsid w:val="06D80E87"/>
    <w:rsid w:val="06DC2725"/>
    <w:rsid w:val="070007FC"/>
    <w:rsid w:val="07153E89"/>
    <w:rsid w:val="07550729"/>
    <w:rsid w:val="07633079"/>
    <w:rsid w:val="07854B6B"/>
    <w:rsid w:val="07856220"/>
    <w:rsid w:val="07996868"/>
    <w:rsid w:val="079D5A22"/>
    <w:rsid w:val="07CC279A"/>
    <w:rsid w:val="07F33544"/>
    <w:rsid w:val="07FB6A80"/>
    <w:rsid w:val="08347D87"/>
    <w:rsid w:val="08470072"/>
    <w:rsid w:val="084D31AF"/>
    <w:rsid w:val="0854278F"/>
    <w:rsid w:val="08901A19"/>
    <w:rsid w:val="08E54B0B"/>
    <w:rsid w:val="08E91129"/>
    <w:rsid w:val="091F4B4B"/>
    <w:rsid w:val="095E1B17"/>
    <w:rsid w:val="09815806"/>
    <w:rsid w:val="09AC5335"/>
    <w:rsid w:val="09B41737"/>
    <w:rsid w:val="09C83435"/>
    <w:rsid w:val="09CB082F"/>
    <w:rsid w:val="09D27E0F"/>
    <w:rsid w:val="0A026946"/>
    <w:rsid w:val="0A195A3E"/>
    <w:rsid w:val="0A2148F3"/>
    <w:rsid w:val="0A656ED5"/>
    <w:rsid w:val="0A79028B"/>
    <w:rsid w:val="0AA01CBB"/>
    <w:rsid w:val="0AA50FC0"/>
    <w:rsid w:val="0AA7304A"/>
    <w:rsid w:val="0AB47515"/>
    <w:rsid w:val="0AC0410C"/>
    <w:rsid w:val="0AEA2F37"/>
    <w:rsid w:val="0AFB5144"/>
    <w:rsid w:val="0B062FA4"/>
    <w:rsid w:val="0B0E30C9"/>
    <w:rsid w:val="0B154BFB"/>
    <w:rsid w:val="0B212DFC"/>
    <w:rsid w:val="0B220922"/>
    <w:rsid w:val="0B260413"/>
    <w:rsid w:val="0B3C7C36"/>
    <w:rsid w:val="0B7D0094"/>
    <w:rsid w:val="0B8D66E4"/>
    <w:rsid w:val="0B8E0D6F"/>
    <w:rsid w:val="0BA8023E"/>
    <w:rsid w:val="0BCB720C"/>
    <w:rsid w:val="0BE43E2A"/>
    <w:rsid w:val="0BF277E3"/>
    <w:rsid w:val="0BFC5617"/>
    <w:rsid w:val="0C3B1C9C"/>
    <w:rsid w:val="0C3E353A"/>
    <w:rsid w:val="0C460641"/>
    <w:rsid w:val="0C6311F3"/>
    <w:rsid w:val="0C7E602C"/>
    <w:rsid w:val="0CDF4D1D"/>
    <w:rsid w:val="0D1D5845"/>
    <w:rsid w:val="0D4A5F0F"/>
    <w:rsid w:val="0D5C636E"/>
    <w:rsid w:val="0D701E19"/>
    <w:rsid w:val="0D7336B7"/>
    <w:rsid w:val="0D782A7C"/>
    <w:rsid w:val="0D7F6DB5"/>
    <w:rsid w:val="0D844CD5"/>
    <w:rsid w:val="0D9F44AC"/>
    <w:rsid w:val="0DB37EE2"/>
    <w:rsid w:val="0DC932D7"/>
    <w:rsid w:val="0DDD6D83"/>
    <w:rsid w:val="0DEA1BCB"/>
    <w:rsid w:val="0DED6FC6"/>
    <w:rsid w:val="0DF465A6"/>
    <w:rsid w:val="0E122ED0"/>
    <w:rsid w:val="0E1C3405"/>
    <w:rsid w:val="0E1C78AB"/>
    <w:rsid w:val="0E2D1AB8"/>
    <w:rsid w:val="0E460DCC"/>
    <w:rsid w:val="0E762457"/>
    <w:rsid w:val="0E7C47EE"/>
    <w:rsid w:val="0E9E03E5"/>
    <w:rsid w:val="0ECB111D"/>
    <w:rsid w:val="0ED463D8"/>
    <w:rsid w:val="0EEC3721"/>
    <w:rsid w:val="0F024CF3"/>
    <w:rsid w:val="0F2A424A"/>
    <w:rsid w:val="0FC24482"/>
    <w:rsid w:val="0FDD12BC"/>
    <w:rsid w:val="0FF36041"/>
    <w:rsid w:val="100F59A4"/>
    <w:rsid w:val="10480E2B"/>
    <w:rsid w:val="1065378B"/>
    <w:rsid w:val="10667503"/>
    <w:rsid w:val="107B4D5D"/>
    <w:rsid w:val="10831E63"/>
    <w:rsid w:val="10833B67"/>
    <w:rsid w:val="10AD5132"/>
    <w:rsid w:val="10C12594"/>
    <w:rsid w:val="10F04A51"/>
    <w:rsid w:val="11054229"/>
    <w:rsid w:val="11194576"/>
    <w:rsid w:val="114809B7"/>
    <w:rsid w:val="115F642C"/>
    <w:rsid w:val="116F4196"/>
    <w:rsid w:val="11851C0B"/>
    <w:rsid w:val="11A74070"/>
    <w:rsid w:val="11EB5F12"/>
    <w:rsid w:val="11EE155E"/>
    <w:rsid w:val="120174E4"/>
    <w:rsid w:val="1202502D"/>
    <w:rsid w:val="122211B1"/>
    <w:rsid w:val="12572A47"/>
    <w:rsid w:val="125D0444"/>
    <w:rsid w:val="12A8795F"/>
    <w:rsid w:val="12AA5955"/>
    <w:rsid w:val="12B207DE"/>
    <w:rsid w:val="12E27315"/>
    <w:rsid w:val="136C3083"/>
    <w:rsid w:val="138A175B"/>
    <w:rsid w:val="13983E78"/>
    <w:rsid w:val="13AA5BE7"/>
    <w:rsid w:val="13CA1B57"/>
    <w:rsid w:val="13E23345"/>
    <w:rsid w:val="13EE1CEA"/>
    <w:rsid w:val="141352AC"/>
    <w:rsid w:val="143516C6"/>
    <w:rsid w:val="144638D4"/>
    <w:rsid w:val="144B046B"/>
    <w:rsid w:val="145853B5"/>
    <w:rsid w:val="14A34882"/>
    <w:rsid w:val="14EB6AA1"/>
    <w:rsid w:val="14FB46BE"/>
    <w:rsid w:val="15192D96"/>
    <w:rsid w:val="1525173B"/>
    <w:rsid w:val="153100E0"/>
    <w:rsid w:val="1533269C"/>
    <w:rsid w:val="15475B55"/>
    <w:rsid w:val="15567B46"/>
    <w:rsid w:val="15724254"/>
    <w:rsid w:val="15787ABD"/>
    <w:rsid w:val="15990851"/>
    <w:rsid w:val="15AF54A9"/>
    <w:rsid w:val="15B50D11"/>
    <w:rsid w:val="16007AB2"/>
    <w:rsid w:val="16111CBF"/>
    <w:rsid w:val="16113A6D"/>
    <w:rsid w:val="16354957"/>
    <w:rsid w:val="167F131F"/>
    <w:rsid w:val="168801D3"/>
    <w:rsid w:val="168C1346"/>
    <w:rsid w:val="169F376F"/>
    <w:rsid w:val="16AB5C70"/>
    <w:rsid w:val="16AD7C3A"/>
    <w:rsid w:val="16AE5760"/>
    <w:rsid w:val="16DB47A7"/>
    <w:rsid w:val="16E72EA3"/>
    <w:rsid w:val="16FA09A5"/>
    <w:rsid w:val="1743234C"/>
    <w:rsid w:val="174C006C"/>
    <w:rsid w:val="1752258F"/>
    <w:rsid w:val="175B7696"/>
    <w:rsid w:val="175E2CE2"/>
    <w:rsid w:val="17683B61"/>
    <w:rsid w:val="178A1D29"/>
    <w:rsid w:val="179761F4"/>
    <w:rsid w:val="17A56B63"/>
    <w:rsid w:val="17AF79E2"/>
    <w:rsid w:val="17D16C96"/>
    <w:rsid w:val="17E23913"/>
    <w:rsid w:val="17E72CD8"/>
    <w:rsid w:val="17F83137"/>
    <w:rsid w:val="18381785"/>
    <w:rsid w:val="183F48C2"/>
    <w:rsid w:val="18707725"/>
    <w:rsid w:val="189A2440"/>
    <w:rsid w:val="18AE1A47"/>
    <w:rsid w:val="18AE7C99"/>
    <w:rsid w:val="18C179CD"/>
    <w:rsid w:val="18DC0363"/>
    <w:rsid w:val="18E35B95"/>
    <w:rsid w:val="19053D5D"/>
    <w:rsid w:val="191C10A7"/>
    <w:rsid w:val="192561AE"/>
    <w:rsid w:val="192B6A2A"/>
    <w:rsid w:val="193463F1"/>
    <w:rsid w:val="19406B43"/>
    <w:rsid w:val="196842EC"/>
    <w:rsid w:val="197467ED"/>
    <w:rsid w:val="198F27AB"/>
    <w:rsid w:val="19B17A41"/>
    <w:rsid w:val="19C21571"/>
    <w:rsid w:val="19C36661"/>
    <w:rsid w:val="19CA0B03"/>
    <w:rsid w:val="19D84FCE"/>
    <w:rsid w:val="19E0035D"/>
    <w:rsid w:val="19F811CC"/>
    <w:rsid w:val="1A116732"/>
    <w:rsid w:val="1A134258"/>
    <w:rsid w:val="1A404921"/>
    <w:rsid w:val="1A7F5449"/>
    <w:rsid w:val="1A8213DE"/>
    <w:rsid w:val="1A9133CF"/>
    <w:rsid w:val="1A9C424D"/>
    <w:rsid w:val="1AA2738A"/>
    <w:rsid w:val="1AC217DA"/>
    <w:rsid w:val="1AD35795"/>
    <w:rsid w:val="1B1262BE"/>
    <w:rsid w:val="1B1E2EB4"/>
    <w:rsid w:val="1B277C97"/>
    <w:rsid w:val="1B393EAF"/>
    <w:rsid w:val="1B4A56C7"/>
    <w:rsid w:val="1B7B063E"/>
    <w:rsid w:val="1B8B42C2"/>
    <w:rsid w:val="1B9413C8"/>
    <w:rsid w:val="1BCA4DEA"/>
    <w:rsid w:val="1BD619E1"/>
    <w:rsid w:val="1BE13EE2"/>
    <w:rsid w:val="1BFF1AE5"/>
    <w:rsid w:val="1C1147C7"/>
    <w:rsid w:val="1C2564C4"/>
    <w:rsid w:val="1C297D63"/>
    <w:rsid w:val="1C33298F"/>
    <w:rsid w:val="1C817B9F"/>
    <w:rsid w:val="1CAD2991"/>
    <w:rsid w:val="1CC47A8B"/>
    <w:rsid w:val="1CEE7B6A"/>
    <w:rsid w:val="1D1E3640"/>
    <w:rsid w:val="1D567998"/>
    <w:rsid w:val="1D5E1C8E"/>
    <w:rsid w:val="1DBB7D72"/>
    <w:rsid w:val="1DF3687A"/>
    <w:rsid w:val="1E29229C"/>
    <w:rsid w:val="1E373A37"/>
    <w:rsid w:val="1E707529"/>
    <w:rsid w:val="1E84307A"/>
    <w:rsid w:val="1EC43D73"/>
    <w:rsid w:val="1F063EC8"/>
    <w:rsid w:val="1F071EB1"/>
    <w:rsid w:val="1F1D7927"/>
    <w:rsid w:val="1F2111C5"/>
    <w:rsid w:val="1F2667DB"/>
    <w:rsid w:val="1F7532BF"/>
    <w:rsid w:val="1F903C55"/>
    <w:rsid w:val="1F9C084C"/>
    <w:rsid w:val="1FD40539"/>
    <w:rsid w:val="20084133"/>
    <w:rsid w:val="200F101E"/>
    <w:rsid w:val="202F7527"/>
    <w:rsid w:val="205253AE"/>
    <w:rsid w:val="20735A50"/>
    <w:rsid w:val="20B53722"/>
    <w:rsid w:val="20EA55E7"/>
    <w:rsid w:val="20EF2BFD"/>
    <w:rsid w:val="20F14BC7"/>
    <w:rsid w:val="210E7527"/>
    <w:rsid w:val="213056EF"/>
    <w:rsid w:val="213C5D92"/>
    <w:rsid w:val="21415B4F"/>
    <w:rsid w:val="21502164"/>
    <w:rsid w:val="217667CA"/>
    <w:rsid w:val="2191541A"/>
    <w:rsid w:val="219A4441"/>
    <w:rsid w:val="21B93937"/>
    <w:rsid w:val="21BA00EE"/>
    <w:rsid w:val="21C970BE"/>
    <w:rsid w:val="21FA7AAB"/>
    <w:rsid w:val="223C6316"/>
    <w:rsid w:val="22433200"/>
    <w:rsid w:val="22680EB9"/>
    <w:rsid w:val="22725EA5"/>
    <w:rsid w:val="227B5090"/>
    <w:rsid w:val="228C104B"/>
    <w:rsid w:val="228F4698"/>
    <w:rsid w:val="22910410"/>
    <w:rsid w:val="22E569AE"/>
    <w:rsid w:val="22E91FFA"/>
    <w:rsid w:val="22F92A6A"/>
    <w:rsid w:val="2305495A"/>
    <w:rsid w:val="23056708"/>
    <w:rsid w:val="231F554B"/>
    <w:rsid w:val="233314F8"/>
    <w:rsid w:val="234B4A63"/>
    <w:rsid w:val="23867EBF"/>
    <w:rsid w:val="23953F30"/>
    <w:rsid w:val="239F6B5C"/>
    <w:rsid w:val="23B24AE2"/>
    <w:rsid w:val="23B95E70"/>
    <w:rsid w:val="23BD5235"/>
    <w:rsid w:val="23C6233B"/>
    <w:rsid w:val="240D7FFE"/>
    <w:rsid w:val="243110F9"/>
    <w:rsid w:val="24430B57"/>
    <w:rsid w:val="245636BF"/>
    <w:rsid w:val="24A312F5"/>
    <w:rsid w:val="24B93C4E"/>
    <w:rsid w:val="24C30535"/>
    <w:rsid w:val="24C86C19"/>
    <w:rsid w:val="24DD3F2E"/>
    <w:rsid w:val="251A0B90"/>
    <w:rsid w:val="251F7F55"/>
    <w:rsid w:val="256D1CF7"/>
    <w:rsid w:val="257D1F44"/>
    <w:rsid w:val="2580476C"/>
    <w:rsid w:val="258B3D16"/>
    <w:rsid w:val="25983863"/>
    <w:rsid w:val="259A3A7F"/>
    <w:rsid w:val="25A71CF8"/>
    <w:rsid w:val="25C83DFC"/>
    <w:rsid w:val="25FA451E"/>
    <w:rsid w:val="260E3B25"/>
    <w:rsid w:val="26247A03"/>
    <w:rsid w:val="263F0183"/>
    <w:rsid w:val="26600825"/>
    <w:rsid w:val="268B33C8"/>
    <w:rsid w:val="26976211"/>
    <w:rsid w:val="26DB434F"/>
    <w:rsid w:val="26EF06E2"/>
    <w:rsid w:val="26F70A5D"/>
    <w:rsid w:val="27822A1D"/>
    <w:rsid w:val="278906CB"/>
    <w:rsid w:val="27DC5C95"/>
    <w:rsid w:val="27EE00B2"/>
    <w:rsid w:val="27FC0E12"/>
    <w:rsid w:val="282E6701"/>
    <w:rsid w:val="2845410A"/>
    <w:rsid w:val="28687E65"/>
    <w:rsid w:val="287F6F5C"/>
    <w:rsid w:val="288A7DDB"/>
    <w:rsid w:val="289350CF"/>
    <w:rsid w:val="28A075FF"/>
    <w:rsid w:val="28BB61E6"/>
    <w:rsid w:val="28BE1833"/>
    <w:rsid w:val="28C64B8B"/>
    <w:rsid w:val="28E079FB"/>
    <w:rsid w:val="28EB63A0"/>
    <w:rsid w:val="28F6270F"/>
    <w:rsid w:val="29021DE3"/>
    <w:rsid w:val="29294776"/>
    <w:rsid w:val="29602F09"/>
    <w:rsid w:val="29791BFE"/>
    <w:rsid w:val="29884C1E"/>
    <w:rsid w:val="298A7967"/>
    <w:rsid w:val="29987001"/>
    <w:rsid w:val="29D3130E"/>
    <w:rsid w:val="29F072F5"/>
    <w:rsid w:val="29FD282F"/>
    <w:rsid w:val="2A04596B"/>
    <w:rsid w:val="2A0652C0"/>
    <w:rsid w:val="2A0911D4"/>
    <w:rsid w:val="2A2953D2"/>
    <w:rsid w:val="2A2B657E"/>
    <w:rsid w:val="2A7F2002"/>
    <w:rsid w:val="2A9E7B6E"/>
    <w:rsid w:val="2AF53506"/>
    <w:rsid w:val="2B0100FD"/>
    <w:rsid w:val="2B073965"/>
    <w:rsid w:val="2B134CC7"/>
    <w:rsid w:val="2B2F07C6"/>
    <w:rsid w:val="2B312790"/>
    <w:rsid w:val="2B33475A"/>
    <w:rsid w:val="2B3B53BD"/>
    <w:rsid w:val="2B69017C"/>
    <w:rsid w:val="2B715282"/>
    <w:rsid w:val="2BFE0C18"/>
    <w:rsid w:val="2C041C52"/>
    <w:rsid w:val="2C0A34F0"/>
    <w:rsid w:val="2C0E4A4A"/>
    <w:rsid w:val="2C136339"/>
    <w:rsid w:val="2C1C3440"/>
    <w:rsid w:val="2C22657D"/>
    <w:rsid w:val="2C2B3683"/>
    <w:rsid w:val="2C3167C0"/>
    <w:rsid w:val="2C351E0C"/>
    <w:rsid w:val="2C424524"/>
    <w:rsid w:val="2C4E7372"/>
    <w:rsid w:val="2C9805ED"/>
    <w:rsid w:val="2C9A25B7"/>
    <w:rsid w:val="2CAB47C4"/>
    <w:rsid w:val="2CBC252D"/>
    <w:rsid w:val="2CC15D95"/>
    <w:rsid w:val="2CC66F08"/>
    <w:rsid w:val="2CCD473A"/>
    <w:rsid w:val="2CEA52EC"/>
    <w:rsid w:val="2CEE4AF6"/>
    <w:rsid w:val="2D263E4A"/>
    <w:rsid w:val="2D2F71A3"/>
    <w:rsid w:val="2D4B38B1"/>
    <w:rsid w:val="2D542766"/>
    <w:rsid w:val="2D5C786C"/>
    <w:rsid w:val="2D83304B"/>
    <w:rsid w:val="2D917516"/>
    <w:rsid w:val="2D927B3A"/>
    <w:rsid w:val="2DB72CF5"/>
    <w:rsid w:val="2DC40548"/>
    <w:rsid w:val="2DCC2C44"/>
    <w:rsid w:val="2DE35CC7"/>
    <w:rsid w:val="2E1B3283"/>
    <w:rsid w:val="2E3031D3"/>
    <w:rsid w:val="2E3D769E"/>
    <w:rsid w:val="2E4C168F"/>
    <w:rsid w:val="2E6609A2"/>
    <w:rsid w:val="2E7806D6"/>
    <w:rsid w:val="2E7B3D22"/>
    <w:rsid w:val="2EB57234"/>
    <w:rsid w:val="2EBF6305"/>
    <w:rsid w:val="2EE144CD"/>
    <w:rsid w:val="2F177EEF"/>
    <w:rsid w:val="2F4607D4"/>
    <w:rsid w:val="2F4961AE"/>
    <w:rsid w:val="2F68074A"/>
    <w:rsid w:val="2F77513E"/>
    <w:rsid w:val="2F7B047E"/>
    <w:rsid w:val="2F7C41F6"/>
    <w:rsid w:val="2FA01C92"/>
    <w:rsid w:val="2FA33530"/>
    <w:rsid w:val="2FA53B19"/>
    <w:rsid w:val="2FBB2F70"/>
    <w:rsid w:val="2FC11C09"/>
    <w:rsid w:val="2FC33BD3"/>
    <w:rsid w:val="2FCF4325"/>
    <w:rsid w:val="2FD933F6"/>
    <w:rsid w:val="2FF36512"/>
    <w:rsid w:val="300F6E18"/>
    <w:rsid w:val="302208F9"/>
    <w:rsid w:val="30297EDA"/>
    <w:rsid w:val="302E54F0"/>
    <w:rsid w:val="303017FD"/>
    <w:rsid w:val="303074BA"/>
    <w:rsid w:val="303560CE"/>
    <w:rsid w:val="304E3BFE"/>
    <w:rsid w:val="30556F21"/>
    <w:rsid w:val="30780C48"/>
    <w:rsid w:val="30896BCA"/>
    <w:rsid w:val="30B65A63"/>
    <w:rsid w:val="311127DB"/>
    <w:rsid w:val="31283BAD"/>
    <w:rsid w:val="31460DE6"/>
    <w:rsid w:val="319117F4"/>
    <w:rsid w:val="31EA5447"/>
    <w:rsid w:val="31F462C5"/>
    <w:rsid w:val="322F554F"/>
    <w:rsid w:val="32472899"/>
    <w:rsid w:val="325D3E6B"/>
    <w:rsid w:val="32721242"/>
    <w:rsid w:val="32891103"/>
    <w:rsid w:val="32943604"/>
    <w:rsid w:val="32AB1643"/>
    <w:rsid w:val="32DA54BB"/>
    <w:rsid w:val="32E47875"/>
    <w:rsid w:val="32E60751"/>
    <w:rsid w:val="33114C55"/>
    <w:rsid w:val="33354DE7"/>
    <w:rsid w:val="33370B5F"/>
    <w:rsid w:val="333A41AC"/>
    <w:rsid w:val="333D5A4A"/>
    <w:rsid w:val="335F0E87"/>
    <w:rsid w:val="336970F4"/>
    <w:rsid w:val="33987F0F"/>
    <w:rsid w:val="33EE2A7C"/>
    <w:rsid w:val="33F634EB"/>
    <w:rsid w:val="33FE167D"/>
    <w:rsid w:val="34012F1B"/>
    <w:rsid w:val="340372EE"/>
    <w:rsid w:val="34166EA1"/>
    <w:rsid w:val="34367069"/>
    <w:rsid w:val="343D03F7"/>
    <w:rsid w:val="3463365C"/>
    <w:rsid w:val="34853B4C"/>
    <w:rsid w:val="34900078"/>
    <w:rsid w:val="34A73AC3"/>
    <w:rsid w:val="34E645EB"/>
    <w:rsid w:val="34F0546A"/>
    <w:rsid w:val="35092088"/>
    <w:rsid w:val="35103416"/>
    <w:rsid w:val="353335A8"/>
    <w:rsid w:val="356E638F"/>
    <w:rsid w:val="35747E49"/>
    <w:rsid w:val="357C6CFE"/>
    <w:rsid w:val="358D2B98"/>
    <w:rsid w:val="35B75F88"/>
    <w:rsid w:val="35BC17F0"/>
    <w:rsid w:val="35DB5EC1"/>
    <w:rsid w:val="35E30B2B"/>
    <w:rsid w:val="35EF5721"/>
    <w:rsid w:val="3623361D"/>
    <w:rsid w:val="3659703F"/>
    <w:rsid w:val="36632356"/>
    <w:rsid w:val="367C4ADB"/>
    <w:rsid w:val="36B129D7"/>
    <w:rsid w:val="36CE5337"/>
    <w:rsid w:val="36E903C3"/>
    <w:rsid w:val="36ED5F79"/>
    <w:rsid w:val="36FF0CD7"/>
    <w:rsid w:val="37023232"/>
    <w:rsid w:val="37052D23"/>
    <w:rsid w:val="37193383"/>
    <w:rsid w:val="37215DAE"/>
    <w:rsid w:val="37427AD3"/>
    <w:rsid w:val="37824373"/>
    <w:rsid w:val="37865C12"/>
    <w:rsid w:val="378E4AC6"/>
    <w:rsid w:val="37977E1F"/>
    <w:rsid w:val="37A25CC8"/>
    <w:rsid w:val="37B3452D"/>
    <w:rsid w:val="37B61F1C"/>
    <w:rsid w:val="37B67995"/>
    <w:rsid w:val="37E04580"/>
    <w:rsid w:val="37FC4126"/>
    <w:rsid w:val="38080D1C"/>
    <w:rsid w:val="380E71DC"/>
    <w:rsid w:val="381E22EE"/>
    <w:rsid w:val="38233656"/>
    <w:rsid w:val="387737AC"/>
    <w:rsid w:val="387C0DC3"/>
    <w:rsid w:val="38A93AAB"/>
    <w:rsid w:val="38C033A5"/>
    <w:rsid w:val="38CF5396"/>
    <w:rsid w:val="38DB01DF"/>
    <w:rsid w:val="391958EC"/>
    <w:rsid w:val="392C6D9B"/>
    <w:rsid w:val="393B0C7E"/>
    <w:rsid w:val="394418E0"/>
    <w:rsid w:val="398E34A3"/>
    <w:rsid w:val="39932868"/>
    <w:rsid w:val="39965EB4"/>
    <w:rsid w:val="39BF668E"/>
    <w:rsid w:val="39D44AED"/>
    <w:rsid w:val="39F41E09"/>
    <w:rsid w:val="39FF7EFD"/>
    <w:rsid w:val="3A064DE8"/>
    <w:rsid w:val="3A0A0D7C"/>
    <w:rsid w:val="3A3169B0"/>
    <w:rsid w:val="3A4A73CA"/>
    <w:rsid w:val="3A577D39"/>
    <w:rsid w:val="3A683BE2"/>
    <w:rsid w:val="3A9248CD"/>
    <w:rsid w:val="3A9B7EB8"/>
    <w:rsid w:val="3AB24F6F"/>
    <w:rsid w:val="3ACA050B"/>
    <w:rsid w:val="3ACE7FFB"/>
    <w:rsid w:val="3AE3337B"/>
    <w:rsid w:val="3AF62E77"/>
    <w:rsid w:val="3B005CDB"/>
    <w:rsid w:val="3B141786"/>
    <w:rsid w:val="3B295232"/>
    <w:rsid w:val="3B44206B"/>
    <w:rsid w:val="3B574967"/>
    <w:rsid w:val="3B842468"/>
    <w:rsid w:val="3B895CD0"/>
    <w:rsid w:val="3B911029"/>
    <w:rsid w:val="3B9F3746"/>
    <w:rsid w:val="3BA50630"/>
    <w:rsid w:val="3BA51763"/>
    <w:rsid w:val="3BAF1274"/>
    <w:rsid w:val="3BC767F9"/>
    <w:rsid w:val="3BC9590E"/>
    <w:rsid w:val="3BCF6F36"/>
    <w:rsid w:val="3BD2498B"/>
    <w:rsid w:val="3BD30DF1"/>
    <w:rsid w:val="3BD3519D"/>
    <w:rsid w:val="3BE21884"/>
    <w:rsid w:val="3C0E61D6"/>
    <w:rsid w:val="3C362434"/>
    <w:rsid w:val="3C601127"/>
    <w:rsid w:val="3C700C3E"/>
    <w:rsid w:val="3C8D7A42"/>
    <w:rsid w:val="3C9B215F"/>
    <w:rsid w:val="3C9D708E"/>
    <w:rsid w:val="3CB274A9"/>
    <w:rsid w:val="3CB52AF5"/>
    <w:rsid w:val="3CDB0632"/>
    <w:rsid w:val="3D0F6702"/>
    <w:rsid w:val="3D112421"/>
    <w:rsid w:val="3D3E2AEA"/>
    <w:rsid w:val="3D475E43"/>
    <w:rsid w:val="3D4A113A"/>
    <w:rsid w:val="3D4C5207"/>
    <w:rsid w:val="3D5B544A"/>
    <w:rsid w:val="3D5D7415"/>
    <w:rsid w:val="3DAC3EF8"/>
    <w:rsid w:val="3DCE0312"/>
    <w:rsid w:val="3DD551FD"/>
    <w:rsid w:val="3DD620E8"/>
    <w:rsid w:val="3DD75419"/>
    <w:rsid w:val="3DDD645B"/>
    <w:rsid w:val="3DE11DF4"/>
    <w:rsid w:val="3E1877DF"/>
    <w:rsid w:val="3E2717D1"/>
    <w:rsid w:val="3E3A7756"/>
    <w:rsid w:val="3E3F4D6C"/>
    <w:rsid w:val="3E42660A"/>
    <w:rsid w:val="3E491747"/>
    <w:rsid w:val="3E587BDC"/>
    <w:rsid w:val="3E720C9E"/>
    <w:rsid w:val="3E8804C1"/>
    <w:rsid w:val="3E8E4943"/>
    <w:rsid w:val="3ED111F0"/>
    <w:rsid w:val="3ED731F7"/>
    <w:rsid w:val="3F08563B"/>
    <w:rsid w:val="3F0A7128"/>
    <w:rsid w:val="3F12422F"/>
    <w:rsid w:val="3F3F07CF"/>
    <w:rsid w:val="3F5F7802"/>
    <w:rsid w:val="3F6C1B91"/>
    <w:rsid w:val="3F6F51DD"/>
    <w:rsid w:val="3FA70E1B"/>
    <w:rsid w:val="3FAC4683"/>
    <w:rsid w:val="3FB84DD6"/>
    <w:rsid w:val="3FE67B95"/>
    <w:rsid w:val="401069C0"/>
    <w:rsid w:val="40204729"/>
    <w:rsid w:val="40287C5E"/>
    <w:rsid w:val="40331B94"/>
    <w:rsid w:val="403E245A"/>
    <w:rsid w:val="40460634"/>
    <w:rsid w:val="405F34A4"/>
    <w:rsid w:val="40703903"/>
    <w:rsid w:val="40844CB8"/>
    <w:rsid w:val="408B6047"/>
    <w:rsid w:val="40EB2F89"/>
    <w:rsid w:val="40EE65D6"/>
    <w:rsid w:val="410D73A4"/>
    <w:rsid w:val="410E1D34"/>
    <w:rsid w:val="413B5CBF"/>
    <w:rsid w:val="41452699"/>
    <w:rsid w:val="415A5C88"/>
    <w:rsid w:val="4162149D"/>
    <w:rsid w:val="41970CA5"/>
    <w:rsid w:val="41990C37"/>
    <w:rsid w:val="41C932CA"/>
    <w:rsid w:val="41CE08E1"/>
    <w:rsid w:val="41D16ECB"/>
    <w:rsid w:val="41FF493E"/>
    <w:rsid w:val="42312C1E"/>
    <w:rsid w:val="42332E3A"/>
    <w:rsid w:val="423544BC"/>
    <w:rsid w:val="423821FE"/>
    <w:rsid w:val="4278084D"/>
    <w:rsid w:val="427A0E54"/>
    <w:rsid w:val="42B42CCE"/>
    <w:rsid w:val="42DF6B1E"/>
    <w:rsid w:val="430345BA"/>
    <w:rsid w:val="431D5002"/>
    <w:rsid w:val="4335673E"/>
    <w:rsid w:val="43452E25"/>
    <w:rsid w:val="437E1E93"/>
    <w:rsid w:val="438C45B0"/>
    <w:rsid w:val="43947908"/>
    <w:rsid w:val="43CC0229"/>
    <w:rsid w:val="43D334F8"/>
    <w:rsid w:val="43FC4A12"/>
    <w:rsid w:val="44000AFA"/>
    <w:rsid w:val="44056110"/>
    <w:rsid w:val="440E6BF2"/>
    <w:rsid w:val="44284DE0"/>
    <w:rsid w:val="4436451B"/>
    <w:rsid w:val="44392BAC"/>
    <w:rsid w:val="444255B6"/>
    <w:rsid w:val="44727C49"/>
    <w:rsid w:val="448E0C96"/>
    <w:rsid w:val="44901E7E"/>
    <w:rsid w:val="44906321"/>
    <w:rsid w:val="44A43B7B"/>
    <w:rsid w:val="44B738AE"/>
    <w:rsid w:val="44DF289A"/>
    <w:rsid w:val="44F763A1"/>
    <w:rsid w:val="44F93EC7"/>
    <w:rsid w:val="44FF0DB1"/>
    <w:rsid w:val="45022DBD"/>
    <w:rsid w:val="450F36EA"/>
    <w:rsid w:val="452B3233"/>
    <w:rsid w:val="45303661"/>
    <w:rsid w:val="4537679D"/>
    <w:rsid w:val="459534C4"/>
    <w:rsid w:val="45967968"/>
    <w:rsid w:val="459C4852"/>
    <w:rsid w:val="45C51FFB"/>
    <w:rsid w:val="45C75D73"/>
    <w:rsid w:val="45D67D64"/>
    <w:rsid w:val="45D95AA6"/>
    <w:rsid w:val="46380A1F"/>
    <w:rsid w:val="463902F3"/>
    <w:rsid w:val="463F203F"/>
    <w:rsid w:val="4646138E"/>
    <w:rsid w:val="46671304"/>
    <w:rsid w:val="466C04B4"/>
    <w:rsid w:val="467B6B5D"/>
    <w:rsid w:val="467C4DAF"/>
    <w:rsid w:val="467D28D5"/>
    <w:rsid w:val="46853538"/>
    <w:rsid w:val="46942D6F"/>
    <w:rsid w:val="46DA1AD6"/>
    <w:rsid w:val="470E79D1"/>
    <w:rsid w:val="47176170"/>
    <w:rsid w:val="471C5C4A"/>
    <w:rsid w:val="472B40E0"/>
    <w:rsid w:val="4732546E"/>
    <w:rsid w:val="4734568A"/>
    <w:rsid w:val="473F5DDD"/>
    <w:rsid w:val="47590C4D"/>
    <w:rsid w:val="47637D1D"/>
    <w:rsid w:val="47723ABC"/>
    <w:rsid w:val="477534BF"/>
    <w:rsid w:val="477E4B57"/>
    <w:rsid w:val="478657BA"/>
    <w:rsid w:val="47867568"/>
    <w:rsid w:val="479B74B7"/>
    <w:rsid w:val="47B642F1"/>
    <w:rsid w:val="47D6229D"/>
    <w:rsid w:val="47E56984"/>
    <w:rsid w:val="47FB1D04"/>
    <w:rsid w:val="4806104B"/>
    <w:rsid w:val="48117779"/>
    <w:rsid w:val="48140D4E"/>
    <w:rsid w:val="481922D5"/>
    <w:rsid w:val="4839282C"/>
    <w:rsid w:val="48496846"/>
    <w:rsid w:val="484A0A9B"/>
    <w:rsid w:val="485458B8"/>
    <w:rsid w:val="486C49B0"/>
    <w:rsid w:val="488241D3"/>
    <w:rsid w:val="48903994"/>
    <w:rsid w:val="48AD6C11"/>
    <w:rsid w:val="48B12D0A"/>
    <w:rsid w:val="48B60321"/>
    <w:rsid w:val="48C4659A"/>
    <w:rsid w:val="48D34A2F"/>
    <w:rsid w:val="48D80297"/>
    <w:rsid w:val="48E42798"/>
    <w:rsid w:val="48E924A4"/>
    <w:rsid w:val="48FA645F"/>
    <w:rsid w:val="48FE0901"/>
    <w:rsid w:val="49155047"/>
    <w:rsid w:val="49181465"/>
    <w:rsid w:val="49325BF9"/>
    <w:rsid w:val="4944592C"/>
    <w:rsid w:val="494C2DCB"/>
    <w:rsid w:val="49557B3A"/>
    <w:rsid w:val="495935BC"/>
    <w:rsid w:val="4968161B"/>
    <w:rsid w:val="499A72FA"/>
    <w:rsid w:val="49BA799D"/>
    <w:rsid w:val="49BF25F0"/>
    <w:rsid w:val="49CA5E32"/>
    <w:rsid w:val="49CF169A"/>
    <w:rsid w:val="4A2A2D74"/>
    <w:rsid w:val="4A435BE4"/>
    <w:rsid w:val="4A4A0D21"/>
    <w:rsid w:val="4A4F51C0"/>
    <w:rsid w:val="4A5A0297"/>
    <w:rsid w:val="4A8F0E29"/>
    <w:rsid w:val="4AA5064D"/>
    <w:rsid w:val="4ACA3C0F"/>
    <w:rsid w:val="4AD36F68"/>
    <w:rsid w:val="4ADD7DE7"/>
    <w:rsid w:val="4B223A4B"/>
    <w:rsid w:val="4B571947"/>
    <w:rsid w:val="4B63653E"/>
    <w:rsid w:val="4B775B45"/>
    <w:rsid w:val="4B7C7600"/>
    <w:rsid w:val="4B81361F"/>
    <w:rsid w:val="4BC32B39"/>
    <w:rsid w:val="4BCB5E91"/>
    <w:rsid w:val="4BD87A7D"/>
    <w:rsid w:val="4C0858E6"/>
    <w:rsid w:val="4C15535E"/>
    <w:rsid w:val="4C1B0BC7"/>
    <w:rsid w:val="4C2A0E0A"/>
    <w:rsid w:val="4C324162"/>
    <w:rsid w:val="4C371778"/>
    <w:rsid w:val="4C39104D"/>
    <w:rsid w:val="4C6267F5"/>
    <w:rsid w:val="4C787DC7"/>
    <w:rsid w:val="4C7A0B36"/>
    <w:rsid w:val="4C87000A"/>
    <w:rsid w:val="4CAA3CF8"/>
    <w:rsid w:val="4CC365C4"/>
    <w:rsid w:val="4CD0701F"/>
    <w:rsid w:val="4CF60CEC"/>
    <w:rsid w:val="4CFA6A2E"/>
    <w:rsid w:val="4D3A32CE"/>
    <w:rsid w:val="4D5D0D6B"/>
    <w:rsid w:val="4D714816"/>
    <w:rsid w:val="4D8118E3"/>
    <w:rsid w:val="4D9329DF"/>
    <w:rsid w:val="4DB10A07"/>
    <w:rsid w:val="4E051034"/>
    <w:rsid w:val="4E11668C"/>
    <w:rsid w:val="4E1F4272"/>
    <w:rsid w:val="4E235B10"/>
    <w:rsid w:val="4E2D698F"/>
    <w:rsid w:val="4E3046D1"/>
    <w:rsid w:val="4E466737"/>
    <w:rsid w:val="4E516B22"/>
    <w:rsid w:val="4E6011B1"/>
    <w:rsid w:val="4E720846"/>
    <w:rsid w:val="4E994F3D"/>
    <w:rsid w:val="4EB26E94"/>
    <w:rsid w:val="4EC70B92"/>
    <w:rsid w:val="4ED137BE"/>
    <w:rsid w:val="4EF61477"/>
    <w:rsid w:val="4EFD2805"/>
    <w:rsid w:val="4F190D64"/>
    <w:rsid w:val="4F367AC5"/>
    <w:rsid w:val="4F3F363B"/>
    <w:rsid w:val="4F552641"/>
    <w:rsid w:val="4F587A3C"/>
    <w:rsid w:val="4F5F0DCA"/>
    <w:rsid w:val="4F7A3E56"/>
    <w:rsid w:val="4F824AB9"/>
    <w:rsid w:val="4F8E7901"/>
    <w:rsid w:val="4F9F1B0F"/>
    <w:rsid w:val="4FA72771"/>
    <w:rsid w:val="4FAB400F"/>
    <w:rsid w:val="4FAE2EBD"/>
    <w:rsid w:val="4FE87012"/>
    <w:rsid w:val="4FFE4A87"/>
    <w:rsid w:val="500F6132"/>
    <w:rsid w:val="50265D8C"/>
    <w:rsid w:val="503D136E"/>
    <w:rsid w:val="5052092F"/>
    <w:rsid w:val="505F6A10"/>
    <w:rsid w:val="50744D49"/>
    <w:rsid w:val="509176A9"/>
    <w:rsid w:val="50A53155"/>
    <w:rsid w:val="50A8054F"/>
    <w:rsid w:val="50BB4726"/>
    <w:rsid w:val="50C64E79"/>
    <w:rsid w:val="50E6564E"/>
    <w:rsid w:val="50E772C9"/>
    <w:rsid w:val="50EF2622"/>
    <w:rsid w:val="512A365A"/>
    <w:rsid w:val="512C2F2E"/>
    <w:rsid w:val="5139389D"/>
    <w:rsid w:val="513B7615"/>
    <w:rsid w:val="516052CE"/>
    <w:rsid w:val="5181771E"/>
    <w:rsid w:val="518C7E71"/>
    <w:rsid w:val="518E47FC"/>
    <w:rsid w:val="518F170F"/>
    <w:rsid w:val="51907961"/>
    <w:rsid w:val="519311FF"/>
    <w:rsid w:val="51AE58EA"/>
    <w:rsid w:val="51B0125F"/>
    <w:rsid w:val="51B33183"/>
    <w:rsid w:val="51B47AA9"/>
    <w:rsid w:val="51C07B1A"/>
    <w:rsid w:val="51C4760A"/>
    <w:rsid w:val="52224331"/>
    <w:rsid w:val="52274752"/>
    <w:rsid w:val="52462715"/>
    <w:rsid w:val="52524C16"/>
    <w:rsid w:val="5268443A"/>
    <w:rsid w:val="529A036B"/>
    <w:rsid w:val="52A80EC4"/>
    <w:rsid w:val="52C35B14"/>
    <w:rsid w:val="530D4FE1"/>
    <w:rsid w:val="53102992"/>
    <w:rsid w:val="53220A8C"/>
    <w:rsid w:val="532742F5"/>
    <w:rsid w:val="532965BF"/>
    <w:rsid w:val="532D43F4"/>
    <w:rsid w:val="53312A7E"/>
    <w:rsid w:val="53422EDD"/>
    <w:rsid w:val="53513120"/>
    <w:rsid w:val="5385101B"/>
    <w:rsid w:val="539354E6"/>
    <w:rsid w:val="53A2397B"/>
    <w:rsid w:val="53AA2830"/>
    <w:rsid w:val="53B37937"/>
    <w:rsid w:val="53B813F1"/>
    <w:rsid w:val="53FD5056"/>
    <w:rsid w:val="542D593B"/>
    <w:rsid w:val="543842E0"/>
    <w:rsid w:val="54446ACD"/>
    <w:rsid w:val="547524D4"/>
    <w:rsid w:val="548D6B69"/>
    <w:rsid w:val="549239F0"/>
    <w:rsid w:val="54BE57C9"/>
    <w:rsid w:val="54C94F38"/>
    <w:rsid w:val="552503C0"/>
    <w:rsid w:val="552F7491"/>
    <w:rsid w:val="555313D1"/>
    <w:rsid w:val="55543196"/>
    <w:rsid w:val="557650C0"/>
    <w:rsid w:val="55886BA1"/>
    <w:rsid w:val="55B1434A"/>
    <w:rsid w:val="55C776C9"/>
    <w:rsid w:val="55EC7130"/>
    <w:rsid w:val="56114DE8"/>
    <w:rsid w:val="561843C9"/>
    <w:rsid w:val="562B40FC"/>
    <w:rsid w:val="563F54B2"/>
    <w:rsid w:val="566969D2"/>
    <w:rsid w:val="56890E23"/>
    <w:rsid w:val="5695398E"/>
    <w:rsid w:val="56A025CC"/>
    <w:rsid w:val="56A143BE"/>
    <w:rsid w:val="56B51C18"/>
    <w:rsid w:val="56CD0D0F"/>
    <w:rsid w:val="56ED7603"/>
    <w:rsid w:val="57284198"/>
    <w:rsid w:val="572A7F10"/>
    <w:rsid w:val="572D5C52"/>
    <w:rsid w:val="57363B2B"/>
    <w:rsid w:val="573E39BB"/>
    <w:rsid w:val="576B4C7B"/>
    <w:rsid w:val="57882E88"/>
    <w:rsid w:val="578E6C46"/>
    <w:rsid w:val="579B0E0D"/>
    <w:rsid w:val="579E08FE"/>
    <w:rsid w:val="57CE5874"/>
    <w:rsid w:val="57EA5415"/>
    <w:rsid w:val="57EB6225"/>
    <w:rsid w:val="58022C3B"/>
    <w:rsid w:val="58331046"/>
    <w:rsid w:val="58417C07"/>
    <w:rsid w:val="58443253"/>
    <w:rsid w:val="58586CFE"/>
    <w:rsid w:val="58770213"/>
    <w:rsid w:val="58913FBE"/>
    <w:rsid w:val="58A261CC"/>
    <w:rsid w:val="58A61818"/>
    <w:rsid w:val="58F00CE5"/>
    <w:rsid w:val="591F15CA"/>
    <w:rsid w:val="592941F7"/>
    <w:rsid w:val="59345076"/>
    <w:rsid w:val="596C2A61"/>
    <w:rsid w:val="598E069B"/>
    <w:rsid w:val="5991071A"/>
    <w:rsid w:val="59A71CEC"/>
    <w:rsid w:val="59C93BBE"/>
    <w:rsid w:val="59DC55BF"/>
    <w:rsid w:val="5A101AFF"/>
    <w:rsid w:val="5A2E0476"/>
    <w:rsid w:val="5A643739"/>
    <w:rsid w:val="5A6574B1"/>
    <w:rsid w:val="5A6F20DD"/>
    <w:rsid w:val="5AC10B8B"/>
    <w:rsid w:val="5AFC3F46"/>
    <w:rsid w:val="5B6F6839"/>
    <w:rsid w:val="5B7C4516"/>
    <w:rsid w:val="5B843E3C"/>
    <w:rsid w:val="5B8D4F11"/>
    <w:rsid w:val="5B955B74"/>
    <w:rsid w:val="5BA159E3"/>
    <w:rsid w:val="5BAA534A"/>
    <w:rsid w:val="5BC76675"/>
    <w:rsid w:val="5BCC237A"/>
    <w:rsid w:val="5BCE6496"/>
    <w:rsid w:val="5BD743DE"/>
    <w:rsid w:val="5BDA098E"/>
    <w:rsid w:val="5BF94355"/>
    <w:rsid w:val="5C1473E0"/>
    <w:rsid w:val="5C367357"/>
    <w:rsid w:val="5CA249EC"/>
    <w:rsid w:val="5CB42BD9"/>
    <w:rsid w:val="5CCA5AEC"/>
    <w:rsid w:val="5CE65918"/>
    <w:rsid w:val="5CEA6D1E"/>
    <w:rsid w:val="5CEE5E83"/>
    <w:rsid w:val="5D012084"/>
    <w:rsid w:val="5D080CF3"/>
    <w:rsid w:val="5D1551BE"/>
    <w:rsid w:val="5D192AB0"/>
    <w:rsid w:val="5D2418A5"/>
    <w:rsid w:val="5D2D075A"/>
    <w:rsid w:val="5D3A4C25"/>
    <w:rsid w:val="5D681792"/>
    <w:rsid w:val="5D796643"/>
    <w:rsid w:val="5D7E0FB5"/>
    <w:rsid w:val="5DA16A52"/>
    <w:rsid w:val="5DAD53F7"/>
    <w:rsid w:val="5DB449D7"/>
    <w:rsid w:val="5DD21301"/>
    <w:rsid w:val="5DE66B5A"/>
    <w:rsid w:val="5E1C432A"/>
    <w:rsid w:val="5E2F405E"/>
    <w:rsid w:val="5E8E347A"/>
    <w:rsid w:val="5E9E0C33"/>
    <w:rsid w:val="5F025312"/>
    <w:rsid w:val="5F0C25F1"/>
    <w:rsid w:val="5F1E062E"/>
    <w:rsid w:val="5F2D4A41"/>
    <w:rsid w:val="5F3E6C4E"/>
    <w:rsid w:val="5F4F0E5B"/>
    <w:rsid w:val="5FFC6958"/>
    <w:rsid w:val="60055270"/>
    <w:rsid w:val="6025396A"/>
    <w:rsid w:val="602B2646"/>
    <w:rsid w:val="60422768"/>
    <w:rsid w:val="60433DF0"/>
    <w:rsid w:val="604A1623"/>
    <w:rsid w:val="60566219"/>
    <w:rsid w:val="60624BBE"/>
    <w:rsid w:val="606A3A73"/>
    <w:rsid w:val="609917DB"/>
    <w:rsid w:val="60ED7300"/>
    <w:rsid w:val="60F577E0"/>
    <w:rsid w:val="60F61749"/>
    <w:rsid w:val="60F670B5"/>
    <w:rsid w:val="619D39D4"/>
    <w:rsid w:val="61EB2991"/>
    <w:rsid w:val="620852F1"/>
    <w:rsid w:val="6220263B"/>
    <w:rsid w:val="624625DA"/>
    <w:rsid w:val="62481B92"/>
    <w:rsid w:val="62682234"/>
    <w:rsid w:val="62797F9D"/>
    <w:rsid w:val="62832BCA"/>
    <w:rsid w:val="628726BA"/>
    <w:rsid w:val="629C5A7F"/>
    <w:rsid w:val="62AA45FB"/>
    <w:rsid w:val="62B114E5"/>
    <w:rsid w:val="62D84E78"/>
    <w:rsid w:val="62EE098B"/>
    <w:rsid w:val="62FD0BCE"/>
    <w:rsid w:val="62FF0AD9"/>
    <w:rsid w:val="634B7B8C"/>
    <w:rsid w:val="63585E05"/>
    <w:rsid w:val="635A4899"/>
    <w:rsid w:val="637F18FC"/>
    <w:rsid w:val="637F3293"/>
    <w:rsid w:val="639257BA"/>
    <w:rsid w:val="63A948B2"/>
    <w:rsid w:val="63B53257"/>
    <w:rsid w:val="64195594"/>
    <w:rsid w:val="64315E63"/>
    <w:rsid w:val="645962D8"/>
    <w:rsid w:val="6486074F"/>
    <w:rsid w:val="64A62BA0"/>
    <w:rsid w:val="64B74DAD"/>
    <w:rsid w:val="64CC2606"/>
    <w:rsid w:val="64D77029"/>
    <w:rsid w:val="64DD2A65"/>
    <w:rsid w:val="64E130C8"/>
    <w:rsid w:val="651D2E62"/>
    <w:rsid w:val="652C579B"/>
    <w:rsid w:val="65393A14"/>
    <w:rsid w:val="65611F88"/>
    <w:rsid w:val="65AC59B4"/>
    <w:rsid w:val="65AE61B0"/>
    <w:rsid w:val="65BF1822"/>
    <w:rsid w:val="66214BD4"/>
    <w:rsid w:val="66252916"/>
    <w:rsid w:val="66260616"/>
    <w:rsid w:val="66291CDA"/>
    <w:rsid w:val="662F72F1"/>
    <w:rsid w:val="66363D67"/>
    <w:rsid w:val="66576847"/>
    <w:rsid w:val="66723681"/>
    <w:rsid w:val="668B64F1"/>
    <w:rsid w:val="6692162D"/>
    <w:rsid w:val="66EB0348"/>
    <w:rsid w:val="66F67E0E"/>
    <w:rsid w:val="6710230E"/>
    <w:rsid w:val="671464E6"/>
    <w:rsid w:val="671A71BF"/>
    <w:rsid w:val="67310E46"/>
    <w:rsid w:val="6744096B"/>
    <w:rsid w:val="67A55390"/>
    <w:rsid w:val="67C95523"/>
    <w:rsid w:val="67DB1A88"/>
    <w:rsid w:val="67DB1F64"/>
    <w:rsid w:val="6841330B"/>
    <w:rsid w:val="68684D3C"/>
    <w:rsid w:val="6881195A"/>
    <w:rsid w:val="6884144A"/>
    <w:rsid w:val="68A73B34"/>
    <w:rsid w:val="68B166E3"/>
    <w:rsid w:val="68B67474"/>
    <w:rsid w:val="68BB130F"/>
    <w:rsid w:val="68C47A98"/>
    <w:rsid w:val="68D0643D"/>
    <w:rsid w:val="690A0810"/>
    <w:rsid w:val="691C4FF1"/>
    <w:rsid w:val="69252C2D"/>
    <w:rsid w:val="69276DAC"/>
    <w:rsid w:val="692F585A"/>
    <w:rsid w:val="69313380"/>
    <w:rsid w:val="69540E1C"/>
    <w:rsid w:val="69635503"/>
    <w:rsid w:val="69670B4F"/>
    <w:rsid w:val="696F55E0"/>
    <w:rsid w:val="69A578CA"/>
    <w:rsid w:val="69CB5582"/>
    <w:rsid w:val="69CD6D70"/>
    <w:rsid w:val="69D106BF"/>
    <w:rsid w:val="69E06B54"/>
    <w:rsid w:val="69E55F18"/>
    <w:rsid w:val="6A3C6480"/>
    <w:rsid w:val="6A4B322E"/>
    <w:rsid w:val="6A575068"/>
    <w:rsid w:val="6A694D9B"/>
    <w:rsid w:val="6A7F67F0"/>
    <w:rsid w:val="6ABC788E"/>
    <w:rsid w:val="6ACA3A8C"/>
    <w:rsid w:val="6B032AFA"/>
    <w:rsid w:val="6B15282D"/>
    <w:rsid w:val="6B1C3BBC"/>
    <w:rsid w:val="6B223FC8"/>
    <w:rsid w:val="6B282560"/>
    <w:rsid w:val="6B3709F5"/>
    <w:rsid w:val="6B72469A"/>
    <w:rsid w:val="6BC71D79"/>
    <w:rsid w:val="6BFA3EFD"/>
    <w:rsid w:val="6C11286E"/>
    <w:rsid w:val="6C264CF2"/>
    <w:rsid w:val="6C4038DA"/>
    <w:rsid w:val="6C411B2C"/>
    <w:rsid w:val="6C5775A1"/>
    <w:rsid w:val="6C6E6699"/>
    <w:rsid w:val="6C706215"/>
    <w:rsid w:val="6C7D068A"/>
    <w:rsid w:val="6C7F4402"/>
    <w:rsid w:val="6C832144"/>
    <w:rsid w:val="6C9003BD"/>
    <w:rsid w:val="6CB95A5F"/>
    <w:rsid w:val="6CBA368C"/>
    <w:rsid w:val="6CC4275D"/>
    <w:rsid w:val="6CC97C75"/>
    <w:rsid w:val="6CCE0EE6"/>
    <w:rsid w:val="6CDF6AF7"/>
    <w:rsid w:val="6D0B213A"/>
    <w:rsid w:val="6D437B25"/>
    <w:rsid w:val="6D94212F"/>
    <w:rsid w:val="6DD32C57"/>
    <w:rsid w:val="6DE76703"/>
    <w:rsid w:val="6E1B015A"/>
    <w:rsid w:val="6E313E22"/>
    <w:rsid w:val="6E3D6323"/>
    <w:rsid w:val="6E4678CD"/>
    <w:rsid w:val="6E6B7334"/>
    <w:rsid w:val="6E737F96"/>
    <w:rsid w:val="6E867CCA"/>
    <w:rsid w:val="6E9A55E1"/>
    <w:rsid w:val="6ECB1B80"/>
    <w:rsid w:val="6EE964AB"/>
    <w:rsid w:val="6EEB5D7F"/>
    <w:rsid w:val="6EFD5AB2"/>
    <w:rsid w:val="6F255735"/>
    <w:rsid w:val="6F333EF7"/>
    <w:rsid w:val="6F54601A"/>
    <w:rsid w:val="6F6F075E"/>
    <w:rsid w:val="6F7C1E52"/>
    <w:rsid w:val="6FA50623"/>
    <w:rsid w:val="6FB97C2B"/>
    <w:rsid w:val="6FFD58F6"/>
    <w:rsid w:val="70027824"/>
    <w:rsid w:val="70231548"/>
    <w:rsid w:val="703B4AE4"/>
    <w:rsid w:val="70462542"/>
    <w:rsid w:val="70743B8C"/>
    <w:rsid w:val="707521BC"/>
    <w:rsid w:val="70940927"/>
    <w:rsid w:val="709A02F9"/>
    <w:rsid w:val="70A628A5"/>
    <w:rsid w:val="70BA1EAD"/>
    <w:rsid w:val="70D25448"/>
    <w:rsid w:val="70E6151C"/>
    <w:rsid w:val="70F3417F"/>
    <w:rsid w:val="70FA04FB"/>
    <w:rsid w:val="711409A6"/>
    <w:rsid w:val="71213AE5"/>
    <w:rsid w:val="717C1858"/>
    <w:rsid w:val="71A62431"/>
    <w:rsid w:val="71AA77FD"/>
    <w:rsid w:val="71CA25C3"/>
    <w:rsid w:val="71D40D4C"/>
    <w:rsid w:val="71F80EDE"/>
    <w:rsid w:val="72031631"/>
    <w:rsid w:val="724203AC"/>
    <w:rsid w:val="725B146D"/>
    <w:rsid w:val="72646574"/>
    <w:rsid w:val="72DA05E4"/>
    <w:rsid w:val="72E41463"/>
    <w:rsid w:val="7327134F"/>
    <w:rsid w:val="73372296"/>
    <w:rsid w:val="736305DA"/>
    <w:rsid w:val="737C78ED"/>
    <w:rsid w:val="73B40E35"/>
    <w:rsid w:val="73BF4107"/>
    <w:rsid w:val="73C3376E"/>
    <w:rsid w:val="73EC4DD4"/>
    <w:rsid w:val="73FE6554"/>
    <w:rsid w:val="74035919"/>
    <w:rsid w:val="74065409"/>
    <w:rsid w:val="74341F76"/>
    <w:rsid w:val="7439758C"/>
    <w:rsid w:val="7447182B"/>
    <w:rsid w:val="74A40EAA"/>
    <w:rsid w:val="74B80DF9"/>
    <w:rsid w:val="74C34383"/>
    <w:rsid w:val="7504236C"/>
    <w:rsid w:val="75660855"/>
    <w:rsid w:val="75672638"/>
    <w:rsid w:val="75695C4F"/>
    <w:rsid w:val="757E794D"/>
    <w:rsid w:val="75CB06B8"/>
    <w:rsid w:val="75DE1077"/>
    <w:rsid w:val="761738FD"/>
    <w:rsid w:val="763335B4"/>
    <w:rsid w:val="76404C02"/>
    <w:rsid w:val="76431639"/>
    <w:rsid w:val="766A6123"/>
    <w:rsid w:val="768314E5"/>
    <w:rsid w:val="76A038F3"/>
    <w:rsid w:val="76AC04E9"/>
    <w:rsid w:val="76FA70AE"/>
    <w:rsid w:val="770F2355"/>
    <w:rsid w:val="77253DF8"/>
    <w:rsid w:val="77274014"/>
    <w:rsid w:val="77324E93"/>
    <w:rsid w:val="773E67BE"/>
    <w:rsid w:val="77512E3F"/>
    <w:rsid w:val="775F730A"/>
    <w:rsid w:val="776212AE"/>
    <w:rsid w:val="777059BB"/>
    <w:rsid w:val="777C6798"/>
    <w:rsid w:val="77802A07"/>
    <w:rsid w:val="77A318EC"/>
    <w:rsid w:val="77B75398"/>
    <w:rsid w:val="77CD0717"/>
    <w:rsid w:val="7802091A"/>
    <w:rsid w:val="78395DAD"/>
    <w:rsid w:val="7841217F"/>
    <w:rsid w:val="786077DD"/>
    <w:rsid w:val="7879089F"/>
    <w:rsid w:val="78A47E53"/>
    <w:rsid w:val="78AD0549"/>
    <w:rsid w:val="78BC253A"/>
    <w:rsid w:val="78BE2BC8"/>
    <w:rsid w:val="78D67AA0"/>
    <w:rsid w:val="78FD6DDA"/>
    <w:rsid w:val="790068CB"/>
    <w:rsid w:val="790C0D3A"/>
    <w:rsid w:val="791B3704"/>
    <w:rsid w:val="79492020"/>
    <w:rsid w:val="794C38BE"/>
    <w:rsid w:val="795A5FDB"/>
    <w:rsid w:val="79A656C4"/>
    <w:rsid w:val="79CB6ED9"/>
    <w:rsid w:val="79D302B7"/>
    <w:rsid w:val="79F2437B"/>
    <w:rsid w:val="79F521A7"/>
    <w:rsid w:val="79FC1A5A"/>
    <w:rsid w:val="7A0348C4"/>
    <w:rsid w:val="7A2D1941"/>
    <w:rsid w:val="7A301431"/>
    <w:rsid w:val="7A41719B"/>
    <w:rsid w:val="7A5A200A"/>
    <w:rsid w:val="7A770E0E"/>
    <w:rsid w:val="7A7E3F4B"/>
    <w:rsid w:val="7AB427C6"/>
    <w:rsid w:val="7ABB519F"/>
    <w:rsid w:val="7AD24297"/>
    <w:rsid w:val="7AE71D87"/>
    <w:rsid w:val="7AFB37ED"/>
    <w:rsid w:val="7AFD7566"/>
    <w:rsid w:val="7B073F40"/>
    <w:rsid w:val="7B3D5BB4"/>
    <w:rsid w:val="7B476A33"/>
    <w:rsid w:val="7B6A2721"/>
    <w:rsid w:val="7B7875FC"/>
    <w:rsid w:val="7BB045D8"/>
    <w:rsid w:val="7BB120FE"/>
    <w:rsid w:val="7BDF4EBD"/>
    <w:rsid w:val="7BE20509"/>
    <w:rsid w:val="7C044924"/>
    <w:rsid w:val="7C156841"/>
    <w:rsid w:val="7C273E90"/>
    <w:rsid w:val="7C4453CC"/>
    <w:rsid w:val="7C517C20"/>
    <w:rsid w:val="7C541407"/>
    <w:rsid w:val="7C75312C"/>
    <w:rsid w:val="7CA73C2D"/>
    <w:rsid w:val="7CBE4AD3"/>
    <w:rsid w:val="7D133070"/>
    <w:rsid w:val="7D142945"/>
    <w:rsid w:val="7D2708CA"/>
    <w:rsid w:val="7D7B6E68"/>
    <w:rsid w:val="7D831878"/>
    <w:rsid w:val="7D875C02"/>
    <w:rsid w:val="7DBE3D05"/>
    <w:rsid w:val="7DC75C09"/>
    <w:rsid w:val="7DCB56F9"/>
    <w:rsid w:val="7DDD367E"/>
    <w:rsid w:val="7DEE13E8"/>
    <w:rsid w:val="7DEE7639"/>
    <w:rsid w:val="7DF51AD8"/>
    <w:rsid w:val="7DFB58B2"/>
    <w:rsid w:val="7E1B52C3"/>
    <w:rsid w:val="7E1D1CCD"/>
    <w:rsid w:val="7E1E735E"/>
    <w:rsid w:val="7E413AB9"/>
    <w:rsid w:val="7E4E00D8"/>
    <w:rsid w:val="7E682F48"/>
    <w:rsid w:val="7E7062A0"/>
    <w:rsid w:val="7E757C17"/>
    <w:rsid w:val="7E786F03"/>
    <w:rsid w:val="7E926217"/>
    <w:rsid w:val="7EC00FD6"/>
    <w:rsid w:val="7ECA3C03"/>
    <w:rsid w:val="7F080113"/>
    <w:rsid w:val="7F1135E0"/>
    <w:rsid w:val="7F2D4191"/>
    <w:rsid w:val="7F3E014D"/>
    <w:rsid w:val="7F5E259D"/>
    <w:rsid w:val="7F631961"/>
    <w:rsid w:val="7F6556D9"/>
    <w:rsid w:val="7F707FA8"/>
    <w:rsid w:val="7FAA57E2"/>
    <w:rsid w:val="7FAE46EE"/>
    <w:rsid w:val="7FD05249"/>
    <w:rsid w:val="7FD91C23"/>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2"/>
    <w:next w:val="1"/>
    <w:qFormat/>
    <w:uiPriority w:val="0"/>
    <w:pPr>
      <w:keepNext/>
      <w:keepLines/>
      <w:pageBreakBefore/>
      <w:numPr>
        <w:ilvl w:val="0"/>
        <w:numId w:val="1"/>
      </w:numPr>
      <w:adjustRightInd w:val="0"/>
      <w:spacing w:before="340" w:after="330" w:line="900" w:lineRule="exact"/>
    </w:pPr>
    <w:rPr>
      <w:kern w:val="44"/>
      <w:sz w:val="32"/>
      <w:szCs w:val="20"/>
    </w:rPr>
  </w:style>
  <w:style w:type="paragraph" w:styleId="4">
    <w:name w:val="heading 2"/>
    <w:basedOn w:val="1"/>
    <w:next w:val="1"/>
    <w:link w:val="60"/>
    <w:qFormat/>
    <w:uiPriority w:val="9"/>
    <w:pPr>
      <w:keepNext/>
      <w:keepLines/>
      <w:spacing w:before="260" w:after="260" w:line="500" w:lineRule="exact"/>
      <w:contextualSpacing/>
      <w:jc w:val="center"/>
      <w:outlineLvl w:val="1"/>
    </w:pPr>
    <w:rPr>
      <w:rFonts w:ascii="宋体"/>
      <w:szCs w:val="28"/>
    </w:rPr>
  </w:style>
  <w:style w:type="paragraph" w:styleId="5">
    <w:name w:val="heading 3"/>
    <w:basedOn w:val="1"/>
    <w:next w:val="1"/>
    <w:qFormat/>
    <w:uiPriority w:val="0"/>
    <w:pPr>
      <w:keepNext/>
      <w:keepLines/>
      <w:spacing w:before="260" w:after="260" w:line="416" w:lineRule="auto"/>
      <w:jc w:val="center"/>
      <w:outlineLvl w:val="2"/>
    </w:pPr>
    <w:rPr>
      <w:rFonts w:ascii="Calibri" w:hAnsi="Calibri" w:eastAsia="微软雅黑"/>
      <w:b/>
      <w:bCs/>
      <w:sz w:val="24"/>
      <w:szCs w:val="32"/>
    </w:rPr>
  </w:style>
  <w:style w:type="character" w:default="1" w:styleId="34">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6"/>
      <w:szCs w:val="32"/>
    </w:rPr>
  </w:style>
  <w:style w:type="paragraph" w:styleId="6">
    <w:name w:val="toc 7"/>
    <w:basedOn w:val="1"/>
    <w:next w:val="1"/>
    <w:qFormat/>
    <w:uiPriority w:val="0"/>
    <w:pPr>
      <w:ind w:left="2520" w:leftChars="1200"/>
    </w:pPr>
    <w:rPr>
      <w:sz w:val="28"/>
      <w:szCs w:val="20"/>
    </w:rPr>
  </w:style>
  <w:style w:type="paragraph" w:styleId="7">
    <w:name w:val="Normal Indent"/>
    <w:basedOn w:val="1"/>
    <w:qFormat/>
    <w:uiPriority w:val="99"/>
    <w:pPr>
      <w:widowControl/>
      <w:ind w:firstLine="420"/>
      <w:jc w:val="left"/>
    </w:pPr>
    <w:rPr>
      <w:kern w:val="0"/>
      <w:sz w:val="20"/>
      <w:szCs w:val="20"/>
    </w:rPr>
  </w:style>
  <w:style w:type="paragraph" w:styleId="8">
    <w:name w:val="index 5"/>
    <w:basedOn w:val="9"/>
    <w:next w:val="9"/>
    <w:qFormat/>
    <w:uiPriority w:val="0"/>
    <w:pPr>
      <w:ind w:left="1680"/>
    </w:pPr>
  </w:style>
  <w:style w:type="paragraph" w:customStyle="1" w:styleId="9">
    <w:name w:val="正文1"/>
    <w:basedOn w:val="10"/>
    <w:qFormat/>
    <w:uiPriority w:val="0"/>
    <w:rPr>
      <w:szCs w:val="22"/>
    </w:rPr>
  </w:style>
  <w:style w:type="paragraph" w:customStyle="1" w:styleId="10">
    <w:name w:val="正文_0"/>
    <w:basedOn w:val="11"/>
    <w:next w:val="13"/>
    <w:qFormat/>
    <w:uiPriority w:val="0"/>
    <w:rPr>
      <w:szCs w:val="24"/>
    </w:rPr>
  </w:style>
  <w:style w:type="paragraph" w:customStyle="1" w:styleId="11">
    <w:name w:val="正文_1"/>
    <w:next w:val="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
    <w:name w:val="列表_0"/>
    <w:basedOn w:val="11"/>
    <w:semiHidden/>
    <w:qFormat/>
    <w:uiPriority w:val="0"/>
    <w:pPr>
      <w:ind w:left="200" w:hanging="200" w:hangingChars="200"/>
    </w:pPr>
  </w:style>
  <w:style w:type="paragraph" w:styleId="13">
    <w:name w:val="List"/>
    <w:basedOn w:val="1"/>
    <w:semiHidden/>
    <w:qFormat/>
    <w:uiPriority w:val="0"/>
    <w:pPr>
      <w:ind w:left="200" w:hanging="200" w:hangingChars="200"/>
    </w:pPr>
  </w:style>
  <w:style w:type="paragraph" w:styleId="14">
    <w:name w:val="Body Text"/>
    <w:basedOn w:val="1"/>
    <w:next w:val="15"/>
    <w:unhideWhenUsed/>
    <w:qFormat/>
    <w:uiPriority w:val="1"/>
    <w:pPr>
      <w:spacing w:after="120"/>
    </w:pPr>
  </w:style>
  <w:style w:type="paragraph" w:styleId="15">
    <w:name w:val="Body Text First Indent"/>
    <w:basedOn w:val="14"/>
    <w:qFormat/>
    <w:uiPriority w:val="0"/>
    <w:pPr>
      <w:ind w:firstLine="420" w:firstLineChars="100"/>
    </w:pPr>
    <w:rPr>
      <w:szCs w:val="24"/>
    </w:rPr>
  </w:style>
  <w:style w:type="paragraph" w:styleId="16">
    <w:name w:val="Body Text Indent"/>
    <w:basedOn w:val="1"/>
    <w:qFormat/>
    <w:uiPriority w:val="0"/>
    <w:pPr>
      <w:spacing w:after="120"/>
      <w:ind w:left="420" w:leftChars="200"/>
    </w:pPr>
  </w:style>
  <w:style w:type="paragraph" w:styleId="17">
    <w:name w:val="toc 5"/>
    <w:basedOn w:val="1"/>
    <w:next w:val="1"/>
    <w:qFormat/>
    <w:uiPriority w:val="0"/>
    <w:pPr>
      <w:ind w:left="1680" w:leftChars="800"/>
    </w:pPr>
    <w:rPr>
      <w:sz w:val="28"/>
      <w:szCs w:val="20"/>
    </w:rPr>
  </w:style>
  <w:style w:type="paragraph" w:styleId="18">
    <w:name w:val="toc 3"/>
    <w:basedOn w:val="1"/>
    <w:next w:val="1"/>
    <w:qFormat/>
    <w:uiPriority w:val="0"/>
    <w:pPr>
      <w:ind w:left="840" w:leftChars="400"/>
    </w:pPr>
    <w:rPr>
      <w:sz w:val="28"/>
      <w:szCs w:val="20"/>
    </w:rPr>
  </w:style>
  <w:style w:type="paragraph" w:styleId="19">
    <w:name w:val="Plain Text"/>
    <w:basedOn w:val="1"/>
    <w:qFormat/>
    <w:uiPriority w:val="99"/>
    <w:rPr>
      <w:rFonts w:ascii="宋体" w:hAnsi="Courier New" w:cs="Courier New"/>
      <w:szCs w:val="21"/>
    </w:rPr>
  </w:style>
  <w:style w:type="paragraph" w:styleId="20">
    <w:name w:val="toc 8"/>
    <w:basedOn w:val="1"/>
    <w:next w:val="1"/>
    <w:qFormat/>
    <w:uiPriority w:val="0"/>
    <w:pPr>
      <w:ind w:left="2940" w:leftChars="1400"/>
    </w:pPr>
    <w:rPr>
      <w:sz w:val="28"/>
      <w:szCs w:val="20"/>
    </w:rPr>
  </w:style>
  <w:style w:type="paragraph" w:styleId="21">
    <w:name w:val="Body Text Indent 2"/>
    <w:basedOn w:val="1"/>
    <w:qFormat/>
    <w:uiPriority w:val="0"/>
    <w:pPr>
      <w:spacing w:before="120"/>
      <w:ind w:firstLine="420"/>
    </w:pPr>
    <w:rPr>
      <w:sz w:val="24"/>
      <w:szCs w:val="20"/>
    </w:r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toc 1"/>
    <w:basedOn w:val="1"/>
    <w:next w:val="1"/>
    <w:qFormat/>
    <w:uiPriority w:val="0"/>
    <w:rPr>
      <w:szCs w:val="24"/>
    </w:rPr>
  </w:style>
  <w:style w:type="paragraph" w:styleId="25">
    <w:name w:val="toc 4"/>
    <w:basedOn w:val="1"/>
    <w:next w:val="1"/>
    <w:qFormat/>
    <w:uiPriority w:val="0"/>
    <w:pPr>
      <w:ind w:left="1260" w:leftChars="600"/>
    </w:pPr>
    <w:rPr>
      <w:sz w:val="28"/>
      <w:szCs w:val="20"/>
    </w:rPr>
  </w:style>
  <w:style w:type="paragraph" w:styleId="26">
    <w:name w:val="footnote text"/>
    <w:basedOn w:val="1"/>
    <w:next w:val="8"/>
    <w:qFormat/>
    <w:uiPriority w:val="99"/>
    <w:pPr>
      <w:snapToGrid w:val="0"/>
      <w:jc w:val="left"/>
    </w:pPr>
    <w:rPr>
      <w:sz w:val="18"/>
    </w:rPr>
  </w:style>
  <w:style w:type="paragraph" w:styleId="27">
    <w:name w:val="toc 6"/>
    <w:basedOn w:val="1"/>
    <w:next w:val="1"/>
    <w:qFormat/>
    <w:uiPriority w:val="0"/>
    <w:pPr>
      <w:ind w:left="2100" w:leftChars="1000"/>
    </w:pPr>
    <w:rPr>
      <w:sz w:val="28"/>
      <w:szCs w:val="20"/>
    </w:rPr>
  </w:style>
  <w:style w:type="paragraph" w:styleId="28">
    <w:name w:val="toc 2"/>
    <w:basedOn w:val="1"/>
    <w:next w:val="1"/>
    <w:qFormat/>
    <w:uiPriority w:val="0"/>
    <w:pPr>
      <w:ind w:left="210"/>
      <w:jc w:val="left"/>
    </w:pPr>
    <w:rPr>
      <w:szCs w:val="20"/>
    </w:rPr>
  </w:style>
  <w:style w:type="paragraph" w:styleId="29">
    <w:name w:val="toc 9"/>
    <w:basedOn w:val="1"/>
    <w:next w:val="1"/>
    <w:qFormat/>
    <w:uiPriority w:val="0"/>
    <w:pPr>
      <w:ind w:left="3360" w:leftChars="1600"/>
    </w:pPr>
    <w:rPr>
      <w:sz w:val="28"/>
      <w:szCs w:val="20"/>
    </w:rPr>
  </w:style>
  <w:style w:type="paragraph" w:styleId="30">
    <w:name w:val="Body Text 2"/>
    <w:basedOn w:val="1"/>
    <w:qFormat/>
    <w:uiPriority w:val="0"/>
    <w:pPr>
      <w:spacing w:before="120" w:line="360" w:lineRule="auto"/>
      <w:ind w:firstLine="480"/>
    </w:pPr>
    <w:rPr>
      <w:sz w:val="24"/>
      <w:szCs w:val="20"/>
    </w:rPr>
  </w:style>
  <w:style w:type="paragraph" w:styleId="31">
    <w:name w:val="Normal (Web)"/>
    <w:basedOn w:val="1"/>
    <w:qFormat/>
    <w:uiPriority w:val="0"/>
    <w:pPr>
      <w:spacing w:before="100" w:beforeAutospacing="1" w:after="100" w:afterAutospacing="1"/>
      <w:jc w:val="left"/>
    </w:pPr>
    <w:rPr>
      <w:kern w:val="0"/>
      <w:sz w:val="24"/>
    </w:rPr>
  </w:style>
  <w:style w:type="paragraph" w:styleId="32">
    <w:name w:val="Body Text First Indent 2"/>
    <w:basedOn w:val="16"/>
    <w:qFormat/>
    <w:uiPriority w:val="0"/>
    <w:pPr>
      <w:ind w:firstLine="420" w:firstLineChars="200"/>
    </w:pPr>
  </w:style>
  <w:style w:type="paragraph" w:customStyle="1" w:styleId="35">
    <w:name w:val="Default"/>
    <w:basedOn w:val="2"/>
    <w:next w:val="3"/>
    <w:qFormat/>
    <w:uiPriority w:val="0"/>
    <w:pPr>
      <w:autoSpaceDE w:val="0"/>
      <w:autoSpaceDN w:val="0"/>
    </w:pPr>
    <w:rPr>
      <w:rFonts w:ascii="微软雅黑" w:eastAsia="微软雅黑"/>
      <w:color w:val="000000"/>
      <w:sz w:val="24"/>
      <w:szCs w:val="24"/>
    </w:rPr>
  </w:style>
  <w:style w:type="paragraph" w:customStyle="1" w:styleId="36">
    <w:name w:val="正文文本_0"/>
    <w:basedOn w:val="37"/>
    <w:unhideWhenUsed/>
    <w:qFormat/>
    <w:uiPriority w:val="0"/>
    <w:pPr>
      <w:spacing w:after="120"/>
    </w:pPr>
  </w:style>
  <w:style w:type="paragraph" w:customStyle="1" w:styleId="37">
    <w:name w:val="正文_0_1"/>
    <w:basedOn w:val="38"/>
    <w:next w:val="47"/>
    <w:qFormat/>
    <w:uiPriority w:val="0"/>
    <w:rPr>
      <w:rFonts w:ascii="Calibri" w:hAnsi="Calibri" w:eastAsia="仿宋_GB2312"/>
      <w:sz w:val="28"/>
    </w:rPr>
  </w:style>
  <w:style w:type="paragraph" w:customStyle="1" w:styleId="38">
    <w:name w:val="正文_0_2"/>
    <w:basedOn w:val="39"/>
    <w:next w:val="46"/>
    <w:qFormat/>
    <w:uiPriority w:val="0"/>
    <w:rPr>
      <w:rFonts w:ascii="Times New Roman" w:hAnsi="Times New Roman"/>
      <w:szCs w:val="24"/>
    </w:rPr>
  </w:style>
  <w:style w:type="paragraph" w:customStyle="1" w:styleId="39">
    <w:name w:val="正文_2_1"/>
    <w:basedOn w:val="40"/>
    <w:next w:val="41"/>
    <w:qFormat/>
    <w:uiPriority w:val="0"/>
  </w:style>
  <w:style w:type="paragraph" w:customStyle="1" w:styleId="4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No Spacing_0"/>
    <w:basedOn w:val="42"/>
    <w:qFormat/>
    <w:uiPriority w:val="0"/>
  </w:style>
  <w:style w:type="paragraph" w:customStyle="1" w:styleId="42">
    <w:name w:val="正文_5"/>
    <w:basedOn w:val="43"/>
    <w:next w:val="45"/>
    <w:qFormat/>
    <w:uiPriority w:val="0"/>
    <w:rPr>
      <w:szCs w:val="21"/>
    </w:rPr>
  </w:style>
  <w:style w:type="paragraph" w:customStyle="1" w:styleId="43">
    <w:name w:val="正文_6"/>
    <w:next w:val="4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列表_1"/>
    <w:basedOn w:val="43"/>
    <w:semiHidden/>
    <w:qFormat/>
    <w:uiPriority w:val="0"/>
    <w:pPr>
      <w:ind w:left="200" w:hanging="200" w:hangingChars="200"/>
    </w:pPr>
  </w:style>
  <w:style w:type="paragraph" w:customStyle="1" w:styleId="45">
    <w:name w:val="段_0"/>
    <w:next w:val="42"/>
    <w:qFormat/>
    <w:uiPriority w:val="0"/>
    <w:pPr>
      <w:autoSpaceDE w:val="0"/>
      <w:autoSpaceDN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46">
    <w:name w:val="页脚_0_0"/>
    <w:basedOn w:val="38"/>
    <w:qFormat/>
    <w:uiPriority w:val="0"/>
    <w:pPr>
      <w:tabs>
        <w:tab w:val="center" w:pos="4153"/>
        <w:tab w:val="right" w:pos="8306"/>
      </w:tabs>
      <w:snapToGrid w:val="0"/>
      <w:jc w:val="left"/>
    </w:pPr>
    <w:rPr>
      <w:sz w:val="18"/>
      <w:szCs w:val="18"/>
    </w:rPr>
  </w:style>
  <w:style w:type="paragraph" w:customStyle="1" w:styleId="47">
    <w:name w:val="页脚_0"/>
    <w:basedOn w:val="10"/>
    <w:qFormat/>
    <w:uiPriority w:val="0"/>
    <w:pPr>
      <w:tabs>
        <w:tab w:val="center" w:pos="4153"/>
        <w:tab w:val="right" w:pos="8306"/>
      </w:tabs>
      <w:snapToGrid w:val="0"/>
      <w:jc w:val="left"/>
    </w:pPr>
    <w:rPr>
      <w:sz w:val="18"/>
      <w:szCs w:val="18"/>
    </w:rPr>
  </w:style>
  <w:style w:type="paragraph" w:customStyle="1" w:styleId="48">
    <w:name w:val="标题 11"/>
    <w:basedOn w:val="1"/>
    <w:link w:val="59"/>
    <w:qFormat/>
    <w:uiPriority w:val="0"/>
    <w:pPr>
      <w:keepNext/>
      <w:keepLines/>
      <w:spacing w:before="340" w:after="330" w:line="576" w:lineRule="auto"/>
      <w:outlineLvl w:val="0"/>
    </w:pPr>
    <w:rPr>
      <w:b/>
      <w:bCs/>
      <w:kern w:val="44"/>
      <w:sz w:val="44"/>
      <w:szCs w:val="44"/>
    </w:rPr>
  </w:style>
  <w:style w:type="paragraph" w:customStyle="1" w:styleId="49">
    <w:name w:val="标题 21"/>
    <w:basedOn w:val="1"/>
    <w:qFormat/>
    <w:uiPriority w:val="0"/>
    <w:pPr>
      <w:keepNext/>
      <w:keepLines/>
      <w:spacing w:before="260" w:after="260" w:line="413" w:lineRule="auto"/>
      <w:ind w:firstLine="628"/>
      <w:jc w:val="center"/>
      <w:outlineLvl w:val="1"/>
    </w:pPr>
    <w:rPr>
      <w:rFonts w:ascii="Arial" w:hAnsi="Arial" w:eastAsia="黑体"/>
      <w:b/>
      <w:bCs/>
      <w:kern w:val="0"/>
      <w:sz w:val="32"/>
      <w:szCs w:val="32"/>
    </w:rPr>
  </w:style>
  <w:style w:type="paragraph" w:customStyle="1" w:styleId="50">
    <w:name w:val="标题 31"/>
    <w:basedOn w:val="1"/>
    <w:link w:val="61"/>
    <w:qFormat/>
    <w:uiPriority w:val="0"/>
    <w:pPr>
      <w:keepNext/>
      <w:keepLines/>
      <w:spacing w:before="260" w:after="260" w:line="413" w:lineRule="auto"/>
      <w:jc w:val="center"/>
      <w:outlineLvl w:val="2"/>
    </w:pPr>
    <w:rPr>
      <w:b/>
      <w:kern w:val="0"/>
      <w:sz w:val="44"/>
      <w:szCs w:val="20"/>
    </w:rPr>
  </w:style>
  <w:style w:type="paragraph" w:customStyle="1" w:styleId="51">
    <w:name w:val="标题 41"/>
    <w:basedOn w:val="1"/>
    <w:link w:val="62"/>
    <w:qFormat/>
    <w:uiPriority w:val="0"/>
    <w:pPr>
      <w:keepNext/>
      <w:keepLines/>
      <w:numPr>
        <w:ilvl w:val="0"/>
        <w:numId w:val="2"/>
      </w:numPr>
      <w:tabs>
        <w:tab w:val="clear" w:pos="1620"/>
      </w:tabs>
      <w:spacing w:before="560" w:after="290" w:line="377" w:lineRule="auto"/>
      <w:outlineLvl w:val="3"/>
    </w:pPr>
    <w:rPr>
      <w:rFonts w:ascii="Arial" w:hAnsi="Arial" w:eastAsia="黑体"/>
      <w:b/>
      <w:sz w:val="28"/>
      <w:szCs w:val="20"/>
    </w:rPr>
  </w:style>
  <w:style w:type="paragraph" w:customStyle="1" w:styleId="52">
    <w:name w:val="标题 51"/>
    <w:basedOn w:val="1"/>
    <w:link w:val="63"/>
    <w:qFormat/>
    <w:uiPriority w:val="0"/>
    <w:pPr>
      <w:keepNext/>
      <w:keepLines/>
      <w:tabs>
        <w:tab w:val="left" w:pos="2551"/>
      </w:tabs>
      <w:spacing w:before="280" w:after="290" w:line="372" w:lineRule="auto"/>
      <w:ind w:left="2551" w:hanging="850"/>
      <w:outlineLvl w:val="4"/>
    </w:pPr>
    <w:rPr>
      <w:b/>
      <w:kern w:val="0"/>
      <w:sz w:val="28"/>
      <w:szCs w:val="20"/>
    </w:rPr>
  </w:style>
  <w:style w:type="paragraph" w:customStyle="1" w:styleId="53">
    <w:name w:val="标题 61"/>
    <w:basedOn w:val="1"/>
    <w:link w:val="64"/>
    <w:qFormat/>
    <w:uiPriority w:val="0"/>
    <w:pPr>
      <w:keepNext/>
      <w:keepLines/>
      <w:tabs>
        <w:tab w:val="left" w:pos="1152"/>
      </w:tabs>
      <w:snapToGrid w:val="0"/>
      <w:spacing w:before="240" w:after="64" w:line="317" w:lineRule="auto"/>
      <w:ind w:left="1152" w:hanging="1152"/>
      <w:outlineLvl w:val="5"/>
    </w:pPr>
    <w:rPr>
      <w:rFonts w:ascii="Arial" w:hAnsi="Arial" w:eastAsia="黑体"/>
      <w:b/>
      <w:kern w:val="0"/>
      <w:sz w:val="24"/>
      <w:szCs w:val="20"/>
    </w:rPr>
  </w:style>
  <w:style w:type="paragraph" w:customStyle="1" w:styleId="54">
    <w:name w:val="标题 71"/>
    <w:basedOn w:val="1"/>
    <w:link w:val="65"/>
    <w:qFormat/>
    <w:uiPriority w:val="0"/>
    <w:pPr>
      <w:keepNext/>
      <w:keepLines/>
      <w:tabs>
        <w:tab w:val="left" w:pos="1296"/>
      </w:tabs>
      <w:snapToGrid w:val="0"/>
      <w:spacing w:before="240" w:after="64" w:line="317" w:lineRule="auto"/>
      <w:ind w:left="1296" w:hanging="1296"/>
      <w:outlineLvl w:val="6"/>
    </w:pPr>
    <w:rPr>
      <w:rFonts w:ascii="Arial" w:hAnsi="Arial" w:eastAsia="黑体"/>
      <w:b/>
      <w:kern w:val="0"/>
      <w:sz w:val="24"/>
      <w:szCs w:val="20"/>
    </w:rPr>
  </w:style>
  <w:style w:type="paragraph" w:customStyle="1" w:styleId="55">
    <w:name w:val="标题 81"/>
    <w:basedOn w:val="1"/>
    <w:link w:val="66"/>
    <w:qFormat/>
    <w:uiPriority w:val="0"/>
    <w:pPr>
      <w:keepNext/>
      <w:keepLines/>
      <w:tabs>
        <w:tab w:val="left" w:pos="1440"/>
      </w:tabs>
      <w:snapToGrid w:val="0"/>
      <w:spacing w:before="240" w:after="64" w:line="317" w:lineRule="auto"/>
      <w:ind w:left="1440" w:hanging="1440"/>
      <w:outlineLvl w:val="7"/>
    </w:pPr>
    <w:rPr>
      <w:rFonts w:ascii="Arial" w:hAnsi="Arial" w:eastAsia="黑体"/>
      <w:b/>
      <w:kern w:val="0"/>
      <w:sz w:val="24"/>
      <w:szCs w:val="20"/>
    </w:rPr>
  </w:style>
  <w:style w:type="paragraph" w:customStyle="1" w:styleId="56">
    <w:name w:val="标题 91"/>
    <w:basedOn w:val="1"/>
    <w:link w:val="67"/>
    <w:qFormat/>
    <w:uiPriority w:val="0"/>
    <w:pPr>
      <w:keepNext/>
      <w:keepLines/>
      <w:tabs>
        <w:tab w:val="left" w:pos="1584"/>
      </w:tabs>
      <w:snapToGrid w:val="0"/>
      <w:spacing w:before="240" w:after="64" w:line="317" w:lineRule="auto"/>
      <w:ind w:left="1584" w:hanging="1584"/>
      <w:outlineLvl w:val="8"/>
    </w:pPr>
    <w:rPr>
      <w:rFonts w:ascii="Arial" w:hAnsi="Arial" w:eastAsia="黑体"/>
      <w:b/>
      <w:kern w:val="0"/>
      <w:sz w:val="24"/>
      <w:szCs w:val="20"/>
    </w:rPr>
  </w:style>
  <w:style w:type="character" w:customStyle="1" w:styleId="57">
    <w:name w:val="默认段落字体1"/>
    <w:qFormat/>
    <w:uiPriority w:val="0"/>
  </w:style>
  <w:style w:type="table" w:customStyle="1" w:styleId="58">
    <w:name w:val="普通表格1"/>
    <w:qFormat/>
    <w:uiPriority w:val="0"/>
    <w:rPr>
      <w:rFonts w:ascii="Calibri" w:hAnsi="Calibri"/>
      <w:kern w:val="2"/>
      <w:sz w:val="21"/>
      <w:szCs w:val="22"/>
    </w:rPr>
    <w:tblPr>
      <w:tblCellMar>
        <w:top w:w="0" w:type="dxa"/>
        <w:left w:w="0" w:type="dxa"/>
        <w:bottom w:w="0" w:type="dxa"/>
        <w:right w:w="0" w:type="dxa"/>
      </w:tblCellMar>
    </w:tblPr>
  </w:style>
  <w:style w:type="character" w:customStyle="1" w:styleId="59">
    <w:name w:val="标题 1 字符"/>
    <w:link w:val="48"/>
    <w:qFormat/>
    <w:uiPriority w:val="0"/>
    <w:rPr>
      <w:rFonts w:ascii="Times New Roman" w:hAnsi="Times New Roman" w:eastAsia="宋体"/>
      <w:b/>
      <w:bCs/>
      <w:kern w:val="44"/>
      <w:sz w:val="44"/>
      <w:szCs w:val="44"/>
    </w:rPr>
  </w:style>
  <w:style w:type="character" w:customStyle="1" w:styleId="60">
    <w:name w:val="标题 2 字符"/>
    <w:link w:val="4"/>
    <w:qFormat/>
    <w:uiPriority w:val="0"/>
    <w:rPr>
      <w:rFonts w:ascii="宋体"/>
      <w:szCs w:val="28"/>
    </w:rPr>
  </w:style>
  <w:style w:type="character" w:customStyle="1" w:styleId="61">
    <w:name w:val="标题 3 字符"/>
    <w:link w:val="50"/>
    <w:qFormat/>
    <w:uiPriority w:val="0"/>
    <w:rPr>
      <w:rFonts w:ascii="Times New Roman" w:hAnsi="Times New Roman" w:eastAsia="宋体"/>
      <w:b/>
      <w:sz w:val="44"/>
      <w:szCs w:val="20"/>
    </w:rPr>
  </w:style>
  <w:style w:type="character" w:customStyle="1" w:styleId="62">
    <w:name w:val="标题 4 字符"/>
    <w:link w:val="51"/>
    <w:qFormat/>
    <w:uiPriority w:val="0"/>
    <w:rPr>
      <w:rFonts w:ascii="Arial" w:hAnsi="Arial" w:eastAsia="黑体"/>
      <w:b/>
      <w:kern w:val="2"/>
      <w:sz w:val="28"/>
    </w:rPr>
  </w:style>
  <w:style w:type="character" w:customStyle="1" w:styleId="63">
    <w:name w:val="标题 5 字符"/>
    <w:link w:val="52"/>
    <w:qFormat/>
    <w:uiPriority w:val="0"/>
    <w:rPr>
      <w:rFonts w:ascii="Times New Roman" w:hAnsi="Times New Roman" w:eastAsia="宋体"/>
      <w:b/>
      <w:sz w:val="28"/>
      <w:szCs w:val="20"/>
    </w:rPr>
  </w:style>
  <w:style w:type="character" w:customStyle="1" w:styleId="64">
    <w:name w:val="标题 6 字符"/>
    <w:link w:val="53"/>
    <w:qFormat/>
    <w:uiPriority w:val="0"/>
    <w:rPr>
      <w:rFonts w:ascii="Arial" w:hAnsi="Arial" w:eastAsia="黑体"/>
      <w:b/>
      <w:sz w:val="24"/>
      <w:szCs w:val="20"/>
    </w:rPr>
  </w:style>
  <w:style w:type="character" w:customStyle="1" w:styleId="65">
    <w:name w:val="标题 7 字符"/>
    <w:link w:val="54"/>
    <w:qFormat/>
    <w:uiPriority w:val="0"/>
    <w:rPr>
      <w:rFonts w:ascii="Arial" w:hAnsi="Arial" w:eastAsia="黑体"/>
      <w:b/>
      <w:sz w:val="24"/>
      <w:szCs w:val="20"/>
    </w:rPr>
  </w:style>
  <w:style w:type="character" w:customStyle="1" w:styleId="66">
    <w:name w:val="标题 8 字符"/>
    <w:link w:val="55"/>
    <w:qFormat/>
    <w:uiPriority w:val="0"/>
    <w:rPr>
      <w:rFonts w:ascii="Arial" w:hAnsi="Arial" w:eastAsia="黑体"/>
      <w:b/>
      <w:sz w:val="24"/>
      <w:szCs w:val="20"/>
    </w:rPr>
  </w:style>
  <w:style w:type="character" w:customStyle="1" w:styleId="67">
    <w:name w:val="标题 9 字符"/>
    <w:link w:val="56"/>
    <w:qFormat/>
    <w:uiPriority w:val="0"/>
    <w:rPr>
      <w:rFonts w:ascii="Arial" w:hAnsi="Arial" w:eastAsia="黑体"/>
      <w:b/>
      <w:sz w:val="24"/>
      <w:szCs w:val="20"/>
    </w:rPr>
  </w:style>
  <w:style w:type="paragraph" w:customStyle="1" w:styleId="68">
    <w:name w:val="列表 31"/>
    <w:basedOn w:val="1"/>
    <w:qFormat/>
    <w:uiPriority w:val="0"/>
    <w:pPr>
      <w:snapToGrid w:val="0"/>
      <w:spacing w:line="360" w:lineRule="auto"/>
      <w:ind w:left="100" w:leftChars="400" w:hanging="200" w:hangingChars="200"/>
    </w:pPr>
    <w:rPr>
      <w:sz w:val="24"/>
      <w:szCs w:val="20"/>
    </w:rPr>
  </w:style>
  <w:style w:type="paragraph" w:customStyle="1" w:styleId="69">
    <w:name w:val="列表编号 21"/>
    <w:basedOn w:val="1"/>
    <w:qFormat/>
    <w:uiPriority w:val="0"/>
    <w:pPr>
      <w:numPr>
        <w:ilvl w:val="0"/>
        <w:numId w:val="3"/>
      </w:numPr>
      <w:tabs>
        <w:tab w:val="clear" w:pos="425"/>
      </w:tabs>
      <w:spacing w:line="360" w:lineRule="auto"/>
    </w:pPr>
    <w:rPr>
      <w:sz w:val="24"/>
      <w:szCs w:val="20"/>
    </w:rPr>
  </w:style>
  <w:style w:type="paragraph" w:customStyle="1" w:styleId="70">
    <w:name w:val="列表项目符号 41"/>
    <w:basedOn w:val="1"/>
    <w:qFormat/>
    <w:uiPriority w:val="0"/>
    <w:pPr>
      <w:widowControl/>
      <w:numPr>
        <w:ilvl w:val="0"/>
        <w:numId w:val="4"/>
      </w:numPr>
      <w:tabs>
        <w:tab w:val="clear" w:pos="720"/>
      </w:tabs>
      <w:snapToGrid w:val="0"/>
      <w:spacing w:before="120" w:line="280" w:lineRule="atLeast"/>
      <w:ind w:left="1418" w:hanging="284"/>
      <w:jc w:val="left"/>
    </w:pPr>
    <w:rPr>
      <w:rFonts w:ascii="宋体"/>
      <w:kern w:val="0"/>
      <w:sz w:val="22"/>
      <w:szCs w:val="20"/>
    </w:rPr>
  </w:style>
  <w:style w:type="paragraph" w:customStyle="1" w:styleId="71">
    <w:name w:val="正文缩进1"/>
    <w:basedOn w:val="1"/>
    <w:link w:val="72"/>
    <w:qFormat/>
    <w:uiPriority w:val="0"/>
    <w:pPr>
      <w:snapToGrid w:val="0"/>
      <w:spacing w:line="360" w:lineRule="auto"/>
      <w:ind w:firstLine="420"/>
    </w:pPr>
    <w:rPr>
      <w:sz w:val="24"/>
      <w:szCs w:val="20"/>
    </w:rPr>
  </w:style>
  <w:style w:type="character" w:customStyle="1" w:styleId="72">
    <w:name w:val="正文缩进 字符"/>
    <w:link w:val="71"/>
    <w:qFormat/>
    <w:uiPriority w:val="0"/>
    <w:rPr>
      <w:rFonts w:ascii="Times New Roman" w:hAnsi="Times New Roman"/>
      <w:kern w:val="2"/>
      <w:sz w:val="24"/>
    </w:rPr>
  </w:style>
  <w:style w:type="paragraph" w:customStyle="1" w:styleId="73">
    <w:name w:val="题注1"/>
    <w:basedOn w:val="1"/>
    <w:qFormat/>
    <w:uiPriority w:val="0"/>
    <w:pPr>
      <w:widowControl/>
      <w:tabs>
        <w:tab w:val="left" w:pos="1134"/>
      </w:tabs>
      <w:snapToGrid w:val="0"/>
      <w:spacing w:line="280" w:lineRule="atLeast"/>
      <w:jc w:val="left"/>
    </w:pPr>
    <w:rPr>
      <w:rFonts w:eastAsia="PMingLiU"/>
      <w:b/>
      <w:kern w:val="0"/>
      <w:sz w:val="24"/>
      <w:szCs w:val="20"/>
      <w:lang w:eastAsia="zh-TW"/>
    </w:rPr>
  </w:style>
  <w:style w:type="paragraph" w:customStyle="1" w:styleId="74">
    <w:name w:val="文档结构图1"/>
    <w:basedOn w:val="1"/>
    <w:link w:val="75"/>
    <w:qFormat/>
    <w:uiPriority w:val="0"/>
    <w:pPr>
      <w:shd w:val="clear" w:color="auto" w:fill="000080"/>
    </w:pPr>
    <w:rPr>
      <w:kern w:val="0"/>
      <w:sz w:val="28"/>
      <w:szCs w:val="20"/>
    </w:rPr>
  </w:style>
  <w:style w:type="character" w:customStyle="1" w:styleId="75">
    <w:name w:val="文档结构图 字符"/>
    <w:link w:val="74"/>
    <w:qFormat/>
    <w:uiPriority w:val="0"/>
    <w:rPr>
      <w:rFonts w:ascii="Times New Roman" w:hAnsi="Times New Roman" w:eastAsia="宋体"/>
      <w:sz w:val="28"/>
      <w:szCs w:val="20"/>
      <w:shd w:val="clear" w:color="auto" w:fill="000080"/>
    </w:rPr>
  </w:style>
  <w:style w:type="paragraph" w:customStyle="1" w:styleId="76">
    <w:name w:val="引文目录标题1"/>
    <w:basedOn w:val="1"/>
    <w:qFormat/>
    <w:uiPriority w:val="0"/>
    <w:pPr>
      <w:spacing w:before="120"/>
    </w:pPr>
    <w:rPr>
      <w:rFonts w:ascii="Arial" w:hAnsi="Arial"/>
      <w:sz w:val="24"/>
      <w:szCs w:val="20"/>
    </w:rPr>
  </w:style>
  <w:style w:type="paragraph" w:customStyle="1" w:styleId="77">
    <w:name w:val="批注文字1"/>
    <w:basedOn w:val="1"/>
    <w:link w:val="78"/>
    <w:qFormat/>
    <w:uiPriority w:val="0"/>
    <w:pPr>
      <w:jc w:val="left"/>
    </w:pPr>
  </w:style>
  <w:style w:type="character" w:customStyle="1" w:styleId="78">
    <w:name w:val="批注文字 字符"/>
    <w:link w:val="77"/>
    <w:qFormat/>
    <w:uiPriority w:val="0"/>
  </w:style>
  <w:style w:type="paragraph" w:customStyle="1" w:styleId="79">
    <w:name w:val="正文文本 31"/>
    <w:basedOn w:val="1"/>
    <w:link w:val="80"/>
    <w:qFormat/>
    <w:uiPriority w:val="0"/>
    <w:pPr>
      <w:snapToGrid w:val="0"/>
      <w:spacing w:after="120" w:line="360" w:lineRule="auto"/>
    </w:pPr>
    <w:rPr>
      <w:kern w:val="0"/>
      <w:sz w:val="16"/>
      <w:szCs w:val="20"/>
    </w:rPr>
  </w:style>
  <w:style w:type="character" w:customStyle="1" w:styleId="80">
    <w:name w:val="正文文本 3 字符"/>
    <w:link w:val="79"/>
    <w:qFormat/>
    <w:uiPriority w:val="0"/>
    <w:rPr>
      <w:rFonts w:ascii="Times New Roman" w:hAnsi="Times New Roman" w:eastAsia="宋体"/>
      <w:sz w:val="16"/>
      <w:szCs w:val="20"/>
    </w:rPr>
  </w:style>
  <w:style w:type="paragraph" w:customStyle="1" w:styleId="81">
    <w:name w:val="列表项目符号 31"/>
    <w:basedOn w:val="1"/>
    <w:qFormat/>
    <w:uiPriority w:val="0"/>
    <w:pPr>
      <w:numPr>
        <w:ilvl w:val="0"/>
        <w:numId w:val="5"/>
      </w:numPr>
      <w:tabs>
        <w:tab w:val="clear" w:pos="1230"/>
      </w:tabs>
      <w:snapToGrid w:val="0"/>
      <w:spacing w:line="360" w:lineRule="auto"/>
    </w:pPr>
    <w:rPr>
      <w:sz w:val="24"/>
      <w:szCs w:val="20"/>
    </w:rPr>
  </w:style>
  <w:style w:type="paragraph" w:customStyle="1" w:styleId="82">
    <w:name w:val="正文文本1"/>
    <w:basedOn w:val="1"/>
    <w:link w:val="83"/>
    <w:qFormat/>
    <w:uiPriority w:val="0"/>
    <w:pPr>
      <w:spacing w:after="120"/>
    </w:pPr>
    <w:rPr>
      <w:kern w:val="0"/>
      <w:sz w:val="20"/>
      <w:szCs w:val="24"/>
    </w:rPr>
  </w:style>
  <w:style w:type="character" w:customStyle="1" w:styleId="83">
    <w:name w:val="正文文本 字符"/>
    <w:link w:val="82"/>
    <w:semiHidden/>
    <w:qFormat/>
    <w:uiPriority w:val="0"/>
  </w:style>
  <w:style w:type="paragraph" w:customStyle="1" w:styleId="84">
    <w:name w:val="正文文本首行缩进1"/>
    <w:basedOn w:val="82"/>
    <w:link w:val="85"/>
    <w:qFormat/>
    <w:uiPriority w:val="0"/>
    <w:pPr>
      <w:spacing w:line="360" w:lineRule="auto"/>
      <w:ind w:firstLine="420"/>
    </w:pPr>
    <w:rPr>
      <w:rFonts w:ascii="宋体" w:hAnsi="宋体"/>
      <w:sz w:val="24"/>
      <w:szCs w:val="20"/>
    </w:rPr>
  </w:style>
  <w:style w:type="character" w:customStyle="1" w:styleId="85">
    <w:name w:val="正文文本首行缩进 字符"/>
    <w:link w:val="84"/>
    <w:qFormat/>
    <w:uiPriority w:val="0"/>
    <w:rPr>
      <w:rFonts w:ascii="宋体" w:hAnsi="宋体" w:eastAsia="宋体"/>
      <w:sz w:val="24"/>
      <w:szCs w:val="20"/>
    </w:rPr>
  </w:style>
  <w:style w:type="paragraph" w:customStyle="1" w:styleId="86">
    <w:name w:val="正文文本缩进1"/>
    <w:basedOn w:val="1"/>
    <w:link w:val="87"/>
    <w:qFormat/>
    <w:uiPriority w:val="0"/>
    <w:pPr>
      <w:spacing w:after="120"/>
      <w:ind w:left="420" w:leftChars="200"/>
    </w:pPr>
    <w:rPr>
      <w:kern w:val="0"/>
      <w:sz w:val="20"/>
      <w:szCs w:val="24"/>
    </w:rPr>
  </w:style>
  <w:style w:type="character" w:customStyle="1" w:styleId="87">
    <w:name w:val="正文文本缩进 字符"/>
    <w:link w:val="86"/>
    <w:qFormat/>
    <w:uiPriority w:val="0"/>
    <w:rPr>
      <w:rFonts w:ascii="Times New Roman" w:hAnsi="Times New Roman" w:eastAsia="宋体"/>
      <w:szCs w:val="24"/>
    </w:rPr>
  </w:style>
  <w:style w:type="paragraph" w:customStyle="1" w:styleId="88">
    <w:name w:val="普通(网站)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89">
    <w:name w:val="列表编号 31"/>
    <w:basedOn w:val="1"/>
    <w:qFormat/>
    <w:uiPriority w:val="0"/>
    <w:pPr>
      <w:tabs>
        <w:tab w:val="left" w:pos="2120"/>
      </w:tabs>
      <w:snapToGrid w:val="0"/>
      <w:spacing w:line="360" w:lineRule="auto"/>
      <w:ind w:left="2120" w:hanging="720"/>
    </w:pPr>
    <w:rPr>
      <w:sz w:val="24"/>
      <w:szCs w:val="20"/>
    </w:rPr>
  </w:style>
  <w:style w:type="paragraph" w:customStyle="1" w:styleId="90">
    <w:name w:val="列表 21"/>
    <w:basedOn w:val="1"/>
    <w:qFormat/>
    <w:uiPriority w:val="0"/>
    <w:pPr>
      <w:snapToGrid w:val="0"/>
      <w:spacing w:line="360" w:lineRule="auto"/>
      <w:ind w:left="100" w:leftChars="200" w:hanging="200" w:hangingChars="200"/>
    </w:pPr>
    <w:rPr>
      <w:sz w:val="24"/>
      <w:szCs w:val="20"/>
    </w:rPr>
  </w:style>
  <w:style w:type="paragraph" w:customStyle="1" w:styleId="91">
    <w:name w:val="列表接续1"/>
    <w:basedOn w:val="1"/>
    <w:qFormat/>
    <w:uiPriority w:val="0"/>
    <w:pPr>
      <w:snapToGrid w:val="0"/>
      <w:spacing w:after="120" w:line="360" w:lineRule="auto"/>
      <w:ind w:left="420" w:leftChars="200"/>
    </w:pPr>
    <w:rPr>
      <w:sz w:val="24"/>
      <w:szCs w:val="20"/>
    </w:rPr>
  </w:style>
  <w:style w:type="paragraph" w:customStyle="1" w:styleId="92">
    <w:name w:val="列表项目符号 21"/>
    <w:basedOn w:val="1"/>
    <w:qFormat/>
    <w:uiPriority w:val="0"/>
    <w:pPr>
      <w:numPr>
        <w:ilvl w:val="0"/>
        <w:numId w:val="6"/>
      </w:numPr>
      <w:tabs>
        <w:tab w:val="left" w:pos="780"/>
      </w:tabs>
      <w:snapToGrid w:val="0"/>
      <w:spacing w:line="360" w:lineRule="auto"/>
    </w:pPr>
    <w:rPr>
      <w:sz w:val="24"/>
      <w:szCs w:val="20"/>
    </w:rPr>
  </w:style>
  <w:style w:type="paragraph" w:customStyle="1" w:styleId="93">
    <w:name w:val="纯文本1"/>
    <w:basedOn w:val="1"/>
    <w:link w:val="94"/>
    <w:qFormat/>
    <w:uiPriority w:val="0"/>
    <w:rPr>
      <w:rFonts w:ascii="宋体" w:hAnsi="Courier New"/>
      <w:kern w:val="0"/>
      <w:sz w:val="20"/>
      <w:szCs w:val="24"/>
    </w:rPr>
  </w:style>
  <w:style w:type="character" w:customStyle="1" w:styleId="94">
    <w:name w:val="纯文本 字符"/>
    <w:link w:val="93"/>
    <w:qFormat/>
    <w:uiPriority w:val="0"/>
    <w:rPr>
      <w:rFonts w:ascii="宋体" w:hAnsi="Courier New"/>
      <w:szCs w:val="24"/>
    </w:rPr>
  </w:style>
  <w:style w:type="paragraph" w:customStyle="1" w:styleId="95">
    <w:name w:val="列表编号 41"/>
    <w:basedOn w:val="1"/>
    <w:qFormat/>
    <w:uiPriority w:val="0"/>
    <w:pPr>
      <w:numPr>
        <w:ilvl w:val="0"/>
        <w:numId w:val="7"/>
      </w:numPr>
      <w:tabs>
        <w:tab w:val="clear" w:pos="1620"/>
      </w:tabs>
      <w:ind w:left="0" w:firstLine="0"/>
    </w:pPr>
    <w:rPr>
      <w:szCs w:val="24"/>
    </w:rPr>
  </w:style>
  <w:style w:type="paragraph" w:customStyle="1" w:styleId="96">
    <w:name w:val="日期1"/>
    <w:basedOn w:val="1"/>
    <w:link w:val="97"/>
    <w:qFormat/>
    <w:uiPriority w:val="0"/>
    <w:rPr>
      <w:kern w:val="0"/>
      <w:sz w:val="28"/>
      <w:szCs w:val="20"/>
    </w:rPr>
  </w:style>
  <w:style w:type="character" w:customStyle="1" w:styleId="97">
    <w:name w:val="日期 字符"/>
    <w:link w:val="96"/>
    <w:qFormat/>
    <w:uiPriority w:val="0"/>
    <w:rPr>
      <w:rFonts w:eastAsia="宋体"/>
      <w:sz w:val="28"/>
    </w:rPr>
  </w:style>
  <w:style w:type="paragraph" w:customStyle="1" w:styleId="98">
    <w:name w:val="正文文本缩进 21"/>
    <w:basedOn w:val="1"/>
    <w:link w:val="99"/>
    <w:qFormat/>
    <w:uiPriority w:val="0"/>
    <w:pPr>
      <w:snapToGrid w:val="0"/>
      <w:spacing w:line="440" w:lineRule="atLeast"/>
      <w:ind w:firstLine="570"/>
    </w:pPr>
    <w:rPr>
      <w:rFonts w:ascii="宋体"/>
      <w:kern w:val="0"/>
      <w:sz w:val="28"/>
      <w:szCs w:val="20"/>
    </w:rPr>
  </w:style>
  <w:style w:type="character" w:customStyle="1" w:styleId="99">
    <w:name w:val="正文文本缩进 2 字符"/>
    <w:link w:val="98"/>
    <w:qFormat/>
    <w:uiPriority w:val="0"/>
    <w:rPr>
      <w:rFonts w:ascii="宋体" w:hAnsi="Times New Roman" w:eastAsia="宋体"/>
      <w:sz w:val="28"/>
      <w:szCs w:val="20"/>
    </w:rPr>
  </w:style>
  <w:style w:type="paragraph" w:customStyle="1" w:styleId="100">
    <w:name w:val="批注框文本1"/>
    <w:basedOn w:val="1"/>
    <w:link w:val="101"/>
    <w:qFormat/>
    <w:uiPriority w:val="0"/>
    <w:rPr>
      <w:kern w:val="0"/>
      <w:sz w:val="18"/>
      <w:szCs w:val="18"/>
    </w:rPr>
  </w:style>
  <w:style w:type="character" w:customStyle="1" w:styleId="101">
    <w:name w:val="批注框文本 字符"/>
    <w:link w:val="100"/>
    <w:qFormat/>
    <w:uiPriority w:val="0"/>
    <w:rPr>
      <w:sz w:val="18"/>
      <w:szCs w:val="18"/>
    </w:rPr>
  </w:style>
  <w:style w:type="paragraph" w:customStyle="1" w:styleId="102">
    <w:name w:val="页脚1"/>
    <w:basedOn w:val="1"/>
    <w:link w:val="103"/>
    <w:qFormat/>
    <w:uiPriority w:val="0"/>
    <w:pPr>
      <w:tabs>
        <w:tab w:val="center" w:pos="4153"/>
        <w:tab w:val="right" w:pos="8306"/>
      </w:tabs>
      <w:snapToGrid w:val="0"/>
      <w:jc w:val="left"/>
    </w:pPr>
    <w:rPr>
      <w:sz w:val="18"/>
      <w:szCs w:val="18"/>
    </w:rPr>
  </w:style>
  <w:style w:type="character" w:customStyle="1" w:styleId="103">
    <w:name w:val="页脚 字符1"/>
    <w:link w:val="102"/>
    <w:qFormat/>
    <w:uiPriority w:val="0"/>
    <w:rPr>
      <w:kern w:val="2"/>
      <w:sz w:val="18"/>
      <w:szCs w:val="18"/>
    </w:rPr>
  </w:style>
  <w:style w:type="paragraph" w:customStyle="1" w:styleId="104">
    <w:name w:val="页眉1"/>
    <w:basedOn w:val="1"/>
    <w:link w:val="105"/>
    <w:qFormat/>
    <w:uiPriority w:val="0"/>
    <w:pPr>
      <w:pBdr>
        <w:bottom w:val="single" w:color="000000" w:sz="6" w:space="1"/>
      </w:pBdr>
      <w:tabs>
        <w:tab w:val="center" w:pos="4153"/>
        <w:tab w:val="right" w:pos="8306"/>
      </w:tabs>
      <w:snapToGrid w:val="0"/>
      <w:jc w:val="center"/>
    </w:pPr>
    <w:rPr>
      <w:sz w:val="18"/>
      <w:szCs w:val="18"/>
    </w:rPr>
  </w:style>
  <w:style w:type="character" w:customStyle="1" w:styleId="105">
    <w:name w:val="页眉 字符1"/>
    <w:link w:val="104"/>
    <w:qFormat/>
    <w:uiPriority w:val="0"/>
    <w:rPr>
      <w:kern w:val="2"/>
      <w:sz w:val="18"/>
      <w:szCs w:val="18"/>
    </w:rPr>
  </w:style>
  <w:style w:type="paragraph" w:customStyle="1" w:styleId="106">
    <w:name w:val="列表接续 41"/>
    <w:basedOn w:val="1"/>
    <w:qFormat/>
    <w:uiPriority w:val="0"/>
    <w:pPr>
      <w:snapToGrid w:val="0"/>
      <w:spacing w:after="120" w:line="360" w:lineRule="auto"/>
      <w:ind w:left="1680" w:leftChars="800"/>
    </w:pPr>
    <w:rPr>
      <w:sz w:val="24"/>
      <w:szCs w:val="20"/>
    </w:rPr>
  </w:style>
  <w:style w:type="paragraph" w:customStyle="1" w:styleId="107">
    <w:name w:val="列表1"/>
    <w:basedOn w:val="1"/>
    <w:semiHidden/>
    <w:qFormat/>
    <w:uiPriority w:val="0"/>
    <w:pPr>
      <w:ind w:left="200" w:hanging="200" w:hangingChars="200"/>
    </w:pPr>
  </w:style>
  <w:style w:type="paragraph" w:customStyle="1" w:styleId="108">
    <w:name w:val="脚注文本1"/>
    <w:basedOn w:val="1"/>
    <w:link w:val="109"/>
    <w:qFormat/>
    <w:uiPriority w:val="0"/>
    <w:pPr>
      <w:spacing w:line="360" w:lineRule="auto"/>
    </w:pPr>
    <w:rPr>
      <w:kern w:val="0"/>
      <w:sz w:val="18"/>
      <w:szCs w:val="20"/>
    </w:rPr>
  </w:style>
  <w:style w:type="character" w:customStyle="1" w:styleId="109">
    <w:name w:val="脚注文本 字符"/>
    <w:link w:val="108"/>
    <w:qFormat/>
    <w:uiPriority w:val="0"/>
    <w:rPr>
      <w:rFonts w:ascii="Times New Roman" w:hAnsi="Times New Roman" w:eastAsia="宋体"/>
      <w:sz w:val="18"/>
      <w:szCs w:val="20"/>
    </w:rPr>
  </w:style>
  <w:style w:type="paragraph" w:customStyle="1" w:styleId="110">
    <w:name w:val="列表 51"/>
    <w:basedOn w:val="1"/>
    <w:qFormat/>
    <w:uiPriority w:val="0"/>
    <w:pPr>
      <w:snapToGrid w:val="0"/>
      <w:spacing w:line="360" w:lineRule="auto"/>
      <w:ind w:left="100" w:leftChars="800" w:hanging="200" w:hangingChars="200"/>
    </w:pPr>
    <w:rPr>
      <w:sz w:val="24"/>
      <w:szCs w:val="20"/>
    </w:rPr>
  </w:style>
  <w:style w:type="paragraph" w:customStyle="1" w:styleId="111">
    <w:name w:val="正文文本缩进 31"/>
    <w:basedOn w:val="1"/>
    <w:link w:val="112"/>
    <w:qFormat/>
    <w:uiPriority w:val="0"/>
    <w:pPr>
      <w:spacing w:line="360" w:lineRule="auto"/>
      <w:ind w:firstLine="632"/>
    </w:pPr>
    <w:rPr>
      <w:rFonts w:ascii="黑体" w:eastAsia="黑体"/>
      <w:kern w:val="0"/>
      <w:sz w:val="28"/>
      <w:szCs w:val="20"/>
    </w:rPr>
  </w:style>
  <w:style w:type="character" w:customStyle="1" w:styleId="112">
    <w:name w:val="正文文本缩进 3 字符"/>
    <w:link w:val="111"/>
    <w:qFormat/>
    <w:uiPriority w:val="0"/>
    <w:rPr>
      <w:rFonts w:ascii="黑体" w:hAnsi="Times New Roman" w:eastAsia="黑体"/>
      <w:sz w:val="28"/>
      <w:szCs w:val="20"/>
    </w:rPr>
  </w:style>
  <w:style w:type="paragraph" w:customStyle="1" w:styleId="113">
    <w:name w:val="图表目录1"/>
    <w:basedOn w:val="1"/>
    <w:qFormat/>
    <w:uiPriority w:val="0"/>
    <w:pPr>
      <w:tabs>
        <w:tab w:val="right" w:leader="dot" w:pos="8640"/>
      </w:tabs>
      <w:spacing w:line="360" w:lineRule="auto"/>
      <w:ind w:left="400" w:hanging="400"/>
    </w:pPr>
    <w:rPr>
      <w:sz w:val="24"/>
      <w:szCs w:val="20"/>
    </w:rPr>
  </w:style>
  <w:style w:type="paragraph" w:customStyle="1" w:styleId="114">
    <w:name w:val="正文文本 21"/>
    <w:basedOn w:val="1"/>
    <w:link w:val="115"/>
    <w:qFormat/>
    <w:uiPriority w:val="0"/>
    <w:pPr>
      <w:snapToGrid w:val="0"/>
      <w:spacing w:after="120" w:line="480" w:lineRule="auto"/>
    </w:pPr>
    <w:rPr>
      <w:kern w:val="0"/>
      <w:sz w:val="24"/>
      <w:szCs w:val="20"/>
    </w:rPr>
  </w:style>
  <w:style w:type="character" w:customStyle="1" w:styleId="115">
    <w:name w:val="正文文本 2 字符"/>
    <w:link w:val="114"/>
    <w:qFormat/>
    <w:uiPriority w:val="0"/>
    <w:rPr>
      <w:rFonts w:ascii="Times New Roman" w:hAnsi="Times New Roman" w:eastAsia="宋体"/>
      <w:sz w:val="24"/>
      <w:szCs w:val="20"/>
    </w:rPr>
  </w:style>
  <w:style w:type="paragraph" w:customStyle="1" w:styleId="116">
    <w:name w:val="列表 41"/>
    <w:basedOn w:val="1"/>
    <w:qFormat/>
    <w:uiPriority w:val="0"/>
    <w:pPr>
      <w:snapToGrid w:val="0"/>
      <w:spacing w:line="360" w:lineRule="auto"/>
      <w:ind w:left="100" w:leftChars="600" w:hanging="200" w:hangingChars="200"/>
    </w:pPr>
    <w:rPr>
      <w:sz w:val="24"/>
      <w:szCs w:val="20"/>
    </w:rPr>
  </w:style>
  <w:style w:type="paragraph" w:customStyle="1" w:styleId="117">
    <w:name w:val="列表接续 21"/>
    <w:basedOn w:val="1"/>
    <w:qFormat/>
    <w:uiPriority w:val="0"/>
    <w:pPr>
      <w:snapToGrid w:val="0"/>
      <w:spacing w:after="120" w:line="360" w:lineRule="auto"/>
      <w:ind w:left="840" w:leftChars="400"/>
    </w:pPr>
    <w:rPr>
      <w:sz w:val="24"/>
      <w:szCs w:val="20"/>
    </w:rPr>
  </w:style>
  <w:style w:type="paragraph" w:customStyle="1" w:styleId="118">
    <w:name w:val="HTML 预设格式1"/>
    <w:basedOn w:val="1"/>
    <w:link w:val="1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jc w:val="left"/>
    </w:pPr>
    <w:rPr>
      <w:rFonts w:ascii="Arial" w:hAnsi="Arial"/>
      <w:kern w:val="0"/>
      <w:sz w:val="16"/>
      <w:szCs w:val="16"/>
    </w:rPr>
  </w:style>
  <w:style w:type="character" w:customStyle="1" w:styleId="119">
    <w:name w:val="HTML 预设格式 字符"/>
    <w:link w:val="118"/>
    <w:qFormat/>
    <w:uiPriority w:val="0"/>
    <w:rPr>
      <w:rFonts w:ascii="Arial" w:hAnsi="Arial"/>
      <w:sz w:val="16"/>
      <w:szCs w:val="16"/>
    </w:rPr>
  </w:style>
  <w:style w:type="paragraph" w:customStyle="1" w:styleId="120">
    <w:name w:val="列表接续 31"/>
    <w:basedOn w:val="1"/>
    <w:qFormat/>
    <w:uiPriority w:val="0"/>
    <w:pPr>
      <w:snapToGrid w:val="0"/>
      <w:spacing w:after="120" w:line="360" w:lineRule="auto"/>
      <w:ind w:left="1260" w:leftChars="600"/>
    </w:pPr>
    <w:rPr>
      <w:sz w:val="24"/>
      <w:szCs w:val="20"/>
    </w:rPr>
  </w:style>
  <w:style w:type="paragraph" w:customStyle="1" w:styleId="121">
    <w:name w:val="索引 11"/>
    <w:basedOn w:val="1"/>
    <w:qFormat/>
    <w:uiPriority w:val="0"/>
    <w:pPr>
      <w:spacing w:line="240" w:lineRule="atLeast"/>
    </w:pPr>
    <w:rPr>
      <w:rFonts w:ascii="宋体"/>
      <w:kern w:val="0"/>
      <w:szCs w:val="20"/>
    </w:rPr>
  </w:style>
  <w:style w:type="paragraph" w:customStyle="1" w:styleId="122">
    <w:name w:val="标题11"/>
    <w:basedOn w:val="1"/>
    <w:link w:val="123"/>
    <w:qFormat/>
    <w:uiPriority w:val="0"/>
    <w:pPr>
      <w:widowControl/>
      <w:spacing w:after="240" w:line="360" w:lineRule="auto"/>
      <w:jc w:val="center"/>
    </w:pPr>
    <w:rPr>
      <w:rFonts w:ascii="Arial" w:hAnsi="Arial"/>
      <w:b/>
      <w:kern w:val="28"/>
      <w:sz w:val="36"/>
      <w:szCs w:val="20"/>
      <w:lang w:eastAsia="en-US"/>
    </w:rPr>
  </w:style>
  <w:style w:type="character" w:customStyle="1" w:styleId="123">
    <w:name w:val="标题 字符"/>
    <w:link w:val="122"/>
    <w:qFormat/>
    <w:uiPriority w:val="0"/>
    <w:rPr>
      <w:rFonts w:ascii="Arial" w:hAnsi="Arial" w:eastAsia="宋体"/>
      <w:b/>
      <w:kern w:val="28"/>
      <w:sz w:val="36"/>
      <w:szCs w:val="20"/>
      <w:lang w:eastAsia="en-US"/>
    </w:rPr>
  </w:style>
  <w:style w:type="paragraph" w:customStyle="1" w:styleId="124">
    <w:name w:val="批注主题1"/>
    <w:basedOn w:val="77"/>
    <w:link w:val="125"/>
    <w:qFormat/>
    <w:uiPriority w:val="0"/>
    <w:rPr>
      <w:b/>
      <w:kern w:val="0"/>
      <w:sz w:val="20"/>
      <w:szCs w:val="20"/>
    </w:rPr>
  </w:style>
  <w:style w:type="character" w:customStyle="1" w:styleId="125">
    <w:name w:val="批注主题 字符"/>
    <w:link w:val="124"/>
    <w:qFormat/>
    <w:uiPriority w:val="0"/>
    <w:rPr>
      <w:rFonts w:ascii="Times New Roman" w:hAnsi="Times New Roman" w:eastAsia="宋体"/>
      <w:b/>
      <w:szCs w:val="20"/>
    </w:rPr>
  </w:style>
  <w:style w:type="paragraph" w:customStyle="1" w:styleId="126">
    <w:name w:val="正文文本首行缩进 21"/>
    <w:basedOn w:val="86"/>
    <w:link w:val="127"/>
    <w:qFormat/>
    <w:uiPriority w:val="0"/>
    <w:pPr>
      <w:ind w:firstLine="420" w:firstLineChars="200"/>
    </w:pPr>
    <w:rPr>
      <w:szCs w:val="20"/>
    </w:rPr>
  </w:style>
  <w:style w:type="character" w:customStyle="1" w:styleId="127">
    <w:name w:val="正文文本首行缩进 2 字符"/>
    <w:link w:val="126"/>
    <w:qFormat/>
    <w:uiPriority w:val="0"/>
    <w:rPr>
      <w:rFonts w:ascii="Times New Roman" w:hAnsi="Times New Roman" w:eastAsia="宋体"/>
      <w:szCs w:val="20"/>
    </w:rPr>
  </w:style>
  <w:style w:type="table" w:customStyle="1" w:styleId="128">
    <w:name w:val="网格型1"/>
    <w:basedOn w:val="58"/>
    <w:qFormat/>
    <w:uiPriority w:val="0"/>
    <w:pPr>
      <w:widowControl w:val="0"/>
      <w:jc w:val="both"/>
    </w:pPr>
    <w:rPr>
      <w:kern w:val="0"/>
      <w:sz w:val="20"/>
      <w:szCs w:val="20"/>
    </w:rPr>
    <w:tblPr>
      <w:tblCellMar>
        <w:top w:w="0" w:type="dxa"/>
        <w:left w:w="0" w:type="dxa"/>
        <w:bottom w:w="0" w:type="dxa"/>
        <w:right w:w="0" w:type="dxa"/>
      </w:tblCellMar>
    </w:tblPr>
  </w:style>
  <w:style w:type="character" w:customStyle="1" w:styleId="129">
    <w:name w:val="要点1"/>
    <w:qFormat/>
    <w:uiPriority w:val="0"/>
    <w:rPr>
      <w:b/>
    </w:rPr>
  </w:style>
  <w:style w:type="character" w:customStyle="1" w:styleId="130">
    <w:name w:val="页码1"/>
    <w:qFormat/>
    <w:uiPriority w:val="0"/>
  </w:style>
  <w:style w:type="character" w:customStyle="1" w:styleId="131">
    <w:name w:val="访问过的超链接1"/>
    <w:qFormat/>
    <w:uiPriority w:val="0"/>
    <w:rPr>
      <w:color w:val="800080"/>
      <w:u w:val="single"/>
    </w:rPr>
  </w:style>
  <w:style w:type="character" w:customStyle="1" w:styleId="132">
    <w:name w:val="强调1"/>
    <w:qFormat/>
    <w:uiPriority w:val="0"/>
    <w:rPr>
      <w:i/>
    </w:rPr>
  </w:style>
  <w:style w:type="character" w:customStyle="1" w:styleId="133">
    <w:name w:val="超链接1"/>
    <w:qFormat/>
    <w:uiPriority w:val="0"/>
    <w:rPr>
      <w:color w:val="000000"/>
      <w:u w:val="none"/>
    </w:rPr>
  </w:style>
  <w:style w:type="character" w:customStyle="1" w:styleId="134">
    <w:name w:val="批注引用1"/>
    <w:qFormat/>
    <w:uiPriority w:val="0"/>
    <w:rPr>
      <w:sz w:val="21"/>
    </w:rPr>
  </w:style>
  <w:style w:type="character" w:customStyle="1" w:styleId="135">
    <w:name w:val="脚注引用1"/>
    <w:qFormat/>
    <w:uiPriority w:val="0"/>
    <w:rPr>
      <w:position w:val="6"/>
      <w:sz w:val="14"/>
      <w:vertAlign w:val="superscript"/>
    </w:rPr>
  </w:style>
  <w:style w:type="character" w:customStyle="1" w:styleId="136">
    <w:name w:val="标书正文:  0.74 厘米 Char1"/>
    <w:qFormat/>
    <w:uiPriority w:val="0"/>
    <w:rPr>
      <w:rFonts w:eastAsia="宋体"/>
      <w:kern w:val="2"/>
      <w:sz w:val="24"/>
      <w:lang w:val="en-US" w:eastAsia="zh-CN"/>
    </w:rPr>
  </w:style>
  <w:style w:type="character" w:customStyle="1" w:styleId="137">
    <w:name w:val="表正文 Char"/>
    <w:qFormat/>
    <w:uiPriority w:val="0"/>
    <w:rPr>
      <w:kern w:val="2"/>
      <w:sz w:val="21"/>
    </w:rPr>
  </w:style>
  <w:style w:type="character" w:customStyle="1" w:styleId="138">
    <w:name w:val="页脚 字符"/>
    <w:qFormat/>
    <w:uiPriority w:val="0"/>
    <w:rPr>
      <w:sz w:val="18"/>
      <w:szCs w:val="18"/>
    </w:rPr>
  </w:style>
  <w:style w:type="character" w:customStyle="1" w:styleId="139">
    <w:name w:val="页眉 Char1"/>
    <w:semiHidden/>
    <w:qFormat/>
    <w:uiPriority w:val="0"/>
    <w:rPr>
      <w:sz w:val="18"/>
      <w:szCs w:val="18"/>
    </w:rPr>
  </w:style>
  <w:style w:type="character" w:customStyle="1" w:styleId="140">
    <w:name w:val="font1"/>
    <w:qFormat/>
    <w:uiPriority w:val="0"/>
    <w:rPr>
      <w:color w:val="000000"/>
      <w:sz w:val="18"/>
    </w:rPr>
  </w:style>
  <w:style w:type="character" w:customStyle="1" w:styleId="141">
    <w:name w:val="样式1标题 字符"/>
    <w:link w:val="142"/>
    <w:qFormat/>
    <w:uiPriority w:val="0"/>
    <w:rPr>
      <w:b/>
      <w:sz w:val="21"/>
      <w:szCs w:val="21"/>
    </w:rPr>
  </w:style>
  <w:style w:type="paragraph" w:customStyle="1" w:styleId="142">
    <w:name w:val="样式1标题"/>
    <w:basedOn w:val="143"/>
    <w:link w:val="141"/>
    <w:qFormat/>
    <w:uiPriority w:val="0"/>
    <w:pPr>
      <w:autoSpaceDE w:val="0"/>
      <w:autoSpaceDN w:val="0"/>
      <w:spacing w:line="360" w:lineRule="auto"/>
      <w:ind w:firstLine="0" w:firstLineChars="0"/>
      <w:jc w:val="left"/>
      <w:outlineLvl w:val="0"/>
    </w:pPr>
    <w:rPr>
      <w:b/>
      <w:kern w:val="0"/>
      <w:szCs w:val="21"/>
    </w:rPr>
  </w:style>
  <w:style w:type="paragraph" w:customStyle="1" w:styleId="143">
    <w:name w:val="列表段落1"/>
    <w:basedOn w:val="1"/>
    <w:qFormat/>
    <w:uiPriority w:val="0"/>
    <w:pPr>
      <w:ind w:firstLine="420" w:firstLineChars="200"/>
    </w:pPr>
  </w:style>
  <w:style w:type="character" w:customStyle="1" w:styleId="144">
    <w:name w:val="apple-style-span"/>
    <w:qFormat/>
    <w:uiPriority w:val="0"/>
  </w:style>
  <w:style w:type="character" w:customStyle="1" w:styleId="145">
    <w:name w:val="top-det1"/>
    <w:qFormat/>
    <w:uiPriority w:val="0"/>
    <w:rPr>
      <w:b/>
      <w:color w:val="000000"/>
    </w:rPr>
  </w:style>
  <w:style w:type="character" w:customStyle="1" w:styleId="146">
    <w:name w:val="页脚 Char1"/>
    <w:semiHidden/>
    <w:qFormat/>
    <w:uiPriority w:val="0"/>
    <w:rPr>
      <w:sz w:val="18"/>
      <w:szCs w:val="18"/>
    </w:rPr>
  </w:style>
  <w:style w:type="character" w:customStyle="1" w:styleId="147">
    <w:name w:val="Char Char"/>
    <w:qFormat/>
    <w:uiPriority w:val="0"/>
    <w:rPr>
      <w:rFonts w:ascii="Times New Roman" w:hAnsi="Times New Roman" w:eastAsia="宋体"/>
      <w:b/>
      <w:bCs/>
      <w:kern w:val="2"/>
      <w:sz w:val="21"/>
      <w:szCs w:val="24"/>
    </w:rPr>
  </w:style>
  <w:style w:type="character" w:customStyle="1" w:styleId="148">
    <w:name w:val="HTML 预设格式 Char1"/>
    <w:qFormat/>
    <w:uiPriority w:val="0"/>
    <w:rPr>
      <w:rFonts w:ascii="Courier New" w:hAnsi="Courier New"/>
      <w:kern w:val="2"/>
    </w:rPr>
  </w:style>
  <w:style w:type="character" w:customStyle="1" w:styleId="149">
    <w:name w:val="正文文本缩进 2 Char1"/>
    <w:qFormat/>
    <w:uiPriority w:val="0"/>
    <w:rPr>
      <w:kern w:val="2"/>
      <w:sz w:val="21"/>
      <w:szCs w:val="24"/>
    </w:rPr>
  </w:style>
  <w:style w:type="character" w:customStyle="1" w:styleId="150">
    <w:name w:val="Char Char9"/>
    <w:qFormat/>
    <w:uiPriority w:val="0"/>
    <w:rPr>
      <w:rFonts w:ascii="宋体" w:hAnsi="宋体"/>
      <w:kern w:val="2"/>
      <w:sz w:val="28"/>
    </w:rPr>
  </w:style>
  <w:style w:type="character" w:customStyle="1" w:styleId="151">
    <w:name w:val="日期 Char1"/>
    <w:qFormat/>
    <w:uiPriority w:val="0"/>
  </w:style>
  <w:style w:type="character" w:customStyle="1" w:styleId="152">
    <w:name w:val="h3 Char Char1"/>
    <w:qFormat/>
    <w:uiPriority w:val="0"/>
    <w:rPr>
      <w:rFonts w:ascii="Tahoma" w:hAnsi="Tahoma" w:eastAsia="微软雅黑"/>
      <w:b/>
      <w:bCs/>
      <w:kern w:val="0"/>
      <w:sz w:val="32"/>
      <w:szCs w:val="32"/>
    </w:rPr>
  </w:style>
  <w:style w:type="character" w:customStyle="1" w:styleId="153">
    <w:name w:val="Char Char11"/>
    <w:qFormat/>
    <w:uiPriority w:val="0"/>
    <w:rPr>
      <w:rFonts w:ascii="Arial" w:hAnsi="Arial" w:eastAsia="黑体"/>
      <w:sz w:val="21"/>
    </w:rPr>
  </w:style>
  <w:style w:type="character" w:customStyle="1" w:styleId="154">
    <w:name w:val="Char Char10"/>
    <w:qFormat/>
    <w:uiPriority w:val="0"/>
    <w:rPr>
      <w:rFonts w:ascii="Arial" w:hAnsi="Arial" w:eastAsia="黑体"/>
      <w:sz w:val="21"/>
      <w:szCs w:val="21"/>
    </w:rPr>
  </w:style>
  <w:style w:type="character" w:customStyle="1" w:styleId="155">
    <w:name w:val="样式 宋体"/>
    <w:qFormat/>
    <w:uiPriority w:val="0"/>
    <w:rPr>
      <w:rFonts w:ascii="宋体" w:hAnsi="宋体" w:eastAsia="宋体"/>
      <w:sz w:val="28"/>
    </w:rPr>
  </w:style>
  <w:style w:type="character" w:customStyle="1" w:styleId="156">
    <w:name w:val="Table Heading Char Char"/>
    <w:qFormat/>
    <w:uiPriority w:val="0"/>
    <w:rPr>
      <w:rFonts w:ascii="Arial" w:hAnsi="Arial" w:eastAsia="黑体"/>
      <w:kern w:val="2"/>
      <w:sz w:val="18"/>
      <w:lang w:val="en-US" w:eastAsia="zh-CN"/>
    </w:rPr>
  </w:style>
  <w:style w:type="character" w:customStyle="1" w:styleId="157">
    <w:name w:val="书籍标题1"/>
    <w:qFormat/>
    <w:uiPriority w:val="0"/>
    <w:rPr>
      <w:b/>
      <w:bCs/>
      <w:spacing w:val="5"/>
    </w:rPr>
  </w:style>
  <w:style w:type="character" w:customStyle="1" w:styleId="158">
    <w:name w:val="正文 + 三号 Char"/>
    <w:qFormat/>
    <w:uiPriority w:val="0"/>
    <w:rPr>
      <w:rFonts w:eastAsia="宋体"/>
      <w:kern w:val="2"/>
      <w:sz w:val="21"/>
      <w:lang w:val="en-US" w:eastAsia="zh-CN"/>
    </w:rPr>
  </w:style>
  <w:style w:type="character" w:customStyle="1" w:styleId="159">
    <w:name w:val="Table Text Char1 Char"/>
    <w:qFormat/>
    <w:uiPriority w:val="0"/>
    <w:rPr>
      <w:rFonts w:ascii="Arial" w:hAnsi="Arial"/>
      <w:kern w:val="2"/>
      <w:sz w:val="18"/>
      <w:lang w:val="en-US" w:eastAsia="zh-CN" w:bidi="ar-SA"/>
    </w:rPr>
  </w:style>
  <w:style w:type="character" w:customStyle="1" w:styleId="160">
    <w:name w:val="正文文本 Char"/>
    <w:qFormat/>
    <w:uiPriority w:val="0"/>
    <w:rPr>
      <w:szCs w:val="24"/>
    </w:rPr>
  </w:style>
  <w:style w:type="character" w:customStyle="1" w:styleId="161">
    <w:name w:val="Char Char15"/>
    <w:qFormat/>
    <w:uiPriority w:val="0"/>
    <w:rPr>
      <w:rFonts w:ascii="Cambria" w:hAnsi="Cambria"/>
      <w:b/>
      <w:bCs/>
      <w:kern w:val="2"/>
      <w:sz w:val="24"/>
      <w:szCs w:val="28"/>
    </w:rPr>
  </w:style>
  <w:style w:type="character" w:customStyle="1" w:styleId="162">
    <w:name w:val="content-white1"/>
    <w:qFormat/>
    <w:uiPriority w:val="0"/>
    <w:rPr>
      <w:color w:val="000000"/>
      <w:sz w:val="18"/>
      <w:u w:val="none"/>
    </w:rPr>
  </w:style>
  <w:style w:type="character" w:customStyle="1" w:styleId="163">
    <w:name w:val="Table Text Char"/>
    <w:qFormat/>
    <w:uiPriority w:val="0"/>
    <w:rPr>
      <w:rFonts w:ascii="Arial" w:hAnsi="Arial"/>
      <w:kern w:val="2"/>
      <w:sz w:val="18"/>
      <w:lang w:val="en-US" w:eastAsia="zh-CN" w:bidi="ar-SA"/>
    </w:rPr>
  </w:style>
  <w:style w:type="character" w:customStyle="1" w:styleId="164">
    <w:name w:val="browa1"/>
    <w:qFormat/>
    <w:uiPriority w:val="0"/>
    <w:rPr>
      <w:color w:val="000000"/>
      <w:sz w:val="21"/>
      <w:szCs w:val="21"/>
    </w:rPr>
  </w:style>
  <w:style w:type="character" w:customStyle="1" w:styleId="165">
    <w:name w:val="crowed11"/>
    <w:qFormat/>
    <w:uiPriority w:val="0"/>
    <w:rPr>
      <w:sz w:val="24"/>
    </w:rPr>
  </w:style>
  <w:style w:type="character" w:customStyle="1" w:styleId="166">
    <w:name w:val="文档结构图 Char1"/>
    <w:qFormat/>
    <w:uiPriority w:val="0"/>
    <w:rPr>
      <w:rFonts w:ascii="宋体"/>
      <w:kern w:val="2"/>
      <w:sz w:val="18"/>
      <w:szCs w:val="18"/>
    </w:rPr>
  </w:style>
  <w:style w:type="character" w:customStyle="1" w:styleId="167">
    <w:name w:val="w1"/>
    <w:qFormat/>
    <w:uiPriority w:val="0"/>
    <w:rPr>
      <w:rFonts w:hint="eastAsia" w:ascii="宋体" w:hAnsi="宋体" w:eastAsia="宋体"/>
      <w:color w:val="000000"/>
      <w:spacing w:val="336"/>
      <w:sz w:val="18"/>
      <w:szCs w:val="18"/>
      <w:u w:val="none"/>
    </w:rPr>
  </w:style>
  <w:style w:type="character" w:customStyle="1" w:styleId="168">
    <w:name w:val="Char Char14"/>
    <w:qFormat/>
    <w:uiPriority w:val="0"/>
    <w:rPr>
      <w:b/>
      <w:bCs/>
      <w:kern w:val="2"/>
      <w:sz w:val="21"/>
      <w:szCs w:val="28"/>
    </w:rPr>
  </w:style>
  <w:style w:type="character" w:customStyle="1" w:styleId="169">
    <w:name w:val="Char Char2"/>
    <w:qFormat/>
    <w:uiPriority w:val="0"/>
    <w:rPr>
      <w:rFonts w:ascii="Arial" w:hAnsi="Arial"/>
      <w:sz w:val="16"/>
      <w:szCs w:val="16"/>
    </w:rPr>
  </w:style>
  <w:style w:type="character" w:customStyle="1" w:styleId="170">
    <w:name w:val="无间隔 字符"/>
    <w:link w:val="171"/>
    <w:qFormat/>
    <w:uiPriority w:val="0"/>
    <w:rPr>
      <w:kern w:val="2"/>
      <w:sz w:val="22"/>
      <w:szCs w:val="22"/>
      <w:lang w:val="en-US" w:eastAsia="zh-CN" w:bidi="ar-SA"/>
    </w:rPr>
  </w:style>
  <w:style w:type="paragraph" w:customStyle="1" w:styleId="171">
    <w:name w:val="无间隔1"/>
    <w:link w:val="170"/>
    <w:qFormat/>
    <w:uiPriority w:val="0"/>
    <w:rPr>
      <w:rFonts w:ascii="Times New Roman" w:hAnsi="Times New Roman" w:eastAsia="宋体" w:cs="Times New Roman"/>
      <w:kern w:val="2"/>
      <w:sz w:val="22"/>
      <w:szCs w:val="22"/>
      <w:lang w:val="en-US" w:eastAsia="zh-CN" w:bidi="ar-SA"/>
    </w:rPr>
  </w:style>
  <w:style w:type="character" w:customStyle="1" w:styleId="172">
    <w:name w:val="Char Char1"/>
    <w:qFormat/>
    <w:uiPriority w:val="0"/>
    <w:rPr>
      <w:rFonts w:ascii="仿宋_GB2312" w:eastAsia="仿宋_GB2312"/>
      <w:kern w:val="2"/>
      <w:sz w:val="24"/>
      <w:szCs w:val="24"/>
    </w:rPr>
  </w:style>
  <w:style w:type="character" w:customStyle="1" w:styleId="173">
    <w:name w:val="v151"/>
    <w:qFormat/>
    <w:uiPriority w:val="0"/>
    <w:rPr>
      <w:sz w:val="18"/>
    </w:rPr>
  </w:style>
  <w:style w:type="character" w:customStyle="1" w:styleId="174">
    <w:name w:val="未命名11"/>
    <w:qFormat/>
    <w:uiPriority w:val="0"/>
    <w:rPr>
      <w:color w:val="77FFFF"/>
      <w:sz w:val="24"/>
    </w:rPr>
  </w:style>
  <w:style w:type="character" w:customStyle="1" w:styleId="175">
    <w:name w:val="Footer-Even Char"/>
    <w:qFormat/>
    <w:uiPriority w:val="0"/>
    <w:rPr>
      <w:sz w:val="18"/>
      <w:szCs w:val="18"/>
    </w:rPr>
  </w:style>
  <w:style w:type="character" w:customStyle="1" w:styleId="176">
    <w:name w:val="h2 Char"/>
    <w:qFormat/>
    <w:uiPriority w:val="0"/>
    <w:rPr>
      <w:rFonts w:ascii="黑体" w:hAnsi="Times New Roman" w:eastAsia="黑体"/>
      <w:b/>
      <w:bCs/>
      <w:sz w:val="32"/>
      <w:szCs w:val="24"/>
    </w:rPr>
  </w:style>
  <w:style w:type="character" w:customStyle="1" w:styleId="177">
    <w:name w:val="批注框文本 Char1"/>
    <w:semiHidden/>
    <w:qFormat/>
    <w:uiPriority w:val="0"/>
    <w:rPr>
      <w:sz w:val="18"/>
      <w:szCs w:val="18"/>
    </w:rPr>
  </w:style>
  <w:style w:type="character" w:customStyle="1" w:styleId="178">
    <w:name w:val="小 Char"/>
    <w:qFormat/>
    <w:uiPriority w:val="0"/>
    <w:rPr>
      <w:rFonts w:ascii="宋体" w:hAnsi="Courier New" w:eastAsia="宋体"/>
      <w:kern w:val="2"/>
      <w:sz w:val="21"/>
      <w:lang w:val="en-US" w:eastAsia="zh-CN" w:bidi="ar-SA"/>
    </w:rPr>
  </w:style>
  <w:style w:type="character" w:customStyle="1" w:styleId="179">
    <w:name w:val="列表段落 字符"/>
    <w:link w:val="180"/>
    <w:qFormat/>
    <w:uiPriority w:val="0"/>
    <w:rPr>
      <w:kern w:val="2"/>
      <w:sz w:val="21"/>
      <w:szCs w:val="22"/>
    </w:rPr>
  </w:style>
  <w:style w:type="paragraph" w:styleId="180">
    <w:name w:val="List Paragraph"/>
    <w:basedOn w:val="1"/>
    <w:link w:val="179"/>
    <w:qFormat/>
    <w:uiPriority w:val="0"/>
    <w:pPr>
      <w:ind w:firstLine="420" w:firstLineChars="200"/>
    </w:pPr>
  </w:style>
  <w:style w:type="character" w:customStyle="1" w:styleId="181">
    <w:name w:val="文字 Char"/>
    <w:link w:val="182"/>
    <w:qFormat/>
    <w:uiPriority w:val="0"/>
    <w:rPr>
      <w:rFonts w:ascii="宋体" w:eastAsia="宋体"/>
      <w:sz w:val="28"/>
    </w:rPr>
  </w:style>
  <w:style w:type="paragraph" w:customStyle="1" w:styleId="182">
    <w:name w:val="文字"/>
    <w:basedOn w:val="1"/>
    <w:link w:val="181"/>
    <w:qFormat/>
    <w:uiPriority w:val="0"/>
    <w:pPr>
      <w:tabs>
        <w:tab w:val="left" w:pos="8520"/>
      </w:tabs>
      <w:spacing w:line="312" w:lineRule="auto"/>
      <w:ind w:right="-210" w:firstLine="556"/>
    </w:pPr>
    <w:rPr>
      <w:rFonts w:ascii="宋体"/>
      <w:kern w:val="0"/>
      <w:sz w:val="28"/>
      <w:szCs w:val="20"/>
    </w:rPr>
  </w:style>
  <w:style w:type="character" w:customStyle="1" w:styleId="183">
    <w:name w:val="批注主题 Char1"/>
    <w:qFormat/>
    <w:uiPriority w:val="0"/>
    <w:rPr>
      <w:b/>
      <w:bCs/>
      <w:kern w:val="2"/>
      <w:sz w:val="21"/>
      <w:szCs w:val="24"/>
    </w:rPr>
  </w:style>
  <w:style w:type="character" w:customStyle="1" w:styleId="184">
    <w:name w:val="批注文字 Char"/>
    <w:qFormat/>
    <w:uiPriority w:val="0"/>
    <w:rPr>
      <w:kern w:val="2"/>
      <w:sz w:val="21"/>
      <w:szCs w:val="24"/>
    </w:rPr>
  </w:style>
  <w:style w:type="character" w:customStyle="1" w:styleId="185">
    <w:name w:val="标题 2 Char1"/>
    <w:qFormat/>
    <w:uiPriority w:val="0"/>
    <w:rPr>
      <w:rFonts w:ascii="Arial" w:hAnsi="Arial" w:eastAsia="黑体"/>
      <w:b/>
      <w:bCs/>
      <w:kern w:val="2"/>
      <w:sz w:val="32"/>
      <w:szCs w:val="32"/>
    </w:rPr>
  </w:style>
  <w:style w:type="character" w:customStyle="1" w:styleId="186">
    <w:name w:val="标题 3 Char1"/>
    <w:qFormat/>
    <w:uiPriority w:val="0"/>
    <w:rPr>
      <w:rFonts w:eastAsia="宋体"/>
      <w:b/>
      <w:bCs/>
      <w:kern w:val="2"/>
      <w:sz w:val="32"/>
      <w:szCs w:val="32"/>
      <w:lang w:val="en-US" w:eastAsia="zh-CN" w:bidi="ar-SA"/>
    </w:rPr>
  </w:style>
  <w:style w:type="character" w:customStyle="1" w:styleId="187">
    <w:name w:val="正文文本缩进 3 Char1"/>
    <w:qFormat/>
    <w:uiPriority w:val="0"/>
    <w:rPr>
      <w:kern w:val="2"/>
      <w:sz w:val="16"/>
      <w:szCs w:val="16"/>
    </w:rPr>
  </w:style>
  <w:style w:type="character" w:customStyle="1" w:styleId="188">
    <w:name w:val="font31"/>
    <w:qFormat/>
    <w:uiPriority w:val="0"/>
    <w:rPr>
      <w:rFonts w:hint="eastAsia" w:ascii="宋体" w:hAnsi="宋体" w:eastAsia="宋体"/>
      <w:b/>
      <w:bCs/>
      <w:color w:val="000000"/>
      <w:sz w:val="24"/>
      <w:szCs w:val="24"/>
      <w:u w:val="none"/>
    </w:rPr>
  </w:style>
  <w:style w:type="character" w:customStyle="1" w:styleId="189">
    <w:name w:val="Char Char8"/>
    <w:qFormat/>
    <w:uiPriority w:val="0"/>
    <w:rPr>
      <w:rFonts w:ascii="Times New Roman" w:hAnsi="Times New Roman" w:eastAsia="宋体"/>
      <w:szCs w:val="24"/>
    </w:rPr>
  </w:style>
  <w:style w:type="character" w:customStyle="1" w:styleId="190">
    <w:name w:val="纯文本 Char2"/>
    <w:semiHidden/>
    <w:qFormat/>
    <w:uiPriority w:val="0"/>
    <w:rPr>
      <w:rFonts w:ascii="宋体" w:hAnsi="Courier New" w:eastAsia="宋体"/>
      <w:szCs w:val="21"/>
    </w:rPr>
  </w:style>
  <w:style w:type="character" w:customStyle="1" w:styleId="191">
    <w:name w:val="页脚 Char"/>
    <w:qFormat/>
    <w:uiPriority w:val="0"/>
    <w:rPr>
      <w:kern w:val="2"/>
      <w:sz w:val="18"/>
      <w:szCs w:val="18"/>
    </w:rPr>
  </w:style>
  <w:style w:type="character" w:customStyle="1" w:styleId="192">
    <w:name w:val="Char Char6"/>
    <w:qFormat/>
    <w:uiPriority w:val="0"/>
    <w:rPr>
      <w:rFonts w:ascii="Arial" w:hAnsi="Arial" w:eastAsia="宋体"/>
      <w:sz w:val="16"/>
      <w:szCs w:val="16"/>
      <w:lang w:val="en-US" w:eastAsia="zh-CN" w:bidi="ar-SA"/>
    </w:rPr>
  </w:style>
  <w:style w:type="character" w:customStyle="1" w:styleId="193">
    <w:name w:val="Char Char12"/>
    <w:qFormat/>
    <w:uiPriority w:val="0"/>
    <w:rPr>
      <w:b/>
      <w:bCs/>
      <w:sz w:val="21"/>
    </w:rPr>
  </w:style>
  <w:style w:type="character" w:customStyle="1" w:styleId="194">
    <w:name w:val="Char Char7"/>
    <w:qFormat/>
    <w:uiPriority w:val="0"/>
    <w:rPr>
      <w:rFonts w:ascii="宋体" w:hAnsi="宋体" w:eastAsia="宋体"/>
      <w:kern w:val="2"/>
      <w:sz w:val="28"/>
    </w:rPr>
  </w:style>
  <w:style w:type="character" w:customStyle="1" w:styleId="195">
    <w:name w:val="font01"/>
    <w:qFormat/>
    <w:uiPriority w:val="0"/>
    <w:rPr>
      <w:rFonts w:hint="eastAsia" w:ascii="宋体" w:hAnsi="宋体" w:eastAsia="宋体"/>
      <w:color w:val="000000"/>
      <w:sz w:val="22"/>
      <w:szCs w:val="22"/>
      <w:u w:val="none"/>
    </w:rPr>
  </w:style>
  <w:style w:type="character" w:customStyle="1" w:styleId="196">
    <w:name w:val="Char Char3"/>
    <w:qFormat/>
    <w:uiPriority w:val="0"/>
    <w:rPr>
      <w:kern w:val="2"/>
      <w:sz w:val="21"/>
      <w:szCs w:val="24"/>
    </w:rPr>
  </w:style>
  <w:style w:type="character" w:customStyle="1" w:styleId="197">
    <w:name w:val="Char Char13"/>
    <w:qFormat/>
    <w:uiPriority w:val="0"/>
    <w:rPr>
      <w:rFonts w:ascii="Arial" w:hAnsi="Arial" w:eastAsia="黑体"/>
      <w:b/>
      <w:bCs/>
      <w:sz w:val="21"/>
    </w:rPr>
  </w:style>
  <w:style w:type="character" w:customStyle="1" w:styleId="198">
    <w:name w:val="书籍标题2"/>
    <w:qFormat/>
    <w:uiPriority w:val="0"/>
    <w:rPr>
      <w:b/>
      <w:bCs/>
      <w:spacing w:val="5"/>
    </w:rPr>
  </w:style>
  <w:style w:type="character" w:customStyle="1" w:styleId="199">
    <w:name w:val="页脚 Char Char"/>
    <w:qFormat/>
    <w:uiPriority w:val="0"/>
    <w:rPr>
      <w:rFonts w:eastAsia="宋体"/>
      <w:kern w:val="2"/>
      <w:sz w:val="18"/>
      <w:szCs w:val="18"/>
      <w:lang w:val="en-US" w:eastAsia="zh-CN" w:bidi="ar-SA"/>
    </w:rPr>
  </w:style>
  <w:style w:type="character" w:customStyle="1" w:styleId="200">
    <w:name w:val="MM Notes Char"/>
    <w:link w:val="201"/>
    <w:qFormat/>
    <w:uiPriority w:val="0"/>
    <w:rPr>
      <w:rFonts w:ascii="Verdana" w:hAnsi="Verdana"/>
      <w:kern w:val="2"/>
      <w:sz w:val="24"/>
      <w:szCs w:val="24"/>
    </w:rPr>
  </w:style>
  <w:style w:type="paragraph" w:customStyle="1" w:styleId="201">
    <w:name w:val="MM Notes"/>
    <w:basedOn w:val="1"/>
    <w:link w:val="200"/>
    <w:qFormat/>
    <w:uiPriority w:val="0"/>
    <w:pPr>
      <w:spacing w:line="360" w:lineRule="auto"/>
      <w:ind w:firstLine="480" w:firstLineChars="200"/>
    </w:pPr>
    <w:rPr>
      <w:rFonts w:ascii="Verdana" w:hAnsi="Verdana"/>
      <w:sz w:val="24"/>
      <w:szCs w:val="24"/>
    </w:rPr>
  </w:style>
  <w:style w:type="character" w:customStyle="1" w:styleId="202">
    <w:name w:val="NormalCharacter"/>
    <w:qFormat/>
    <w:uiPriority w:val="0"/>
  </w:style>
  <w:style w:type="character" w:customStyle="1" w:styleId="203">
    <w:name w:val="Table Text Char Char Char Char"/>
    <w:qFormat/>
    <w:uiPriority w:val="0"/>
    <w:rPr>
      <w:rFonts w:ascii="Arial" w:hAnsi="Arial"/>
      <w:kern w:val="2"/>
      <w:sz w:val="18"/>
      <w:lang w:val="en-US" w:eastAsia="zh-CN" w:bidi="ar-SA"/>
    </w:rPr>
  </w:style>
  <w:style w:type="character" w:customStyle="1" w:styleId="204">
    <w:name w:val="Char Char5"/>
    <w:qFormat/>
    <w:uiPriority w:val="0"/>
    <w:rPr>
      <w:sz w:val="18"/>
      <w:szCs w:val="18"/>
    </w:rPr>
  </w:style>
  <w:style w:type="character" w:customStyle="1" w:styleId="205">
    <w:name w:val="H1 Char"/>
    <w:qFormat/>
    <w:uiPriority w:val="0"/>
    <w:rPr>
      <w:rFonts w:ascii="Calibri" w:hAnsi="Calibri"/>
      <w:b/>
      <w:bCs/>
      <w:kern w:val="44"/>
      <w:sz w:val="44"/>
      <w:szCs w:val="44"/>
    </w:rPr>
  </w:style>
  <w:style w:type="character" w:customStyle="1" w:styleId="206">
    <w:name w:val="Char Char4"/>
    <w:qFormat/>
    <w:uiPriority w:val="0"/>
    <w:rPr>
      <w:kern w:val="2"/>
      <w:sz w:val="16"/>
      <w:szCs w:val="16"/>
    </w:rPr>
  </w:style>
  <w:style w:type="character" w:customStyle="1" w:styleId="207">
    <w:name w:val="页眉 字符"/>
    <w:qFormat/>
    <w:uiPriority w:val="0"/>
    <w:rPr>
      <w:sz w:val="18"/>
      <w:szCs w:val="18"/>
    </w:rPr>
  </w:style>
  <w:style w:type="paragraph" w:customStyle="1" w:styleId="208">
    <w:name w:val="Title - Date"/>
    <w:basedOn w:val="122"/>
    <w:qFormat/>
    <w:uiPriority w:val="0"/>
    <w:pPr>
      <w:spacing w:before="240" w:after="720"/>
    </w:pPr>
    <w:rPr>
      <w:sz w:val="28"/>
    </w:rPr>
  </w:style>
  <w:style w:type="paragraph" w:customStyle="1" w:styleId="209">
    <w:name w:val="文档正文 Char Char Char Char Char"/>
    <w:basedOn w:val="1"/>
    <w:qFormat/>
    <w:uiPriority w:val="0"/>
    <w:pPr>
      <w:spacing w:line="440" w:lineRule="exact"/>
      <w:ind w:firstLine="420"/>
    </w:pPr>
    <w:rPr>
      <w:rFonts w:ascii="Arial Narrow" w:hAnsi="Arial Narrow"/>
      <w:kern w:val="0"/>
      <w:sz w:val="24"/>
      <w:szCs w:val="20"/>
    </w:rPr>
  </w:style>
  <w:style w:type="paragraph" w:customStyle="1" w:styleId="210">
    <w:name w:val="样式 正文首行缩进 2 + 首行缩进:  2 字符"/>
    <w:basedOn w:val="1"/>
    <w:qFormat/>
    <w:uiPriority w:val="0"/>
    <w:pPr>
      <w:numPr>
        <w:ilvl w:val="0"/>
        <w:numId w:val="8"/>
      </w:numPr>
      <w:tabs>
        <w:tab w:val="left" w:pos="987"/>
      </w:tabs>
      <w:snapToGrid w:val="0"/>
      <w:spacing w:line="360" w:lineRule="auto"/>
    </w:pPr>
    <w:rPr>
      <w:rFonts w:ascii="Arial" w:hAnsi="Arial"/>
      <w:b/>
      <w:sz w:val="24"/>
      <w:szCs w:val="20"/>
    </w:rPr>
  </w:style>
  <w:style w:type="paragraph" w:customStyle="1" w:styleId="211">
    <w:name w:val="文本框样式1"/>
    <w:basedOn w:val="1"/>
    <w:qFormat/>
    <w:uiPriority w:val="0"/>
    <w:pPr>
      <w:snapToGrid w:val="0"/>
      <w:spacing w:before="60" w:line="180" w:lineRule="exact"/>
      <w:jc w:val="center"/>
    </w:pPr>
    <w:rPr>
      <w:szCs w:val="20"/>
    </w:rPr>
  </w:style>
  <w:style w:type="paragraph" w:customStyle="1" w:styleId="212">
    <w:name w:val="表头样式"/>
    <w:basedOn w:val="1"/>
    <w:qFormat/>
    <w:uiPriority w:val="0"/>
    <w:pPr>
      <w:autoSpaceDE w:val="0"/>
      <w:autoSpaceDN w:val="0"/>
      <w:spacing w:line="360" w:lineRule="auto"/>
      <w:jc w:val="left"/>
    </w:pPr>
    <w:rPr>
      <w:b/>
      <w:kern w:val="0"/>
      <w:szCs w:val="20"/>
    </w:rPr>
  </w:style>
  <w:style w:type="paragraph" w:customStyle="1" w:styleId="213">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14">
    <w:name w:val="无间距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5">
    <w:name w:val="附录4"/>
    <w:basedOn w:val="1"/>
    <w:qFormat/>
    <w:uiPriority w:val="0"/>
    <w:pPr>
      <w:widowControl/>
      <w:tabs>
        <w:tab w:val="left" w:pos="1134"/>
      </w:tabs>
      <w:spacing w:line="300" w:lineRule="auto"/>
      <w:ind w:left="1361" w:hanging="1361"/>
      <w:outlineLvl w:val="3"/>
    </w:pPr>
    <w:rPr>
      <w:rFonts w:ascii="Arial" w:hAnsi="Arial" w:eastAsia="黑体"/>
      <w:kern w:val="0"/>
      <w:sz w:val="28"/>
      <w:szCs w:val="20"/>
    </w:rPr>
  </w:style>
  <w:style w:type="paragraph" w:customStyle="1" w:styleId="216">
    <w:name w:val="图片文字"/>
    <w:basedOn w:val="1"/>
    <w:qFormat/>
    <w:uiPriority w:val="0"/>
    <w:pPr>
      <w:spacing w:line="240" w:lineRule="atLeast"/>
      <w:jc w:val="center"/>
    </w:pPr>
    <w:rPr>
      <w:szCs w:val="20"/>
    </w:rPr>
  </w:style>
  <w:style w:type="paragraph" w:customStyle="1" w:styleId="217">
    <w:name w:val="正文_4"/>
    <w:basedOn w:val="37"/>
    <w:next w:val="218"/>
    <w:qFormat/>
    <w:uiPriority w:val="0"/>
    <w:rPr>
      <w:rFonts w:ascii="Times New Roman" w:hAnsi="Times New Roman"/>
      <w:sz w:val="21"/>
      <w:szCs w:val="22"/>
    </w:rPr>
  </w:style>
  <w:style w:type="paragraph" w:customStyle="1" w:styleId="218">
    <w:name w:val="首行缩进"/>
    <w:basedOn w:val="1"/>
    <w:qFormat/>
    <w:uiPriority w:val="0"/>
    <w:pPr>
      <w:spacing w:line="360" w:lineRule="auto"/>
      <w:ind w:firstLine="420" w:firstLineChars="200"/>
    </w:pPr>
    <w:rPr>
      <w:szCs w:val="20"/>
    </w:rPr>
  </w:style>
  <w:style w:type="paragraph" w:customStyle="1" w:styleId="219">
    <w:name w:val="Char Char Char Char"/>
    <w:basedOn w:val="1"/>
    <w:qFormat/>
    <w:uiPriority w:val="0"/>
    <w:pPr>
      <w:pageBreakBefore/>
      <w:widowControl/>
      <w:spacing w:after="160" w:line="240" w:lineRule="exact"/>
      <w:jc w:val="left"/>
    </w:pPr>
    <w:rPr>
      <w:rFonts w:ascii="Verdana" w:hAnsi="Verdana"/>
      <w:kern w:val="0"/>
      <w:sz w:val="20"/>
      <w:szCs w:val="20"/>
      <w:lang w:eastAsia="en-US"/>
    </w:rPr>
  </w:style>
  <w:style w:type="paragraph" w:customStyle="1" w:styleId="220">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没有缩进（为图形使用）"/>
    <w:basedOn w:val="1"/>
    <w:qFormat/>
    <w:uiPriority w:val="0"/>
    <w:pPr>
      <w:spacing w:before="120" w:after="120" w:line="360" w:lineRule="auto"/>
    </w:pPr>
    <w:rPr>
      <w:sz w:val="24"/>
      <w:szCs w:val="20"/>
    </w:rPr>
  </w:style>
  <w:style w:type="paragraph" w:customStyle="1" w:styleId="222">
    <w:name w:val="_Style 154"/>
    <w:basedOn w:val="1"/>
    <w:qFormat/>
    <w:uiPriority w:val="0"/>
    <w:pPr>
      <w:spacing w:line="480" w:lineRule="exact"/>
      <w:ind w:firstLine="200" w:firstLineChars="200"/>
      <w:jc w:val="left"/>
    </w:pPr>
    <w:rPr>
      <w:rFonts w:ascii="Calibri" w:hAnsi="Calibri" w:eastAsia="楷体_GB2312"/>
      <w:sz w:val="28"/>
      <w:szCs w:val="20"/>
    </w:rPr>
  </w:style>
  <w:style w:type="paragraph" w:customStyle="1" w:styleId="223">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4">
    <w:name w:val="图表"/>
    <w:basedOn w:val="1"/>
    <w:qFormat/>
    <w:uiPriority w:val="0"/>
    <w:pPr>
      <w:jc w:val="center"/>
    </w:pPr>
    <w:rPr>
      <w:rFonts w:ascii="宋体" w:hAnsi="宋体"/>
      <w:bCs/>
      <w:szCs w:val="36"/>
    </w:rPr>
  </w:style>
  <w:style w:type="paragraph" w:customStyle="1" w:styleId="225">
    <w:name w:val="默认段落字体 Para Char Char Char Char Char Char Char"/>
    <w:basedOn w:val="1"/>
    <w:qFormat/>
    <w:uiPriority w:val="0"/>
    <w:rPr>
      <w:rFonts w:ascii="Tahoma" w:hAnsi="Tahoma"/>
      <w:sz w:val="24"/>
      <w:szCs w:val="20"/>
    </w:rPr>
  </w:style>
  <w:style w:type="paragraph" w:customStyle="1" w:styleId="226">
    <w:name w:val="xl23"/>
    <w:basedOn w:val="1"/>
    <w:qFormat/>
    <w:uiPriority w:val="0"/>
    <w:pPr>
      <w:widowControl/>
      <w:spacing w:before="100" w:beforeAutospacing="1" w:after="100" w:afterAutospacing="1" w:line="360" w:lineRule="auto"/>
    </w:pPr>
    <w:rPr>
      <w:kern w:val="0"/>
      <w:sz w:val="24"/>
      <w:szCs w:val="20"/>
    </w:rPr>
  </w:style>
  <w:style w:type="paragraph" w:customStyle="1" w:styleId="227">
    <w:name w:val="Other|1"/>
    <w:basedOn w:val="1"/>
    <w:qFormat/>
    <w:uiPriority w:val="0"/>
    <w:pPr>
      <w:spacing w:line="304" w:lineRule="exact"/>
    </w:pPr>
    <w:rPr>
      <w:rFonts w:ascii="宋体" w:hAnsi="宋体"/>
      <w:sz w:val="20"/>
      <w:szCs w:val="20"/>
      <w:lang w:val="zh-TW" w:eastAsia="zh-TW" w:bidi="zh-TW"/>
    </w:rPr>
  </w:style>
  <w:style w:type="paragraph" w:customStyle="1" w:styleId="228">
    <w:name w:val="表格文本"/>
    <w:qFormat/>
    <w:uiPriority w:val="0"/>
    <w:pPr>
      <w:tabs>
        <w:tab w:val="decimal" w:pos="0"/>
      </w:tabs>
    </w:pPr>
    <w:rPr>
      <w:rFonts w:ascii="Arial" w:hAnsi="Arial" w:eastAsia="宋体" w:cs="Times New Roman"/>
      <w:sz w:val="21"/>
      <w:lang w:val="en-US" w:eastAsia="zh-CN" w:bidi="ar-SA"/>
    </w:rPr>
  </w:style>
  <w:style w:type="paragraph" w:customStyle="1" w:styleId="229">
    <w:name w:val="IN Step"/>
    <w:basedOn w:val="1"/>
    <w:qFormat/>
    <w:uiPriority w:val="0"/>
    <w:pPr>
      <w:keepLines/>
      <w:widowControl/>
      <w:tabs>
        <w:tab w:val="left" w:pos="1134"/>
      </w:tabs>
      <w:spacing w:before="80" w:after="80" w:line="300" w:lineRule="auto"/>
      <w:ind w:left="1134" w:hanging="907"/>
      <w:outlineLvl w:val="8"/>
    </w:pPr>
    <w:rPr>
      <w:rFonts w:ascii="Arial" w:hAnsi="Arial"/>
      <w:kern w:val="0"/>
      <w:szCs w:val="20"/>
    </w:rPr>
  </w:style>
  <w:style w:type="paragraph" w:customStyle="1" w:styleId="230">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231">
    <w:name w:val="reader-word-layer reader-word-s1-3"/>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32">
    <w:name w:val="Note"/>
    <w:basedOn w:val="1"/>
    <w:qFormat/>
    <w:uiPriority w:val="0"/>
    <w:pPr>
      <w:pBdr>
        <w:top w:val="single" w:color="000000" w:sz="12" w:space="3"/>
        <w:bottom w:val="single" w:color="000000" w:sz="12" w:space="3"/>
      </w:pBdr>
      <w:spacing w:line="360" w:lineRule="auto"/>
    </w:pPr>
    <w:rPr>
      <w:sz w:val="24"/>
      <w:szCs w:val="20"/>
    </w:rPr>
  </w:style>
  <w:style w:type="paragraph" w:customStyle="1" w:styleId="233">
    <w:name w:val="表号"/>
    <w:basedOn w:val="1"/>
    <w:qFormat/>
    <w:uiPriority w:val="0"/>
    <w:pPr>
      <w:numPr>
        <w:ilvl w:val="0"/>
        <w:numId w:val="10"/>
      </w:numPr>
      <w:tabs>
        <w:tab w:val="clear" w:pos="987"/>
      </w:tabs>
      <w:autoSpaceDE w:val="0"/>
      <w:autoSpaceDN w:val="0"/>
      <w:spacing w:before="210" w:after="210"/>
      <w:ind w:left="425" w:hanging="137"/>
      <w:jc w:val="center"/>
    </w:pPr>
    <w:rPr>
      <w:kern w:val="0"/>
      <w:szCs w:val="20"/>
      <w:lang w:eastAsia="en-US"/>
    </w:rPr>
  </w:style>
  <w:style w:type="paragraph" w:customStyle="1" w:styleId="234">
    <w:name w:val="正文_模板"/>
    <w:basedOn w:val="1"/>
    <w:qFormat/>
    <w:uiPriority w:val="0"/>
    <w:pPr>
      <w:spacing w:line="360" w:lineRule="auto"/>
      <w:ind w:firstLine="200" w:firstLineChars="200"/>
    </w:pPr>
    <w:rPr>
      <w:rFonts w:ascii="Calibri" w:hAnsi="Calibri"/>
      <w:sz w:val="24"/>
      <w:szCs w:val="24"/>
    </w:rPr>
  </w:style>
  <w:style w:type="paragraph" w:customStyle="1" w:styleId="235">
    <w:name w:val="段"/>
    <w:qFormat/>
    <w:uiPriority w:val="0"/>
    <w:pPr>
      <w:autoSpaceDE w:val="0"/>
      <w:autoSpaceDN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36">
    <w:name w:val="标题3——2"/>
    <w:basedOn w:val="50"/>
    <w:qFormat/>
    <w:uiPriority w:val="0"/>
    <w:pPr>
      <w:tabs>
        <w:tab w:val="left" w:pos="1280"/>
        <w:tab w:val="right" w:leader="dot" w:pos="8777"/>
      </w:tabs>
      <w:spacing w:before="312" w:after="0" w:line="240" w:lineRule="auto"/>
      <w:ind w:left="851" w:hanging="851"/>
      <w:jc w:val="both"/>
      <w:outlineLvl w:val="9"/>
    </w:pPr>
    <w:rPr>
      <w:rFonts w:ascii="黑体" w:hAnsi="宋体" w:eastAsia="黑体"/>
      <w:sz w:val="30"/>
    </w:rPr>
  </w:style>
  <w:style w:type="paragraph" w:customStyle="1" w:styleId="237">
    <w:name w:val="Table Paragraph"/>
    <w:basedOn w:val="1"/>
    <w:qFormat/>
    <w:uiPriority w:val="0"/>
    <w:pPr>
      <w:autoSpaceDE w:val="0"/>
      <w:autoSpaceDN w:val="0"/>
      <w:jc w:val="left"/>
    </w:pPr>
    <w:rPr>
      <w:rFonts w:ascii="宋体" w:hAnsi="宋体"/>
      <w:kern w:val="0"/>
      <w:sz w:val="22"/>
      <w:lang w:val="zh-CN" w:bidi="zh-CN"/>
    </w:rPr>
  </w:style>
  <w:style w:type="paragraph" w:customStyle="1" w:styleId="238">
    <w:name w:val="UserStyle_7"/>
    <w:qFormat/>
    <w:uiPriority w:val="0"/>
    <w:rPr>
      <w:rFonts w:ascii="宋体" w:hAnsi="Times New Roman" w:eastAsia="宋体" w:cs="Times New Roman"/>
      <w:color w:val="000000"/>
      <w:sz w:val="24"/>
      <w:szCs w:val="24"/>
      <w:lang w:val="en-US" w:eastAsia="zh-CN" w:bidi="ar-SA"/>
    </w:rPr>
  </w:style>
  <w:style w:type="paragraph" w:customStyle="1" w:styleId="239">
    <w:name w:val="正文_1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0">
    <w:name w:val="p"/>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41">
    <w:name w:val="AA Numbering"/>
    <w:basedOn w:val="1"/>
    <w:qFormat/>
    <w:uiPriority w:val="0"/>
    <w:pPr>
      <w:widowControl/>
      <w:tabs>
        <w:tab w:val="left" w:pos="1134"/>
        <w:tab w:val="left" w:pos="1280"/>
      </w:tabs>
      <w:snapToGrid w:val="0"/>
      <w:spacing w:line="280" w:lineRule="atLeast"/>
      <w:jc w:val="left"/>
    </w:pPr>
    <w:rPr>
      <w:rFonts w:eastAsia="PMingLiU"/>
      <w:kern w:val="0"/>
      <w:sz w:val="24"/>
      <w:szCs w:val="20"/>
      <w:lang w:eastAsia="zh-TW"/>
    </w:rPr>
  </w:style>
  <w:style w:type="paragraph" w:customStyle="1" w:styleId="242">
    <w:name w:val="Char Char 字元 字元 字元 Char Char Char Char"/>
    <w:basedOn w:val="1"/>
    <w:qFormat/>
    <w:uiPriority w:val="0"/>
    <w:pPr>
      <w:spacing w:line="360" w:lineRule="auto"/>
    </w:pPr>
    <w:rPr>
      <w:kern w:val="0"/>
      <w:sz w:val="24"/>
      <w:szCs w:val="20"/>
    </w:rPr>
  </w:style>
  <w:style w:type="paragraph" w:customStyle="1" w:styleId="243">
    <w:name w:val="xl40"/>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kern w:val="0"/>
      <w:sz w:val="24"/>
      <w:szCs w:val="20"/>
    </w:rPr>
  </w:style>
  <w:style w:type="paragraph" w:customStyle="1" w:styleId="244">
    <w:name w:val="标题2"/>
    <w:basedOn w:val="49"/>
    <w:qFormat/>
    <w:uiPriority w:val="0"/>
    <w:pPr>
      <w:keepNext w:val="0"/>
      <w:keepLines w:val="0"/>
      <w:snapToGrid w:val="0"/>
      <w:spacing w:before="0" w:after="0" w:line="360" w:lineRule="auto"/>
      <w:ind w:firstLine="574" w:firstLineChars="196"/>
      <w:jc w:val="both"/>
      <w:outlineLvl w:val="9"/>
    </w:pPr>
    <w:rPr>
      <w:rFonts w:ascii="宋体" w:hAnsi="宋体" w:eastAsia="宋体"/>
      <w:bCs w:val="0"/>
      <w:spacing w:val="6"/>
      <w:sz w:val="28"/>
      <w:szCs w:val="20"/>
      <w:u w:val="single"/>
    </w:rPr>
  </w:style>
  <w:style w:type="paragraph" w:customStyle="1" w:styleId="245">
    <w:name w:val="pa-8"/>
    <w:basedOn w:val="1"/>
    <w:qFormat/>
    <w:uiPriority w:val="0"/>
    <w:pPr>
      <w:widowControl/>
      <w:spacing w:before="150" w:after="150"/>
      <w:jc w:val="left"/>
    </w:pPr>
    <w:rPr>
      <w:rFonts w:ascii="宋体" w:hAnsi="宋体"/>
      <w:kern w:val="0"/>
      <w:sz w:val="24"/>
    </w:rPr>
  </w:style>
  <w:style w:type="paragraph" w:customStyle="1" w:styleId="246">
    <w:name w:val="样式 首行缩进:  0.74 厘米"/>
    <w:basedOn w:val="1"/>
    <w:qFormat/>
    <w:uiPriority w:val="0"/>
    <w:pPr>
      <w:spacing w:line="360" w:lineRule="auto"/>
      <w:ind w:firstLine="420"/>
    </w:pPr>
    <w:rPr>
      <w:sz w:val="24"/>
      <w:szCs w:val="20"/>
    </w:rPr>
  </w:style>
  <w:style w:type="paragraph" w:customStyle="1" w:styleId="247">
    <w:name w:val="内容标题"/>
    <w:basedOn w:val="74"/>
    <w:qFormat/>
    <w:uiPriority w:val="0"/>
    <w:rPr>
      <w:rFonts w:ascii="Tahoma" w:hAnsi="Tahoma"/>
      <w:sz w:val="24"/>
    </w:rPr>
  </w:style>
  <w:style w:type="paragraph" w:customStyle="1" w:styleId="24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9">
    <w:name w:val="正文11"/>
    <w:basedOn w:val="1"/>
    <w:qFormat/>
    <w:uiPriority w:val="0"/>
    <w:pPr>
      <w:spacing w:line="300" w:lineRule="auto"/>
      <w:ind w:firstLine="200" w:firstLineChars="200"/>
    </w:pPr>
    <w:rPr>
      <w:sz w:val="24"/>
      <w:szCs w:val="20"/>
    </w:rPr>
  </w:style>
  <w:style w:type="paragraph" w:customStyle="1" w:styleId="250">
    <w:name w:val="Char"/>
    <w:basedOn w:val="1"/>
    <w:qFormat/>
    <w:uiPriority w:val="0"/>
    <w:pPr>
      <w:widowControl/>
      <w:spacing w:line="400" w:lineRule="exact"/>
      <w:jc w:val="center"/>
    </w:pPr>
    <w:rPr>
      <w:sz w:val="24"/>
      <w:szCs w:val="20"/>
    </w:rPr>
  </w:style>
  <w:style w:type="paragraph" w:customStyle="1" w:styleId="251">
    <w:name w:val="xl27"/>
    <w:basedOn w:val="1"/>
    <w:qFormat/>
    <w:uiPriority w:val="0"/>
    <w:pPr>
      <w:widowControl/>
      <w:pBdr>
        <w:left w:val="single" w:color="000000" w:sz="8" w:space="0"/>
        <w:bottom w:val="single" w:color="000000" w:sz="4" w:space="0"/>
        <w:right w:val="single" w:color="000000" w:sz="4" w:space="0"/>
      </w:pBdr>
      <w:spacing w:before="100" w:beforeAutospacing="1" w:after="100" w:afterAutospacing="1"/>
      <w:jc w:val="center"/>
    </w:pPr>
    <w:rPr>
      <w:rFonts w:ascii="宋体" w:hAnsi="宋体"/>
      <w:kern w:val="0"/>
      <w:szCs w:val="20"/>
    </w:rPr>
  </w:style>
  <w:style w:type="paragraph" w:customStyle="1" w:styleId="252">
    <w:name w:val="样式 正文缩进正文（首行缩进两字）表正文正文非缩进特点标题4段1 + 首行缩进:  2 字符"/>
    <w:basedOn w:val="71"/>
    <w:qFormat/>
    <w:uiPriority w:val="0"/>
    <w:pPr>
      <w:ind w:firstLine="480" w:firstLineChars="200"/>
    </w:pPr>
  </w:style>
  <w:style w:type="paragraph" w:customStyle="1" w:styleId="253">
    <w:name w:val="正文 + 三号"/>
    <w:basedOn w:val="1"/>
    <w:qFormat/>
    <w:uiPriority w:val="0"/>
    <w:rPr>
      <w:szCs w:val="20"/>
    </w:rPr>
  </w:style>
  <w:style w:type="paragraph" w:customStyle="1" w:styleId="254">
    <w:name w:val="项目"/>
    <w:basedOn w:val="1"/>
    <w:qFormat/>
    <w:uiPriority w:val="0"/>
    <w:pPr>
      <w:tabs>
        <w:tab w:val="left" w:pos="1280"/>
      </w:tabs>
      <w:spacing w:before="120" w:after="120" w:line="360" w:lineRule="auto"/>
      <w:ind w:left="-7" w:firstLine="567"/>
      <w:jc w:val="left"/>
    </w:pPr>
    <w:rPr>
      <w:rFonts w:ascii="宋体"/>
      <w:kern w:val="0"/>
      <w:sz w:val="24"/>
      <w:szCs w:val="20"/>
    </w:rPr>
  </w:style>
  <w:style w:type="paragraph" w:customStyle="1" w:styleId="255">
    <w:name w:val="文章正文"/>
    <w:basedOn w:val="1"/>
    <w:qFormat/>
    <w:uiPriority w:val="0"/>
    <w:pPr>
      <w:ind w:firstLine="560" w:firstLineChars="200"/>
    </w:pPr>
    <w:rPr>
      <w:rFonts w:ascii="仿宋_GB2312" w:hAnsi="宋体" w:eastAsia="仿宋_GB2312"/>
      <w:color w:val="000000"/>
      <w:sz w:val="28"/>
      <w:szCs w:val="20"/>
    </w:rPr>
  </w:style>
  <w:style w:type="paragraph" w:customStyle="1" w:styleId="256">
    <w:name w:val="样式1"/>
    <w:basedOn w:val="51"/>
    <w:qFormat/>
    <w:uiPriority w:val="0"/>
    <w:pPr>
      <w:spacing w:before="500" w:after="260" w:line="560" w:lineRule="atLeast"/>
    </w:pPr>
  </w:style>
  <w:style w:type="paragraph" w:customStyle="1" w:styleId="257">
    <w:name w:val="小标题 1"/>
    <w:basedOn w:val="1"/>
    <w:qFormat/>
    <w:uiPriority w:val="0"/>
    <w:pPr>
      <w:autoSpaceDE w:val="0"/>
      <w:autoSpaceDN w:val="0"/>
      <w:spacing w:line="360" w:lineRule="atLeast"/>
    </w:pPr>
    <w:rPr>
      <w:rFonts w:ascii="文鼎粗黑" w:eastAsia="文鼎粗黑"/>
      <w:kern w:val="0"/>
      <w:sz w:val="22"/>
      <w:szCs w:val="20"/>
    </w:rPr>
  </w:style>
  <w:style w:type="paragraph" w:customStyle="1" w:styleId="258">
    <w:name w:val="样式 行距: 1.5 倍行距1"/>
    <w:basedOn w:val="1"/>
    <w:qFormat/>
    <w:uiPriority w:val="0"/>
    <w:pPr>
      <w:snapToGrid w:val="0"/>
    </w:pPr>
    <w:rPr>
      <w:szCs w:val="20"/>
    </w:rPr>
  </w:style>
  <w:style w:type="paragraph" w:customStyle="1" w:styleId="259">
    <w:name w:val="reader-word-layer"/>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60">
    <w:name w:val="Char1"/>
    <w:basedOn w:val="74"/>
    <w:qFormat/>
    <w:uiPriority w:val="0"/>
    <w:pPr>
      <w:widowControl/>
      <w:ind w:firstLine="454"/>
      <w:jc w:val="left"/>
    </w:pPr>
    <w:rPr>
      <w:rFonts w:ascii="Tahoma" w:hAnsi="Tahoma"/>
      <w:sz w:val="24"/>
    </w:rPr>
  </w:style>
  <w:style w:type="paragraph" w:customStyle="1" w:styleId="261">
    <w:name w:val="Table Contents"/>
    <w:basedOn w:val="82"/>
    <w:qFormat/>
    <w:uiPriority w:val="0"/>
    <w:pPr>
      <w:suppressAutoHyphens/>
      <w:spacing w:after="0"/>
      <w:jc w:val="left"/>
    </w:pPr>
    <w:rPr>
      <w:rFonts w:eastAsia="Times New Roman"/>
      <w:sz w:val="24"/>
      <w:szCs w:val="20"/>
      <w:lang w:eastAsia="en-US"/>
    </w:rPr>
  </w:style>
  <w:style w:type="paragraph" w:customStyle="1" w:styleId="262">
    <w:name w:val="样式2"/>
    <w:basedOn w:val="51"/>
    <w:qFormat/>
    <w:uiPriority w:val="0"/>
    <w:pPr>
      <w:numPr>
        <w:ilvl w:val="0"/>
        <w:numId w:val="11"/>
      </w:numPr>
      <w:spacing w:line="400" w:lineRule="exact"/>
      <w:jc w:val="center"/>
      <w:outlineLvl w:val="0"/>
    </w:pPr>
    <w:rPr>
      <w:b w:val="0"/>
      <w:sz w:val="44"/>
    </w:rPr>
  </w:style>
  <w:style w:type="paragraph" w:customStyle="1" w:styleId="263">
    <w:name w:val="标题3"/>
    <w:basedOn w:val="50"/>
    <w:qFormat/>
    <w:uiPriority w:val="0"/>
    <w:pPr>
      <w:spacing w:line="416" w:lineRule="auto"/>
      <w:jc w:val="both"/>
    </w:pPr>
    <w:rPr>
      <w:rFonts w:ascii="宋体" w:hAnsi="宋体"/>
      <w:bCs/>
      <w:sz w:val="28"/>
      <w:szCs w:val="28"/>
    </w:rPr>
  </w:style>
  <w:style w:type="paragraph" w:customStyle="1" w:styleId="264">
    <w:name w:val="tabletex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65">
    <w:name w:val="列出段落2"/>
    <w:basedOn w:val="1"/>
    <w:qFormat/>
    <w:uiPriority w:val="0"/>
    <w:pPr>
      <w:ind w:firstLine="420" w:firstLineChars="200"/>
    </w:pPr>
  </w:style>
  <w:style w:type="paragraph" w:customStyle="1" w:styleId="266">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7">
    <w:name w:val="Figure Description"/>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68">
    <w:name w:val="样式 标题 6第五层条 + 三号 段前: 0.5 行"/>
    <w:basedOn w:val="53"/>
    <w:qFormat/>
    <w:uiPriority w:val="0"/>
    <w:pPr>
      <w:widowControl/>
      <w:tabs>
        <w:tab w:val="clear" w:pos="1152"/>
      </w:tabs>
      <w:snapToGrid/>
      <w:spacing w:before="156"/>
      <w:ind w:left="1152" w:hanging="1152"/>
      <w:jc w:val="left"/>
    </w:pPr>
    <w:rPr>
      <w:kern w:val="24"/>
      <w:sz w:val="28"/>
    </w:rPr>
  </w:style>
  <w:style w:type="paragraph" w:customStyle="1" w:styleId="269">
    <w:name w:val="xl53"/>
    <w:basedOn w:val="1"/>
    <w:qFormat/>
    <w:uiPriority w:val="0"/>
    <w:pPr>
      <w:widowControl/>
      <w:pBdr>
        <w:left w:val="single" w:color="000000" w:sz="4" w:space="0"/>
        <w:bottom w:val="single" w:color="000000" w:sz="4" w:space="0"/>
      </w:pBdr>
      <w:spacing w:before="100" w:beforeAutospacing="1" w:after="100" w:afterAutospacing="1"/>
      <w:jc w:val="center"/>
    </w:pPr>
    <w:rPr>
      <w:rFonts w:ascii="宋体" w:hAnsi="宋体"/>
      <w:kern w:val="0"/>
      <w:sz w:val="24"/>
      <w:szCs w:val="20"/>
    </w:rPr>
  </w:style>
  <w:style w:type="paragraph" w:customStyle="1" w:styleId="270">
    <w:name w:val="标题1"/>
    <w:basedOn w:val="1"/>
    <w:qFormat/>
    <w:uiPriority w:val="0"/>
    <w:pPr>
      <w:outlineLvl w:val="0"/>
    </w:pPr>
    <w:rPr>
      <w:rFonts w:ascii="黑体" w:hAnsi="宋体" w:eastAsia="黑体"/>
      <w:b/>
      <w:sz w:val="44"/>
      <w:szCs w:val="44"/>
    </w:rPr>
  </w:style>
  <w:style w:type="paragraph" w:customStyle="1" w:styleId="271">
    <w:name w:val="表文字"/>
    <w:qFormat/>
    <w:uiPriority w:val="0"/>
    <w:rPr>
      <w:rFonts w:ascii="宋体" w:hAnsi="Times New Roman" w:eastAsia="宋体" w:cs="Times New Roman"/>
      <w:kern w:val="2"/>
      <w:lang w:val="en-US" w:eastAsia="zh-CN" w:bidi="ar-SA"/>
    </w:rPr>
  </w:style>
  <w:style w:type="paragraph" w:customStyle="1" w:styleId="272">
    <w:name w:val="标准正文"/>
    <w:basedOn w:val="86"/>
    <w:qFormat/>
    <w:uiPriority w:val="0"/>
    <w:pPr>
      <w:spacing w:before="60" w:after="60" w:line="360" w:lineRule="auto"/>
      <w:ind w:left="0" w:leftChars="0" w:firstLine="482"/>
    </w:pPr>
    <w:rPr>
      <w:rFonts w:ascii="Arial" w:hAnsi="Arial"/>
      <w:sz w:val="24"/>
      <w:szCs w:val="20"/>
    </w:rPr>
  </w:style>
  <w:style w:type="paragraph" w:customStyle="1" w:styleId="273">
    <w:name w:val="文档正文"/>
    <w:basedOn w:val="1"/>
    <w:qFormat/>
    <w:uiPriority w:val="0"/>
    <w:pPr>
      <w:snapToGrid w:val="0"/>
      <w:spacing w:line="440" w:lineRule="exact"/>
      <w:ind w:firstLine="567"/>
    </w:pPr>
    <w:rPr>
      <w:rFonts w:ascii="Arial Narrow" w:hAnsi="Arial Narrow"/>
      <w:kern w:val="0"/>
      <w:sz w:val="24"/>
      <w:szCs w:val="20"/>
    </w:rPr>
  </w:style>
  <w:style w:type="paragraph" w:customStyle="1" w:styleId="274">
    <w:name w:val="Pull Quote"/>
    <w:basedOn w:val="1"/>
    <w:qFormat/>
    <w:uiPriority w:val="0"/>
    <w:pPr>
      <w:pBdr>
        <w:top w:val="single" w:color="000000" w:sz="18" w:space="12"/>
        <w:left w:val="single" w:color="FFFFFF" w:sz="6" w:space="12"/>
        <w:bottom w:val="single" w:color="000000" w:sz="6" w:space="12"/>
        <w:right w:val="single" w:color="FFFFFF" w:sz="6" w:space="12"/>
      </w:pBdr>
      <w:shd w:val="pct10" w:color="auto" w:fill="auto"/>
      <w:spacing w:before="120" w:after="240" w:line="288" w:lineRule="auto"/>
      <w:ind w:left="144" w:right="144"/>
      <w:jc w:val="center"/>
    </w:pPr>
    <w:rPr>
      <w:b/>
      <w:i/>
      <w:sz w:val="24"/>
      <w:szCs w:val="20"/>
    </w:rPr>
  </w:style>
  <w:style w:type="paragraph" w:customStyle="1" w:styleId="275">
    <w:name w:val="标题无"/>
    <w:basedOn w:val="1"/>
    <w:qFormat/>
    <w:uiPriority w:val="0"/>
    <w:pPr>
      <w:spacing w:line="360" w:lineRule="auto"/>
    </w:pPr>
    <w:rPr>
      <w:sz w:val="24"/>
      <w:szCs w:val="20"/>
    </w:rPr>
  </w:style>
  <w:style w:type="paragraph" w:customStyle="1" w:styleId="276">
    <w:name w:val="列出段落3"/>
    <w:basedOn w:val="1"/>
    <w:qFormat/>
    <w:uiPriority w:val="0"/>
    <w:pPr>
      <w:ind w:firstLine="420" w:firstLineChars="200"/>
    </w:pPr>
  </w:style>
  <w:style w:type="paragraph" w:customStyle="1" w:styleId="277">
    <w:name w:val="编号正文"/>
    <w:basedOn w:val="273"/>
    <w:qFormat/>
    <w:uiPriority w:val="0"/>
    <w:pPr>
      <w:snapToGrid/>
      <w:spacing w:line="360" w:lineRule="auto"/>
      <w:ind w:left="1407" w:hanging="1047"/>
      <w:jc w:val="left"/>
    </w:pPr>
    <w:rPr>
      <w:rFonts w:eastAsia="仿宋_GB2312"/>
    </w:rPr>
  </w:style>
  <w:style w:type="paragraph" w:customStyle="1" w:styleId="278">
    <w:name w:val="标书正文:  0.74 厘米"/>
    <w:basedOn w:val="1"/>
    <w:qFormat/>
    <w:uiPriority w:val="0"/>
    <w:pPr>
      <w:snapToGrid w:val="0"/>
      <w:spacing w:line="360" w:lineRule="auto"/>
      <w:ind w:firstLine="420"/>
    </w:pPr>
    <w:rPr>
      <w:sz w:val="24"/>
      <w:szCs w:val="20"/>
    </w:rPr>
  </w:style>
  <w:style w:type="paragraph" w:customStyle="1" w:styleId="279">
    <w:name w:val="文档正文 Char Char Char Char"/>
    <w:basedOn w:val="1"/>
    <w:qFormat/>
    <w:uiPriority w:val="0"/>
    <w:pPr>
      <w:spacing w:line="440" w:lineRule="exact"/>
      <w:ind w:firstLine="420"/>
    </w:pPr>
    <w:rPr>
      <w:rFonts w:ascii="Arial Narrow" w:hAnsi="Arial Narrow"/>
      <w:kern w:val="0"/>
      <w:sz w:val="24"/>
      <w:szCs w:val="20"/>
    </w:rPr>
  </w:style>
  <w:style w:type="paragraph" w:customStyle="1" w:styleId="280">
    <w:name w:val="样式3"/>
    <w:basedOn w:val="48"/>
    <w:qFormat/>
    <w:uiPriority w:val="0"/>
    <w:pPr>
      <w:snapToGrid w:val="0"/>
    </w:pPr>
    <w:rPr>
      <w:rFonts w:eastAsia="黑体"/>
      <w:bCs w:val="0"/>
      <w:szCs w:val="20"/>
    </w:rPr>
  </w:style>
  <w:style w:type="paragraph" w:customStyle="1" w:styleId="281">
    <w:name w:val="缺省文本"/>
    <w:basedOn w:val="1"/>
    <w:qFormat/>
    <w:uiPriority w:val="0"/>
    <w:pPr>
      <w:tabs>
        <w:tab w:val="left" w:pos="1260"/>
      </w:tabs>
      <w:autoSpaceDE w:val="0"/>
      <w:autoSpaceDN w:val="0"/>
      <w:spacing w:line="360" w:lineRule="auto"/>
      <w:jc w:val="left"/>
    </w:pPr>
    <w:rPr>
      <w:kern w:val="0"/>
      <w:sz w:val="24"/>
      <w:szCs w:val="20"/>
    </w:rPr>
  </w:style>
  <w:style w:type="paragraph" w:customStyle="1" w:styleId="282">
    <w:name w:val="附录1"/>
    <w:basedOn w:val="1"/>
    <w:qFormat/>
    <w:uiPriority w:val="0"/>
    <w:pPr>
      <w:tabs>
        <w:tab w:val="left" w:pos="1304"/>
      </w:tabs>
      <w:ind w:left="425" w:hanging="425"/>
      <w:outlineLvl w:val="0"/>
    </w:pPr>
    <w:rPr>
      <w:rFonts w:ascii="黑体" w:hAnsi="黑体" w:eastAsia="黑体"/>
      <w:b/>
      <w:sz w:val="44"/>
      <w:szCs w:val="20"/>
    </w:rPr>
  </w:style>
  <w:style w:type="paragraph" w:customStyle="1" w:styleId="283">
    <w:name w:val="关键词"/>
    <w:basedOn w:val="1"/>
    <w:qFormat/>
    <w:uiPriority w:val="0"/>
    <w:pPr>
      <w:spacing w:line="360" w:lineRule="auto"/>
    </w:pPr>
    <w:rPr>
      <w:rFonts w:eastAsia="黑体"/>
      <w:sz w:val="20"/>
      <w:szCs w:val="20"/>
    </w:rPr>
  </w:style>
  <w:style w:type="paragraph" w:customStyle="1" w:styleId="284">
    <w:name w:val="样式4"/>
    <w:basedOn w:val="51"/>
    <w:qFormat/>
    <w:uiPriority w:val="0"/>
    <w:pPr>
      <w:numPr>
        <w:numId w:val="0"/>
      </w:numPr>
      <w:snapToGrid w:val="0"/>
      <w:spacing w:before="280" w:line="372" w:lineRule="auto"/>
    </w:pPr>
  </w:style>
  <w:style w:type="paragraph" w:customStyle="1" w:styleId="285">
    <w:name w:val="Char11"/>
    <w:basedOn w:val="1"/>
    <w:qFormat/>
    <w:uiPriority w:val="0"/>
    <w:rPr>
      <w:szCs w:val="20"/>
    </w:rPr>
  </w:style>
  <w:style w:type="paragraph" w:customStyle="1" w:styleId="286">
    <w:name w:val="Char21"/>
    <w:basedOn w:val="1"/>
    <w:qFormat/>
    <w:uiPriority w:val="0"/>
    <w:pPr>
      <w:spacing w:line="240" w:lineRule="atLeast"/>
      <w:ind w:left="420" w:firstLine="420"/>
    </w:pPr>
    <w:rPr>
      <w:kern w:val="0"/>
      <w:szCs w:val="20"/>
    </w:rPr>
  </w:style>
  <w:style w:type="paragraph" w:customStyle="1" w:styleId="287">
    <w:name w:val="CSS1级正文 Char"/>
    <w:basedOn w:val="82"/>
    <w:qFormat/>
    <w:uiPriority w:val="0"/>
    <w:pPr>
      <w:snapToGrid w:val="0"/>
      <w:spacing w:after="0" w:line="360" w:lineRule="auto"/>
      <w:ind w:firstLine="480"/>
    </w:pPr>
    <w:rPr>
      <w:sz w:val="24"/>
      <w:szCs w:val="20"/>
    </w:rPr>
  </w:style>
  <w:style w:type="paragraph" w:customStyle="1" w:styleId="288">
    <w:name w:val="1.正文"/>
    <w:basedOn w:val="1"/>
    <w:qFormat/>
    <w:uiPriority w:val="0"/>
    <w:pPr>
      <w:spacing w:line="360" w:lineRule="auto"/>
      <w:ind w:left="540" w:leftChars="225" w:firstLine="540" w:firstLineChars="225"/>
    </w:pPr>
    <w:rPr>
      <w:sz w:val="24"/>
      <w:szCs w:val="20"/>
    </w:rPr>
  </w:style>
  <w:style w:type="paragraph" w:customStyle="1" w:styleId="289">
    <w:name w:val="Pa8"/>
    <w:basedOn w:val="1"/>
    <w:qFormat/>
    <w:uiPriority w:val="0"/>
    <w:pPr>
      <w:autoSpaceDE w:val="0"/>
      <w:autoSpaceDN w:val="0"/>
      <w:spacing w:line="201" w:lineRule="atLeast"/>
      <w:jc w:val="left"/>
    </w:pPr>
    <w:rPr>
      <w:rFonts w:ascii="创艺简粗黑.销." w:eastAsia="创艺简粗黑.销."/>
      <w:kern w:val="0"/>
      <w:sz w:val="24"/>
      <w:szCs w:val="24"/>
    </w:rPr>
  </w:style>
  <w:style w:type="paragraph" w:customStyle="1" w:styleId="290">
    <w:name w:val="样式 标题 1章标题Heading 0Section HeadPIM 1H1h11st levell11H1..."/>
    <w:basedOn w:val="48"/>
    <w:qFormat/>
    <w:uiPriority w:val="0"/>
    <w:pPr>
      <w:pageBreakBefore/>
      <w:tabs>
        <w:tab w:val="left" w:pos="432"/>
      </w:tabs>
      <w:autoSpaceDE w:val="0"/>
      <w:autoSpaceDN w:val="0"/>
      <w:snapToGrid w:val="0"/>
      <w:spacing w:line="578" w:lineRule="atLeast"/>
    </w:pPr>
    <w:rPr>
      <w:rFonts w:ascii="宋体" w:hAnsi="宋体" w:eastAsia="黑体"/>
      <w:bCs w:val="0"/>
      <w:sz w:val="36"/>
      <w:szCs w:val="20"/>
    </w:rPr>
  </w:style>
  <w:style w:type="paragraph" w:customStyle="1" w:styleId="291">
    <w:name w:val="图例"/>
    <w:basedOn w:val="1"/>
    <w:qFormat/>
    <w:uiPriority w:val="0"/>
    <w:pPr>
      <w:spacing w:before="120" w:after="120" w:line="360" w:lineRule="auto"/>
      <w:jc w:val="center"/>
    </w:pPr>
    <w:rPr>
      <w:rFonts w:eastAsia="仿宋_GB2312"/>
      <w:b/>
      <w:sz w:val="24"/>
      <w:szCs w:val="20"/>
    </w:rPr>
  </w:style>
  <w:style w:type="paragraph" w:customStyle="1" w:styleId="292">
    <w:name w:val="bt"/>
    <w:basedOn w:val="1"/>
    <w:qFormat/>
    <w:uiPriority w:val="0"/>
    <w:pPr>
      <w:overflowPunct w:val="0"/>
      <w:autoSpaceDE w:val="0"/>
      <w:autoSpaceDN w:val="0"/>
      <w:snapToGrid w:val="0"/>
      <w:spacing w:before="100" w:after="100" w:line="240" w:lineRule="atLeast"/>
      <w:ind w:left="2880" w:hanging="360"/>
    </w:pPr>
    <w:rPr>
      <w:rFonts w:ascii="宋体"/>
      <w:kern w:val="0"/>
      <w:sz w:val="20"/>
      <w:szCs w:val="20"/>
    </w:rPr>
  </w:style>
  <w:style w:type="paragraph" w:customStyle="1" w:styleId="293">
    <w:name w:val="Char Char Char Char Char"/>
    <w:basedOn w:val="1"/>
    <w:qFormat/>
    <w:uiPriority w:val="0"/>
    <w:pPr>
      <w:numPr>
        <w:ilvl w:val="0"/>
        <w:numId w:val="12"/>
      </w:numPr>
      <w:tabs>
        <w:tab w:val="clear" w:pos="780"/>
      </w:tabs>
    </w:pPr>
    <w:rPr>
      <w:rFonts w:ascii="Tahoma" w:hAnsi="Tahoma"/>
      <w:sz w:val="24"/>
      <w:szCs w:val="20"/>
    </w:rPr>
  </w:style>
  <w:style w:type="paragraph" w:customStyle="1" w:styleId="294">
    <w:name w:val="正文表格"/>
    <w:basedOn w:val="1"/>
    <w:qFormat/>
    <w:uiPriority w:val="0"/>
    <w:pPr>
      <w:spacing w:before="40" w:after="40"/>
    </w:pPr>
    <w:rPr>
      <w:sz w:val="24"/>
      <w:szCs w:val="20"/>
    </w:rPr>
  </w:style>
  <w:style w:type="paragraph" w:customStyle="1" w:styleId="295">
    <w:name w:val="style1"/>
    <w:basedOn w:val="1"/>
    <w:qFormat/>
    <w:uiPriority w:val="0"/>
    <w:pPr>
      <w:widowControl/>
      <w:spacing w:before="100" w:beforeAutospacing="1" w:after="100" w:afterAutospacing="1"/>
      <w:jc w:val="left"/>
    </w:pPr>
    <w:rPr>
      <w:rFonts w:ascii="宋体" w:hAnsi="宋体"/>
      <w:kern w:val="0"/>
      <w:szCs w:val="20"/>
    </w:rPr>
  </w:style>
  <w:style w:type="paragraph" w:customStyle="1" w:styleId="296">
    <w:name w:val="正文4"/>
    <w:basedOn w:val="1"/>
    <w:qFormat/>
    <w:uiPriority w:val="0"/>
    <w:pPr>
      <w:tabs>
        <w:tab w:val="left" w:pos="1275"/>
      </w:tabs>
      <w:spacing w:before="60" w:after="60" w:line="360" w:lineRule="auto"/>
      <w:ind w:left="820" w:leftChars="400" w:hanging="705"/>
    </w:pPr>
    <w:rPr>
      <w:sz w:val="24"/>
      <w:szCs w:val="20"/>
    </w:rPr>
  </w:style>
  <w:style w:type="paragraph" w:customStyle="1" w:styleId="297">
    <w:name w:val="正文（首行不缩进）"/>
    <w:basedOn w:val="1"/>
    <w:qFormat/>
    <w:uiPriority w:val="0"/>
    <w:pPr>
      <w:autoSpaceDE w:val="0"/>
      <w:autoSpaceDN w:val="0"/>
      <w:spacing w:line="360" w:lineRule="auto"/>
      <w:jc w:val="left"/>
    </w:pPr>
    <w:rPr>
      <w:kern w:val="0"/>
      <w:szCs w:val="20"/>
    </w:rPr>
  </w:style>
  <w:style w:type="paragraph" w:customStyle="1" w:styleId="298">
    <w:name w:val="_"/>
    <w:basedOn w:val="1"/>
    <w:qFormat/>
    <w:uiPriority w:val="0"/>
    <w:pPr>
      <w:spacing w:line="360" w:lineRule="auto"/>
      <w:ind w:left="480" w:firstLine="200" w:firstLineChars="200"/>
    </w:pPr>
    <w:rPr>
      <w:kern w:val="0"/>
      <w:sz w:val="24"/>
      <w:szCs w:val="20"/>
    </w:rPr>
  </w:style>
  <w:style w:type="paragraph" w:customStyle="1" w:styleId="299">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0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301">
    <w:name w:val="表格内文字"/>
    <w:basedOn w:val="93"/>
    <w:qFormat/>
    <w:uiPriority w:val="0"/>
    <w:rPr>
      <w:color w:val="000000"/>
      <w:szCs w:val="20"/>
      <w:lang w:val="en-GB"/>
    </w:rPr>
  </w:style>
  <w:style w:type="paragraph" w:customStyle="1" w:styleId="302">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303">
    <w:name w:val="样式 样式 正文首行缩进 2 + 左  0 字符 + 首行缩进:  2.57 字符"/>
    <w:basedOn w:val="1"/>
    <w:qFormat/>
    <w:uiPriority w:val="0"/>
    <w:pPr>
      <w:snapToGrid w:val="0"/>
      <w:spacing w:after="120"/>
      <w:ind w:firstLine="540" w:firstLineChars="257"/>
    </w:pPr>
    <w:rPr>
      <w:szCs w:val="20"/>
    </w:rPr>
  </w:style>
  <w:style w:type="paragraph" w:customStyle="1" w:styleId="304">
    <w:name w:val="1"/>
    <w:basedOn w:val="1"/>
    <w:qFormat/>
    <w:uiPriority w:val="0"/>
    <w:rPr>
      <w:rFonts w:ascii="Tahoma" w:hAnsi="Tahoma"/>
      <w:sz w:val="24"/>
      <w:szCs w:val="20"/>
    </w:rPr>
  </w:style>
  <w:style w:type="paragraph" w:customStyle="1" w:styleId="305">
    <w:name w:val="Title - Revision"/>
    <w:basedOn w:val="122"/>
    <w:qFormat/>
    <w:uiPriority w:val="0"/>
    <w:pPr>
      <w:spacing w:before="720"/>
    </w:pPr>
  </w:style>
  <w:style w:type="paragraph" w:customStyle="1" w:styleId="306">
    <w:name w:val="_Style 2"/>
    <w:basedOn w:val="1"/>
    <w:qFormat/>
    <w:uiPriority w:val="0"/>
    <w:pPr>
      <w:ind w:firstLine="420" w:firstLineChars="200"/>
    </w:pPr>
  </w:style>
  <w:style w:type="paragraph" w:customStyle="1" w:styleId="307">
    <w:name w:val="Char1 Char Char Char"/>
    <w:basedOn w:val="1"/>
    <w:qFormat/>
    <w:uiPriority w:val="0"/>
    <w:rPr>
      <w:rFonts w:ascii="Tahoma" w:hAnsi="Tahoma"/>
      <w:szCs w:val="20"/>
    </w:rPr>
  </w:style>
  <w:style w:type="paragraph" w:customStyle="1" w:styleId="308">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9">
    <w:name w:val="pa-5"/>
    <w:basedOn w:val="1"/>
    <w:qFormat/>
    <w:uiPriority w:val="0"/>
    <w:pPr>
      <w:widowControl/>
      <w:spacing w:before="150" w:after="150"/>
      <w:jc w:val="left"/>
    </w:pPr>
    <w:rPr>
      <w:rFonts w:ascii="宋体" w:hAnsi="宋体"/>
      <w:kern w:val="0"/>
      <w:sz w:val="24"/>
    </w:rPr>
  </w:style>
  <w:style w:type="paragraph" w:customStyle="1" w:styleId="310">
    <w:name w:val="样式 宋体 五号 两端对齐 行距: 单倍行距"/>
    <w:basedOn w:val="1"/>
    <w:qFormat/>
    <w:uiPriority w:val="0"/>
    <w:rPr>
      <w:rFonts w:ascii="宋体" w:hAnsi="宋体"/>
      <w:kern w:val="0"/>
      <w:szCs w:val="20"/>
    </w:rPr>
  </w:style>
  <w:style w:type="paragraph" w:customStyle="1" w:styleId="311">
    <w:name w:val="TOC 标题1"/>
    <w:basedOn w:val="48"/>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12">
    <w:name w:val="列表项目"/>
    <w:basedOn w:val="1"/>
    <w:qFormat/>
    <w:uiPriority w:val="0"/>
    <w:pPr>
      <w:numPr>
        <w:ilvl w:val="0"/>
        <w:numId w:val="13"/>
      </w:numPr>
      <w:tabs>
        <w:tab w:val="clear" w:pos="425"/>
      </w:tabs>
      <w:spacing w:line="288" w:lineRule="auto"/>
      <w:ind w:left="840" w:leftChars="200" w:hanging="420" w:hangingChars="200"/>
    </w:pPr>
    <w:rPr>
      <w:szCs w:val="20"/>
    </w:rPr>
  </w:style>
  <w:style w:type="paragraph" w:customStyle="1" w:styleId="313">
    <w:name w:val="Char Char1 Char"/>
    <w:basedOn w:val="1"/>
    <w:qFormat/>
    <w:uiPriority w:val="0"/>
    <w:rPr>
      <w:rFonts w:ascii="Tahoma" w:hAnsi="Tahoma"/>
      <w:sz w:val="24"/>
      <w:szCs w:val="24"/>
    </w:rPr>
  </w:style>
  <w:style w:type="paragraph" w:customStyle="1" w:styleId="314">
    <w:name w:val="可研正文"/>
    <w:basedOn w:val="82"/>
    <w:qFormat/>
    <w:uiPriority w:val="0"/>
    <w:pPr>
      <w:snapToGrid w:val="0"/>
      <w:spacing w:after="0" w:line="440" w:lineRule="exact"/>
      <w:ind w:firstLine="567"/>
    </w:pPr>
    <w:rPr>
      <w:rFonts w:ascii="仿宋_GB2312" w:eastAsia="仿宋_GB2312"/>
      <w:sz w:val="28"/>
      <w:szCs w:val="20"/>
    </w:rPr>
  </w:style>
  <w:style w:type="paragraph" w:customStyle="1" w:styleId="315">
    <w:name w:val="Table Description"/>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316">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317">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18">
    <w:name w:val="È±Ê¡ÎÄ±¾"/>
    <w:basedOn w:val="1"/>
    <w:qFormat/>
    <w:uiPriority w:val="0"/>
    <w:pPr>
      <w:widowControl/>
      <w:overflowPunct w:val="0"/>
      <w:autoSpaceDE w:val="0"/>
      <w:autoSpaceDN w:val="0"/>
      <w:jc w:val="left"/>
    </w:pPr>
    <w:rPr>
      <w:kern w:val="0"/>
      <w:sz w:val="24"/>
      <w:szCs w:val="20"/>
    </w:rPr>
  </w:style>
  <w:style w:type="paragraph" w:customStyle="1" w:styleId="319">
    <w:name w:val="Table Text"/>
    <w:qFormat/>
    <w:uiPriority w:val="0"/>
    <w:pPr>
      <w:snapToGrid w:val="0"/>
      <w:spacing w:before="80" w:after="80"/>
    </w:pPr>
    <w:rPr>
      <w:rFonts w:ascii="Arial" w:hAnsi="Arial" w:eastAsia="宋体" w:cs="Times New Roman"/>
      <w:kern w:val="2"/>
      <w:sz w:val="18"/>
      <w:lang w:val="en-US" w:eastAsia="zh-CN" w:bidi="ar-SA"/>
    </w:rPr>
  </w:style>
  <w:style w:type="paragraph" w:customStyle="1" w:styleId="320">
    <w:name w:val="标题5"/>
    <w:basedOn w:val="1"/>
    <w:qFormat/>
    <w:uiPriority w:val="0"/>
    <w:pPr>
      <w:tabs>
        <w:tab w:val="left" w:pos="0"/>
      </w:tabs>
      <w:autoSpaceDE w:val="0"/>
      <w:autoSpaceDN w:val="0"/>
      <w:snapToGrid w:val="0"/>
      <w:spacing w:line="320" w:lineRule="atLeast"/>
    </w:pPr>
    <w:rPr>
      <w:rFonts w:ascii="宋体"/>
      <w:kern w:val="0"/>
      <w:szCs w:val="20"/>
    </w:rPr>
  </w:style>
  <w:style w:type="paragraph" w:customStyle="1" w:styleId="321">
    <w:name w:val="四号正文"/>
    <w:basedOn w:val="1"/>
    <w:qFormat/>
    <w:uiPriority w:val="0"/>
    <w:pPr>
      <w:spacing w:line="360" w:lineRule="auto"/>
      <w:ind w:firstLine="560" w:firstLineChars="200"/>
    </w:pPr>
    <w:rPr>
      <w:sz w:val="28"/>
      <w:szCs w:val="28"/>
    </w:rPr>
  </w:style>
  <w:style w:type="paragraph" w:customStyle="1" w:styleId="322">
    <w:name w:val="正文字缩2字"/>
    <w:basedOn w:val="1"/>
    <w:qFormat/>
    <w:uiPriority w:val="0"/>
    <w:pPr>
      <w:spacing w:before="60" w:after="60" w:line="360" w:lineRule="auto"/>
      <w:ind w:left="200" w:leftChars="200" w:firstLine="200" w:firstLineChars="200"/>
    </w:pPr>
    <w:rPr>
      <w:sz w:val="24"/>
      <w:szCs w:val="20"/>
    </w:rPr>
  </w:style>
  <w:style w:type="paragraph" w:customStyle="1" w:styleId="323">
    <w:name w:val="Char2"/>
    <w:basedOn w:val="1"/>
    <w:qFormat/>
    <w:uiPriority w:val="0"/>
    <w:pPr>
      <w:widowControl/>
      <w:spacing w:after="160"/>
      <w:jc w:val="left"/>
    </w:pPr>
    <w:rPr>
      <w:rFonts w:ascii="Verdana" w:hAnsi="Verdana"/>
      <w:kern w:val="0"/>
      <w:sz w:val="20"/>
      <w:szCs w:val="20"/>
      <w:lang w:eastAsia="en-US"/>
    </w:rPr>
  </w:style>
  <w:style w:type="paragraph" w:customStyle="1" w:styleId="324">
    <w:name w:val="章标题"/>
    <w:qFormat/>
    <w:uiPriority w:val="0"/>
    <w:pPr>
      <w:numPr>
        <w:ilvl w:val="1"/>
        <w:numId w:val="14"/>
      </w:numPr>
      <w:spacing w:before="156" w:after="156"/>
      <w:ind w:left="0"/>
      <w:jc w:val="both"/>
      <w:outlineLvl w:val="1"/>
    </w:pPr>
    <w:rPr>
      <w:rFonts w:ascii="黑体" w:hAnsi="Times New Roman" w:eastAsia="黑体" w:cs="Times New Roman"/>
      <w:sz w:val="24"/>
      <w:lang w:val="en-US" w:eastAsia="zh-CN" w:bidi="ar-SA"/>
    </w:rPr>
  </w:style>
  <w:style w:type="paragraph" w:customStyle="1" w:styleId="325">
    <w:name w:val="段落正文"/>
    <w:basedOn w:val="1"/>
    <w:qFormat/>
    <w:uiPriority w:val="0"/>
    <w:pPr>
      <w:spacing w:before="156" w:line="360" w:lineRule="auto"/>
      <w:ind w:firstLine="200" w:firstLineChars="200"/>
    </w:pPr>
    <w:rPr>
      <w:spacing w:val="2"/>
      <w:sz w:val="24"/>
      <w:szCs w:val="20"/>
    </w:rPr>
  </w:style>
  <w:style w:type="paragraph" w:customStyle="1" w:styleId="326">
    <w:name w:val="style16"/>
    <w:basedOn w:val="1"/>
    <w:qFormat/>
    <w:uiPriority w:val="0"/>
    <w:pPr>
      <w:widowControl/>
      <w:spacing w:before="100" w:beforeAutospacing="1" w:after="100" w:afterAutospacing="1"/>
      <w:jc w:val="left"/>
    </w:pPr>
    <w:rPr>
      <w:rFonts w:ascii="宋体" w:hAnsi="宋体"/>
      <w:kern w:val="0"/>
      <w:szCs w:val="21"/>
    </w:rPr>
  </w:style>
  <w:style w:type="paragraph" w:customStyle="1" w:styleId="327">
    <w:name w:val="二级列表"/>
    <w:basedOn w:val="325"/>
    <w:qFormat/>
    <w:uiPriority w:val="0"/>
    <w:pPr>
      <w:tabs>
        <w:tab w:val="left" w:pos="2120"/>
      </w:tabs>
      <w:ind w:firstLine="0" w:firstLineChars="0"/>
    </w:pPr>
    <w:rPr>
      <w:b/>
    </w:rPr>
  </w:style>
  <w:style w:type="paragraph" w:customStyle="1" w:styleId="328">
    <w:name w:val="文本1"/>
    <w:basedOn w:val="1"/>
    <w:qFormat/>
    <w:uiPriority w:val="0"/>
    <w:pPr>
      <w:spacing w:line="312" w:lineRule="atLeast"/>
      <w:jc w:val="center"/>
    </w:pPr>
    <w:rPr>
      <w:kern w:val="0"/>
      <w:sz w:val="18"/>
      <w:szCs w:val="20"/>
    </w:rPr>
  </w:style>
  <w:style w:type="paragraph" w:customStyle="1" w:styleId="329">
    <w:name w:val="修订1"/>
    <w:qFormat/>
    <w:uiPriority w:val="0"/>
    <w:rPr>
      <w:rFonts w:ascii="Times New Roman" w:hAnsi="Times New Roman" w:eastAsia="宋体" w:cs="Times New Roman"/>
      <w:kern w:val="2"/>
      <w:sz w:val="21"/>
      <w:lang w:val="en-US" w:eastAsia="zh-CN" w:bidi="ar-SA"/>
    </w:rPr>
  </w:style>
  <w:style w:type="paragraph" w:customStyle="1" w:styleId="330">
    <w:name w:val="样式1xz"/>
    <w:basedOn w:val="1"/>
    <w:qFormat/>
    <w:uiPriority w:val="0"/>
    <w:pPr>
      <w:tabs>
        <w:tab w:val="left" w:pos="1050"/>
        <w:tab w:val="right" w:leader="dot" w:pos="8296"/>
      </w:tabs>
    </w:pPr>
    <w:rPr>
      <w:caps/>
      <w:spacing w:val="20"/>
      <w:sz w:val="24"/>
      <w:szCs w:val="20"/>
    </w:rPr>
  </w:style>
  <w:style w:type="paragraph" w:customStyle="1" w:styleId="331">
    <w:name w:val="TOC 标题2"/>
    <w:basedOn w:val="48"/>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32">
    <w:name w:val="00"/>
    <w:basedOn w:val="1"/>
    <w:qFormat/>
    <w:uiPriority w:val="0"/>
    <w:pPr>
      <w:autoSpaceDE w:val="0"/>
      <w:autoSpaceDN w:val="0"/>
      <w:jc w:val="left"/>
    </w:pPr>
    <w:rPr>
      <w:rFonts w:ascii="黑体" w:eastAsia="黑体"/>
      <w:b/>
      <w:kern w:val="0"/>
      <w:sz w:val="20"/>
      <w:szCs w:val="20"/>
    </w:rPr>
  </w:style>
  <w:style w:type="paragraph" w:customStyle="1" w:styleId="333">
    <w:name w:val="默认段落字体 Para Char Char Char Char Char Char Char Char Char1 Char Char Char Char"/>
    <w:basedOn w:val="1"/>
    <w:qFormat/>
    <w:uiPriority w:val="0"/>
    <w:rPr>
      <w:rFonts w:ascii="Tahoma" w:hAnsi="Tahoma"/>
      <w:sz w:val="24"/>
      <w:szCs w:val="20"/>
    </w:rPr>
  </w:style>
  <w:style w:type="paragraph" w:customStyle="1" w:styleId="334">
    <w:name w:val="Char Char Char Char Char Char Char1"/>
    <w:basedOn w:val="74"/>
    <w:qFormat/>
    <w:uiPriority w:val="0"/>
    <w:rPr>
      <w:rFonts w:ascii="宋体" w:hAnsi="Tahoma"/>
    </w:rPr>
  </w:style>
  <w:style w:type="paragraph" w:customStyle="1" w:styleId="335">
    <w:name w:val="样式 标题 1 + 居中 段前: 6 磅 段后: 6 磅 行距: 1.5 倍行距"/>
    <w:basedOn w:val="48"/>
    <w:qFormat/>
    <w:uiPriority w:val="0"/>
    <w:pPr>
      <w:snapToGrid w:val="0"/>
      <w:spacing w:before="120" w:after="156" w:line="360" w:lineRule="auto"/>
      <w:jc w:val="center"/>
    </w:pPr>
    <w:rPr>
      <w:bCs w:val="0"/>
      <w:sz w:val="32"/>
      <w:szCs w:val="20"/>
    </w:rPr>
  </w:style>
  <w:style w:type="paragraph" w:customStyle="1" w:styleId="336">
    <w:name w:val="pa-3"/>
    <w:basedOn w:val="1"/>
    <w:qFormat/>
    <w:uiPriority w:val="0"/>
    <w:pPr>
      <w:widowControl/>
      <w:spacing w:before="150" w:after="150"/>
      <w:jc w:val="left"/>
    </w:pPr>
    <w:rPr>
      <w:rFonts w:ascii="宋体" w:hAnsi="宋体"/>
      <w:kern w:val="0"/>
      <w:sz w:val="24"/>
    </w:rPr>
  </w:style>
  <w:style w:type="paragraph" w:customStyle="1" w:styleId="33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338">
    <w:name w:val="附录3"/>
    <w:basedOn w:val="1"/>
    <w:qFormat/>
    <w:uiPriority w:val="0"/>
    <w:pPr>
      <w:tabs>
        <w:tab w:val="left" w:pos="851"/>
      </w:tabs>
      <w:ind w:left="425" w:hanging="425"/>
      <w:outlineLvl w:val="2"/>
    </w:pPr>
    <w:rPr>
      <w:rFonts w:eastAsia="黑体"/>
      <w:b/>
      <w:sz w:val="32"/>
      <w:szCs w:val="20"/>
    </w:rPr>
  </w:style>
  <w:style w:type="paragraph" w:customStyle="1" w:styleId="339">
    <w:name w:val="摘要"/>
    <w:basedOn w:val="1"/>
    <w:qFormat/>
    <w:uiPriority w:val="0"/>
    <w:pPr>
      <w:spacing w:line="360" w:lineRule="auto"/>
    </w:pPr>
    <w:rPr>
      <w:rFonts w:eastAsia="黑体"/>
      <w:sz w:val="20"/>
      <w:szCs w:val="20"/>
    </w:rPr>
  </w:style>
  <w:style w:type="paragraph" w:customStyle="1" w:styleId="340">
    <w:name w:val="Style Heading 3h3Heading 3 - oldLevel 3 HeadH3level_3PIM 3se..."/>
    <w:basedOn w:val="50"/>
    <w:qFormat/>
    <w:uiPriority w:val="0"/>
    <w:pPr>
      <w:tabs>
        <w:tab w:val="left" w:pos="709"/>
        <w:tab w:val="left" w:pos="780"/>
      </w:tabs>
      <w:ind w:left="780" w:hanging="360"/>
      <w:jc w:val="both"/>
    </w:pPr>
    <w:rPr>
      <w:sz w:val="32"/>
    </w:rPr>
  </w:style>
  <w:style w:type="paragraph" w:customStyle="1" w:styleId="341">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szCs w:val="20"/>
    </w:rPr>
  </w:style>
  <w:style w:type="paragraph" w:customStyle="1" w:styleId="342">
    <w:name w:val="简单回函地址"/>
    <w:basedOn w:val="1"/>
    <w:qFormat/>
    <w:uiPriority w:val="0"/>
    <w:pPr>
      <w:snapToGrid w:val="0"/>
      <w:spacing w:line="360" w:lineRule="auto"/>
    </w:pPr>
    <w:rPr>
      <w:sz w:val="24"/>
      <w:szCs w:val="20"/>
    </w:rPr>
  </w:style>
  <w:style w:type="paragraph" w:customStyle="1" w:styleId="343">
    <w:name w:val="普通正文"/>
    <w:basedOn w:val="1"/>
    <w:qFormat/>
    <w:uiPriority w:val="0"/>
    <w:pPr>
      <w:spacing w:before="120" w:after="120" w:line="360" w:lineRule="auto"/>
      <w:ind w:firstLine="480"/>
      <w:jc w:val="left"/>
    </w:pPr>
    <w:rPr>
      <w:rFonts w:ascii="Arial" w:hAnsi="Arial"/>
      <w:kern w:val="0"/>
      <w:sz w:val="24"/>
      <w:szCs w:val="20"/>
    </w:rPr>
  </w:style>
  <w:style w:type="paragraph" w:customStyle="1" w:styleId="344">
    <w:name w:val="首行缩进 1"/>
    <w:basedOn w:val="1"/>
    <w:qFormat/>
    <w:uiPriority w:val="0"/>
    <w:pPr>
      <w:spacing w:after="120" w:line="360" w:lineRule="auto"/>
      <w:ind w:firstLine="200" w:firstLineChars="200"/>
    </w:pPr>
    <w:rPr>
      <w:sz w:val="24"/>
      <w:szCs w:val="20"/>
    </w:rPr>
  </w:style>
  <w:style w:type="paragraph" w:customStyle="1" w:styleId="345">
    <w:name w:val="表头文本"/>
    <w:qFormat/>
    <w:uiPriority w:val="0"/>
    <w:pPr>
      <w:jc w:val="center"/>
    </w:pPr>
    <w:rPr>
      <w:rFonts w:ascii="Arial" w:hAnsi="Arial" w:eastAsia="宋体" w:cs="Times New Roman"/>
      <w:b/>
      <w:sz w:val="21"/>
      <w:lang w:val="en-US" w:eastAsia="zh-CN" w:bidi="ar-SA"/>
    </w:rPr>
  </w:style>
  <w:style w:type="paragraph" w:customStyle="1" w:styleId="346">
    <w:name w:val="Char Char Char"/>
    <w:basedOn w:val="1"/>
    <w:qFormat/>
    <w:uiPriority w:val="0"/>
    <w:rPr>
      <w:rFonts w:ascii="Tahoma" w:hAnsi="Tahoma"/>
      <w:sz w:val="24"/>
      <w:szCs w:val="20"/>
    </w:rPr>
  </w:style>
  <w:style w:type="paragraph" w:customStyle="1" w:styleId="347">
    <w:name w:val="样式 样式 首行缩进:  2 字符 + 首行缩进:  2 字符"/>
    <w:basedOn w:val="1"/>
    <w:qFormat/>
    <w:uiPriority w:val="0"/>
    <w:pPr>
      <w:numPr>
        <w:ilvl w:val="0"/>
        <w:numId w:val="15"/>
      </w:numPr>
      <w:tabs>
        <w:tab w:val="clear" w:pos="360"/>
      </w:tabs>
      <w:spacing w:line="360" w:lineRule="auto"/>
      <w:ind w:firstLine="480" w:firstLineChars="200"/>
    </w:pPr>
    <w:rPr>
      <w:sz w:val="24"/>
      <w:szCs w:val="20"/>
    </w:rPr>
  </w:style>
  <w:style w:type="paragraph" w:customStyle="1" w:styleId="348">
    <w:name w:val="IN Featur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34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50">
    <w:name w:val="附录2"/>
    <w:basedOn w:val="1"/>
    <w:qFormat/>
    <w:uiPriority w:val="0"/>
    <w:pPr>
      <w:tabs>
        <w:tab w:val="left" w:pos="420"/>
        <w:tab w:val="left" w:pos="624"/>
      </w:tabs>
      <w:ind w:left="420" w:hanging="420"/>
      <w:outlineLvl w:val="1"/>
    </w:pPr>
    <w:rPr>
      <w:rFonts w:ascii="黑体" w:hAnsi="黑体" w:eastAsia="黑体"/>
      <w:b/>
      <w:sz w:val="32"/>
      <w:szCs w:val="20"/>
    </w:rPr>
  </w:style>
  <w:style w:type="paragraph" w:customStyle="1" w:styleId="351">
    <w:name w:val="msolistparagraph"/>
    <w:basedOn w:val="1"/>
    <w:qFormat/>
    <w:uiPriority w:val="0"/>
    <w:pPr>
      <w:ind w:firstLine="420" w:firstLineChars="200"/>
    </w:pPr>
    <w:rPr>
      <w:szCs w:val="21"/>
    </w:rPr>
  </w:style>
  <w:style w:type="paragraph" w:customStyle="1" w:styleId="352">
    <w:name w:val="图标"/>
    <w:basedOn w:val="1"/>
    <w:qFormat/>
    <w:uiPriority w:val="0"/>
    <w:pPr>
      <w:tabs>
        <w:tab w:val="left" w:pos="420"/>
        <w:tab w:val="left" w:pos="567"/>
        <w:tab w:val="left" w:pos="720"/>
      </w:tabs>
      <w:autoSpaceDE w:val="0"/>
      <w:autoSpaceDN w:val="0"/>
      <w:snapToGrid w:val="0"/>
      <w:spacing w:before="120" w:after="120" w:line="320" w:lineRule="atLeast"/>
      <w:ind w:left="420" w:hanging="420"/>
      <w:jc w:val="center"/>
    </w:pPr>
    <w:rPr>
      <w:rFonts w:eastAsia="仿宋_GB2312"/>
      <w:kern w:val="0"/>
      <w:sz w:val="24"/>
      <w:szCs w:val="20"/>
    </w:rPr>
  </w:style>
  <w:style w:type="paragraph" w:customStyle="1" w:styleId="353">
    <w:name w:val="Char1 Char Char Char1"/>
    <w:basedOn w:val="1"/>
    <w:qFormat/>
    <w:uiPriority w:val="0"/>
    <w:rPr>
      <w:rFonts w:ascii="Tahoma" w:hAnsi="Tahoma"/>
      <w:sz w:val="24"/>
      <w:szCs w:val="20"/>
    </w:rPr>
  </w:style>
  <w:style w:type="paragraph" w:customStyle="1" w:styleId="354">
    <w:name w:val="Item List"/>
    <w:qFormat/>
    <w:uiPriority w:val="0"/>
    <w:pPr>
      <w:numPr>
        <w:ilvl w:val="0"/>
        <w:numId w:val="16"/>
      </w:numPr>
      <w:tabs>
        <w:tab w:val="left" w:pos="1644"/>
      </w:tabs>
      <w:spacing w:line="300" w:lineRule="auto"/>
      <w:jc w:val="both"/>
    </w:pPr>
    <w:rPr>
      <w:rFonts w:ascii="Arial" w:hAnsi="Arial" w:eastAsia="宋体" w:cs="Times New Roman"/>
      <w:sz w:val="21"/>
      <w:lang w:val="en-US" w:eastAsia="zh-CN" w:bidi="ar-SA"/>
    </w:rPr>
  </w:style>
  <w:style w:type="paragraph" w:customStyle="1" w:styleId="355">
    <w:name w:val="操作步骤"/>
    <w:basedOn w:val="1"/>
    <w:qFormat/>
    <w:uiPriority w:val="0"/>
    <w:pPr>
      <w:numPr>
        <w:ilvl w:val="0"/>
        <w:numId w:val="17"/>
      </w:numPr>
      <w:tabs>
        <w:tab w:val="clear" w:pos="720"/>
      </w:tabs>
      <w:autoSpaceDE w:val="0"/>
      <w:autoSpaceDN w:val="0"/>
      <w:snapToGrid w:val="0"/>
      <w:spacing w:line="40" w:lineRule="atLeast"/>
    </w:pPr>
    <w:rPr>
      <w:rFonts w:ascii="昆仑楷体" w:eastAsia="楷体_GB2312"/>
      <w:kern w:val="0"/>
      <w:szCs w:val="20"/>
    </w:rPr>
  </w:style>
  <w:style w:type="paragraph" w:customStyle="1" w:styleId="356">
    <w:name w:val="列出段落1"/>
    <w:basedOn w:val="1"/>
    <w:qFormat/>
    <w:uiPriority w:val="0"/>
    <w:pPr>
      <w:ind w:firstLine="420" w:firstLineChars="200"/>
    </w:pPr>
    <w:rPr>
      <w:szCs w:val="20"/>
    </w:rPr>
  </w:style>
  <w:style w:type="paragraph" w:customStyle="1" w:styleId="357">
    <w:name w:val="正文格式 Char"/>
    <w:basedOn w:val="1"/>
    <w:qFormat/>
    <w:uiPriority w:val="0"/>
    <w:pPr>
      <w:widowControl/>
      <w:spacing w:line="440" w:lineRule="atLeast"/>
      <w:ind w:firstLine="510"/>
    </w:pPr>
    <w:rPr>
      <w:kern w:val="0"/>
      <w:sz w:val="24"/>
      <w:szCs w:val="20"/>
    </w:rPr>
  </w:style>
  <w:style w:type="paragraph" w:customStyle="1" w:styleId="358">
    <w:name w:val="样式 宋体 五号 行距: 单倍行距"/>
    <w:basedOn w:val="1"/>
    <w:qFormat/>
    <w:uiPriority w:val="0"/>
    <w:pPr>
      <w:jc w:val="left"/>
    </w:pPr>
    <w:rPr>
      <w:rFonts w:ascii="宋体" w:hAnsi="宋体"/>
      <w:kern w:val="0"/>
      <w:szCs w:val="20"/>
    </w:rPr>
  </w:style>
  <w:style w:type="paragraph" w:customStyle="1" w:styleId="359">
    <w:name w:val="表格1"/>
    <w:basedOn w:val="1"/>
    <w:qFormat/>
    <w:uiPriority w:val="0"/>
    <w:pPr>
      <w:kinsoku w:val="0"/>
      <w:wordWrap w:val="0"/>
      <w:overflowPunct w:val="0"/>
      <w:autoSpaceDE w:val="0"/>
      <w:autoSpaceDN w:val="0"/>
      <w:spacing w:line="288" w:lineRule="auto"/>
      <w:jc w:val="center"/>
    </w:pPr>
    <w:rPr>
      <w:rFonts w:ascii="宋体"/>
      <w:kern w:val="0"/>
      <w:sz w:val="18"/>
      <w:szCs w:val="20"/>
    </w:rPr>
  </w:style>
  <w:style w:type="paragraph" w:customStyle="1" w:styleId="360">
    <w:name w:val="正文首行缩进 2 Char Char"/>
    <w:basedOn w:val="361"/>
    <w:qFormat/>
    <w:uiPriority w:val="0"/>
    <w:pPr>
      <w:ind w:firstLine="420"/>
    </w:pPr>
  </w:style>
  <w:style w:type="paragraph" w:customStyle="1" w:styleId="361">
    <w:name w:val="正文文本缩进 Char Char"/>
    <w:basedOn w:val="1"/>
    <w:qFormat/>
    <w:uiPriority w:val="0"/>
    <w:pPr>
      <w:spacing w:after="120"/>
      <w:ind w:left="420" w:leftChars="200"/>
    </w:pPr>
  </w:style>
  <w:style w:type="paragraph" w:customStyle="1" w:styleId="362">
    <w:name w:val="Body text|1"/>
    <w:basedOn w:val="1"/>
    <w:qFormat/>
    <w:uiPriority w:val="0"/>
    <w:pPr>
      <w:spacing w:line="310" w:lineRule="auto"/>
    </w:pPr>
    <w:rPr>
      <w:rFonts w:ascii="宋体" w:hAnsi="宋体"/>
      <w:sz w:val="20"/>
      <w:szCs w:val="20"/>
      <w:lang w:val="zh-TW" w:eastAsia="zh-TW" w:bidi="zh-TW"/>
    </w:rPr>
  </w:style>
  <w:style w:type="paragraph" w:customStyle="1" w:styleId="363">
    <w:name w:val="正文_0_1_0"/>
    <w:basedOn w:val="11"/>
    <w:qFormat/>
    <w:uiPriority w:val="0"/>
    <w:rPr>
      <w:szCs w:val="21"/>
    </w:rPr>
  </w:style>
  <w:style w:type="paragraph" w:customStyle="1" w:styleId="364">
    <w:name w:val="列出段落"/>
    <w:basedOn w:val="1"/>
    <w:qFormat/>
    <w:uiPriority w:val="0"/>
    <w:pPr>
      <w:ind w:firstLine="420" w:firstLineChars="200"/>
    </w:pPr>
    <w:rPr>
      <w:rFonts w:ascii="Calibri" w:hAnsi="Calibri"/>
    </w:rPr>
  </w:style>
  <w:style w:type="paragraph" w:customStyle="1" w:styleId="365">
    <w:name w:val="WPSOffice手动目录 1"/>
    <w:qFormat/>
    <w:uiPriority w:val="0"/>
    <w:rPr>
      <w:rFonts w:ascii="Times New Roman" w:hAnsi="Times New Roman" w:eastAsia="宋体" w:cs="Times New Roman"/>
      <w:lang w:val="en-US" w:eastAsia="zh-CN" w:bidi="ar-SA"/>
    </w:rPr>
  </w:style>
  <w:style w:type="paragraph" w:customStyle="1" w:styleId="366">
    <w:name w:val="样式 标题 4 + 段前: 5 磅 段后: 5 磅 行距: 单倍行距_0"/>
    <w:basedOn w:val="367"/>
    <w:qFormat/>
    <w:uiPriority w:val="0"/>
    <w:pPr>
      <w:spacing w:before="100" w:after="100" w:line="240" w:lineRule="auto"/>
    </w:pPr>
    <w:rPr>
      <w:rFonts w:ascii="Calibri" w:hAnsi="Calibri" w:cs="宋体"/>
      <w:szCs w:val="20"/>
    </w:rPr>
  </w:style>
  <w:style w:type="paragraph" w:customStyle="1" w:styleId="367">
    <w:name w:val="标题 4_0"/>
    <w:basedOn w:val="37"/>
    <w:next w:val="37"/>
    <w:unhideWhenUsed/>
    <w:qFormat/>
    <w:uiPriority w:val="0"/>
    <w:pPr>
      <w:keepNext/>
      <w:keepLines/>
      <w:spacing w:before="280" w:after="290" w:line="376" w:lineRule="auto"/>
      <w:outlineLvl w:val="3"/>
    </w:pPr>
    <w:rPr>
      <w:rFonts w:ascii="Cambria" w:hAnsi="Cambria" w:eastAsia="宋体"/>
      <w:b/>
      <w:bCs/>
      <w:szCs w:val="28"/>
    </w:rPr>
  </w:style>
  <w:style w:type="paragraph" w:customStyle="1" w:styleId="368">
    <w:name w:val="正文_1_0"/>
    <w:basedOn w:val="369"/>
    <w:next w:val="371"/>
    <w:qFormat/>
    <w:uiPriority w:val="0"/>
    <w:rPr>
      <w:rFonts w:ascii="Times New Roman" w:hAnsi="Times New Roman"/>
      <w:szCs w:val="24"/>
    </w:rPr>
  </w:style>
  <w:style w:type="paragraph" w:customStyle="1" w:styleId="369">
    <w:name w:val="正文_2"/>
    <w:basedOn w:val="11"/>
    <w:next w:val="370"/>
    <w:qFormat/>
    <w:uiPriority w:val="0"/>
  </w:style>
  <w:style w:type="paragraph" w:customStyle="1" w:styleId="370">
    <w:name w:val="正文文本_1"/>
    <w:basedOn w:val="368"/>
    <w:unhideWhenUsed/>
    <w:qFormat/>
    <w:uiPriority w:val="0"/>
    <w:pPr>
      <w:spacing w:after="120"/>
    </w:pPr>
    <w:rPr>
      <w:rFonts w:ascii="Calibri" w:hAnsi="Calibri"/>
    </w:rPr>
  </w:style>
  <w:style w:type="paragraph" w:customStyle="1" w:styleId="371">
    <w:name w:val="正文首行缩进1"/>
    <w:basedOn w:val="372"/>
    <w:unhideWhenUsed/>
    <w:qFormat/>
    <w:uiPriority w:val="99"/>
    <w:pPr>
      <w:ind w:firstLine="420" w:firstLineChars="100"/>
    </w:pPr>
    <w:rPr>
      <w:szCs w:val="22"/>
    </w:rPr>
  </w:style>
  <w:style w:type="paragraph" w:customStyle="1" w:styleId="372">
    <w:name w:val="正文文本_0_0"/>
    <w:basedOn w:val="373"/>
    <w:qFormat/>
    <w:uiPriority w:val="0"/>
    <w:pPr>
      <w:spacing w:after="120"/>
    </w:pPr>
    <w:rPr>
      <w:rFonts w:ascii="Times New Roman" w:hAnsi="Times New Roman"/>
      <w:szCs w:val="24"/>
    </w:rPr>
  </w:style>
  <w:style w:type="paragraph" w:customStyle="1" w:styleId="373">
    <w:name w:val="正文_1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4">
    <w:name w:val="正文_1_1"/>
    <w:basedOn w:val="368"/>
    <w:next w:val="375"/>
    <w:qFormat/>
    <w:uiPriority w:val="0"/>
    <w:rPr>
      <w:szCs w:val="22"/>
    </w:rPr>
  </w:style>
  <w:style w:type="paragraph" w:customStyle="1" w:styleId="375">
    <w:name w:val="正文首行缩进_0"/>
    <w:basedOn w:val="376"/>
    <w:unhideWhenUsed/>
    <w:qFormat/>
    <w:uiPriority w:val="99"/>
    <w:pPr>
      <w:ind w:firstLine="420" w:firstLineChars="100"/>
    </w:pPr>
    <w:rPr>
      <w:szCs w:val="22"/>
    </w:rPr>
  </w:style>
  <w:style w:type="paragraph" w:customStyle="1" w:styleId="376">
    <w:name w:val="正文文本_0_1"/>
    <w:basedOn w:val="377"/>
    <w:qFormat/>
    <w:uiPriority w:val="0"/>
    <w:pPr>
      <w:adjustRightInd w:val="0"/>
      <w:spacing w:after="60" w:line="360" w:lineRule="atLeast"/>
      <w:ind w:left="72" w:leftChars="30" w:right="30" w:rightChars="30"/>
      <w:jc w:val="center"/>
      <w:textAlignment w:val="baseline"/>
    </w:pPr>
    <w:rPr>
      <w:rFonts w:ascii="Calibri" w:hAnsi="Calibri"/>
    </w:rPr>
  </w:style>
  <w:style w:type="paragraph" w:customStyle="1" w:styleId="377">
    <w:name w:val="正文_1_0_2"/>
    <w:next w:val="37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8">
    <w:name w:val="Body Text First Indent_1"/>
    <w:basedOn w:val="379"/>
    <w:unhideWhenUsed/>
    <w:qFormat/>
    <w:uiPriority w:val="99"/>
    <w:pPr>
      <w:ind w:firstLine="420" w:firstLineChars="100"/>
    </w:pPr>
    <w:rPr>
      <w:szCs w:val="22"/>
    </w:rPr>
  </w:style>
  <w:style w:type="paragraph" w:customStyle="1" w:styleId="379">
    <w:name w:val="正文文本_0_0_1"/>
    <w:basedOn w:val="380"/>
    <w:qFormat/>
    <w:uiPriority w:val="0"/>
    <w:pPr>
      <w:spacing w:after="120"/>
    </w:pPr>
  </w:style>
  <w:style w:type="paragraph" w:customStyle="1" w:styleId="380">
    <w:name w:val="正文_12_0_1"/>
    <w:basedOn w:val="381"/>
    <w:qFormat/>
    <w:uiPriority w:val="0"/>
    <w:rPr>
      <w:rFonts w:cs="Calibri"/>
      <w:szCs w:val="21"/>
    </w:rPr>
  </w:style>
  <w:style w:type="paragraph" w:customStyle="1" w:styleId="381">
    <w:name w:val="正文_13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2">
    <w:name w:val="脚注文本_0"/>
    <w:basedOn w:val="38"/>
    <w:next w:val="369"/>
    <w:unhideWhenUsed/>
    <w:qFormat/>
    <w:uiPriority w:val="99"/>
    <w:pPr>
      <w:snapToGrid w:val="0"/>
      <w:jc w:val="left"/>
    </w:pPr>
    <w:rPr>
      <w:rFonts w:ascii="Calibri" w:hAnsi="Calibri" w:eastAsia="Calibri"/>
      <w:sz w:val="18"/>
    </w:rPr>
  </w:style>
  <w:style w:type="paragraph" w:customStyle="1" w:styleId="383">
    <w:name w:val="正文_2_0_0_0"/>
    <w:basedOn w:val="384"/>
    <w:next w:val="386"/>
    <w:qFormat/>
    <w:uiPriority w:val="0"/>
    <w:rPr>
      <w:rFonts w:ascii="Times New Roman" w:hAnsi="Times New Roman" w:cs="Times New Roman"/>
    </w:rPr>
  </w:style>
  <w:style w:type="paragraph" w:customStyle="1" w:styleId="384">
    <w:name w:val="正文_4_0_0"/>
    <w:basedOn w:val="385"/>
    <w:qFormat/>
    <w:uiPriority w:val="0"/>
    <w:rPr>
      <w:rFonts w:ascii="Calibri" w:hAnsi="Calibri" w:cs="宋体"/>
      <w:szCs w:val="21"/>
    </w:rPr>
  </w:style>
  <w:style w:type="paragraph" w:customStyle="1" w:styleId="385">
    <w:name w:val="正文_3"/>
    <w:basedOn w:val="369"/>
    <w:next w:val="15"/>
    <w:qFormat/>
    <w:uiPriority w:val="0"/>
    <w:rPr>
      <w:rFonts w:ascii="Times New Roman" w:hAnsi="Times New Roman" w:eastAsia="仿宋_GB2312"/>
      <w:sz w:val="28"/>
      <w:szCs w:val="24"/>
    </w:rPr>
  </w:style>
  <w:style w:type="paragraph" w:customStyle="1" w:styleId="386">
    <w:name w:val="正文文本_1_0"/>
    <w:basedOn w:val="383"/>
    <w:qFormat/>
    <w:uiPriority w:val="0"/>
    <w:pPr>
      <w:adjustRightInd w:val="0"/>
      <w:spacing w:after="60" w:line="360" w:lineRule="atLeast"/>
      <w:ind w:left="72" w:leftChars="30" w:right="30" w:rightChars="30"/>
      <w:jc w:val="center"/>
      <w:textAlignment w:val="baseline"/>
    </w:pPr>
    <w:rPr>
      <w:rFonts w:eastAsia="宋体"/>
    </w:rPr>
  </w:style>
  <w:style w:type="paragraph" w:customStyle="1" w:styleId="387">
    <w:name w:val="Normal_0"/>
    <w:basedOn w:val="249"/>
    <w:qFormat/>
    <w:uiPriority w:val="0"/>
    <w:pPr>
      <w:adjustRightInd w:val="0"/>
      <w:spacing w:line="312" w:lineRule="atLeast"/>
    </w:pPr>
    <w:rPr>
      <w:rFonts w:ascii="宋体"/>
      <w:sz w:val="34"/>
    </w:rPr>
  </w:style>
  <w:style w:type="paragraph" w:customStyle="1" w:styleId="388">
    <w:name w:val="Normal_6"/>
    <w:qFormat/>
    <w:uiPriority w:val="0"/>
    <w:rPr>
      <w:rFonts w:ascii="黑体" w:hAnsi="黑体" w:eastAsia="黑体" w:cs="Times New Roman"/>
      <w:b/>
      <w:sz w:val="32"/>
      <w:szCs w:val="24"/>
      <w:lang w:val="en-US" w:eastAsia="zh-CN" w:bidi="ar-SA"/>
    </w:rPr>
  </w:style>
  <w:style w:type="paragraph" w:customStyle="1" w:styleId="389">
    <w:name w:val="正文_3_0"/>
    <w:basedOn w:val="390"/>
    <w:next w:val="386"/>
    <w:qFormat/>
    <w:uiPriority w:val="0"/>
    <w:pPr>
      <w:widowControl w:val="0"/>
      <w:jc w:val="both"/>
    </w:pPr>
    <w:rPr>
      <w:kern w:val="2"/>
      <w:sz w:val="21"/>
      <w:szCs w:val="22"/>
    </w:rPr>
  </w:style>
  <w:style w:type="paragraph" w:customStyle="1" w:styleId="390">
    <w:name w:val="Normal_0_0"/>
    <w:qFormat/>
    <w:uiPriority w:val="0"/>
    <w:rPr>
      <w:rFonts w:ascii="黑体" w:hAnsi="黑体" w:eastAsia="黑体" w:cs="Times New Roman"/>
      <w:b/>
      <w:sz w:val="32"/>
      <w:szCs w:val="24"/>
      <w:lang w:val="en-US" w:eastAsia="zh-CN" w:bidi="ar-SA"/>
    </w:rPr>
  </w:style>
  <w:style w:type="paragraph" w:customStyle="1" w:styleId="391">
    <w:name w:val="正文_4_0"/>
    <w:basedOn w:val="385"/>
    <w:qFormat/>
    <w:uiPriority w:val="0"/>
    <w:rPr>
      <w:sz w:val="21"/>
      <w:szCs w:val="22"/>
    </w:rPr>
  </w:style>
  <w:style w:type="paragraph" w:customStyle="1" w:styleId="392">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3">
    <w:name w:val="Normal_4"/>
    <w:qFormat/>
    <w:uiPriority w:val="0"/>
    <w:rPr>
      <w:rFonts w:ascii="黑体" w:hAnsi="黑体" w:eastAsia="黑体" w:cs="Times New Roman"/>
      <w:b/>
      <w:sz w:val="32"/>
      <w:szCs w:val="24"/>
      <w:lang w:val="en-US" w:eastAsia="zh-CN" w:bidi="ar-SA"/>
    </w:rPr>
  </w:style>
  <w:style w:type="paragraph" w:customStyle="1" w:styleId="394">
    <w:name w:val="Normal_7"/>
    <w:qFormat/>
    <w:uiPriority w:val="0"/>
    <w:rPr>
      <w:rFonts w:ascii="黑体" w:hAnsi="黑体" w:eastAsia="黑体" w:cs="Times New Roman"/>
      <w:b/>
      <w:sz w:val="32"/>
      <w:szCs w:val="24"/>
      <w:lang w:val="en-US" w:eastAsia="zh-CN" w:bidi="ar-SA"/>
    </w:rPr>
  </w:style>
  <w:style w:type="paragraph" w:customStyle="1" w:styleId="395">
    <w:name w:val="Normal_8"/>
    <w:qFormat/>
    <w:uiPriority w:val="0"/>
    <w:rPr>
      <w:rFonts w:ascii="黑体" w:hAnsi="黑体" w:eastAsia="黑体" w:cs="Times New Roman"/>
      <w:b/>
      <w:sz w:val="32"/>
      <w:szCs w:val="24"/>
      <w:lang w:val="en-US" w:eastAsia="zh-CN" w:bidi="ar-SA"/>
    </w:rPr>
  </w:style>
  <w:style w:type="paragraph" w:customStyle="1" w:styleId="396">
    <w:name w:val="正文_0_0_1"/>
    <w:basedOn w:val="374"/>
    <w:qFormat/>
    <w:uiPriority w:val="0"/>
    <w:rPr>
      <w:sz w:val="28"/>
    </w:rPr>
  </w:style>
  <w:style w:type="paragraph" w:customStyle="1" w:styleId="397">
    <w:name w:val="正文文本缩进_1_0"/>
    <w:basedOn w:val="398"/>
    <w:qFormat/>
    <w:uiPriority w:val="0"/>
    <w:pPr>
      <w:spacing w:before="240" w:line="360" w:lineRule="auto"/>
      <w:ind w:firstLine="552" w:firstLineChars="263"/>
    </w:pPr>
    <w:rPr>
      <w:rFonts w:ascii="宋体" w:hAnsi="宋体"/>
      <w:szCs w:val="20"/>
    </w:rPr>
  </w:style>
  <w:style w:type="paragraph" w:customStyle="1" w:styleId="398">
    <w:name w:val="正文_7_1_0"/>
    <w:basedOn w:val="399"/>
    <w:qFormat/>
    <w:uiPriority w:val="0"/>
    <w:rPr>
      <w:rFonts w:cs="宋体"/>
      <w:szCs w:val="21"/>
    </w:rPr>
  </w:style>
  <w:style w:type="paragraph" w:customStyle="1" w:styleId="399">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0">
    <w:name w:val="正文_6_1_0"/>
    <w:basedOn w:val="398"/>
    <w:qFormat/>
    <w:uiPriority w:val="0"/>
  </w:style>
  <w:style w:type="paragraph" w:customStyle="1" w:styleId="401">
    <w:name w:val="正文_0_0_0_0"/>
    <w:basedOn w:val="374"/>
    <w:qFormat/>
    <w:uiPriority w:val="0"/>
    <w:rPr>
      <w:rFonts w:ascii="Calibri" w:hAnsi="Calibri" w:cs="宋体"/>
      <w:sz w:val="28"/>
      <w:szCs w:val="28"/>
    </w:rPr>
  </w:style>
  <w:style w:type="paragraph" w:customStyle="1" w:styleId="402">
    <w:name w:val="Normal_11"/>
    <w:qFormat/>
    <w:uiPriority w:val="0"/>
    <w:rPr>
      <w:rFonts w:ascii="黑体" w:hAnsi="黑体" w:eastAsia="黑体" w:cs="Times New Roman"/>
      <w:b/>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5174</Words>
  <Characters>29494</Characters>
  <Lines>245</Lines>
  <Paragraphs>69</Paragraphs>
  <TotalTime>14</TotalTime>
  <ScaleCrop>false</ScaleCrop>
  <LinksUpToDate>false</LinksUpToDate>
  <CharactersWithSpaces>34599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2023-09-27T02:57:00Z</dcterms:created>
  <dc:creator>文档存本地丢失不负责</dc:creator>
  <cp:lastModifiedBy>文档存本地丢失不负责</cp:lastModifiedBy>
  <dcterms:modified xsi:type="dcterms:W3CDTF">2023-09-27T03:25:24Z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A2A03C1F712C4C39B763ADEC0FC79EB2_12</vt:lpwstr>
  </property>
</Properties>
</file>