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after="156" w:afterLines="50"/>
        <w:ind w:left="-850" w:leftChars="-405" w:right="-625"/>
        <w:jc w:val="center"/>
        <w:rPr>
          <w:rFonts w:hint="eastAsia" w:ascii="宋体" w:hAnsi="宋体" w:eastAsia="黑体" w:cs="宋体"/>
          <w:bCs/>
          <w:spacing w:val="-11"/>
          <w:kern w:val="0"/>
          <w:sz w:val="52"/>
          <w:szCs w:val="52"/>
          <w:lang w:val="en-US" w:eastAsia="zh-CN" w:bidi="ar-SA"/>
        </w:rPr>
      </w:pPr>
    </w:p>
    <w:p>
      <w:pPr>
        <w:shd w:val="clear" w:color="auto" w:fill="auto"/>
        <w:spacing w:after="156" w:afterLines="50"/>
        <w:ind w:left="-850" w:leftChars="-405" w:right="-625"/>
        <w:jc w:val="center"/>
        <w:rPr>
          <w:rFonts w:hint="eastAsia" w:ascii="宋体" w:hAnsi="宋体" w:eastAsia="黑体" w:cs="宋体"/>
          <w:bCs/>
          <w:spacing w:val="-11"/>
          <w:kern w:val="0"/>
          <w:sz w:val="52"/>
          <w:szCs w:val="52"/>
          <w:lang w:val="en-US" w:eastAsia="zh-CN" w:bidi="ar-SA"/>
        </w:rPr>
      </w:pPr>
    </w:p>
    <w:p>
      <w:pPr>
        <w:shd w:val="clear" w:color="auto" w:fill="auto"/>
        <w:spacing w:after="156" w:afterLines="50"/>
        <w:ind w:left="-850" w:leftChars="-405" w:right="-625"/>
        <w:jc w:val="center"/>
        <w:rPr>
          <w:rFonts w:hint="eastAsia" w:ascii="宋体" w:hAnsi="宋体" w:eastAsia="黑体" w:cs="宋体"/>
          <w:bCs/>
          <w:spacing w:val="-11"/>
          <w:kern w:val="0"/>
          <w:sz w:val="52"/>
          <w:szCs w:val="52"/>
          <w:lang w:val="en-US" w:eastAsia="zh-CN" w:bidi="ar-SA"/>
        </w:rPr>
      </w:pPr>
      <w:r>
        <w:rPr>
          <w:rFonts w:hint="eastAsia" w:ascii="宋体" w:hAnsi="宋体" w:eastAsia="黑体" w:cs="宋体"/>
          <w:bCs/>
          <w:spacing w:val="-11"/>
          <w:kern w:val="0"/>
          <w:sz w:val="52"/>
          <w:szCs w:val="52"/>
          <w:lang w:val="en-US" w:eastAsia="zh-CN" w:bidi="ar-SA"/>
        </w:rPr>
        <w:t>阿图什市某单位高速道路交通卡口设备</w:t>
      </w:r>
    </w:p>
    <w:p>
      <w:pPr>
        <w:shd w:val="clear" w:color="auto" w:fill="auto"/>
        <w:spacing w:after="156" w:afterLines="50"/>
        <w:ind w:left="-850" w:leftChars="-405" w:right="-625"/>
        <w:jc w:val="center"/>
        <w:rPr>
          <w:rFonts w:hint="eastAsia" w:ascii="宋体" w:hAnsi="宋体" w:eastAsia="黑体" w:cs="宋体"/>
          <w:bCs/>
          <w:spacing w:val="-11"/>
          <w:kern w:val="0"/>
          <w:sz w:val="52"/>
          <w:szCs w:val="52"/>
          <w:lang w:val="en-US" w:eastAsia="zh-CN" w:bidi="ar-SA"/>
        </w:rPr>
      </w:pPr>
      <w:r>
        <w:rPr>
          <w:rFonts w:hint="eastAsia" w:ascii="宋体" w:hAnsi="宋体" w:eastAsia="黑体" w:cs="宋体"/>
          <w:bCs/>
          <w:spacing w:val="-11"/>
          <w:kern w:val="0"/>
          <w:sz w:val="52"/>
          <w:szCs w:val="52"/>
          <w:lang w:val="en-US" w:eastAsia="zh-CN" w:bidi="ar-SA"/>
        </w:rPr>
        <w:t>采购项目</w:t>
      </w:r>
    </w:p>
    <w:p>
      <w:pPr>
        <w:shd w:val="clear" w:color="auto" w:fill="auto"/>
        <w:spacing w:after="156" w:afterLines="50"/>
        <w:ind w:left="-850" w:leftChars="-405" w:right="-625"/>
        <w:jc w:val="center"/>
        <w:rPr>
          <w:rFonts w:hint="eastAsia" w:ascii="宋体" w:hAnsi="宋体" w:eastAsia="黑体" w:cs="宋体"/>
          <w:bCs/>
          <w:spacing w:val="-11"/>
          <w:kern w:val="0"/>
          <w:sz w:val="52"/>
          <w:szCs w:val="52"/>
          <w:lang w:val="en-US" w:eastAsia="zh-CN" w:bidi="ar-SA"/>
        </w:rPr>
      </w:pPr>
    </w:p>
    <w:p>
      <w:pPr>
        <w:pStyle w:val="9"/>
        <w:keepNext w:val="0"/>
        <w:keepLines w:val="0"/>
        <w:pageBreakBefore w:val="0"/>
        <w:widowControl/>
        <w:kinsoku/>
        <w:wordWrap/>
        <w:overflowPunct/>
        <w:topLinePunct w:val="0"/>
        <w:autoSpaceDE/>
        <w:autoSpaceDN/>
        <w:bidi w:val="0"/>
        <w:adjustRightInd/>
        <w:snapToGrid/>
        <w:spacing w:before="0" w:beforeLines="0" w:after="0" w:afterLines="0"/>
        <w:ind w:left="0" w:leftChars="0" w:right="0" w:rightChars="0" w:firstLine="0" w:firstLineChars="0"/>
        <w:jc w:val="center"/>
        <w:textAlignment w:val="auto"/>
        <w:rPr>
          <w:rFonts w:hint="eastAsia" w:ascii="宋体" w:hAnsi="宋体" w:cs="宋体"/>
          <w:bCs/>
          <w:spacing w:val="-11"/>
          <w:kern w:val="0"/>
          <w:sz w:val="52"/>
          <w:szCs w:val="52"/>
        </w:rPr>
      </w:pPr>
      <w:r>
        <w:rPr>
          <w:rFonts w:hint="eastAsia" w:ascii="宋体" w:hAnsi="宋体" w:cs="宋体"/>
          <w:bCs/>
          <w:spacing w:val="-11"/>
          <w:kern w:val="0"/>
          <w:sz w:val="52"/>
          <w:szCs w:val="52"/>
        </w:rPr>
        <w:t>建设项目需求</w:t>
      </w:r>
    </w:p>
    <w:p>
      <w:pPr>
        <w:pStyle w:val="3"/>
        <w:numPr>
          <w:ilvl w:val="0"/>
          <w:numId w:val="0"/>
        </w:numPr>
        <w:ind w:left="431" w:leftChars="0"/>
        <w:rPr>
          <w:rFonts w:hint="eastAsia"/>
          <w:b/>
          <w:bCs/>
          <w:sz w:val="32"/>
          <w:szCs w:val="32"/>
          <w:highlight w:val="none"/>
        </w:rPr>
      </w:pPr>
    </w:p>
    <w:p>
      <w:pPr>
        <w:pStyle w:val="3"/>
        <w:numPr>
          <w:ilvl w:val="0"/>
          <w:numId w:val="0"/>
        </w:numPr>
        <w:ind w:left="431" w:leftChars="0"/>
        <w:rPr>
          <w:rFonts w:hint="eastAsia"/>
          <w:b/>
          <w:bCs/>
          <w:sz w:val="32"/>
          <w:szCs w:val="32"/>
          <w:highlight w:val="none"/>
        </w:rPr>
      </w:pPr>
    </w:p>
    <w:p>
      <w:pPr>
        <w:pStyle w:val="3"/>
        <w:numPr>
          <w:ilvl w:val="0"/>
          <w:numId w:val="0"/>
        </w:numPr>
        <w:rPr>
          <w:rFonts w:hint="eastAsia"/>
          <w:b/>
          <w:bCs/>
          <w:sz w:val="32"/>
          <w:szCs w:val="32"/>
          <w:highlight w:val="none"/>
        </w:rPr>
      </w:pPr>
    </w:p>
    <w:p>
      <w:pPr>
        <w:rPr>
          <w:rFonts w:hint="eastAsia"/>
          <w:b/>
          <w:bCs/>
          <w:sz w:val="32"/>
          <w:szCs w:val="32"/>
          <w:highlight w:val="none"/>
        </w:rPr>
      </w:pPr>
    </w:p>
    <w:p>
      <w:pPr>
        <w:rPr>
          <w:rFonts w:hint="eastAsia"/>
          <w:b/>
          <w:bCs/>
          <w:sz w:val="32"/>
          <w:szCs w:val="32"/>
          <w:highlight w:val="none"/>
        </w:rPr>
      </w:pPr>
    </w:p>
    <w:p>
      <w:pPr>
        <w:rPr>
          <w:rFonts w:hint="eastAsia"/>
          <w:b/>
          <w:bCs/>
          <w:sz w:val="32"/>
          <w:szCs w:val="32"/>
          <w:highlight w:val="none"/>
        </w:rPr>
      </w:pPr>
    </w:p>
    <w:p>
      <w:pPr>
        <w:rPr>
          <w:rFonts w:hint="eastAsia"/>
          <w:b/>
          <w:bCs/>
          <w:sz w:val="32"/>
          <w:szCs w:val="32"/>
          <w:highlight w:val="none"/>
        </w:rPr>
      </w:pPr>
    </w:p>
    <w:p>
      <w:pPr>
        <w:jc w:val="center"/>
        <w:rPr>
          <w:rFonts w:hint="eastAsia"/>
          <w:b/>
          <w:bCs/>
          <w:sz w:val="32"/>
          <w:szCs w:val="32"/>
          <w:highlight w:val="none"/>
          <w:lang w:val="en-US" w:eastAsia="zh-CN"/>
        </w:rPr>
      </w:pPr>
    </w:p>
    <w:p>
      <w:pPr>
        <w:jc w:val="center"/>
        <w:rPr>
          <w:rFonts w:hint="eastAsia"/>
          <w:b/>
          <w:bCs/>
          <w:sz w:val="32"/>
          <w:szCs w:val="32"/>
          <w:highlight w:val="none"/>
          <w:lang w:val="en-US" w:eastAsia="zh-CN"/>
        </w:rPr>
      </w:pPr>
    </w:p>
    <w:p>
      <w:pPr>
        <w:jc w:val="center"/>
        <w:rPr>
          <w:rFonts w:hint="eastAsia"/>
          <w:b/>
          <w:bCs/>
          <w:sz w:val="32"/>
          <w:szCs w:val="32"/>
          <w:highlight w:val="none"/>
          <w:lang w:val="en-US" w:eastAsia="zh-CN"/>
        </w:rPr>
      </w:pPr>
    </w:p>
    <w:p>
      <w:pPr>
        <w:jc w:val="center"/>
        <w:rPr>
          <w:rFonts w:hint="eastAsia"/>
          <w:b/>
          <w:bCs/>
          <w:sz w:val="32"/>
          <w:szCs w:val="32"/>
          <w:highlight w:val="none"/>
          <w:lang w:val="en-US" w:eastAsia="zh-CN"/>
        </w:rPr>
      </w:pPr>
    </w:p>
    <w:p>
      <w:pPr>
        <w:jc w:val="center"/>
        <w:rPr>
          <w:rFonts w:hint="default" w:eastAsia="宋体"/>
          <w:b/>
          <w:bCs/>
          <w:sz w:val="32"/>
          <w:szCs w:val="32"/>
          <w:highlight w:val="none"/>
          <w:lang w:val="en-US" w:eastAsia="zh-CN"/>
        </w:rPr>
      </w:pPr>
      <w:r>
        <w:rPr>
          <w:rFonts w:hint="eastAsia"/>
          <w:b/>
          <w:bCs/>
          <w:sz w:val="32"/>
          <w:szCs w:val="32"/>
          <w:highlight w:val="none"/>
          <w:lang w:val="en-US" w:eastAsia="zh-CN"/>
        </w:rPr>
        <w:t>2023年9月</w:t>
      </w:r>
    </w:p>
    <w:p>
      <w:pPr>
        <w:pStyle w:val="3"/>
        <w:numPr>
          <w:ilvl w:val="0"/>
          <w:numId w:val="0"/>
        </w:numPr>
        <w:ind w:left="431" w:leftChars="0"/>
        <w:rPr>
          <w:rFonts w:hint="eastAsia"/>
          <w:b/>
          <w:bCs/>
          <w:sz w:val="32"/>
          <w:szCs w:val="32"/>
          <w:highlight w:val="none"/>
        </w:rPr>
      </w:pPr>
      <w:r>
        <w:rPr>
          <w:rFonts w:hint="eastAsia"/>
          <w:b/>
          <w:bCs/>
          <w:sz w:val="32"/>
          <w:szCs w:val="32"/>
          <w:highlight w:val="none"/>
          <w:lang w:val="en-US" w:eastAsia="zh-CN"/>
        </w:rPr>
        <w:t>一，</w:t>
      </w:r>
      <w:r>
        <w:rPr>
          <w:rFonts w:hint="eastAsia"/>
          <w:b/>
          <w:bCs/>
          <w:sz w:val="32"/>
          <w:szCs w:val="32"/>
          <w:highlight w:val="none"/>
        </w:rPr>
        <w:t>项目需求清单</w:t>
      </w:r>
      <w:bookmarkStart w:id="0" w:name="_GoBack"/>
      <w:bookmarkEnd w:id="0"/>
    </w:p>
    <w:tbl>
      <w:tblPr>
        <w:tblStyle w:val="6"/>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614"/>
        <w:gridCol w:w="3236"/>
        <w:gridCol w:w="2418"/>
        <w:gridCol w:w="898"/>
        <w:gridCol w:w="656"/>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设备类别</w:t>
            </w: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设备名称</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设备参数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数量</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测速卡口</w:t>
            </w:r>
          </w:p>
        </w:tc>
        <w:tc>
          <w:tcPr>
            <w:tcW w:w="3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深度智能环保卡口摄像单元</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需支持1200万像素抓拍镜头，靶面尺寸≥1.1英寸，</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 需支持P-iris高清步进光圈镜头；</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3. 图像分辨率≥4096×2160，帧率1-50帧可调；</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前端抓拍设备需支持通过双网口把多个设备串联起来，接入服务器，服务器可登录串联的所有设备；（需提供相关权威机构检测出报告为证）</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支持低延时功能，视频图像传输至客户端的延时时间≤90ms；</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需支持辅助对焦功能调试；</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需可支持对澳门单车牌识别检测并抓拍，可支持澳门双车牌（澳门车牌+广州车牌）识别检测并抓拍；（需提供相关权威机构检测出报告为证）</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8. 为达到环保效果，需支持在夜间使用非气体爆闪灯补光的方式下，可认清监控画面中道路场景、标志、标线、车辆、号牌、驾驶员等特征信息及颜色、并抓拍相应的违章违法行为。（需提供相关权威机构检测出报告为证）</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9. 应具有本地存储功能，应支持eMMC存储，可扩展micro SD/TF卡，需支持内存容量≥256G。</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10. 设备支持视频、地感线圈、雷达触发方式中的一种或多种，且可通过WEB界面配置，同时支持视频与雷达、线圈检测自动切换功能。在以上触发方式下，白天、晚上捕获率均≥99%，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11. 在实时捕获通行车辆图像的同时，应具备车辆号牌自动识别功能（号牌字符包含A-H J-N P-Z、0－9)，白天和晚上指标≥99%。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12. 需识别车牌颜色≥7种，应包括但不仅限于蓝、黄、黑、白、绿、黄绿双色、渐变绿色等颜色；</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13. 需识别车身颜色≥14种，应包括但不仅限于黑、 白、 灰、红、绿、蓝、黄、粉、紫、棕、橙、青、金、银灰等颜色。</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14. 应支持对大中型货车、小货车、大中型客车、小轿车、校车、危险品车、其他车型等车型进行不同超速设置，根据不同的超速配置对不同车型进行超速抓拍，并可通过客户端软件修改判罚证据链数量、名称、优先级及违法代码等信息。</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15. 应支持机动车不系安全带、开车打电话、逆行、压线、占用非机动车道、占用紧急车道、占用公交车道等多种违法，捕获率≥99%，识别准确率≥99%；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 xml:space="preserve">16. 应支持黄标车标志检测、异常车牌、夜间未开车灯、行人检测、非机动车驾驶员属性、车窗内挂件识别、年检贴检测、危险品车检测、车身副颜色等多种检测识别功能. </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17. 应支持开车打电话检测功能，捕获率应≥99%，识别准确率应≥99%，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18. 应支持不系安全带检测功能，捕获率应≥99%，识别准确率应≥99%，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19. 应支持对二轮车驾驶员、三轮车驾驶员是否佩戴眼镜、性别、年龄段识别，</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20. 应支持未悬挂机动车号牌车辆捕获，捕获率应≥99%，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21. 需支持车型识别，能识别的车型种类≥45种；</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22. 支持识别车辆车标，种类≥430种，识别准确率≥99%；</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23. 支持车辆子品牌识别并显示相应的年款，车头≥7200种，车尾≥3900种；（需提供相关权威机构检测出报告为证）</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24. 应支持ARP防攻击、IP地址过滤、HTTP鉴权、非法登录锁定等功能；</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25. 设备护罩应支持侧开方式，以方便维护；</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26. 工作温度-50℃～+90℃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LED频闪白光爆闪一体灯</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 LED色温≤4000K</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 ≥24颗LED灯珠</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3. LED频闪爆闪白光爆闪</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爆闪补光距离18-32米</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可在-30℃～60℃温度环境正常工作</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防护等级≥IP67；</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连续两次补光之间最小时间间隔≤50ms，</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8. 具有GA/T1202-2014《交通技术监控成像补光装置通用技术条件》相关交通安全产品质量监督检测中心的系统检测报告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1.1" C接口定焦50mm镜头 固定F1.4</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成像器尺寸：1.1＂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分辨率：12MP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焦距：50mm±5%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通光孔径：F1.4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接口：C接口</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定位抓拍雷达(一车道)</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 车辆定位精度±50cm；</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 测速范围达到2-350km/h；</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3. 捕获率≥99.4%；</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具有WIFI调试功能；（需提供相关权威机构检测出报告为证）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供电方式DC 12V,</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测速精度误差-0.1km/h-0km/h之内</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外壳防护等级≥IP66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shd w:val="clear" w:color="auto" w:fill="auto"/>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48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5</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通用型抱杆支架,加长型</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通用型抱杆支架,加长型</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128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6</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三维可调安装支架</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三维可调安装支架</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128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DC12V/24W电源适配器(裸线,国内版)</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DC12V/24W电源适配器</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w:t>
            </w:r>
          </w:p>
        </w:tc>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路口终端</w:t>
            </w: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24路雷视路网终端</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 面板应具有显示主机工作状态的灯光指示，可显示电口、光口、硬盘、报警、加热等工作状态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 xml:space="preserve">2. 应支持接入≥24路分辨率不低于4096×2160的网络摄像机 </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 xml:space="preserve">3. 支持4个硬盘槽位，支持硬盘S.M.A.R.T检测、坏道检测功能，支持RAID0、RAID1、RAID5等磁盘阵列，支持手动录像、定时录像、计划录像，支持图像质量检测功能 </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支持区间测速功能、断网续传功能、关联录像功能</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可实时显示车流量、平均车速、平均车道时间占有率、平均车头时距等数据</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应支持存储采集到的车流量信息，可对全部卡口或单个卡口按天或按小时实时统计过车流量，并能够按照时间、通道、车道等条件查询</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应支持柱状图、折线图、表格形式展示，可将数据上传至平台</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8. 应支持图片OSD叠加及视频OSD叠加功能，支持图片合成功能，可将卡口电警抓拍的图片进行合成，支持将相机上传的2、3、4、6张图片合成1张，并可配置合成图顺序</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9. 应支持图片检索功能，可按卡口、时间、车牌、车速、车身颜色、车辆类型、行驶方向、无牌车等进行检索查询</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10. 应支持网络延时诊断功能，可进行网络延时及丢包测试，并可设置测试地址和测试包大小；具有网络抓包功能，并可根据IP地址和端口对抓到的报文进行过滤，支持网络流量动态显示及查询功能</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11. 应支持双网卡，可配置双IP进行双网隔离，支持IPv6组网配置</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12. 应支持UNP通信，可通过虚拟IP地址登录并进行操作</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13. 应支持NTP校时功能，可自定义NTP服务器IP地址、端口及更新时间间隔等信息</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14. 应支持IP地址过滤、Telnet开关自定义、802.1x认证、ARP防攻击、视频水印等安全防护功能，具备强密码管理功能</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15. 工作温度-40℃～70℃，最大功耗低于80W，支持DC12V电源输出功能</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视频监控系列硬盘(4T)</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专业交通3.5英寸4T硬盘</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shd w:val="clear" w:color="auto" w:fill="auto"/>
                <w:lang w:val="en-US"/>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36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10</w:t>
            </w:r>
          </w:p>
        </w:tc>
        <w:tc>
          <w:tcPr>
            <w:tcW w:w="6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流量检测一体机</w:t>
            </w: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毫米波雷视流量事件一体机</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 相机靶面尺寸≥1/1.8英寸，雷达工作频段为79GHz~81GHz；</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 视频最大分辨率、抓拍图像最大分辨率≥2688*1520；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 彩色照度≤0.001lx（AGC ON、RJ45输出），黑白照度≤0.0001lx（AGC ON、RJ45输出）；</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 同时检测车道≥12个车道，检测跟踪目标≥256个，探测距离≥250m，需支持对车辆进行跟踪，可设置车道组≥4个；</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5、 测量的目标距离与实际距离误差≤±0.1m，目标速度测量值与实际速度值误差≤±0.1m/s，测量的目标和雷达的相对角度与实际角度误差≤±0.1°；</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6、 设备应支持检测周期内的平均速度、平均车长、平均车头距离、大型车流量、中型车流量、小型车流量和总流量等流量信息；</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 检测区域内车流总量的统计准确率≥99%，车辆检测率≥99%，车牌识别准确率≥99%；</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 应内置暖光补光灯≥4颗，可手动或自动开启/关闭补光灯；（需提供相关权威机构检测出报告为证）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 应可识别蓝牌、黄牌、黑牌、白牌、绿牌、黄绿双色、渐变绿等车牌；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10、 应可对机动车、非机动车、行人进行检测，并可在抓拍照片上叠加对应的类型；</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11、 应支持对实线变道、超车、压线、低速、排队溢出、拥堵、逆行、停车等事件进行检测；</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12、 应内置加速度计、温度传感器、水平仪、指示灯、RTC模块；（需提供相关权威机构检测出报告为证）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13、 应支持本地存储功能，可通过IE浏览器设置实时预览图像、抓拍图片的存储策略，支持满覆盖和满即停的存储策略；</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14、 工作温度应在-40℃~85℃</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16、 外壳防护等级≥IP67；</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11</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通用型抱杆支架,加长型</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通用型抱杆支架,加长型</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12</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三维可调安装支架</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三维可调安装支架</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13</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30度亮度可调暖光常亮灯</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 高品质LED灯珠，数量≥20颗</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 色温≤3500K</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 同时光敏触发和按键触发</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 同时支持485亮度调节和按键亮度调节</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5. 防护等级达到IP67</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6. 支持AC220V±20%宽压变化</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 可在-40℃～60℃温度环境正常工作</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 具有GA/T1202-2014《交通技术监控成像补光装置通用技术条件》相关交通安全产品质量监督检测中心的系统检测报告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14</w:t>
            </w:r>
          </w:p>
        </w:tc>
        <w:tc>
          <w:tcPr>
            <w:tcW w:w="6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DC24V/2.7A桌面式两端带线电源适配器</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DC24V/2.7A桌面式两端带线电源适配器</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400万网络球机</w:t>
            </w: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400万星光级网络球机</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 成像尺寸≥1/2.8”，像素≥400万像素；</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 应采用电动变焦，变倍≥25倍光学变倍；</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 预置位≥1024个；</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 水平键控速度：0.1°~240°/s；水平预置点速度：300°/s</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5、 垂直键控速度：0.1°~160°/s；垂直预置点速度：240°/s</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6、 应支持人脸检测：最多可同时检测≥40个人脸目标，支持人脸、人体抓拍，支持人脸属性提取；人脸属性：性别、年龄段、戴眼镜、戴口罩；</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 应深度周界：越界检测、区域入侵、进入区域、离开区域，精准检测机非人目标；</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 应人数统计：人流量统计：支持总人数、进入人数、离开人数统计，支持滞留人数三级报警，支持人数统计清零；人员密度检测：支持人员密度三级报警；</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 应智能自动跟踪：可针对机非人分类跟踪；</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10、应内置1个Micro SD插槽，最大支持≥256GB；</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11、应兼容接入ONVIF、GB/T 28181、IMOS、GA/T 1400、API等协议</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12、暖光补光≥30米，红外补光≥150；</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13、防护等级≥IP66</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14、防暴等级≥IK10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16</w:t>
            </w:r>
          </w:p>
        </w:tc>
        <w:tc>
          <w:tcPr>
            <w:tcW w:w="614"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智能交通违停球机</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 成像尺寸≥1/1.8”，像素≥400万像素；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3.视频最大分辨率≥2560*1440；最大帧率≥60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4.需支持隐私遮盖、区域增强等功能；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5.应可配置多种字符叠加、图片合成模式，并支持违法图片叠加防伪水印等功能；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6.需支持透雾功能，透雾等级可设；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7.存储策略支持视频、图片满即停及满覆盖，视频、图片容量可自定义配置；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8.需支持违法停车、压线、违法变道（越线）、逆行、违法倒车等行为检测，支持同时记录多种违法行为；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9.违法停车有效检测距离≥220米；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10.车牌识别准确率，白天、夜间应≥99%；</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11.支持车牌颜色识别功能检测，号牌颜色识别率≥99%。</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17</w:t>
            </w:r>
          </w:p>
        </w:tc>
        <w:tc>
          <w:tcPr>
            <w:tcW w:w="614"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8口交换机</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8口千兆交换机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18</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金属主杆</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标识牌4mφ114mm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19</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方形标识牌</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lang w:val="en-US" w:eastAsia="zh-CN" w:bidi="ar"/>
              </w:rPr>
              <w:t>区间预告提示、区间起点、区间终点、道路限速、解除限速、区间里程</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lang w:val="en-US" w:eastAsia="zh-CN"/>
              </w:rPr>
            </w:pPr>
            <w:r>
              <w:rPr>
                <w:rFonts w:hint="eastAsia" w:ascii="宋体" w:hAnsi="宋体" w:eastAsia="宋体" w:cs="宋体"/>
                <w:i w:val="0"/>
                <w:iCs w:val="0"/>
                <w:color w:val="000000"/>
                <w:sz w:val="22"/>
                <w:szCs w:val="22"/>
                <w:highlight w:val="none"/>
                <w:u w:val="none"/>
                <w:shd w:val="clear" w:color="auto" w:fill="auto"/>
                <w:lang w:val="en-US" w:eastAsia="zh-CN"/>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4"/>
                <w:szCs w:val="24"/>
                <w:highlight w:val="none"/>
                <w:u w:val="none"/>
                <w:shd w:val="clear" w:color="auto" w:fill="auto"/>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20</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电源线</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RVV2*1.5</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21</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网线</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六类网线</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22</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控制线</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RVVP3*1.5</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1500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23</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警示牌底座</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0.5m*0.5m*1m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24</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空开</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2P32A</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25</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插线板</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6孔插线板</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26</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电力接入铝芯架空线缆</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BLV2*16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卷/1000米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27</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光纤收发器</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对</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28</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光纤</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29</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安装辅材</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水晶头、成品跳线、光纤模块等</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批</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FF0000"/>
                <w:kern w:val="0"/>
                <w:sz w:val="22"/>
                <w:szCs w:val="22"/>
                <w:highlight w:val="none"/>
                <w:u w:val="none"/>
                <w:shd w:val="clear" w:color="auto" w:fill="auto"/>
                <w:lang w:val="en-US" w:eastAsia="zh-CN" w:bidi="ar"/>
              </w:rPr>
              <w:t>利旧可更换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30</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智能终端</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31</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稳压电源</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2KVA，220V交流稳压电源</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32</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设备箱</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含三合一避雷器、温控模块等600mm*500mm*400mm（高宽深）</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33</w:t>
            </w:r>
          </w:p>
        </w:tc>
        <w:tc>
          <w:tcPr>
            <w:tcW w:w="61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电力、网络接入施工、电表及检测费</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shd w:val="clear" w:color="auto" w:fill="auto"/>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shd w:val="clear" w:color="auto" w:fill="auto"/>
                <w:lang w:val="en-US"/>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sz w:val="22"/>
                <w:szCs w:val="22"/>
                <w:highlight w:val="none"/>
                <w:u w:val="none"/>
                <w:shd w:val="clear" w:color="auto" w:fill="auto"/>
                <w:lang w:val="en-US" w:eastAsia="zh-CN"/>
              </w:rPr>
              <w:t>34</w:t>
            </w:r>
          </w:p>
        </w:tc>
        <w:tc>
          <w:tcPr>
            <w:tcW w:w="61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变压器</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sz w:val="22"/>
                <w:szCs w:val="22"/>
                <w:highlight w:val="none"/>
                <w:u w:val="none"/>
                <w:shd w:val="clear" w:color="auto" w:fill="auto"/>
                <w:lang w:val="en-US" w:eastAsia="zh-CN"/>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sz w:val="22"/>
                <w:szCs w:val="22"/>
                <w:highlight w:val="none"/>
                <w:u w:val="none"/>
                <w:shd w:val="clear" w:color="auto" w:fill="auto"/>
                <w:lang w:val="en-US" w:eastAsia="zh-CN"/>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lang w:val="en-US" w:eastAsia="zh-CN"/>
              </w:rPr>
              <w:t>确保正常供电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35</w:t>
            </w:r>
          </w:p>
        </w:tc>
        <w:tc>
          <w:tcPr>
            <w:tcW w:w="61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金属龙门架底座</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lang w:val="en-US" w:eastAsia="zh-CN"/>
              </w:rPr>
              <w:t>1.6m*1.6m*1.6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sz w:val="22"/>
                <w:szCs w:val="22"/>
                <w:highlight w:val="none"/>
                <w:u w:val="none"/>
                <w:shd w:val="clear" w:color="auto" w:fill="auto"/>
                <w:lang w:val="en-US" w:eastAsia="zh-CN"/>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36</w:t>
            </w:r>
          </w:p>
        </w:tc>
        <w:tc>
          <w:tcPr>
            <w:tcW w:w="61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金属龙门架</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lang w:val="en-US" w:eastAsia="zh-CN"/>
              </w:rPr>
              <w:t>高7.5m，杆径8.0m*245，底座600mm*600mm，螺丝间距450mm</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sz w:val="22"/>
                <w:szCs w:val="22"/>
                <w:highlight w:val="none"/>
                <w:u w:val="none"/>
                <w:shd w:val="clear" w:color="auto" w:fill="auto"/>
                <w:lang w:val="en-US" w:eastAsia="zh-CN"/>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sz w:val="22"/>
                <w:szCs w:val="22"/>
                <w:highlight w:val="none"/>
                <w:u w:val="none"/>
                <w:shd w:val="clear" w:color="auto" w:fill="auto"/>
                <w:lang w:val="en-US" w:eastAsia="zh-CN"/>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37</w:t>
            </w:r>
          </w:p>
        </w:tc>
        <w:tc>
          <w:tcPr>
            <w:tcW w:w="614"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三年运维</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38</w:t>
            </w:r>
          </w:p>
        </w:tc>
        <w:tc>
          <w:tcPr>
            <w:tcW w:w="614"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p>
          <w:p>
            <w:pPr>
              <w:jc w:val="center"/>
              <w:rPr>
                <w:rFonts w:hint="eastAsia" w:ascii="宋体" w:hAnsi="宋体" w:eastAsia="宋体" w:cs="宋体"/>
                <w:i w:val="0"/>
                <w:iCs w:val="0"/>
                <w:color w:val="000000"/>
                <w:sz w:val="22"/>
                <w:szCs w:val="22"/>
                <w:highlight w:val="none"/>
                <w:u w:val="none"/>
                <w:shd w:val="clear" w:color="auto" w:fill="auto"/>
                <w:lang w:eastAsia="zh-CN"/>
              </w:rPr>
            </w:pPr>
            <w:r>
              <w:rPr>
                <w:rFonts w:hint="eastAsia" w:ascii="宋体" w:hAnsi="宋体" w:eastAsia="宋体" w:cs="宋体"/>
                <w:i w:val="0"/>
                <w:iCs w:val="0"/>
                <w:color w:val="000000"/>
                <w:sz w:val="22"/>
                <w:szCs w:val="22"/>
                <w:highlight w:val="none"/>
                <w:u w:val="none"/>
                <w:shd w:val="clear" w:color="auto" w:fill="auto"/>
                <w:lang w:eastAsia="zh-CN"/>
              </w:rPr>
              <w:t>备用更换设备</w:t>
            </w: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深度智能环保卡口摄像单元</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 需支持1200万像素抓拍镜头，靶面尺寸≥1.1英寸，</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 需支持P-iris高清步进光圈镜头；</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3. 图像分辨率≥4096×2160，帧率1-50帧可调；</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前端抓拍设备需支持通过双网口把多个设备串联起来，接入服务器，服务器可登录串联的所有设备；（需提供相关权威机构检测出报告为证）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支持低延时功能，视频图像传输至客户端的延时时间≤90ms；</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需支持辅助对焦功能调试；</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需可支持对澳门单车牌识别检测并抓拍，可支持澳门双车牌（澳门车牌+广州车牌）识别检测并抓拍；（需提供相关权威机构检测出报告为证）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8. 为达到环保效果，需支持在夜间使用非气体爆闪灯补光的方式下，可认清监控画面中道路场景、标志、标线、车辆、号牌、驾驶员等特征信息及颜色、并抓拍相应的违章违法行为。（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9. 应具有本地存储功能，应支持eMMC存储，可扩展micro SD/TF卡，需支持内存容量≥256G。</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10. 设备支持视频、地感线圈、雷达触发方式中的一种或多种，且可通过WEB界面配置，同时支持视频与雷达、线圈检测自动切换功能。在以上触发方式下，白天、晚上捕获率均≥99%，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11. 在实时捕获通行车辆图像的同时，应具备车辆号牌自动识别功能（号牌字符包含A-H J-N P-Z、0－9)，白天和晚上指标≥99%。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12. 需识别车牌颜色≥7种，应包括但不仅限于蓝、黄、黑、白、绿、黄绿双色、渐变绿色等颜色；</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13. 需识别车身颜色≥14种，应包括但不仅限于黑、 白、 灰、红、绿、蓝、黄、粉、紫、棕、橙、青、金、银灰等颜色。</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14. 应支持对大中型货车、小货车、大中型客车、小轿车、校车、危险品车、其他车型等车型进行不同超速设置，根据不同的超速配置对不同车型进行超速抓拍，并可通过客户端软件修改判罚证据链数量、名称、优先级及违法代码等信息。</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15. 应支持机动车不系安全带、开车打电话、逆行、压线、占用非机动车道、占用紧急车道、占用公交车道等多种违法，捕获率≥99%，识别准确率≥99%；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16. 应支持黄标车标志检测、异常车牌、夜间未开车灯、行人检测、非机动车驾驶员属性、车窗内挂件识别、年检贴检测、危险品车检测、车身副颜色等多种检测识别功能.</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17. 应支持开车打电话检测功能，捕获率应≥99%，识别准确率应≥99%，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18. 应支持不系安全带检测功能，捕获率应≥99%，识别准确率应≥99%，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19. 应支持对二轮车驾驶员、三轮车驾驶员是否佩戴眼镜、性别、年龄段识别，</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20. 应支持未悬挂机动车号牌车辆捕获，捕获率应≥99%，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21. 需支持车型识别，能识别的车型种类≥45种；</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22. 支持识别车辆车标，种类≥430种，识别准确率≥99%；</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23. 支持车辆子品牌识别并显示相应的年款，车头≥7200种，车尾≥3900种；（需提供相关权威机构检测出报告为证）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24. 应支持ARP防攻击、IP地址过滤、HTTP鉴权、非法登录锁定等功能；</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25. 设备护罩应支持侧开方式，以方便维护；</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26. 工作温度-50℃～+90℃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39</w:t>
            </w:r>
          </w:p>
        </w:tc>
        <w:tc>
          <w:tcPr>
            <w:tcW w:w="614"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LED频闪白光爆闪一体灯</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 LED色温≤4000K</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 ≥24颗LED灯珠</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3. LED频闪爆闪白光爆闪</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爆闪补光距离18-32米</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可在-30℃～60℃温度环境正常工作</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防护等级≥IP67；</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连续两次补光之间最小时间间隔≤50ms，</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8. 具有GA/T1202-2014《交通技术监控成像补光装置通用技术条件》相关交通安全产品质量监督检测中心的系统检测报告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40</w:t>
            </w: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1.1" C接口定焦50mm镜头 固定F1.4</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成像器尺寸：1.1＂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分辨率：12MP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焦距：50mm±5%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xml:space="preserve">• 通光孔径：F1.4 </w:t>
            </w:r>
            <w:r>
              <w:rPr>
                <w:rFonts w:hint="eastAsia" w:ascii="宋体" w:hAnsi="宋体" w:eastAsia="宋体" w:cs="宋体"/>
                <w:i w:val="0"/>
                <w:iCs w:val="0"/>
                <w:color w:val="000000"/>
                <w:kern w:val="0"/>
                <w:sz w:val="22"/>
                <w:szCs w:val="22"/>
                <w:highlight w:val="none"/>
                <w:u w:val="none"/>
                <w:shd w:val="clear" w:color="auto" w:fill="auto"/>
                <w:lang w:val="en-US" w:eastAsia="zh-CN" w:bidi="ar"/>
              </w:rPr>
              <w:br w:type="textWrapping"/>
            </w:r>
            <w:r>
              <w:rPr>
                <w:rFonts w:hint="eastAsia" w:ascii="宋体" w:hAnsi="宋体" w:eastAsia="宋体" w:cs="宋体"/>
                <w:i w:val="0"/>
                <w:iCs w:val="0"/>
                <w:color w:val="000000"/>
                <w:kern w:val="0"/>
                <w:sz w:val="22"/>
                <w:szCs w:val="22"/>
                <w:highlight w:val="none"/>
                <w:u w:val="none"/>
                <w:shd w:val="clear" w:color="auto" w:fill="auto"/>
                <w:lang w:val="en-US" w:eastAsia="zh-CN" w:bidi="ar"/>
              </w:rPr>
              <w:t>• 接口：C接口</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40</w:t>
            </w: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定位抓拍雷达(一车道)</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1. 车辆定位精度±50cm；</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2. 测速范围达到2-350km/h；</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3. 捕获率≥99.4%；</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4. 具有WIFI调试功能；（需提供相关权威机构检测出报告为证）</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5. 供电方式DC 12V,</w:t>
            </w:r>
          </w:p>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6. 测速精度误差-0.1km/h-0km/h之内</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sz w:val="22"/>
                <w:szCs w:val="22"/>
                <w:highlight w:val="none"/>
                <w:u w:val="none"/>
                <w:shd w:val="clear" w:color="auto" w:fill="auto"/>
              </w:rPr>
              <w:t>7. 外壳防护等级≥IP66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41</w:t>
            </w:r>
          </w:p>
        </w:tc>
        <w:tc>
          <w:tcPr>
            <w:tcW w:w="614" w:type="dxa"/>
            <w:vMerge w:val="continue"/>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color w:val="000000"/>
                <w:kern w:val="0"/>
                <w:sz w:val="22"/>
                <w:szCs w:val="22"/>
                <w:highlight w:val="none"/>
                <w:u w:val="none"/>
                <w:lang w:val="en-US" w:eastAsia="zh-CN" w:bidi="ar"/>
              </w:rPr>
              <w:t>深度智能环保电警抓拍机</w:t>
            </w:r>
          </w:p>
        </w:tc>
        <w:tc>
          <w:tcPr>
            <w:tcW w:w="241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lang w:val="en-US" w:eastAsia="zh-CN" w:bidi="ar"/>
              </w:rPr>
              <w:t>1. 需支持1200万像素抓拍镜头，靶面尺寸≥1.1英寸</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 支持P-iris高清步进光圈镜头</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 帧率1-50帧可调</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 前端抓拍设备支持通过双网口把多个设备串联起来，接入服务器，服务器可登录串联的所有设备</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 支持低延时功能，视频图像传输至客户端的延时时间≤90ms</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6. 支持辅助对焦功能调试</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7. 可支持对澳门单车牌识别检测并抓拍，可支持澳门双车牌（澳门车牌+广州车牌）识别检测并抓拍</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8. 可在夜间使用非气体爆闪灯补光的方式下，可认清监控画面中道路场景、标志、标线、车辆、号牌、驾驶员等特征信息及颜色、并抓拍相应的违章违法行为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9. 具有本地存储功能，支持eMMC存储，可扩展micro SD/TF卡，最大支持256G。</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10. 设备支持视频、地感线圈、雷达触发方式中的一种或多种，且可通过WEB界面配置，同时支持视频与雷达、线圈检测自动切换功能。在以上触发方式下，白天、晚上捕获率均≥99%</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11. 在实时捕获通行车辆图像的同时，应具备车辆号牌自动识别功能（号牌字符包含A-H J-N P-Z、0－9)，白天和晚上指标≥99%</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12. 可识别 7 种车牌颜色，包括蓝、黄、黑、白、绿、黄绿双色、渐变绿色，提供相关权威机构检测报告为证</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13. 可识别 14 种车身颜色，包括黑、 白、 灰、红、绿、蓝、黄、粉、紫、棕、橙、青、金、银灰</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14. 支持对大中型货车、小货车、大中型客车、小轿车、校车、危险品车、其他车型7种车型进行不同超速设置，根据不同的超速配置对不同车型进行超速抓拍，并可通过客户端软件修改判罚证据链数量、名称、优先级及违法代码等信息</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15. 支持机动车不系安全带、开车打电话、逆行、压线、占用非机动车道、占用紧急车道、占用公交车道等多种违法，捕获率≥99%，识别准确率≥99%</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16. 支持黄标车标志检测、异常车牌、夜间未开车灯、行人检测、非机动车驾驶员属性、车窗内挂件识别、年检贴检测、危险品车检测、车身副颜色等多种检测识别功能</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17. 支持开车打电话检测功能，捕获率应≥99%，识别准确率应≥99%</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18. 支持不系安全带检测功能，捕获率应≥99%，识别准确率应≥99%</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19. 支持对二轮车驾驶员、三轮车驾驶员是否佩戴眼镜、性别、年龄段识别</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20. 支持未悬挂机动车号牌车辆捕获，捕获率应≥99%</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21. 支持车型识别，种类≥45种，提供相关权威机构检测报告为证</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22. 支持ARP防攻击、IP地址过滤、HTTP鉴权、非法登录锁定等功能，提供相关权威机构检测报告为证</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23. 支持车辆子品牌识别并显示相应的年款，车头≥7200种，车尾≥3900种，提供相关权威机构检测报告为证</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42</w:t>
            </w:r>
          </w:p>
        </w:tc>
        <w:tc>
          <w:tcPr>
            <w:tcW w:w="614" w:type="dxa"/>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color w:val="000000"/>
                <w:kern w:val="0"/>
                <w:sz w:val="22"/>
                <w:szCs w:val="22"/>
                <w:highlight w:val="none"/>
                <w:u w:val="none"/>
                <w:lang w:val="en-US" w:eastAsia="zh-CN" w:bidi="ar"/>
              </w:rPr>
              <w:t>1.1" C接口定焦12mm镜头 固定F1.4</w:t>
            </w:r>
          </w:p>
        </w:tc>
        <w:tc>
          <w:tcPr>
            <w:tcW w:w="2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color w:val="000000"/>
                <w:kern w:val="0"/>
                <w:sz w:val="22"/>
                <w:szCs w:val="22"/>
                <w:highlight w:val="none"/>
                <w:u w:val="none"/>
                <w:lang w:val="en-US" w:eastAsia="zh-CN" w:bidi="ar"/>
              </w:rPr>
              <w:t>1. 1.1" C接口定焦12mm镜头 固定F1.4</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 焦距：12mm，固定焦距</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 接口：C接口</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 视场角：74°*62.8°*45.1°</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 尺寸：Φ50mmx78~80.5mm</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6. 工作温度：-30℃~+70℃</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43</w:t>
            </w:r>
          </w:p>
        </w:tc>
        <w:tc>
          <w:tcPr>
            <w:tcW w:w="614"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shd w:val="clear" w:color="auto" w:fill="auto"/>
                <w:lang w:eastAsia="zh-CN"/>
              </w:rPr>
            </w:pPr>
          </w:p>
        </w:tc>
        <w:tc>
          <w:tcPr>
            <w:tcW w:w="3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亮度可调暖光常亮灯</w:t>
            </w:r>
          </w:p>
        </w:tc>
        <w:tc>
          <w:tcPr>
            <w:tcW w:w="241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 高品质LED灯珠，数量≥20颗</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 色温≤3500K</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 同时光敏触发和按键触发</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 同时支持485亮度调节和按键亮度调节</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 防护等级达到IP67</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6. 支持AC220V±20%宽压变化</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7. 可在-40℃～60℃温度环境正常工作</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shd w:val="clear" w:color="auto" w:fill="auto"/>
                <w:lang w:val="en-US" w:eastAsia="zh-CN" w:bidi="ar"/>
              </w:rPr>
            </w:pPr>
            <w:r>
              <w:rPr>
                <w:rFonts w:hint="eastAsia" w:ascii="宋体" w:hAnsi="宋体" w:eastAsia="宋体" w:cs="宋体"/>
                <w:b/>
                <w:bCs/>
                <w:i w:val="0"/>
                <w:iCs w:val="0"/>
                <w:color w:val="000000"/>
                <w:kern w:val="0"/>
                <w:sz w:val="22"/>
                <w:szCs w:val="22"/>
                <w:highlight w:val="none"/>
                <w:u w:val="none"/>
                <w:shd w:val="clear" w:color="auto" w:fill="auto"/>
                <w:lang w:val="en-US" w:eastAsia="zh-CN" w:bidi="ar"/>
              </w:rPr>
              <w:t>36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2"/>
                <w:szCs w:val="22"/>
                <w:highlight w:val="none"/>
                <w:u w:val="none"/>
                <w:shd w:val="clear" w:color="auto" w:fill="auto"/>
              </w:rPr>
            </w:pPr>
          </w:p>
        </w:tc>
      </w:tr>
    </w:tbl>
    <w:p>
      <w:pPr>
        <w:pStyle w:val="5"/>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b/>
          <w:bCs/>
          <w:sz w:val="28"/>
          <w:szCs w:val="36"/>
          <w:highlight w:val="none"/>
          <w:lang w:val="en-US" w:eastAsia="zh-CN"/>
        </w:rPr>
      </w:pPr>
    </w:p>
    <w:p>
      <w:pPr>
        <w:pStyle w:val="5"/>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备注：高速及国道上施工需开具相关路政涉路施工许可，要求如下:</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(一)应具备甲级以上公路工程设计和特级、二级公路工程施工总承包企业施工资质单位出具的符合公路工程及有关技术标准、规范要求的设计和施工方案《含设计单位资质证书或者营业执照复印件):</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(二)应具备甲级以上公路工程咨询资质单位出具的保障公路、公路附属设施质量和安全的技术评价报告(合技术评价单位的工程咨询单位资信证书或者营业执照复印件):</w:t>
      </w:r>
    </w:p>
    <w:p>
      <w:pPr>
        <w:keepNext w:val="0"/>
        <w:keepLines w:val="0"/>
        <w:pageBreakBefore w:val="0"/>
        <w:kinsoku/>
        <w:wordWrap/>
        <w:overflowPunct/>
        <w:topLinePunct w:val="0"/>
        <w:autoSpaceDE/>
        <w:autoSpaceDN/>
        <w:bidi w:val="0"/>
        <w:adjustRightInd/>
        <w:snapToGrid/>
        <w:spacing w:line="360" w:lineRule="auto"/>
        <w:ind w:right="0" w:rightChars="0" w:firstLine="56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供应商要按照路政涉路施工许可办理要求，协调符合资格的单位出具相应材料，积极配合甲方办理路政涉路施工许可（期间产生费用由供应商承担，具体以甲乙双方签订的合同为准）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1">
    <w:nsid w:val="36DC0039"/>
    <w:multiLevelType w:val="singleLevel"/>
    <w:tmpl w:val="36DC003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Y2NkMjRkYTdhYjc3NDlkNzQxMWYzMGU0OGNhZmEifQ=="/>
  </w:docVars>
  <w:rsids>
    <w:rsidRoot w:val="671E6AB9"/>
    <w:rsid w:val="05364A65"/>
    <w:rsid w:val="12752BD6"/>
    <w:rsid w:val="15DF0A1D"/>
    <w:rsid w:val="18C96881"/>
    <w:rsid w:val="35AA6DBD"/>
    <w:rsid w:val="3FA3275A"/>
    <w:rsid w:val="41F145CF"/>
    <w:rsid w:val="49666EDD"/>
    <w:rsid w:val="4AB663B6"/>
    <w:rsid w:val="4E4234CB"/>
    <w:rsid w:val="65035D4F"/>
    <w:rsid w:val="671E6AB9"/>
    <w:rsid w:val="6A9E42D4"/>
    <w:rsid w:val="6AD701DE"/>
    <w:rsid w:val="76A44853"/>
    <w:rsid w:val="77C96E79"/>
    <w:rsid w:val="7B0C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39"/>
  </w:style>
  <w:style w:type="paragraph" w:customStyle="1" w:styleId="8">
    <w:name w:val="正文（缩进）"/>
    <w:basedOn w:val="1"/>
    <w:qFormat/>
    <w:uiPriority w:val="0"/>
    <w:pPr>
      <w:ind w:firstLine="200" w:firstLineChars="200"/>
    </w:pPr>
    <w:rPr>
      <w:rFonts w:ascii="Calibri" w:hAnsi="Calibri"/>
      <w:spacing w:val="10"/>
    </w:rPr>
  </w:style>
  <w:style w:type="paragraph" w:customStyle="1" w:styleId="9">
    <w:name w:val="文章标题"/>
    <w:next w:val="1"/>
    <w:qFormat/>
    <w:uiPriority w:val="0"/>
    <w:pPr>
      <w:spacing w:before="800" w:beforeLines="800" w:after="100" w:afterLines="100"/>
      <w:jc w:val="center"/>
    </w:pPr>
    <w:rPr>
      <w:rFonts w:ascii="Arial" w:hAnsi="Arial" w:eastAsia="黑体" w:cs="宋体"/>
      <w:bCs/>
      <w:kern w:val="2"/>
      <w:sz w:val="5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2023-08-28T02:49:00Z</dcterms:created>
  <dc:creator>WPS_539769116</dc:creator>
  <cp:lastModifiedBy>Administrator</cp:lastModifiedBy>
  <dcterms:modified xsi:type="dcterms:W3CDTF">2023-09-26T03:43:23Z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1B11168A6D104640BD55D5D927275128_11</vt:lpwstr>
  </property>
</Properties>
</file>