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仿宋_GB2312"/>
          <w:sz w:val="32"/>
          <w:szCs w:val="32"/>
        </w:rPr>
      </w:pPr>
      <w:r>
        <w:rPr>
          <w:rFonts w:hint="eastAsia" w:ascii="黑体" w:hAnsi="黑体" w:eastAsia="黑体" w:cs="仿宋_GB2312"/>
          <w:sz w:val="32"/>
          <w:szCs w:val="32"/>
        </w:rPr>
        <w:t>附件3</w:t>
      </w:r>
    </w:p>
    <w:p>
      <w:pPr>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（适用于不进行资格预审的公开招标项目）</w:t>
      </w:r>
    </w:p>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奎屯市政府采购项目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lang w:eastAsia="zh-CN"/>
        </w:rPr>
        <w:t>服务</w:t>
      </w:r>
      <w:r>
        <w:rPr>
          <w:rFonts w:hint="eastAsia" w:ascii="仿宋_GB2312" w:hAnsi="仿宋_GB2312" w:eastAsia="仿宋_GB2312" w:cs="仿宋_GB2312"/>
          <w:b/>
          <w:sz w:val="48"/>
          <w:szCs w:val="48"/>
        </w:rPr>
        <w:t>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846" w:firstLineChars="235"/>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sz w:val="36"/>
          <w:szCs w:val="36"/>
          <w:lang w:eastAsia="zh-CN"/>
        </w:rPr>
        <w:t>奎屯市公安局食堂食材采购五标段</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采购单位：奎屯市</w:t>
      </w:r>
      <w:r>
        <w:rPr>
          <w:rFonts w:hint="eastAsia" w:ascii="仿宋_GB2312" w:hAnsi="仿宋_GB2312" w:eastAsia="仿宋_GB2312" w:cs="仿宋_GB2312"/>
          <w:b/>
          <w:sz w:val="36"/>
          <w:szCs w:val="36"/>
          <w:lang w:eastAsia="zh-CN"/>
        </w:rPr>
        <w:t>公安局</w:t>
      </w:r>
    </w:p>
    <w:p>
      <w:pPr>
        <w:spacing w:line="360" w:lineRule="auto"/>
        <w:ind w:firstLine="846" w:firstLineChars="235"/>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rPr>
        <w:t>项目编号：KTJY-GK-2023-00</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5</w:t>
      </w:r>
    </w:p>
    <w:p>
      <w:pPr>
        <w:spacing w:line="360" w:lineRule="auto"/>
        <w:ind w:firstLine="846" w:firstLineChars="235"/>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编制单位：奎屯市政务服务中心</w:t>
      </w:r>
    </w:p>
    <w:p>
      <w:pPr>
        <w:jc w:val="center"/>
        <w:rPr>
          <w:rFonts w:ascii="仿宋_GB2312" w:hAnsi="仿宋_GB2312" w:eastAsia="仿宋_GB2312" w:cs="仿宋_GB2312"/>
          <w:b/>
          <w:bCs/>
          <w:sz w:val="44"/>
          <w:szCs w:val="44"/>
        </w:rPr>
      </w:pPr>
    </w:p>
    <w:p>
      <w:pPr>
        <w:pStyle w:val="20"/>
        <w:sectPr>
          <w:pgSz w:w="11906" w:h="16838"/>
          <w:pgMar w:top="1440" w:right="2125" w:bottom="1440" w:left="1803" w:header="851" w:footer="992" w:gutter="0"/>
          <w:pgNumType w:start="1"/>
          <w:cols w:space="720" w:num="1"/>
          <w:docGrid w:type="linesAndChars" w:linePitch="312" w:charSpace="0"/>
        </w:sect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1"/>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"_Toc9521" </w:instrText>
      </w:r>
      <w:r>
        <w:fldChar w:fldCharType="separate"/>
      </w:r>
      <w:r>
        <w:rPr>
          <w:rFonts w:hint="eastAsia" w:ascii="仿宋_GB2312" w:hAnsi="仿宋_GB2312" w:eastAsia="仿宋_GB2312" w:cs="仿宋_GB2312"/>
          <w:b/>
          <w:bCs/>
          <w:sz w:val="24"/>
        </w:rPr>
        <w:t>招标公告</w:t>
      </w:r>
      <w:r>
        <w:rPr>
          <w:b/>
          <w:bCs/>
          <w:sz w:val="24"/>
        </w:rPr>
        <w:tab/>
      </w:r>
      <w:r>
        <w:rPr>
          <w:b/>
          <w:bCs/>
          <w:sz w:val="24"/>
        </w:rPr>
        <w:fldChar w:fldCharType="begin"/>
      </w:r>
      <w:r>
        <w:rPr>
          <w:b/>
          <w:bCs/>
          <w:sz w:val="24"/>
        </w:rPr>
        <w:instrText xml:space="preserve"> PAGEREF _Toc9521 </w:instrText>
      </w:r>
      <w:r>
        <w:rPr>
          <w:b/>
          <w:bCs/>
          <w:sz w:val="24"/>
        </w:rPr>
        <w:fldChar w:fldCharType="separate"/>
      </w:r>
      <w:r>
        <w:rPr>
          <w:b/>
          <w:bCs/>
          <w:sz w:val="24"/>
        </w:rPr>
        <w:t>1</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"_Toc27235"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_Toc27235 </w:instrText>
      </w:r>
      <w:r>
        <w:rPr>
          <w:b/>
          <w:bCs/>
          <w:sz w:val="24"/>
        </w:rPr>
        <w:fldChar w:fldCharType="separate"/>
      </w:r>
      <w:r>
        <w:rPr>
          <w:b/>
          <w:bCs/>
          <w:sz w:val="24"/>
        </w:rPr>
        <w:t>3</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"_Toc13351"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_Toc13351 </w:instrText>
      </w:r>
      <w:r>
        <w:rPr>
          <w:b/>
          <w:bCs/>
          <w:sz w:val="24"/>
        </w:rPr>
        <w:fldChar w:fldCharType="separate"/>
      </w:r>
      <w:r>
        <w:rPr>
          <w:b/>
          <w:bCs/>
          <w:sz w:val="24"/>
        </w:rPr>
        <w:t>18</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"_Toc11327" </w:instrText>
      </w:r>
      <w:r>
        <w:fldChar w:fldCharType="separate"/>
      </w:r>
      <w:r>
        <w:rPr>
          <w:rFonts w:hint="eastAsia" w:ascii="仿宋_GB2312" w:hAnsi="仿宋_GB2312" w:eastAsia="仿宋_GB2312" w:cs="仿宋_GB2312"/>
          <w:b/>
          <w:bCs/>
          <w:sz w:val="24"/>
        </w:rPr>
        <w:t>第三章 服务需求</w:t>
      </w:r>
      <w:r>
        <w:rPr>
          <w:b/>
          <w:bCs/>
          <w:sz w:val="24"/>
        </w:rPr>
        <w:tab/>
      </w:r>
      <w:r>
        <w:rPr>
          <w:b/>
          <w:bCs/>
          <w:sz w:val="24"/>
        </w:rPr>
        <w:fldChar w:fldCharType="begin"/>
      </w:r>
      <w:r>
        <w:rPr>
          <w:b/>
          <w:bCs/>
          <w:sz w:val="24"/>
        </w:rPr>
        <w:instrText xml:space="preserve"> PAGEREF _Toc11327 </w:instrText>
      </w:r>
      <w:r>
        <w:rPr>
          <w:b/>
          <w:bCs/>
          <w:sz w:val="24"/>
        </w:rPr>
        <w:fldChar w:fldCharType="separate"/>
      </w:r>
      <w:r>
        <w:rPr>
          <w:b/>
          <w:bCs/>
          <w:sz w:val="24"/>
        </w:rPr>
        <w:t>39</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"_Toc8062"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_Toc8062 </w:instrText>
      </w:r>
      <w:r>
        <w:rPr>
          <w:b/>
          <w:bCs/>
          <w:sz w:val="24"/>
        </w:rPr>
        <w:fldChar w:fldCharType="separate"/>
      </w:r>
      <w:r>
        <w:rPr>
          <w:b/>
          <w:bCs/>
          <w:sz w:val="24"/>
        </w:rPr>
        <w:t>40</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"_Toc24606" </w:instrText>
      </w:r>
      <w:r>
        <w:fldChar w:fldCharType="separate"/>
      </w:r>
      <w:r>
        <w:rPr>
          <w:rFonts w:hint="eastAsia" w:ascii="仿宋_GB2312" w:hAnsi="仿宋_GB2312" w:eastAsia="仿宋_GB2312" w:cs="仿宋_GB2312"/>
          <w:b/>
          <w:bCs/>
          <w:sz w:val="24"/>
        </w:rPr>
        <w:t>第五章 政府采购合同条款及格式</w:t>
      </w:r>
      <w:r>
        <w:rPr>
          <w:b/>
          <w:bCs/>
          <w:sz w:val="24"/>
        </w:rPr>
        <w:tab/>
      </w:r>
      <w:r>
        <w:rPr>
          <w:b/>
          <w:bCs/>
          <w:sz w:val="24"/>
        </w:rPr>
        <w:fldChar w:fldCharType="begin"/>
      </w:r>
      <w:r>
        <w:rPr>
          <w:b/>
          <w:bCs/>
          <w:sz w:val="24"/>
        </w:rPr>
        <w:instrText xml:space="preserve"> PAGEREF _Toc24606 </w:instrText>
      </w:r>
      <w:r>
        <w:rPr>
          <w:b/>
          <w:bCs/>
          <w:sz w:val="24"/>
        </w:rPr>
        <w:fldChar w:fldCharType="separate"/>
      </w:r>
      <w:r>
        <w:rPr>
          <w:b/>
          <w:bCs/>
          <w:sz w:val="24"/>
        </w:rPr>
        <w:t>46</w:t>
      </w:r>
      <w:r>
        <w:rPr>
          <w:b/>
          <w:bCs/>
          <w:sz w:val="24"/>
        </w:rPr>
        <w:fldChar w:fldCharType="end"/>
      </w:r>
      <w:r>
        <w:rPr>
          <w:b/>
          <w:bCs/>
          <w:sz w:val="24"/>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3" w:bottom="1440" w:left="1803" w:header="851" w:footer="992" w:gutter="0"/>
          <w:pgNumType w:start="1"/>
          <w:cols w:space="720" w:num="1"/>
          <w:docGrid w:type="linesAndChars" w:linePitch="312" w:charSpace="0"/>
        </w:sectPr>
      </w:pPr>
      <w:bookmarkStart w:id="0" w:name="_Toc2983"/>
      <w:bookmarkStart w:id="1" w:name="_Toc1124_WPSOffice_Level1"/>
      <w:bookmarkStart w:id="2" w:name="_Toc9521"/>
    </w:p>
    <w:p>
      <w:pPr>
        <w:pStyle w:val="3"/>
        <w:rPr>
          <w:rFonts w:hint="eastAsia" w:ascii="仿宋_GB2312" w:hAnsi="仿宋_GB2312" w:eastAsia="仿宋_GB2312" w:cs="仿宋_GB2312"/>
        </w:rPr>
      </w:pPr>
      <w:r>
        <w:rPr>
          <w:rFonts w:hint="eastAsia" w:ascii="仿宋_GB2312" w:hAnsi="仿宋_GB2312" w:eastAsia="仿宋_GB2312" w:cs="仿宋_GB2312"/>
          <w:lang w:eastAsia="zh-CN"/>
        </w:rPr>
        <w:t>奎屯市公安局食堂食材采购五标段</w:t>
      </w:r>
      <w:r>
        <w:rPr>
          <w:rFonts w:hint="eastAsia" w:ascii="仿宋_GB2312" w:hAnsi="仿宋_GB2312" w:eastAsia="仿宋_GB2312" w:cs="仿宋_GB2312"/>
        </w:rPr>
        <w:t>的</w:t>
      </w:r>
    </w:p>
    <w:p>
      <w:pPr>
        <w:pStyle w:val="3"/>
        <w:rPr>
          <w:rFonts w:ascii="仿宋_GB2312" w:hAnsi="仿宋_GB2312" w:eastAsia="仿宋_GB2312" w:cs="仿宋_GB2312"/>
        </w:rPr>
      </w:pPr>
      <w:r>
        <w:rPr>
          <w:rFonts w:hint="eastAsia" w:ascii="仿宋_GB2312" w:hAnsi="仿宋_GB2312" w:eastAsia="仿宋_GB2312" w:cs="仿宋_GB2312"/>
        </w:rPr>
        <w:t>招标公告</w:t>
      </w:r>
      <w:bookmarkEnd w:id="0"/>
      <w:bookmarkEnd w:id="1"/>
      <w:bookmarkEnd w:id="2"/>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b w:val="0"/>
          <w:bCs/>
          <w:sz w:val="21"/>
          <w:szCs w:val="21"/>
          <w:lang w:val="en-US" w:eastAsia="zh-CN"/>
        </w:rPr>
        <w:t>奎屯市公安局食堂食材采购五标段招标</w:t>
      </w:r>
      <w:r>
        <w:rPr>
          <w:rFonts w:hint="eastAsia" w:ascii="仿宋_GB2312" w:hAnsi="仿宋_GB2312" w:eastAsia="仿宋_GB2312" w:cs="仿宋_GB2312"/>
          <w:szCs w:val="21"/>
        </w:rPr>
        <w:t>项目的潜在供应商应在</w:t>
      </w:r>
      <w:r>
        <w:rPr>
          <w:rFonts w:hint="eastAsia" w:ascii="仿宋_GB2312" w:hAnsi="仿宋_GB2312" w:eastAsia="仿宋_GB2312" w:cs="仿宋_GB2312"/>
          <w:szCs w:val="21"/>
          <w:u w:val="single"/>
        </w:rPr>
        <w:t>政采云平台（http://www.zcygov.cn/</w:t>
      </w:r>
      <w:r>
        <w:rPr>
          <w:rFonts w:hint="eastAsia" w:ascii="仿宋_GB2312" w:hAnsi="仿宋_GB2312" w:eastAsia="仿宋_GB2312" w:cs="仿宋_GB2312"/>
          <w:szCs w:val="21"/>
        </w:rPr>
        <w:t>获取招标文件，并于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FF0000"/>
          <w:szCs w:val="21"/>
          <w:u w:val="single"/>
        </w:rPr>
        <w:t xml:space="preserve"> 2023</w:t>
      </w:r>
      <w:r>
        <w:rPr>
          <w:rFonts w:hint="eastAsia" w:ascii="仿宋_GB2312" w:hAnsi="仿宋_GB2312" w:eastAsia="仿宋_GB2312" w:cs="仿宋_GB2312"/>
          <w:bCs/>
          <w:color w:val="FF0000"/>
          <w:szCs w:val="21"/>
          <w:u w:val="single"/>
        </w:rPr>
        <w:t>年</w:t>
      </w:r>
      <w:r>
        <w:rPr>
          <w:rFonts w:hint="eastAsia" w:ascii="仿宋_GB2312" w:hAnsi="仿宋_GB2312" w:eastAsia="仿宋_GB2312" w:cs="仿宋_GB2312"/>
          <w:bCs/>
          <w:color w:val="FF0000"/>
          <w:szCs w:val="21"/>
          <w:highlight w:val="none"/>
          <w:u w:val="single"/>
          <w:lang w:val="en-US" w:eastAsia="zh-CN"/>
        </w:rPr>
        <w:t>10</w:t>
      </w:r>
      <w:r>
        <w:rPr>
          <w:rFonts w:hint="eastAsia" w:ascii="仿宋_GB2312" w:hAnsi="仿宋_GB2312" w:eastAsia="仿宋_GB2312" w:cs="仿宋_GB2312"/>
          <w:bCs/>
          <w:color w:val="FF0000"/>
          <w:szCs w:val="21"/>
          <w:highlight w:val="none"/>
          <w:u w:val="single"/>
        </w:rPr>
        <w:t>月</w:t>
      </w:r>
      <w:r>
        <w:rPr>
          <w:rFonts w:hint="eastAsia" w:ascii="仿宋_GB2312" w:hAnsi="仿宋_GB2312" w:eastAsia="仿宋_GB2312" w:cs="仿宋_GB2312"/>
          <w:bCs/>
          <w:color w:val="FF0000"/>
          <w:szCs w:val="21"/>
          <w:highlight w:val="none"/>
          <w:u w:val="single"/>
          <w:lang w:val="en-US" w:eastAsia="zh-CN"/>
        </w:rPr>
        <w:t>18</w:t>
      </w:r>
      <w:r>
        <w:rPr>
          <w:rFonts w:hint="eastAsia" w:ascii="仿宋_GB2312" w:hAnsi="仿宋_GB2312" w:eastAsia="仿宋_GB2312" w:cs="仿宋_GB2312"/>
          <w:bCs/>
          <w:color w:val="FF0000"/>
          <w:szCs w:val="21"/>
          <w:highlight w:val="none"/>
          <w:u w:val="single"/>
        </w:rPr>
        <w:t>日</w:t>
      </w:r>
      <w:r>
        <w:rPr>
          <w:rFonts w:hint="eastAsia" w:ascii="仿宋_GB2312" w:hAnsi="仿宋_GB2312" w:eastAsia="仿宋_GB2312" w:cs="仿宋_GB2312"/>
          <w:bCs/>
          <w:szCs w:val="21"/>
          <w:u w:val="single"/>
        </w:rPr>
        <w:t xml:space="preserve"> 10点 30分（</w:t>
      </w:r>
      <w:r>
        <w:rPr>
          <w:rFonts w:hint="eastAsia" w:ascii="仿宋_GB2312" w:hAnsi="仿宋_GB2312" w:eastAsia="仿宋_GB2312" w:cs="仿宋_GB2312"/>
          <w:bCs/>
          <w:szCs w:val="21"/>
        </w:rPr>
        <w:t>北京时间）前递交投标文件</w:t>
      </w:r>
      <w:r>
        <w:rPr>
          <w:rFonts w:hint="eastAsia" w:ascii="仿宋_GB2312" w:hAnsi="仿宋_GB2312" w:eastAsia="仿宋_GB2312" w:cs="仿宋_GB2312"/>
          <w:szCs w:val="21"/>
        </w:rPr>
        <w:t>。</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ascii="仿宋" w:hAnsi="仿宋" w:cs="仿宋"/>
          <w:b/>
          <w:bCs/>
          <w:szCs w:val="21"/>
        </w:rPr>
      </w:pPr>
      <w:r>
        <w:rPr>
          <w:rFonts w:hint="eastAsia" w:ascii="仿宋" w:hAnsi="仿宋" w:cs="仿宋"/>
          <w:b/>
          <w:bCs/>
          <w:szCs w:val="21"/>
        </w:rPr>
        <w:t>一、项目基本情况</w:t>
      </w:r>
    </w:p>
    <w:p>
      <w:pPr>
        <w:adjustRightInd w:val="0"/>
        <w:snapToGrid w:val="0"/>
        <w:spacing w:line="360" w:lineRule="auto"/>
        <w:rPr>
          <w:rFonts w:hint="eastAsia" w:ascii="仿宋" w:hAnsi="仿宋" w:eastAsia="仿宋" w:cs="仿宋"/>
          <w:szCs w:val="21"/>
          <w:lang w:eastAsia="zh-CN"/>
        </w:rPr>
      </w:pPr>
      <w:r>
        <w:rPr>
          <w:rFonts w:hint="eastAsia" w:ascii="仿宋" w:hAnsi="仿宋" w:cs="仿宋"/>
          <w:szCs w:val="21"/>
        </w:rPr>
        <w:t>项目编号：KTJY-GK-2023-00</w:t>
      </w:r>
      <w:r>
        <w:rPr>
          <w:rFonts w:hint="eastAsia" w:ascii="仿宋" w:hAnsi="仿宋" w:cs="仿宋"/>
          <w:szCs w:val="21"/>
          <w:lang w:val="en-US" w:eastAsia="zh-CN"/>
        </w:rPr>
        <w:t>7</w:t>
      </w:r>
      <w:r>
        <w:rPr>
          <w:rFonts w:hint="eastAsia" w:ascii="仿宋" w:hAnsi="仿宋" w:cs="仿宋"/>
          <w:szCs w:val="21"/>
        </w:rPr>
        <w:t>-</w:t>
      </w:r>
      <w:r>
        <w:rPr>
          <w:rFonts w:hint="eastAsia" w:ascii="仿宋" w:hAnsi="仿宋" w:cs="仿宋"/>
          <w:szCs w:val="21"/>
          <w:lang w:val="en-US" w:eastAsia="zh-CN"/>
        </w:rPr>
        <w:t>5</w:t>
      </w:r>
    </w:p>
    <w:p>
      <w:pPr>
        <w:adjustRightInd w:val="0"/>
        <w:snapToGrid w:val="0"/>
        <w:spacing w:line="360" w:lineRule="auto"/>
        <w:rPr>
          <w:rFonts w:ascii="仿宋" w:hAnsi="仿宋" w:cs="仿宋"/>
          <w:szCs w:val="21"/>
        </w:rPr>
      </w:pPr>
      <w:r>
        <w:rPr>
          <w:rFonts w:hint="eastAsia" w:ascii="仿宋" w:hAnsi="仿宋" w:cs="仿宋"/>
          <w:szCs w:val="21"/>
        </w:rPr>
        <w:t>项目名称：</w:t>
      </w:r>
      <w:r>
        <w:rPr>
          <w:rFonts w:hint="eastAsia" w:ascii="仿宋" w:hAnsi="仿宋" w:cs="仿宋"/>
          <w:szCs w:val="21"/>
          <w:lang w:eastAsia="zh-CN"/>
        </w:rPr>
        <w:t>奎屯市公安局食堂食材采购五标段</w:t>
      </w:r>
    </w:p>
    <w:p>
      <w:pPr>
        <w:adjustRightInd w:val="0"/>
        <w:snapToGrid w:val="0"/>
        <w:spacing w:line="360" w:lineRule="auto"/>
        <w:rPr>
          <w:rFonts w:ascii="仿宋" w:hAnsi="仿宋" w:cs="仿宋"/>
          <w:szCs w:val="21"/>
        </w:rPr>
      </w:pPr>
      <w:r>
        <w:rPr>
          <w:rFonts w:hint="eastAsia" w:ascii="仿宋" w:hAnsi="仿宋" w:cs="仿宋"/>
          <w:szCs w:val="21"/>
        </w:rPr>
        <w:t>预算金额：</w:t>
      </w:r>
      <w:r>
        <w:rPr>
          <w:rFonts w:hint="eastAsia"/>
          <w:lang w:val="en-US" w:eastAsia="zh-CN"/>
        </w:rPr>
        <w:t>2724000</w:t>
      </w:r>
      <w:r>
        <w:rPr>
          <w:rFonts w:hint="eastAsia" w:ascii="仿宋" w:hAnsi="仿宋" w:cs="仿宋"/>
          <w:szCs w:val="21"/>
        </w:rPr>
        <w:t>元</w:t>
      </w:r>
    </w:p>
    <w:p>
      <w:pPr>
        <w:adjustRightInd w:val="0"/>
        <w:snapToGrid w:val="0"/>
        <w:spacing w:line="360" w:lineRule="auto"/>
        <w:rPr>
          <w:rFonts w:hint="default" w:ascii="仿宋" w:hAnsi="仿宋" w:eastAsia="仿宋" w:cs="仿宋"/>
          <w:szCs w:val="21"/>
          <w:lang w:val="en-US" w:eastAsia="zh-CN"/>
        </w:rPr>
      </w:pPr>
      <w:r>
        <w:rPr>
          <w:rFonts w:hint="eastAsia" w:ascii="仿宋" w:hAnsi="仿宋" w:cs="仿宋"/>
          <w:szCs w:val="21"/>
        </w:rPr>
        <w:t>最高限价（如有）：</w:t>
      </w:r>
      <w:r>
        <w:rPr>
          <w:rFonts w:hint="eastAsia"/>
          <w:lang w:val="en-US" w:eastAsia="zh-CN"/>
        </w:rPr>
        <w:t>2724000</w:t>
      </w:r>
      <w:r>
        <w:rPr>
          <w:rFonts w:hint="eastAsia" w:ascii="仿宋" w:hAnsi="仿宋" w:cs="仿宋"/>
          <w:szCs w:val="21"/>
          <w:lang w:val="en-US" w:eastAsia="zh-CN"/>
        </w:rPr>
        <w:t>万元</w:t>
      </w:r>
    </w:p>
    <w:p>
      <w:pPr>
        <w:adjustRightInd w:val="0"/>
        <w:snapToGrid w:val="0"/>
        <w:spacing w:line="360" w:lineRule="auto"/>
        <w:rPr>
          <w:rFonts w:hint="eastAsia" w:ascii="仿宋" w:hAnsi="仿宋" w:cs="仿宋"/>
          <w:szCs w:val="21"/>
        </w:rPr>
      </w:pPr>
      <w:r>
        <w:rPr>
          <w:rFonts w:hint="eastAsia" w:ascii="仿宋" w:hAnsi="仿宋" w:cs="仿宋"/>
          <w:szCs w:val="21"/>
        </w:rPr>
        <w:t>采购需求：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奎屯市公安局食堂食材采购五标段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adjustRightInd w:val="0"/>
        <w:snapToGrid w:val="0"/>
        <w:spacing w:line="360" w:lineRule="auto"/>
        <w:rPr>
          <w:rFonts w:hint="eastAsia" w:ascii="仿宋" w:hAnsi="仿宋" w:cs="仿宋"/>
          <w:szCs w:val="21"/>
        </w:rPr>
      </w:pPr>
    </w:p>
    <w:p>
      <w:pPr>
        <w:adjustRightInd w:val="0"/>
        <w:snapToGrid w:val="0"/>
        <w:spacing w:line="360" w:lineRule="auto"/>
        <w:rPr>
          <w:rFonts w:ascii="仿宋" w:hAnsi="仿宋" w:cs="仿宋"/>
          <w:szCs w:val="21"/>
        </w:rPr>
      </w:pPr>
      <w:r>
        <w:rPr>
          <w:rFonts w:hint="eastAsia" w:ascii="仿宋" w:hAnsi="仿宋" w:cs="仿宋"/>
          <w:szCs w:val="21"/>
        </w:rPr>
        <w:t>（详见招标文件）</w:t>
      </w:r>
    </w:p>
    <w:p>
      <w:pPr>
        <w:adjustRightInd w:val="0"/>
        <w:snapToGrid w:val="0"/>
        <w:spacing w:line="360" w:lineRule="auto"/>
        <w:rPr>
          <w:rFonts w:ascii="仿宋" w:hAnsi="仿宋" w:cs="仿宋"/>
          <w:szCs w:val="21"/>
        </w:rPr>
      </w:pPr>
      <w:r>
        <w:rPr>
          <w:rFonts w:hint="eastAsia" w:ascii="仿宋" w:hAnsi="仿宋" w:cs="仿宋"/>
          <w:szCs w:val="21"/>
        </w:rPr>
        <w:t>合同履行期限：</w:t>
      </w:r>
      <w:r>
        <w:rPr>
          <w:rFonts w:hint="default"/>
          <w:lang w:val="en-US" w:eastAsia="zh-CN"/>
        </w:rPr>
        <w:t>自中标签订合同之日起</w:t>
      </w:r>
      <w:r>
        <w:rPr>
          <w:rFonts w:hint="eastAsia"/>
          <w:lang w:val="en-US" w:eastAsia="zh-CN"/>
        </w:rPr>
        <w:t>一年</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不</w:t>
      </w:r>
      <w:r>
        <w:rPr>
          <w:rFonts w:hint="eastAsia" w:ascii="仿宋" w:hAnsi="仿宋" w:cs="仿宋"/>
          <w:szCs w:val="21"/>
        </w:rPr>
        <w:t>接受联合体投标。</w:t>
      </w:r>
    </w:p>
    <w:p>
      <w:pPr>
        <w:adjustRightInd w:val="0"/>
        <w:snapToGrid w:val="0"/>
        <w:spacing w:line="360" w:lineRule="auto"/>
        <w:rPr>
          <w:rFonts w:ascii="仿宋" w:hAnsi="仿宋" w:cs="仿宋"/>
          <w:szCs w:val="21"/>
        </w:rPr>
      </w:pPr>
      <w:r>
        <w:rPr>
          <w:rFonts w:hint="eastAsia" w:ascii="仿宋" w:hAnsi="仿宋" w:cs="仿宋"/>
          <w:b/>
          <w:bCs/>
          <w:szCs w:val="21"/>
        </w:rPr>
        <w:t>二、供应商的资格要求</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1.满足《中华人民共和国政府采购法》第二十二条规定；</w:t>
      </w:r>
    </w:p>
    <w:p>
      <w:pPr>
        <w:adjustRightInd w:val="0"/>
        <w:snapToGrid w:val="0"/>
        <w:spacing w:line="360" w:lineRule="auto"/>
        <w:rPr>
          <w:rFonts w:hint="eastAsia" w:ascii="仿宋" w:hAnsi="仿宋" w:eastAsia="仿宋" w:cs="仿宋"/>
          <w:szCs w:val="21"/>
          <w:lang w:val="en-US" w:eastAsia="zh-CN"/>
        </w:rPr>
      </w:pPr>
      <w:r>
        <w:rPr>
          <w:rFonts w:hint="eastAsia" w:ascii="仿宋" w:hAnsi="仿宋" w:cs="仿宋"/>
          <w:szCs w:val="21"/>
        </w:rPr>
        <w:t>2.落实政府采购政策需满足的资格要求：根据《政府采购促进中小企业发展管理办法》（财库﹝2020﹞46 号），按照中小企业十六个行业划型标准，本项目中小企业须属于</w:t>
      </w:r>
      <w:r>
        <w:rPr>
          <w:rFonts w:hint="eastAsia"/>
          <w:lang w:val="en-US" w:eastAsia="zh-CN"/>
        </w:rPr>
        <w:t>零售</w:t>
      </w:r>
      <w:r>
        <w:rPr>
          <w:rFonts w:hint="eastAsia" w:ascii="仿宋" w:hAnsi="仿宋" w:cs="仿宋"/>
          <w:szCs w:val="21"/>
        </w:rPr>
        <w:t>行业</w:t>
      </w:r>
      <w:r>
        <w:rPr>
          <w:rFonts w:hint="eastAsia" w:ascii="仿宋" w:hAnsi="仿宋" w:cs="仿宋"/>
          <w:szCs w:val="21"/>
          <w:lang w:val="en-US" w:eastAsia="zh-CN"/>
        </w:rPr>
        <w:t>;</w:t>
      </w:r>
    </w:p>
    <w:p>
      <w:pPr>
        <w:adjustRightInd w:val="0"/>
        <w:snapToGrid w:val="0"/>
        <w:spacing w:line="360" w:lineRule="auto"/>
        <w:rPr>
          <w:rFonts w:hint="eastAsia" w:ascii="仿宋" w:hAnsi="仿宋" w:cs="仿宋"/>
          <w:szCs w:val="21"/>
        </w:rPr>
      </w:pPr>
      <w:r>
        <w:rPr>
          <w:rFonts w:hint="eastAsia" w:ascii="仿宋" w:hAnsi="仿宋" w:cs="仿宋"/>
          <w:szCs w:val="21"/>
        </w:rPr>
        <w:t>3.本项目的特定资格要求：</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1）投标人须出具营业执照副本复印件加盖投标单位公章；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2）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3）投标人须提供投标人所在地社会保险经办机构出具的“提交首次响应文件时间”前3个月内单位实缴社会保险费用证明原件，若供应商成立不满3个月，则提供自成立以来的单位实缴社会保险费用证明原件；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4）投标人须提供本单位营业执照所在地税务机关出具“提交首次响应文件时间”前3个月的税收证明原件；若供应商成立不满3个月，则提供自成立以来的税收证明原件；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5）投标人需提供参加政府采购活动前3年内在经营活动中没有重大违法记录的书面声明加盖投标人公章；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6))拒绝被信用中国网站（www.creditchina.gov.cn）、中国政府采购网（www.ccgp.gov.cn）列入失信被执行人、重大税收违法案件当事人名单、政府采购严重违法失信行为记录名单的企业和个人参与项目投标；</w:t>
      </w:r>
    </w:p>
    <w:p>
      <w:pPr>
        <w:adjustRightInd w:val="0"/>
        <w:snapToGrid w:val="0"/>
        <w:spacing w:line="360" w:lineRule="auto"/>
        <w:rPr>
          <w:rFonts w:ascii="仿宋" w:hAnsi="仿宋" w:cs="仿宋"/>
          <w:szCs w:val="21"/>
        </w:rPr>
      </w:pPr>
      <w:r>
        <w:rPr>
          <w:rFonts w:hint="eastAsia" w:ascii="仿宋" w:hAnsi="仿宋" w:cs="仿宋"/>
          <w:szCs w:val="21"/>
          <w:lang w:val="en-US" w:eastAsia="zh-CN"/>
        </w:rPr>
        <w:t>7)本项目不接受联合体投标，不允许分包或转包。</w:t>
      </w:r>
    </w:p>
    <w:p>
      <w:pPr>
        <w:adjustRightInd w:val="0"/>
        <w:snapToGrid w:val="0"/>
        <w:spacing w:line="360" w:lineRule="auto"/>
        <w:rPr>
          <w:rFonts w:ascii="仿宋" w:hAnsi="仿宋" w:cs="仿宋"/>
          <w:b/>
          <w:bCs/>
          <w:szCs w:val="21"/>
        </w:rPr>
      </w:pPr>
      <w:r>
        <w:rPr>
          <w:rFonts w:hint="eastAsia" w:ascii="仿宋" w:hAnsi="仿宋" w:cs="仿宋"/>
          <w:b/>
          <w:bCs/>
          <w:szCs w:val="21"/>
        </w:rPr>
        <w:t>三、获取招标文件</w:t>
      </w:r>
    </w:p>
    <w:p>
      <w:pPr>
        <w:adjustRightInd w:val="0"/>
        <w:snapToGrid w:val="0"/>
        <w:spacing w:line="360" w:lineRule="auto"/>
        <w:rPr>
          <w:rFonts w:ascii="仿宋" w:hAnsi="仿宋" w:cs="仿宋"/>
          <w:szCs w:val="21"/>
          <w:highlight w:val="darkGreen"/>
        </w:rPr>
      </w:pPr>
      <w:r>
        <w:rPr>
          <w:rFonts w:hint="eastAsia" w:ascii="仿宋" w:hAnsi="仿宋" w:cs="仿宋"/>
          <w:szCs w:val="21"/>
        </w:rPr>
        <w:t>时间：</w:t>
      </w:r>
      <w:r>
        <w:rPr>
          <w:rFonts w:hint="eastAsia" w:ascii="仿宋" w:hAnsi="仿宋" w:cs="仿宋"/>
          <w:szCs w:val="21"/>
          <w:highlight w:val="none"/>
        </w:rPr>
        <w:t xml:space="preserve"> 2023年</w:t>
      </w:r>
      <w:r>
        <w:rPr>
          <w:rFonts w:hint="eastAsia" w:ascii="仿宋" w:hAnsi="仿宋" w:cs="仿宋"/>
          <w:color w:val="FF0000"/>
          <w:szCs w:val="21"/>
          <w:highlight w:val="none"/>
          <w:lang w:val="en-US" w:eastAsia="zh-CN"/>
        </w:rPr>
        <w:t>9</w:t>
      </w:r>
      <w:r>
        <w:rPr>
          <w:rFonts w:hint="eastAsia" w:ascii="仿宋" w:hAnsi="仿宋" w:cs="仿宋"/>
          <w:color w:val="FF0000"/>
          <w:szCs w:val="21"/>
          <w:highlight w:val="none"/>
        </w:rPr>
        <w:t xml:space="preserve"> 月</w:t>
      </w:r>
      <w:r>
        <w:rPr>
          <w:rFonts w:hint="eastAsia" w:ascii="仿宋" w:hAnsi="仿宋" w:cs="仿宋"/>
          <w:color w:val="FF0000"/>
          <w:szCs w:val="21"/>
          <w:highlight w:val="none"/>
          <w:lang w:val="en-US" w:eastAsia="zh-CN"/>
        </w:rPr>
        <w:t>28</w:t>
      </w:r>
      <w:r>
        <w:rPr>
          <w:rFonts w:hint="eastAsia" w:ascii="仿宋" w:hAnsi="仿宋" w:cs="仿宋"/>
          <w:color w:val="FF0000"/>
          <w:szCs w:val="21"/>
          <w:highlight w:val="none"/>
        </w:rPr>
        <w:t>日至 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日 </w:t>
      </w:r>
      <w:r>
        <w:rPr>
          <w:rFonts w:hint="eastAsia" w:ascii="仿宋" w:hAnsi="仿宋" w:cs="仿宋"/>
          <w:szCs w:val="21"/>
          <w:highlight w:val="none"/>
        </w:rPr>
        <w:t>，每天上午00:00至12:00，下午12:00至23:59（北京时间，法定节假日除外）</w:t>
      </w:r>
    </w:p>
    <w:p>
      <w:pPr>
        <w:adjustRightInd w:val="0"/>
        <w:snapToGrid w:val="0"/>
        <w:spacing w:line="360" w:lineRule="auto"/>
        <w:rPr>
          <w:rFonts w:ascii="仿宋" w:hAnsi="仿宋" w:cs="仿宋"/>
          <w:szCs w:val="21"/>
        </w:rPr>
      </w:pPr>
      <w:r>
        <w:rPr>
          <w:rFonts w:hint="eastAsia" w:ascii="仿宋" w:hAnsi="仿宋" w:cs="仿宋"/>
          <w:szCs w:val="21"/>
        </w:rPr>
        <w:t>地点：政采云平台（https://www.zcygov.cn/）</w:t>
      </w:r>
    </w:p>
    <w:p>
      <w:pPr>
        <w:adjustRightInd w:val="0"/>
        <w:snapToGrid w:val="0"/>
        <w:spacing w:line="360" w:lineRule="auto"/>
        <w:rPr>
          <w:rFonts w:ascii="仿宋" w:hAnsi="仿宋" w:cs="仿宋"/>
          <w:szCs w:val="21"/>
        </w:rPr>
      </w:pPr>
      <w:r>
        <w:rPr>
          <w:rFonts w:hint="eastAsia" w:ascii="仿宋" w:hAnsi="仿宋" w:cs="仿宋"/>
          <w:szCs w:val="21"/>
        </w:rPr>
        <w:t xml:space="preserve">方式：供应商登录政采云平台 </w:t>
      </w:r>
      <w:r>
        <w:fldChar w:fldCharType="begin"/>
      </w:r>
      <w:r>
        <w:instrText xml:space="preserve"> HYPERLINK "https://www.zcygov.cn/进入" </w:instrText>
      </w:r>
      <w:r>
        <w:fldChar w:fldCharType="separate"/>
      </w:r>
      <w:r>
        <w:rPr>
          <w:rStyle w:val="18"/>
          <w:rFonts w:hint="eastAsia" w:ascii="仿宋" w:hAnsi="仿宋" w:cs="仿宋"/>
          <w:szCs w:val="21"/>
        </w:rPr>
        <w:t>https://www.zcygov.cn/进入“项目采购”应用，在获取采购文件菜单中选择所要获取征集文件的项目，申请获取征集文件。</w:t>
      </w:r>
      <w:r>
        <w:rPr>
          <w:rStyle w:val="18"/>
          <w:rFonts w:hint="eastAsia" w:ascii="仿宋" w:hAnsi="仿宋" w:cs="仿宋"/>
          <w:szCs w:val="21"/>
        </w:rPr>
        <w:fldChar w:fldCharType="end"/>
      </w:r>
    </w:p>
    <w:p>
      <w:pPr>
        <w:adjustRightInd w:val="0"/>
        <w:snapToGrid w:val="0"/>
        <w:spacing w:line="360" w:lineRule="auto"/>
        <w:rPr>
          <w:rFonts w:ascii="仿宋" w:hAnsi="仿宋" w:cs="仿宋"/>
          <w:szCs w:val="21"/>
        </w:rPr>
      </w:pPr>
      <w:r>
        <w:rPr>
          <w:rFonts w:hint="eastAsia" w:ascii="仿宋" w:hAnsi="仿宋" w:cs="仿宋"/>
          <w:szCs w:val="21"/>
        </w:rPr>
        <w:t>售价：免费</w:t>
      </w:r>
    </w:p>
    <w:p>
      <w:pPr>
        <w:adjustRightInd w:val="0"/>
        <w:snapToGrid w:val="0"/>
        <w:spacing w:line="360" w:lineRule="auto"/>
        <w:rPr>
          <w:rFonts w:ascii="仿宋" w:hAnsi="仿宋" w:cs="仿宋"/>
          <w:b/>
          <w:bCs/>
          <w:szCs w:val="21"/>
        </w:rPr>
      </w:pPr>
      <w:r>
        <w:rPr>
          <w:rFonts w:hint="eastAsia" w:ascii="仿宋" w:hAnsi="仿宋" w:cs="仿宋"/>
          <w:b/>
          <w:bCs/>
          <w:szCs w:val="21"/>
        </w:rPr>
        <w:t>四、提交投标文件截止时间、开标时间和地点</w:t>
      </w:r>
    </w:p>
    <w:p>
      <w:pPr>
        <w:adjustRightInd w:val="0"/>
        <w:snapToGrid w:val="0"/>
        <w:spacing w:line="360" w:lineRule="auto"/>
        <w:rPr>
          <w:rFonts w:ascii="仿宋" w:hAnsi="仿宋" w:cs="仿宋"/>
          <w:szCs w:val="21"/>
        </w:rPr>
      </w:pPr>
      <w:r>
        <w:rPr>
          <w:rFonts w:hint="eastAsia" w:ascii="仿宋" w:hAnsi="仿宋" w:cs="仿宋"/>
          <w:szCs w:val="21"/>
        </w:rPr>
        <w:t>提交响应文件截止时间</w:t>
      </w:r>
      <w:r>
        <w:rPr>
          <w:rFonts w:hint="eastAsia" w:ascii="仿宋" w:hAnsi="仿宋" w:cs="仿宋"/>
          <w:szCs w:val="21"/>
          <w:highlight w:val="none"/>
        </w:rPr>
        <w:t>：2023年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响应地点：新疆政府采购网政采云平台（http://www.zcygov.cn/）在线递交响应文件</w:t>
      </w:r>
    </w:p>
    <w:p>
      <w:pPr>
        <w:adjustRightInd w:val="0"/>
        <w:snapToGrid w:val="0"/>
        <w:spacing w:line="360" w:lineRule="auto"/>
        <w:rPr>
          <w:rFonts w:ascii="仿宋" w:hAnsi="仿宋" w:cs="仿宋"/>
          <w:szCs w:val="21"/>
        </w:rPr>
      </w:pPr>
      <w:r>
        <w:rPr>
          <w:rFonts w:hint="eastAsia" w:ascii="仿宋" w:hAnsi="仿宋" w:cs="仿宋"/>
          <w:szCs w:val="21"/>
        </w:rPr>
        <w:t>开标时间：</w:t>
      </w:r>
      <w:r>
        <w:rPr>
          <w:rFonts w:hint="eastAsia" w:ascii="仿宋" w:hAnsi="仿宋" w:cs="仿宋"/>
          <w:szCs w:val="21"/>
          <w:highlight w:val="none"/>
        </w:rPr>
        <w:t>2023年</w:t>
      </w:r>
      <w:r>
        <w:rPr>
          <w:rFonts w:hint="eastAsia" w:ascii="仿宋" w:hAnsi="仿宋" w:cs="仿宋"/>
          <w:color w:val="FF0000"/>
          <w:szCs w:val="21"/>
          <w:highlight w:val="none"/>
        </w:rPr>
        <w:t xml:space="preserve"> </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 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开标地点：供应商在政采云平台http://www.zcygov.cn/不见面开标大厅远程参加开标活动</w:t>
      </w:r>
    </w:p>
    <w:p>
      <w:pPr>
        <w:adjustRightInd w:val="0"/>
        <w:snapToGrid w:val="0"/>
        <w:spacing w:line="360" w:lineRule="auto"/>
        <w:rPr>
          <w:rFonts w:ascii="仿宋" w:hAnsi="仿宋" w:cs="仿宋"/>
          <w:szCs w:val="21"/>
        </w:rPr>
      </w:pPr>
      <w:r>
        <w:rPr>
          <w:rFonts w:hint="eastAsia" w:ascii="仿宋" w:hAnsi="仿宋" w:cs="仿宋"/>
          <w:szCs w:val="21"/>
        </w:rPr>
        <w:t>现场开标地点：奎屯市政务服务中心四楼</w:t>
      </w:r>
    </w:p>
    <w:p>
      <w:pPr>
        <w:adjustRightInd w:val="0"/>
        <w:snapToGrid w:val="0"/>
        <w:spacing w:line="360" w:lineRule="auto"/>
        <w:rPr>
          <w:rFonts w:ascii="仿宋" w:hAnsi="仿宋" w:cs="仿宋"/>
          <w:b/>
          <w:bCs/>
          <w:szCs w:val="21"/>
        </w:rPr>
      </w:pPr>
      <w:r>
        <w:rPr>
          <w:rFonts w:hint="eastAsia" w:ascii="仿宋" w:hAnsi="仿宋" w:cs="仿宋"/>
          <w:b/>
          <w:bCs/>
          <w:szCs w:val="21"/>
        </w:rPr>
        <w:t>五、公告期限</w:t>
      </w:r>
    </w:p>
    <w:p>
      <w:pPr>
        <w:adjustRightInd w:val="0"/>
        <w:snapToGrid w:val="0"/>
        <w:spacing w:line="360" w:lineRule="auto"/>
        <w:rPr>
          <w:rFonts w:ascii="仿宋" w:hAnsi="仿宋" w:cs="仿宋"/>
          <w:szCs w:val="21"/>
        </w:rPr>
      </w:pPr>
      <w:r>
        <w:rPr>
          <w:rFonts w:hint="eastAsia" w:ascii="仿宋" w:hAnsi="仿宋" w:cs="仿宋"/>
          <w:szCs w:val="21"/>
        </w:rPr>
        <w:t>自本公告发布之日起5个工作日。</w:t>
      </w:r>
    </w:p>
    <w:p>
      <w:pPr>
        <w:adjustRightInd w:val="0"/>
        <w:snapToGrid w:val="0"/>
        <w:spacing w:line="360" w:lineRule="auto"/>
        <w:rPr>
          <w:rFonts w:ascii="仿宋" w:hAnsi="仿宋" w:cs="仿宋"/>
          <w:b/>
          <w:bCs/>
          <w:szCs w:val="21"/>
        </w:rPr>
      </w:pPr>
      <w:r>
        <w:rPr>
          <w:rFonts w:hint="eastAsia" w:ascii="仿宋" w:hAnsi="仿宋" w:cs="仿宋"/>
          <w:b/>
          <w:bCs/>
          <w:szCs w:val="21"/>
        </w:rPr>
        <w:t>六、质疑与投诉</w:t>
      </w:r>
    </w:p>
    <w:p>
      <w:pPr>
        <w:adjustRightInd w:val="0"/>
        <w:snapToGrid w:val="0"/>
        <w:spacing w:line="360" w:lineRule="auto"/>
        <w:rPr>
          <w:rFonts w:ascii="仿宋" w:hAnsi="仿宋" w:cs="仿宋"/>
          <w:szCs w:val="21"/>
        </w:rPr>
      </w:pPr>
      <w:r>
        <w:rPr>
          <w:rFonts w:hint="eastAsia" w:ascii="仿宋" w:hAnsi="仿宋" w:cs="仿宋"/>
          <w:szCs w:val="21"/>
        </w:rPr>
        <w:t>供应商认为自己的权益受到损害的，可以在知道或者应知其权益受到损害之日起七个工作日内，向采购代理机构或采购人提出质疑。</w:t>
      </w:r>
    </w:p>
    <w:p>
      <w:pPr>
        <w:adjustRightInd w:val="0"/>
        <w:snapToGrid w:val="0"/>
        <w:spacing w:line="360" w:lineRule="auto"/>
        <w:rPr>
          <w:rFonts w:ascii="仿宋" w:hAnsi="仿宋" w:cs="仿宋"/>
          <w:szCs w:val="21"/>
        </w:rPr>
      </w:pPr>
      <w:r>
        <w:rPr>
          <w:rFonts w:hint="eastAsia" w:ascii="仿宋" w:hAnsi="仿宋" w:cs="仿宋"/>
          <w:szCs w:val="21"/>
        </w:rPr>
        <w:t>1、接收质疑函方式：书面纸质质疑函</w:t>
      </w:r>
    </w:p>
    <w:p>
      <w:pPr>
        <w:adjustRightInd w:val="0"/>
        <w:snapToGrid w:val="0"/>
        <w:spacing w:line="360" w:lineRule="auto"/>
        <w:rPr>
          <w:rFonts w:ascii="仿宋" w:hAnsi="仿宋" w:cs="仿宋"/>
          <w:szCs w:val="21"/>
        </w:rPr>
      </w:pPr>
      <w:r>
        <w:rPr>
          <w:rFonts w:hint="eastAsia" w:ascii="仿宋" w:hAnsi="仿宋" w:cs="仿宋"/>
          <w:szCs w:val="21"/>
        </w:rPr>
        <w:t>2、质疑函内容、格式：应符合《政府采购质疑和投诉办法》相关规定和财政部制定的《政府采购质疑函范本》格式。</w:t>
      </w:r>
    </w:p>
    <w:p>
      <w:pPr>
        <w:adjustRightInd w:val="0"/>
        <w:snapToGrid w:val="0"/>
        <w:spacing w:line="360" w:lineRule="auto"/>
        <w:rPr>
          <w:rFonts w:ascii="仿宋" w:hAnsi="仿宋" w:cs="仿宋"/>
          <w:szCs w:val="21"/>
        </w:rPr>
      </w:pPr>
      <w:r>
        <w:rPr>
          <w:rFonts w:hint="eastAsia" w:ascii="仿宋" w:hAnsi="仿宋" w:cs="仿宋"/>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 w:hAnsi="仿宋" w:cs="仿宋"/>
          <w:b/>
          <w:bCs/>
          <w:szCs w:val="21"/>
        </w:rPr>
      </w:pPr>
      <w:r>
        <w:rPr>
          <w:rFonts w:hint="eastAsia" w:ascii="仿宋" w:hAnsi="仿宋" w:cs="仿宋"/>
          <w:b/>
          <w:bCs/>
          <w:szCs w:val="21"/>
        </w:rPr>
        <w:t>七、其他补充事宜</w:t>
      </w:r>
    </w:p>
    <w:p>
      <w:pPr>
        <w:adjustRightInd w:val="0"/>
        <w:snapToGrid w:val="0"/>
        <w:spacing w:line="360" w:lineRule="auto"/>
        <w:rPr>
          <w:rFonts w:ascii="仿宋" w:hAnsi="仿宋" w:cs="仿宋"/>
          <w:szCs w:val="21"/>
        </w:rPr>
      </w:pPr>
      <w:r>
        <w:rPr>
          <w:rFonts w:hint="eastAsia" w:ascii="仿宋" w:hAnsi="仿宋" w:cs="仿宋"/>
          <w:szCs w:val="21"/>
        </w:rPr>
        <w:t>特别提示：</w:t>
      </w:r>
    </w:p>
    <w:p>
      <w:pPr>
        <w:adjustRightInd w:val="0"/>
        <w:snapToGrid w:val="0"/>
        <w:spacing w:line="360" w:lineRule="auto"/>
        <w:rPr>
          <w:rFonts w:ascii="仿宋" w:hAnsi="仿宋" w:cs="仿宋"/>
          <w:szCs w:val="21"/>
        </w:rPr>
      </w:pPr>
      <w:r>
        <w:rPr>
          <w:rFonts w:hint="eastAsia" w:ascii="仿宋" w:hAnsi="仿宋" w:cs="仿宋"/>
          <w:szCs w:val="21"/>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pPr>
        <w:adjustRightInd w:val="0"/>
        <w:snapToGrid w:val="0"/>
        <w:spacing w:line="360" w:lineRule="auto"/>
        <w:rPr>
          <w:rFonts w:ascii="仿宋" w:hAnsi="仿宋" w:cs="仿宋"/>
          <w:szCs w:val="21"/>
        </w:rPr>
      </w:pPr>
      <w:r>
        <w:rPr>
          <w:rFonts w:hint="eastAsia" w:ascii="仿宋" w:hAnsi="仿宋" w:cs="仿宋"/>
          <w:szCs w:val="21"/>
        </w:rPr>
        <w:t>2.各供应商应在开标前确保成为新疆维吾尔自治区政府采购网正式注册入库供应商，并完成CA数字证书申领。因未注册入库、未办理CA数字证书等原因造成无法投标或投标失败等后果由供应商自行承担。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rPr>
          <w:rFonts w:ascii="仿宋" w:hAnsi="仿宋" w:cs="仿宋"/>
          <w:szCs w:val="21"/>
        </w:rPr>
      </w:pPr>
      <w:r>
        <w:rPr>
          <w:rFonts w:hint="eastAsia" w:ascii="仿宋" w:hAnsi="仿宋" w:cs="仿宋"/>
          <w:szCs w:val="21"/>
        </w:rPr>
        <w:t>3.供应商须登录政采云平台申请获取磋商文件，提前下载并安装政采云投标客户端、CA驱动程序后，通过政采云电子投标客户端制作响应文件，同时自行承担与投标有关的一切费用。</w:t>
      </w:r>
    </w:p>
    <w:p>
      <w:pPr>
        <w:adjustRightInd w:val="0"/>
        <w:snapToGrid w:val="0"/>
        <w:spacing w:line="360" w:lineRule="auto"/>
        <w:rPr>
          <w:rFonts w:ascii="仿宋" w:hAnsi="仿宋" w:cs="仿宋"/>
          <w:szCs w:val="21"/>
        </w:rPr>
      </w:pPr>
      <w:r>
        <w:rPr>
          <w:rFonts w:hint="eastAsia" w:ascii="仿宋" w:hAnsi="仿宋" w:cs="仿宋"/>
          <w:szCs w:val="21"/>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adjustRightInd w:val="0"/>
        <w:snapToGrid w:val="0"/>
        <w:spacing w:line="360" w:lineRule="auto"/>
        <w:rPr>
          <w:rFonts w:ascii="仿宋" w:hAnsi="仿宋" w:cs="仿宋"/>
          <w:szCs w:val="21"/>
        </w:rPr>
      </w:pPr>
      <w:r>
        <w:rPr>
          <w:rFonts w:hint="eastAsia" w:ascii="仿宋" w:hAnsi="仿宋" w:cs="仿宋"/>
          <w:szCs w:val="21"/>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adjustRightInd w:val="0"/>
        <w:snapToGrid w:val="0"/>
        <w:spacing w:line="360" w:lineRule="auto"/>
        <w:rPr>
          <w:rFonts w:ascii="仿宋" w:hAnsi="仿宋" w:cs="仿宋"/>
          <w:szCs w:val="21"/>
        </w:rPr>
      </w:pPr>
      <w:r>
        <w:rPr>
          <w:rFonts w:hint="eastAsia" w:ascii="仿宋" w:hAnsi="仿宋" w:cs="仿宋"/>
          <w:szCs w:val="21"/>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360" w:lineRule="auto"/>
        <w:rPr>
          <w:rFonts w:ascii="仿宋" w:hAnsi="仿宋" w:cs="仿宋"/>
          <w:szCs w:val="21"/>
        </w:rPr>
      </w:pPr>
      <w:r>
        <w:rPr>
          <w:rFonts w:hint="eastAsia" w:ascii="仿宋" w:hAnsi="仿宋" w:cs="仿宋"/>
          <w:szCs w:val="21"/>
        </w:rPr>
        <w:t>7.本项目落实的政府采购政策：</w:t>
      </w:r>
    </w:p>
    <w:p>
      <w:pPr>
        <w:adjustRightInd w:val="0"/>
        <w:snapToGrid w:val="0"/>
        <w:spacing w:line="360" w:lineRule="auto"/>
        <w:rPr>
          <w:rFonts w:ascii="仿宋" w:hAnsi="仿宋" w:cs="仿宋"/>
          <w:szCs w:val="21"/>
        </w:rPr>
      </w:pPr>
      <w:r>
        <w:rPr>
          <w:rFonts w:hint="eastAsia" w:ascii="仿宋" w:hAnsi="仿宋" w:cs="仿宋"/>
          <w:szCs w:val="21"/>
        </w:rPr>
        <w:t>1）政府采购促进中小企业发展；</w:t>
      </w:r>
    </w:p>
    <w:p>
      <w:pPr>
        <w:adjustRightInd w:val="0"/>
        <w:snapToGrid w:val="0"/>
        <w:spacing w:line="360" w:lineRule="auto"/>
        <w:rPr>
          <w:rFonts w:ascii="仿宋" w:hAnsi="仿宋" w:cs="仿宋"/>
          <w:szCs w:val="21"/>
        </w:rPr>
      </w:pPr>
      <w:r>
        <w:rPr>
          <w:rFonts w:hint="eastAsia" w:ascii="仿宋" w:hAnsi="仿宋" w:cs="仿宋"/>
          <w:szCs w:val="21"/>
        </w:rPr>
        <w:t>2）政府采购促进残疾人就业政策；</w:t>
      </w:r>
    </w:p>
    <w:p>
      <w:pPr>
        <w:adjustRightInd w:val="0"/>
        <w:snapToGrid w:val="0"/>
        <w:spacing w:line="360" w:lineRule="auto"/>
        <w:rPr>
          <w:rFonts w:ascii="仿宋" w:hAnsi="仿宋" w:cs="仿宋"/>
          <w:szCs w:val="21"/>
        </w:rPr>
      </w:pPr>
      <w:r>
        <w:rPr>
          <w:rFonts w:hint="eastAsia" w:ascii="仿宋" w:hAnsi="仿宋" w:cs="仿宋"/>
          <w:szCs w:val="21"/>
        </w:rPr>
        <w:t>3）扶持不发达地区和少数民族地区政策。</w:t>
      </w:r>
    </w:p>
    <w:p>
      <w:pPr>
        <w:adjustRightInd w:val="0"/>
        <w:snapToGrid w:val="0"/>
        <w:spacing w:line="360" w:lineRule="auto"/>
        <w:rPr>
          <w:rFonts w:ascii="仿宋" w:hAnsi="仿宋" w:cs="仿宋"/>
          <w:szCs w:val="21"/>
        </w:rPr>
      </w:pPr>
      <w:r>
        <w:rPr>
          <w:rFonts w:hint="eastAsia" w:ascii="仿宋" w:hAnsi="仿宋" w:cs="仿宋"/>
          <w:szCs w:val="21"/>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pPr>
        <w:adjustRightInd w:val="0"/>
        <w:snapToGrid w:val="0"/>
        <w:spacing w:line="360" w:lineRule="auto"/>
        <w:rPr>
          <w:rFonts w:ascii="仿宋" w:hAnsi="仿宋" w:cs="仿宋"/>
          <w:szCs w:val="21"/>
        </w:rPr>
      </w:pPr>
      <w:r>
        <w:rPr>
          <w:rFonts w:hint="eastAsia" w:ascii="仿宋" w:hAnsi="仿宋" w:cs="仿宋"/>
          <w:szCs w:val="21"/>
        </w:rPr>
        <w:t>9.其他内容详见采购文件。</w:t>
      </w:r>
    </w:p>
    <w:p>
      <w:pPr>
        <w:adjustRightInd w:val="0"/>
        <w:snapToGrid w:val="0"/>
        <w:spacing w:line="360" w:lineRule="auto"/>
        <w:rPr>
          <w:rFonts w:ascii="仿宋" w:hAnsi="仿宋" w:cs="仿宋"/>
          <w:b/>
          <w:bCs/>
          <w:szCs w:val="21"/>
        </w:rPr>
      </w:pPr>
      <w:r>
        <w:rPr>
          <w:rFonts w:hint="eastAsia" w:ascii="仿宋" w:hAnsi="仿宋" w:cs="仿宋"/>
          <w:b/>
          <w:bCs/>
          <w:szCs w:val="21"/>
        </w:rPr>
        <w:t>八、对本次招标提出询问，请按以下方式联系。</w:t>
      </w:r>
    </w:p>
    <w:p>
      <w:pPr>
        <w:adjustRightInd w:val="0"/>
        <w:snapToGrid w:val="0"/>
        <w:spacing w:line="360" w:lineRule="auto"/>
        <w:rPr>
          <w:rFonts w:ascii="仿宋" w:hAnsi="仿宋" w:cs="仿宋"/>
          <w:szCs w:val="21"/>
        </w:rPr>
      </w:pPr>
      <w:r>
        <w:rPr>
          <w:rFonts w:hint="eastAsia" w:ascii="仿宋" w:hAnsi="仿宋" w:cs="仿宋"/>
          <w:szCs w:val="21"/>
        </w:rPr>
        <w:t>1.采购人信息</w:t>
      </w:r>
    </w:p>
    <w:p>
      <w:pPr>
        <w:adjustRightInd w:val="0"/>
        <w:snapToGrid w:val="0"/>
        <w:spacing w:line="360" w:lineRule="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名</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称：</w:t>
      </w:r>
      <w:r>
        <w:rPr>
          <w:rFonts w:hint="eastAsia" w:ascii="仿宋_GB2312" w:hAnsi="仿宋_GB2312" w:eastAsia="仿宋_GB2312" w:cs="仿宋_GB2312"/>
          <w:kern w:val="0"/>
          <w:szCs w:val="21"/>
          <w:lang w:val="en-US" w:eastAsia="zh-CN"/>
        </w:rPr>
        <w:t>奎屯市公安局</w:t>
      </w:r>
    </w:p>
    <w:p>
      <w:pPr>
        <w:adjustRightInd w:val="0"/>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址： 奎屯市喀什西路35号</w:t>
      </w:r>
    </w:p>
    <w:p>
      <w:pPr>
        <w:adjustRightInd w:val="0"/>
        <w:snapToGrid w:val="0"/>
        <w:spacing w:line="360" w:lineRule="auto"/>
        <w:rPr>
          <w:rFonts w:ascii="仿宋" w:hAnsi="仿宋" w:cs="仿宋"/>
          <w:szCs w:val="21"/>
        </w:rPr>
      </w:pPr>
      <w:r>
        <w:rPr>
          <w:rFonts w:hint="eastAsia" w:ascii="仿宋_GB2312" w:hAnsi="仿宋_GB2312" w:eastAsia="仿宋_GB2312" w:cs="仿宋_GB2312"/>
          <w:kern w:val="0"/>
          <w:szCs w:val="21"/>
        </w:rPr>
        <w:t>联系方式：18160481325</w:t>
      </w:r>
      <w:r>
        <w:rPr>
          <w:rFonts w:hint="eastAsia" w:ascii="仿宋" w:hAnsi="仿宋" w:cs="仿宋"/>
          <w:szCs w:val="21"/>
        </w:rPr>
        <w:t>　　</w:t>
      </w:r>
    </w:p>
    <w:p>
      <w:pPr>
        <w:adjustRightInd w:val="0"/>
        <w:snapToGrid w:val="0"/>
        <w:spacing w:line="360" w:lineRule="auto"/>
        <w:rPr>
          <w:rFonts w:ascii="仿宋" w:hAnsi="仿宋" w:cs="仿宋"/>
          <w:szCs w:val="21"/>
        </w:rPr>
      </w:pPr>
      <w:r>
        <w:rPr>
          <w:rFonts w:hint="eastAsia" w:ascii="仿宋" w:hAnsi="仿宋" w:cs="仿宋"/>
          <w:szCs w:val="21"/>
        </w:rPr>
        <w:t>2.采购代理机构信息</w:t>
      </w:r>
    </w:p>
    <w:p>
      <w:pPr>
        <w:adjustRightInd w:val="0"/>
        <w:snapToGrid w:val="0"/>
        <w:spacing w:line="360" w:lineRule="auto"/>
        <w:rPr>
          <w:rFonts w:ascii="仿宋" w:hAnsi="仿宋" w:cs="仿宋"/>
          <w:szCs w:val="21"/>
        </w:rPr>
      </w:pPr>
      <w:r>
        <w:rPr>
          <w:rFonts w:hint="eastAsia" w:ascii="仿宋" w:hAnsi="仿宋" w:cs="仿宋"/>
          <w:szCs w:val="21"/>
        </w:rPr>
        <w:t>名 称：奎屯市政务服务中心 </w:t>
      </w:r>
    </w:p>
    <w:p>
      <w:pPr>
        <w:adjustRightInd w:val="0"/>
        <w:snapToGrid w:val="0"/>
        <w:spacing w:line="360" w:lineRule="auto"/>
        <w:rPr>
          <w:rFonts w:ascii="仿宋" w:hAnsi="仿宋" w:cs="仿宋"/>
          <w:szCs w:val="21"/>
        </w:rPr>
      </w:pPr>
      <w:r>
        <w:rPr>
          <w:rFonts w:hint="eastAsia" w:ascii="仿宋" w:hAnsi="仿宋" w:cs="仿宋"/>
          <w:szCs w:val="21"/>
        </w:rPr>
        <w:t>地</w:t>
      </w:r>
      <w:r>
        <w:rPr>
          <w:rFonts w:hint="eastAsia" w:ascii="仿宋" w:hAnsi="仿宋" w:cs="仿宋"/>
          <w:szCs w:val="21"/>
          <w:lang w:val="en-US" w:eastAsia="zh-CN"/>
        </w:rPr>
        <w:t xml:space="preserve"> </w:t>
      </w:r>
      <w:r>
        <w:rPr>
          <w:rFonts w:hint="eastAsia" w:ascii="仿宋" w:hAnsi="仿宋" w:cs="仿宋"/>
          <w:szCs w:val="21"/>
        </w:rPr>
        <w:t>址：奎屯市北京西路20号  </w:t>
      </w:r>
    </w:p>
    <w:p>
      <w:pPr>
        <w:adjustRightInd w:val="0"/>
        <w:snapToGrid w:val="0"/>
        <w:spacing w:line="360" w:lineRule="auto"/>
        <w:rPr>
          <w:rFonts w:ascii="仿宋" w:hAnsi="仿宋" w:cs="仿宋"/>
          <w:szCs w:val="21"/>
        </w:rPr>
      </w:pPr>
      <w:r>
        <w:rPr>
          <w:rFonts w:hint="eastAsia" w:ascii="仿宋" w:hAnsi="仿宋" w:cs="仿宋"/>
          <w:szCs w:val="21"/>
        </w:rPr>
        <w:t xml:space="preserve">联系方式：0992-3279228      </w:t>
      </w:r>
    </w:p>
    <w:p>
      <w:pPr>
        <w:pStyle w:val="3"/>
        <w:snapToGrid w:val="0"/>
        <w:spacing w:before="312" w:beforeLines="100" w:after="312" w:afterLines="100" w:line="360" w:lineRule="auto"/>
        <w:rPr>
          <w:rFonts w:ascii="仿宋_GB2312" w:hAnsi="仿宋_GB2312" w:eastAsia="仿宋_GB2312" w:cs="仿宋_GB2312"/>
        </w:rPr>
      </w:pPr>
      <w:bookmarkStart w:id="3" w:name="_Toc27235"/>
      <w:bookmarkStart w:id="4" w:name="_Toc26518_WPSOffice_Level1"/>
      <w:bookmarkStart w:id="5" w:name="_Toc17894"/>
      <w:r>
        <w:rPr>
          <w:rFonts w:hint="eastAsia" w:ascii="仿宋_GB2312" w:hAnsi="仿宋_GB2312" w:eastAsia="仿宋_GB2312" w:cs="仿宋_GB2312"/>
        </w:rPr>
        <w:br w:type="page"/>
      </w:r>
      <w:r>
        <w:rPr>
          <w:rFonts w:hint="eastAsia" w:ascii="仿宋_GB2312" w:hAnsi="仿宋_GB2312" w:eastAsia="仿宋_GB2312" w:cs="仿宋_GB2312"/>
        </w:rPr>
        <w:t>第一章 投标人须知</w:t>
      </w:r>
      <w:bookmarkEnd w:id="3"/>
      <w:bookmarkEnd w:id="4"/>
      <w:bookmarkEnd w:id="5"/>
    </w:p>
    <w:p>
      <w:pPr>
        <w:pStyle w:val="4"/>
        <w:adjustRightInd w:val="0"/>
        <w:snapToGrid w:val="0"/>
        <w:spacing w:before="0" w:after="0" w:line="360" w:lineRule="auto"/>
        <w:rPr>
          <w:rFonts w:ascii="仿宋_GB2312" w:hAnsi="仿宋_GB2312" w:eastAsia="仿宋_GB2312" w:cs="仿宋_GB2312"/>
          <w:sz w:val="32"/>
          <w:szCs w:val="36"/>
        </w:rPr>
      </w:pPr>
      <w:bookmarkStart w:id="6" w:name="_Toc18613_WPSOffice_Level2"/>
      <w:r>
        <w:rPr>
          <w:rFonts w:hint="eastAsia" w:ascii="仿宋_GB2312" w:hAnsi="仿宋_GB2312" w:eastAsia="仿宋_GB2312" w:cs="仿宋_GB2312"/>
          <w:sz w:val="32"/>
          <w:szCs w:val="36"/>
        </w:rPr>
        <w:t>一 投标人须知表</w:t>
      </w:r>
      <w:bookmarkEnd w:id="6"/>
    </w:p>
    <w:tbl>
      <w:tblPr>
        <w:tblStyle w:val="14"/>
        <w:tblW w:w="8760" w:type="dxa"/>
        <w:tblInd w:w="0" w:type="dxa"/>
        <w:tblLayout w:type="fixed"/>
        <w:tblCellMar>
          <w:top w:w="0" w:type="dxa"/>
          <w:left w:w="108" w:type="dxa"/>
          <w:bottom w:w="0" w:type="dxa"/>
          <w:right w:w="108" w:type="dxa"/>
        </w:tblCellMar>
      </w:tblPr>
      <w:tblGrid>
        <w:gridCol w:w="761"/>
        <w:gridCol w:w="1714"/>
        <w:gridCol w:w="6285"/>
      </w:tblGrid>
      <w:tr>
        <w:tblPrEx>
          <w:tblCellMar>
            <w:top w:w="0" w:type="dxa"/>
            <w:left w:w="108" w:type="dxa"/>
            <w:bottom w:w="0" w:type="dxa"/>
            <w:right w:w="108" w:type="dxa"/>
          </w:tblCellMar>
        </w:tblPrEx>
        <w:trPr>
          <w:trHeight w:val="556" w:hRule="atLeast"/>
          <w:tblHeader/>
        </w:trPr>
        <w:tc>
          <w:tcPr>
            <w:tcW w:w="761" w:type="dxa"/>
            <w:tcBorders>
              <w:top w:val="single" w:color="auto" w:sz="4" w:space="0"/>
              <w:left w:val="single" w:color="auto" w:sz="4" w:space="0"/>
              <w:bottom w:val="single" w:color="auto" w:sz="4" w:space="0"/>
              <w:right w:val="single" w:color="auto" w:sz="4" w:space="0"/>
            </w:tcBorders>
            <w:vAlign w:val="center"/>
          </w:tcPr>
          <w:p>
            <w:pPr>
              <w:widowControl/>
              <w:ind w:left="-69" w:leftChars="-33" w:right="-69" w:rightChars="-33"/>
              <w:jc w:val="center"/>
              <w:rPr>
                <w:rFonts w:ascii="仿宋_GB2312" w:hAnsi="仿宋_GB2312" w:eastAsia="仿宋_GB2312" w:cs="仿宋_GB2312"/>
                <w:kern w:val="0"/>
                <w:szCs w:val="21"/>
              </w:rPr>
            </w:pPr>
            <w:bookmarkStart w:id="7" w:name="sys_招标项目基本内容及要求其他：Block"/>
            <w:bookmarkEnd w:id="7"/>
            <w:bookmarkStart w:id="8" w:name="招标项目基本内容及要求：Block"/>
            <w:bookmarkEnd w:id="8"/>
            <w:bookmarkStart w:id="9" w:name="招标项目基本内容及要求其他：Block"/>
            <w:bookmarkEnd w:id="9"/>
            <w:bookmarkStart w:id="10" w:name="sys_招标项目基本内容及要求：Block"/>
            <w:bookmarkEnd w:id="10"/>
            <w:r>
              <w:rPr>
                <w:rFonts w:hint="eastAsia" w:ascii="仿宋_GB2312" w:hAnsi="仿宋_GB2312" w:eastAsia="仿宋_GB2312" w:cs="仿宋_GB2312"/>
                <w:kern w:val="0"/>
                <w:szCs w:val="21"/>
              </w:rPr>
              <w:t>条款号</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u w:val="single"/>
              </w:rPr>
              <w:t xml:space="preserve">  奎屯市</w:t>
            </w:r>
            <w:r>
              <w:rPr>
                <w:rFonts w:hint="eastAsia" w:ascii="仿宋_GB2312" w:hAnsi="仿宋_GB2312" w:eastAsia="仿宋_GB2312" w:cs="仿宋_GB2312"/>
                <w:kern w:val="0"/>
                <w:szCs w:val="21"/>
                <w:u w:val="single"/>
                <w:lang w:eastAsia="zh-CN"/>
              </w:rPr>
              <w:t>公安局</w:t>
            </w:r>
            <w:r>
              <w:rPr>
                <w:rFonts w:hint="eastAsia" w:ascii="仿宋_GB2312" w:hAnsi="仿宋_GB2312" w:eastAsia="仿宋_GB2312" w:cs="仿宋_GB2312"/>
                <w:kern w:val="0"/>
                <w:szCs w:val="21"/>
                <w:u w:val="single"/>
              </w:rPr>
              <w:t xml:space="preserve">  </w:t>
            </w:r>
          </w:p>
          <w:p>
            <w:pPr>
              <w:widowControl/>
              <w:jc w:val="left"/>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u w:val="single"/>
                <w:lang w:eastAsia="zh-CN"/>
              </w:rPr>
              <w:t>奎屯市喀什西路</w:t>
            </w:r>
            <w:r>
              <w:rPr>
                <w:rFonts w:hint="eastAsia" w:ascii="仿宋_GB2312" w:hAnsi="仿宋_GB2312" w:eastAsia="仿宋_GB2312" w:cs="仿宋_GB2312"/>
                <w:kern w:val="0"/>
                <w:szCs w:val="21"/>
                <w:u w:val="single"/>
                <w:lang w:val="en-US" w:eastAsia="zh-CN"/>
              </w:rPr>
              <w:t>35号</w:t>
            </w:r>
          </w:p>
          <w:p>
            <w:pPr>
              <w:widowControl/>
              <w:jc w:val="left"/>
              <w:rPr>
                <w:rFonts w:hint="eastAsia" w:ascii="仿宋_GB2312" w:hAnsi="仿宋_GB2312" w:eastAsia="仿宋_GB2312" w:cs="仿宋_GB2312"/>
                <w:kern w:val="0"/>
                <w:szCs w:val="21"/>
                <w:u w:val="single"/>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u w:val="single"/>
                <w:lang w:eastAsia="zh-CN"/>
              </w:rPr>
              <w:t>王栋</w:t>
            </w:r>
          </w:p>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u w:val="single"/>
                <w:lang w:val="en-US" w:eastAsia="zh-CN"/>
              </w:rPr>
              <w:t>18160481325</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名</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称：奎屯市政务服务中心</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ascii="仿宋_GB2312" w:hAnsi="仿宋_GB2312" w:eastAsia="仿宋_GB2312" w:cs="仿宋_GB2312"/>
                <w:kern w:val="0"/>
                <w:szCs w:val="21"/>
              </w:rPr>
              <w:t> </w:t>
            </w:r>
            <w:r>
              <w:rPr>
                <w:rFonts w:hint="eastAsia" w:ascii="仿宋_GB2312" w:hAnsi="仿宋_GB2312" w:eastAsia="仿宋_GB2312" w:cs="仿宋_GB2312"/>
                <w:kern w:val="0"/>
                <w:szCs w:val="21"/>
              </w:rPr>
              <w:t>址：奎屯市北京西路</w:t>
            </w: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号</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联系方式：0992-3279228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是</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kern w:val="0"/>
                <w:szCs w:val="21"/>
              </w:rPr>
            </w:pPr>
            <w:r>
              <w:rPr>
                <w:rFonts w:hint="eastAsia" w:ascii="仿宋_GB2312" w:hAnsi="仿宋_GB2312" w:eastAsia="仿宋_GB2312" w:cs="仿宋_GB2312"/>
                <w:szCs w:val="21"/>
              </w:rPr>
              <w:t>是否有政府强制采购的节能产品</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有，具体产品为</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预算金额：</w:t>
            </w:r>
            <w:r>
              <w:rPr>
                <w:rFonts w:hint="eastAsia"/>
                <w:u w:val="single"/>
                <w:lang w:val="en-US" w:eastAsia="zh-CN"/>
              </w:rPr>
              <w:t>2724000</w:t>
            </w:r>
            <w:r>
              <w:rPr>
                <w:rFonts w:hint="eastAsia" w:ascii="仿宋_GB2312" w:hAnsi="仿宋_GB2312" w:eastAsia="仿宋_GB2312" w:cs="仿宋_GB2312"/>
                <w:bCs/>
                <w:kern w:val="0"/>
                <w:szCs w:val="21"/>
              </w:rPr>
              <w:t>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r>
              <w:rPr>
                <w:rFonts w:hint="eastAsia"/>
                <w:u w:val="single"/>
                <w:lang w:val="en-US" w:eastAsia="zh-CN"/>
              </w:rPr>
              <w:t>2724000</w:t>
            </w:r>
            <w:r>
              <w:rPr>
                <w:rFonts w:hint="eastAsia" w:ascii="仿宋_GB2312" w:hAnsi="仿宋_GB2312" w:eastAsia="仿宋_GB2312" w:cs="仿宋_GB2312"/>
                <w:bCs/>
                <w:kern w:val="0"/>
                <w:szCs w:val="21"/>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187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组织，时  间：</w:t>
            </w:r>
            <w:r>
              <w:rPr>
                <w:rFonts w:hint="eastAsia" w:ascii="仿宋_GB2312" w:hAnsi="仿宋_GB2312" w:eastAsia="仿宋_GB2312" w:cs="仿宋_GB2312"/>
                <w:bCs/>
                <w:kern w:val="0"/>
                <w:szCs w:val="21"/>
                <w:u w:val="single"/>
              </w:rPr>
              <w:t xml:space="preserve">         </w:t>
            </w:r>
          </w:p>
          <w:p>
            <w:pPr>
              <w:widowControl/>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地  点：</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组织，招标文件提供期限截止后以书面形式通知。</w:t>
            </w:r>
          </w:p>
        </w:tc>
      </w:tr>
      <w:tr>
        <w:tblPrEx>
          <w:tblCellMar>
            <w:top w:w="0" w:type="dxa"/>
            <w:left w:w="108" w:type="dxa"/>
            <w:bottom w:w="0" w:type="dxa"/>
            <w:right w:w="108" w:type="dxa"/>
          </w:tblCellMar>
        </w:tblPrEx>
        <w:trPr>
          <w:trHeight w:val="6227"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1、递交样品的截止时间：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月</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日</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时（北京时间）</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递交样品地点：</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递交样品联系人：</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递交样品联系电话：</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2、样品制作的标准和要求：</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3、随样品提交相关检测报告要求：</w:t>
            </w:r>
            <w:r>
              <w:rPr>
                <w:rFonts w:hint="eastAsia" w:ascii="仿宋_GB2312" w:hAnsi="仿宋_GB2312" w:eastAsia="仿宋_GB2312" w:cs="仿宋_GB2312"/>
                <w:kern w:val="0"/>
                <w:szCs w:val="21"/>
                <w:u w:val="single"/>
              </w:rPr>
              <w:t xml:space="preserve">       </w:t>
            </w:r>
          </w:p>
          <w:p>
            <w:pPr>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（包含是否要求提供、检测机构要求、检测内容等）</w:t>
            </w:r>
          </w:p>
          <w:p>
            <w:pPr>
              <w:numPr>
                <w:ilvl w:val="0"/>
                <w:numId w:val="2"/>
              </w:numPr>
              <w:rPr>
                <w:rFonts w:ascii="仿宋_GB2312" w:hAnsi="仿宋_GB2312" w:eastAsia="仿宋_GB2312" w:cs="仿宋_GB2312"/>
                <w:kern w:val="0"/>
                <w:szCs w:val="21"/>
              </w:rPr>
            </w:pPr>
            <w:r>
              <w:rPr>
                <w:rFonts w:hint="eastAsia" w:ascii="仿宋_GB2312" w:hAnsi="仿宋_GB2312" w:eastAsia="仿宋_GB2312" w:cs="仿宋_GB2312"/>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提供演示</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1、演示时间：</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演示地点：</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演示顺序：</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2、演示要求：</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27"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285" w:type="dxa"/>
            <w:tcBorders>
              <w:top w:val="single" w:color="auto" w:sz="4" w:space="0"/>
              <w:left w:val="nil"/>
              <w:bottom w:val="single" w:color="auto" w:sz="8" w:space="0"/>
              <w:right w:val="single" w:color="auto" w:sz="8"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本项目不收取投标保证金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285"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样品的评审方法以及评审标准</w:t>
            </w:r>
          </w:p>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演示的评审方法及评审标准</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bCs/>
                <w:kern w:val="0"/>
                <w:szCs w:val="21"/>
              </w:rPr>
              <w:t>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1、样品评审方法：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2、样品评审标准：</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演示：</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1、演示评审方法：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2、演示评审标准：</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综合评分法</w:t>
            </w:r>
          </w:p>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1       </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1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rPr>
              <w:t>■</w:t>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3119"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本项目履约保证金按照相关规定由采购人和中标人自行商定</w:t>
            </w:r>
          </w:p>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b/>
                <w:bCs/>
                <w:szCs w:val="21"/>
              </w:rPr>
              <w:t>（注：财政部门鼓励采用保函的方式递交履约保证金）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714"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6285"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向采购代理机构予以支付。</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支付形式：</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支付时间：</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71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6285" w:type="dxa"/>
            <w:tcBorders>
              <w:top w:val="single" w:color="auto" w:sz="4" w:space="0"/>
              <w:left w:val="nil"/>
              <w:bottom w:val="single" w:color="auto" w:sz="8"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1、接收质疑函的方式：接收加盖单位公章的书面质疑函</w:t>
            </w:r>
          </w:p>
          <w:p>
            <w:pPr>
              <w:widowControl/>
              <w:ind w:firstLine="420" w:firstLineChars="200"/>
              <w:rPr>
                <w:rFonts w:ascii="仿宋_GB2312" w:hAnsi="仿宋_GB2312" w:eastAsia="仿宋_GB2312" w:cs="仿宋_GB2312"/>
                <w:kern w:val="0"/>
                <w:szCs w:val="21"/>
                <w:u w:val="single"/>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 xml:space="preserve">  奎屯市政务服务中心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0992-3279228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 xml:space="preserve">   奎屯市政务服务中心            </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6"/>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kern w:val="0"/>
                <w:szCs w:val="21"/>
              </w:rPr>
              <w:t>招标</w:t>
            </w:r>
            <w:r>
              <w:rPr>
                <w:rFonts w:hint="eastAsia" w:ascii="仿宋_GB2312" w:hAnsi="仿宋_GB2312" w:eastAsia="仿宋_GB2312" w:cs="仿宋_GB2312"/>
                <w:szCs w:val="21"/>
              </w:rPr>
              <w:t>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4"/>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11" w:name="_Toc30384_WPSOffice_Level2"/>
      <w:r>
        <w:rPr>
          <w:rFonts w:hint="eastAsia" w:ascii="仿宋_GB2312" w:hAnsi="仿宋_GB2312" w:eastAsia="仿宋_GB2312" w:cs="仿宋_GB2312"/>
          <w:sz w:val="32"/>
          <w:szCs w:val="36"/>
        </w:rPr>
        <w:t>二 总则</w:t>
      </w:r>
      <w:bookmarkEnd w:id="1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★1.3投标人：是指向采购人提供货物、工程或者服务的法人、非法人组织或者自然人。本项目的投标人及其投标服务须满足以下条件：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1.3.4符合投标人须知表1.3.4条中规定的资格条件。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1.3.5若投标人须知表1.3.5条中写明专门面向中小企业采购的，如投标人为非中小企业且所投产品为非中小企业产品，其投标将被认定为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★1.4如投标人须知表1.4条中允许联合体投标，对联合体规定如下：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★2.2项目预算金额和分项或分包最高限价见投标人须知表2.2条。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2" w:name="_Toc266951048"/>
      <w:r>
        <w:rPr>
          <w:rFonts w:hint="eastAsia" w:ascii="仿宋_GB2312" w:hAnsi="仿宋_GB2312" w:eastAsia="仿宋_GB2312" w:cs="仿宋_GB2312"/>
          <w:b/>
          <w:bCs/>
          <w:szCs w:val="21"/>
        </w:rPr>
        <w:t>3.语言文字</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3" w:name="_1.8_计量单位"/>
      <w:bookmarkEnd w:id="13"/>
      <w:bookmarkStart w:id="14"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4"/>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除投标人须知表4条中有特殊要求外，投标文件中所使用的计量单位，应采用中华人民共和国法定计量单位。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kern w:val="0"/>
          <w:szCs w:val="21"/>
        </w:rPr>
      </w:pPr>
      <w:bookmarkStart w:id="15" w:name="_1.10_投标预备会"/>
      <w:bookmarkEnd w:id="15"/>
      <w:r>
        <w:rPr>
          <w:rFonts w:hint="eastAsia" w:ascii="仿宋_GB2312" w:hAnsi="仿宋_GB2312" w:eastAsia="仿宋_GB2312" w:cs="仿宋_GB2312"/>
          <w:kern w:val="0"/>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kern w:val="0"/>
          <w:szCs w:val="21"/>
        </w:rPr>
        <w:t>投标人须知表</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16" w:name="_Toc10106_WPSOffice_Level2"/>
      <w:r>
        <w:rPr>
          <w:rFonts w:hint="eastAsia" w:ascii="仿宋_GB2312" w:hAnsi="仿宋_GB2312" w:eastAsia="仿宋_GB2312" w:cs="仿宋_GB2312"/>
          <w:sz w:val="32"/>
          <w:szCs w:val="28"/>
        </w:rPr>
        <w:t>三 招标文件</w:t>
      </w:r>
      <w:bookmarkEnd w:id="16"/>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tabs>
          <w:tab w:val="left" w:pos="312"/>
        </w:tabs>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8.1招标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kern w:val="0"/>
          <w:szCs w:val="21"/>
        </w:rPr>
        <w:t>招标</w:t>
      </w:r>
      <w:r>
        <w:rPr>
          <w:rFonts w:hint="eastAsia" w:ascii="仿宋_GB2312" w:hAnsi="仿宋_GB2312" w:eastAsia="仿宋_GB2312" w:cs="仿宋_GB2312"/>
        </w:rPr>
        <w:t>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17" w:name="_Toc4961_WPSOffice_Level2"/>
      <w:bookmarkStart w:id="18" w:name="_Toc24604_WPSOffice_Level2"/>
      <w:bookmarkStart w:id="19" w:name="_Toc188_WPSOffice_Level2"/>
      <w:bookmarkStart w:id="20" w:name="_Toc25935_WPSOffice_Level2"/>
      <w:r>
        <w:rPr>
          <w:rFonts w:hint="eastAsia" w:ascii="仿宋_GB2312" w:hAnsi="仿宋_GB2312" w:eastAsia="仿宋_GB2312" w:cs="仿宋_GB2312"/>
        </w:rPr>
        <w:t>投标人须知</w:t>
      </w:r>
      <w:bookmarkEnd w:id="17"/>
      <w:bookmarkEnd w:id="18"/>
      <w:bookmarkEnd w:id="19"/>
      <w:bookmarkEnd w:id="20"/>
    </w:p>
    <w:p>
      <w:pPr>
        <w:adjustRightInd w:val="0"/>
        <w:snapToGrid w:val="0"/>
        <w:spacing w:line="360" w:lineRule="auto"/>
        <w:ind w:firstLine="420" w:firstLineChars="200"/>
        <w:rPr>
          <w:rFonts w:ascii="仿宋_GB2312" w:hAnsi="仿宋_GB2312" w:eastAsia="仿宋_GB2312" w:cs="仿宋_GB2312"/>
        </w:rPr>
      </w:pPr>
      <w:bookmarkStart w:id="21" w:name="_Toc31424_WPSOffice_Level2"/>
      <w:bookmarkStart w:id="22" w:name="_Toc2443_WPSOffice_Level2"/>
      <w:bookmarkStart w:id="23" w:name="_Toc32235_WPSOffice_Level2"/>
      <w:bookmarkStart w:id="24" w:name="_Toc13276_WPSOffice_Level2"/>
      <w:r>
        <w:rPr>
          <w:rFonts w:hint="eastAsia" w:ascii="仿宋_GB2312" w:hAnsi="仿宋_GB2312" w:eastAsia="仿宋_GB2312" w:cs="仿宋_GB2312"/>
        </w:rPr>
        <w:t>第二章 投标文件内容及格式</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rPr>
      </w:pPr>
      <w:bookmarkStart w:id="25" w:name="_Toc4416_WPSOffice_Level2"/>
      <w:bookmarkStart w:id="26" w:name="_Toc24836_WPSOffice_Level2"/>
      <w:bookmarkStart w:id="27" w:name="_Toc16269_WPSOffice_Level2"/>
      <w:bookmarkStart w:id="28" w:name="_Toc7005_WPSOffice_Level2"/>
      <w:r>
        <w:rPr>
          <w:rFonts w:hint="eastAsia" w:ascii="仿宋_GB2312" w:hAnsi="仿宋_GB2312" w:eastAsia="仿宋_GB2312" w:cs="仿宋_GB2312"/>
        </w:rPr>
        <w:t>第三章 服务需求</w:t>
      </w:r>
      <w:bookmarkEnd w:id="25"/>
      <w:bookmarkEnd w:id="26"/>
      <w:bookmarkEnd w:id="27"/>
      <w:bookmarkEnd w:id="28"/>
    </w:p>
    <w:p>
      <w:pPr>
        <w:adjustRightInd w:val="0"/>
        <w:snapToGrid w:val="0"/>
        <w:spacing w:line="360" w:lineRule="auto"/>
        <w:ind w:firstLine="420" w:firstLineChars="200"/>
        <w:rPr>
          <w:rFonts w:ascii="仿宋_GB2312" w:hAnsi="仿宋_GB2312" w:eastAsia="仿宋_GB2312" w:cs="仿宋_GB2312"/>
        </w:rPr>
      </w:pPr>
      <w:bookmarkStart w:id="29" w:name="_Toc23459_WPSOffice_Level2"/>
      <w:bookmarkStart w:id="30" w:name="_Toc16294_WPSOffice_Level2"/>
      <w:bookmarkStart w:id="31" w:name="_Toc25382_WPSOffice_Level2"/>
      <w:bookmarkStart w:id="32" w:name="_Toc16119_WPSOffice_Level2"/>
      <w:r>
        <w:rPr>
          <w:rFonts w:hint="eastAsia" w:ascii="仿宋_GB2312" w:hAnsi="仿宋_GB2312" w:eastAsia="仿宋_GB2312" w:cs="仿宋_GB2312"/>
        </w:rPr>
        <w:t>第四章 评标方法</w:t>
      </w:r>
      <w:bookmarkEnd w:id="29"/>
      <w:bookmarkEnd w:id="30"/>
      <w:bookmarkEnd w:id="31"/>
      <w:bookmarkEnd w:id="32"/>
    </w:p>
    <w:p>
      <w:pPr>
        <w:adjustRightInd w:val="0"/>
        <w:snapToGrid w:val="0"/>
        <w:spacing w:line="360" w:lineRule="auto"/>
        <w:ind w:firstLine="420" w:firstLineChars="200"/>
        <w:rPr>
          <w:rFonts w:ascii="仿宋_GB2312" w:hAnsi="仿宋_GB2312" w:eastAsia="仿宋_GB2312" w:cs="仿宋_GB2312"/>
        </w:rPr>
      </w:pPr>
      <w:bookmarkStart w:id="33" w:name="_Toc28106_WPSOffice_Level2"/>
      <w:bookmarkStart w:id="34" w:name="_Toc9629_WPSOffice_Level2"/>
      <w:bookmarkStart w:id="35" w:name="_Toc16368_WPSOffice_Level2"/>
      <w:bookmarkStart w:id="36" w:name="_Toc17794_WPSOffice_Level2"/>
      <w:r>
        <w:rPr>
          <w:rFonts w:hint="eastAsia" w:ascii="仿宋_GB2312" w:hAnsi="仿宋_GB2312" w:eastAsia="仿宋_GB2312" w:cs="仿宋_GB2312"/>
        </w:rPr>
        <w:t>第五章 政府采购合同条款及格式</w:t>
      </w:r>
      <w:bookmarkEnd w:id="33"/>
      <w:bookmarkEnd w:id="34"/>
      <w:bookmarkEnd w:id="35"/>
      <w:bookmarkEnd w:id="36"/>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pStyle w:val="4"/>
        <w:rPr>
          <w:rFonts w:ascii="仿宋_GB2312" w:hAnsi="仿宋_GB2312" w:eastAsia="仿宋_GB2312" w:cs="仿宋_GB2312"/>
          <w:sz w:val="32"/>
          <w:szCs w:val="28"/>
        </w:rPr>
      </w:pPr>
      <w:bookmarkStart w:id="37" w:name="_Toc7415_WPSOffice_Level2"/>
      <w:r>
        <w:rPr>
          <w:rFonts w:hint="eastAsia" w:ascii="仿宋_GB2312" w:hAnsi="仿宋_GB2312" w:eastAsia="仿宋_GB2312" w:cs="仿宋_GB2312"/>
          <w:sz w:val="32"/>
          <w:szCs w:val="28"/>
        </w:rPr>
        <w:t>四 投标文件的编制</w:t>
      </w:r>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★10.2投标人应当对所投分包在招标文件“服务需求”中所列的所有服务内容进行投标，如仅响应分包中某一部分内容，其该包投标将被认定为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10.3无论招标文件第三章 服务需求中是否要求，投标人所投的服务均应符合国家强制性标准。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11.3样品或演示要求详见投标人须知表11.3条。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12.2投标人应按招标文件要求在相关表格中标明投标服务及伴随货物的单价和总价，并由法定代表人（非法人组织的负责人）或其委托代理人签署。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12.3投标人所报的各分项投标单价在合同履行过程中是固定不变的，不得以任何理由予以变更。任何包含价格调整要求的投标，其投标将被认定为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12.4每种服务只能有一个投标报价。采购人不接受具有附加条件的报价。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8" w:name="_Toc22507_WPSOffice_Level2"/>
      <w:bookmarkStart w:id="39" w:name="_Toc31973_WPSOffice_Level2"/>
      <w:r>
        <w:rPr>
          <w:rFonts w:hint="eastAsia" w:ascii="仿宋_GB2312" w:hAnsi="仿宋_GB2312" w:eastAsia="仿宋_GB2312" w:cs="仿宋_GB2312"/>
          <w:szCs w:val="21"/>
        </w:rPr>
        <w:t>12.5除非招标文件另有规定，报价原则上精确到小数点后两位。</w:t>
      </w:r>
      <w:bookmarkEnd w:id="38"/>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13.1投标人应提交投标人须知表13.1条中规定的投标保证金，并作为其投标的一部分。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（2）中标后不按本须知第34条的规定与采购人签订合同的;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（3）中标后不按本须知第35条的规定提交履约保证金的;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（4）中标后不按本须知第36条的规定缴纳采购代理服务费的;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14.2上条所述的证明文件，可以是文字资料、图纸和数据。</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15.1投标应在投标人须知表15.1条中规定的投标有效期内保持有效。投标有效期不满足要求的投标，其投标将被认定为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numPr>
          <w:ilvl w:val="0"/>
          <w:numId w:val="4"/>
        </w:num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投标文件的签署及规定</w:t>
      </w:r>
      <w:bookmarkStart w:id="40" w:name="_Toc27725_WPSOffice_Level2"/>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16.1、本项目实行电子招投标响应，供应商须登录政采云平台申请获取采购文件，并需要使用CA锁，登录政采云电子投标客户端制作响应文件，若供应商参与投标,自行承担与投标有关的一切费用。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16.2、各供应商应在开标前确保是新疆维吾尔自治区政府采购网正式注册入库的供应商，并完成CA数字证书申领。因未注册入库、未办理CA数字证书等原因造成无法投标或投标失败等后果的由供应商自行承担。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16.4、供应商在开标时须携带制作加密电子响应文件所使用的CA锁，电脑须提前配置好浏览器（建议使用360浏览器或谷歌浏览器），以便开标时在线解密。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16.5、投标供应商应当在投标截止时间前，将生成的“电子加密响应文件”上传递交至“政采云”平台，投标截止时间以后上传递交的响应文件将被“政采云”平台拒收。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16.6、其他内容详见采购文件。</w:t>
      </w:r>
    </w:p>
    <w:p>
      <w:pPr>
        <w:pStyle w:val="4"/>
        <w:adjustRightInd w:val="0"/>
        <w:snapToGrid w:val="0"/>
        <w:spacing w:before="312" w:beforeLines="100" w:after="0" w:line="360" w:lineRule="auto"/>
        <w:rPr>
          <w:rFonts w:ascii="仿宋_GB2312" w:hAnsi="仿宋_GB2312" w:eastAsia="仿宋_GB2312" w:cs="仿宋_GB2312"/>
          <w:b w:val="0"/>
          <w:sz w:val="21"/>
          <w:szCs w:val="21"/>
        </w:rPr>
      </w:pPr>
      <w:r>
        <w:rPr>
          <w:rFonts w:hint="eastAsia" w:ascii="仿宋_GB2312" w:hAnsi="仿宋_GB2312" w:eastAsia="仿宋_GB2312" w:cs="仿宋_GB2312"/>
        </w:rPr>
        <w:t>五 响应文件的递交</w:t>
      </w:r>
    </w:p>
    <w:bookmarkEnd w:id="40"/>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★17.递交响应文件截止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17.1、本项目为全流程电子开评标项目，供应商须在响应文件递交截止时间前制作并提交：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加密的响应文件（jmbs格式），并在文件领取开始时间至响应文件递交截止时间前通过“政采云平台”上传；上传时必须得到电脑“上传成功”的确认。请供应商在上传时认真检查上传响应文件是否完整、正确。</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17.2文件格式所要求包含的全部资料应全部制作在响应文件内，严格按照本项目文件所有格式如实填写（不涉及的内容除外），不应存在漏项或缺项，否则将存在响应文件被拒绝的风险。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17.3响应文件以外的任何资料采购人将拒收。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17.4供应商编辑电子响应文件时，根据文件要求用法人CA秘钥和企业CA秘钥进行签章制作；最后一步生成电子征集响应文件（jmbs格式）时，只能用本单位的企业CA秘钥加密。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17.5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 投标文件的接收、修改与撤回</w:t>
      </w:r>
    </w:p>
    <w:p>
      <w:pPr>
        <w:adjustRightInd w:val="0"/>
        <w:snapToGrid w:val="0"/>
        <w:spacing w:line="360" w:lineRule="auto"/>
        <w:rPr>
          <w:rFonts w:ascii="仿宋_GB2312" w:hAnsi="仿宋_GB2312" w:eastAsia="仿宋_GB2312" w:cs="仿宋_GB2312"/>
          <w:szCs w:val="21"/>
        </w:rPr>
      </w:pPr>
      <w:bookmarkStart w:id="41" w:name="_Toc988_WPSOffice_Level2"/>
      <w:bookmarkStart w:id="42" w:name="_Toc4544_WPSOffice_Level2"/>
      <w:r>
        <w:rPr>
          <w:rFonts w:hint="eastAsia" w:ascii="仿宋_GB2312" w:hAnsi="仿宋_GB2312" w:eastAsia="仿宋_GB2312" w:cs="仿宋_GB2312"/>
          <w:szCs w:val="21"/>
        </w:rPr>
        <w:t>18.1 供应商在响应文件规定的递交截止时间前，将响应文件按供应商须知第16条规定解密递交。未按文件要求将加密递交的响应文件将被拒绝。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18.2不接受邮寄的征集响应文件。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18.3供应商在递交了征集响应文件后，可以修改或撤回其征集响应文件，但必须在规定的递交截止时间前，以书面形式通知采购代理机构。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18.4在递交截止时间之后，供应商不得对其递交的征集响应文件作任何修改或撤回。</w:t>
      </w:r>
    </w:p>
    <w:p>
      <w:pPr>
        <w:adjustRightInd w:val="0"/>
        <w:snapToGrid w:val="0"/>
        <w:spacing w:line="360" w:lineRule="auto"/>
        <w:jc w:val="center"/>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4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20.1.1代理单位按照文件规定的时间，地点组织开标。响应文件递交截止时间前一小时内，各投标供应商的法定代表人或委托代理人均提前进入网上开标大厅，选择进入对应标段的开标会议区在线签到。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20.1.2有重大偏离的响应文件将被拒绝。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20.1.3 开标程序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1）主持人登录网上开标大厅，进入不见面开标系统，选择本项目进行网上开标。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2）各供应商的授权委托人或法定代表人需在响应文件递交截止时间前一小时内进入网上开标大厅。响应文件递交截止时间截止后，根据主持人的要求在规定的时间内进行征集响应文件的解密。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3）主持人在供应商全部解密响应文件成功后，导入全部投标响应文件，根据投标报价进行唱标环节。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4）唱标环节结束后，供应商确认有无异议，若供应商有异议，可一一作出答复，所有供应商确认无异议后开标结束。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5）开标结束，采购代理机构对开标过程进行记录，并存档备查。转入评标阶段。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6）招标代理人对开标过程进行记录，并存档备查；</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21评标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详见文件第四部分 评标办法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22响应文件的澄清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22.3.1评标委员会有权请供应商就响应文件中的有关问题予以书面说明和澄清。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22.3.2 供应商对要求说明和澄清的问题应以书面形式明确答复，并应有法定代表人或其授权代表的签字。</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22.3.3 供应商的澄清文件是响应文件的组成部分，并替代响应文件中被澄清的部分。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22.3.4 响应文件的澄清不得超出响应文件的范围或者改变投标的实质内容。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23.废标条件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23.1未按照文件的规定提交投标保证金的；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23.2响应文件未按征集文件要求签字、盖章的；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23.3不具备文件中规定的资格要求的；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23.4报价超过文件中规定的最高限价的；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23.5投标截止时间以后送达；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23.6无法人身份证明书的或无法定代表人出具的授权委托书的；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23.7响应文件的内容不全、扫描件不清晰或者关键内容字迹模糊、无法辨认的；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23.8供应商递交两份或多份内容不同的响应文件，或在一份响应文件中对同一招标货物报有两个或多个报价的；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23.9响应文件含有采购人不能接受的附加条件的；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23.10供应商以他人名义投标、响应文件雷同或者以弄虚作假等方式投标的；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23.11出现其他不符合法律法规和不满足文件实质性要求的其他情形；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23.12未按照文件格式制作响应文件的；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23.13响应文件中所附证件或证明材料无效不能实质性响应征集文件的；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23.4如采购人所采购产品为政府强制采购产品，供应商所投产品不属于品目清单范围内或未在认证证书有效期内的。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23.15文件中明确规定可以废标的其他情形；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23.16违反法律、法规及有关规定的其他行为。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24有下列情形之一的，视为供应商串通投标，其投标无效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24.1不同供应商的响应文件由同一单位或者个人编制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24.2不同供应商委托同一单位或者个人办理投标事宜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24.3不同供应商的响应文件载明的项目管理成员或者联系人员为同一人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24.4不同供应商的响应文件异常一致或者投标报价呈规律性差异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24.5不同供应商的响应文件互相混装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24.6不同供应商的投标保证金从同一单位或者个人的账户转出。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25其它</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25.1评标委员会有权选择和拒绝供应商中标。评标委员会无义务向供应商进行任何有关评标的解释。</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25.2供应商在评标过程中，所进行的力图影响评标结果的不符合招标规定的活动，可能导致其被取消中标资格。</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26.比较与评价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26.2评标严格按照招标文件的要求和条件进行。根据实际情况，在投标人须知表27.2条中规定采用下列一种评标方法，详细评标标准见第四章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10-20%后参与评审。具体详见第四章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28.中标候选人的推荐原则及标准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（2）采用综合评分法的，评标结果按评审后得分由高到低顺序排列。得分相同的，按第四章评标办法规定执行。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28.2评标委员会将根据评标标准，按投标人须知表29.2条中规定的数量推荐中标候选人。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七 确定中标</w:t>
      </w:r>
      <w:bookmarkEnd w:id="4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33.1采购人或者采购代理机构应当自中标人确定之日起2个工作日内，在</w:t>
      </w:r>
      <w:r>
        <w:rPr>
          <w:rFonts w:eastAsia="楷体"/>
          <w:sz w:val="24"/>
        </w:rPr>
        <w:t>新疆政府采购网</w:t>
      </w:r>
      <w:r>
        <w:rPr>
          <w:rFonts w:hint="eastAsia" w:ascii="仿宋_GB2312" w:hAnsi="仿宋_GB2312" w:eastAsia="仿宋_GB2312" w:cs="仿宋_GB2312"/>
          <w:szCs w:val="21"/>
        </w:rPr>
        <w:t>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35.1中标人应按照投标人须知表35.1条规定向采购人缴纳履约保证金。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中标人须按照投标须知表36条规定，向采购代理机构支付采购代理服务费。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 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 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本项目采购人及其委托的采购代理机构将严格按照政府采购相关法律法规的要求进行验收。</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3" w:bottom="1440" w:left="1803" w:header="851" w:footer="992" w:gutter="0"/>
          <w:pgNumType w:start="1"/>
          <w:cols w:space="720" w:num="1"/>
          <w:docGrid w:type="linesAndChars" w:linePitch="312" w:charSpace="0"/>
        </w:sectPr>
      </w:pPr>
    </w:p>
    <w:p>
      <w:pPr>
        <w:pStyle w:val="3"/>
        <w:snapToGrid w:val="0"/>
        <w:spacing w:before="0" w:after="0"/>
        <w:rPr>
          <w:rFonts w:ascii="仿宋_GB2312" w:hAnsi="仿宋_GB2312" w:eastAsia="仿宋_GB2312" w:cs="仿宋_GB2312"/>
        </w:rPr>
      </w:pPr>
      <w:bookmarkStart w:id="43" w:name="_Toc17725_WPSOffice_Level1"/>
      <w:bookmarkStart w:id="44" w:name="_Toc20672"/>
      <w:bookmarkStart w:id="45" w:name="_Toc13351"/>
      <w:r>
        <w:rPr>
          <w:rFonts w:hint="eastAsia" w:ascii="仿宋_GB2312" w:hAnsi="仿宋_GB2312" w:eastAsia="仿宋_GB2312" w:cs="仿宋_GB2312"/>
        </w:rPr>
        <w:t>第二章 投标文件内容及格式</w:t>
      </w:r>
      <w:bookmarkEnd w:id="43"/>
      <w:bookmarkEnd w:id="44"/>
      <w:bookmarkEnd w:id="45"/>
    </w:p>
    <w:p>
      <w:pPr>
        <w:rPr>
          <w:rFonts w:ascii="仿宋_GB2312" w:hAnsi="仿宋_GB2312" w:eastAsia="仿宋_GB2312" w:cs="仿宋_GB2312"/>
          <w:b/>
          <w:sz w:val="24"/>
        </w:rPr>
      </w:pPr>
      <w:bookmarkStart w:id="46" w:name="投标文件内容及格式：Block"/>
      <w:bookmarkEnd w:id="46"/>
      <w:bookmarkStart w:id="47" w:name="sys_投标文件内容及格式：Block"/>
      <w:bookmarkEnd w:id="47"/>
      <w:bookmarkStart w:id="48" w:name="_Toc2481_WPSOffice_Level2"/>
      <w:bookmarkStart w:id="49" w:name="_Toc1538_WPSOffice_Level2"/>
      <w:r>
        <w:rPr>
          <w:rFonts w:hint="eastAsia" w:ascii="仿宋_GB2312" w:hAnsi="仿宋_GB2312" w:eastAsia="仿宋_GB2312" w:cs="仿宋_GB2312"/>
          <w:b/>
          <w:sz w:val="24"/>
        </w:rPr>
        <w:t>一、投标文件、电子文档的外封面、封口、封皮及目录</w:t>
      </w:r>
      <w:bookmarkEnd w:id="48"/>
      <w:bookmarkEnd w:id="49"/>
    </w:p>
    <w:tbl>
      <w:tblPr>
        <w:tblStyle w:val="1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3"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50" w:name="_Toc1266_WPSOffice_Level2"/>
      <w:bookmarkStart w:id="51" w:name="_Toc31052_WPSOffice_Level2"/>
      <w:r>
        <w:rPr>
          <w:rFonts w:hint="eastAsia" w:ascii="仿宋_GB2312" w:hAnsi="仿宋_GB2312" w:eastAsia="仿宋_GB2312" w:cs="仿宋_GB2312"/>
          <w:b/>
          <w:sz w:val="24"/>
        </w:rPr>
        <w:t>二、资格证明材料</w:t>
      </w:r>
      <w:bookmarkEnd w:id="50"/>
      <w:bookmarkEnd w:id="51"/>
      <w:r>
        <w:rPr>
          <w:rFonts w:hint="eastAsia" w:ascii="仿宋_GB2312" w:hAnsi="仿宋_GB2312" w:eastAsia="仿宋_GB2312" w:cs="仿宋_GB2312"/>
          <w:b/>
          <w:sz w:val="24"/>
        </w:rPr>
        <w:t>（有一项不符合要求，不能进入下一阶段评审）</w:t>
      </w:r>
    </w:p>
    <w:tbl>
      <w:tblPr>
        <w:tblStyle w:val="14"/>
        <w:tblW w:w="8339" w:type="dxa"/>
        <w:tblInd w:w="0" w:type="dxa"/>
        <w:tblLayout w:type="fixed"/>
        <w:tblCellMar>
          <w:top w:w="0" w:type="dxa"/>
          <w:left w:w="0" w:type="dxa"/>
          <w:bottom w:w="0" w:type="dxa"/>
          <w:right w:w="0" w:type="dxa"/>
        </w:tblCellMar>
      </w:tblPr>
      <w:tblGrid>
        <w:gridCol w:w="666"/>
        <w:gridCol w:w="6924"/>
        <w:gridCol w:w="749"/>
      </w:tblGrid>
      <w:tr>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52" w:name="资格性证明材料：Document"/>
            <w:bookmarkStart w:id="53" w:name="sys_资格性证明材料：Document"/>
            <w:r>
              <w:rPr>
                <w:rFonts w:hint="eastAsia" w:ascii="仿宋_GB2312" w:hAnsi="仿宋_GB2312" w:eastAsia="仿宋_GB2312" w:cs="仿宋_GB2312"/>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其它资格证明文件（如适用，按投标人须知表1.3.4要求描述）</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信用记录（采购人或采购代理机构将按照招标文件规定的审查期间内进行查询）</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bookmarkStart w:id="54" w:name="_Toc25206_WPSOffice_Level2"/>
            <w:bookmarkStart w:id="55" w:name="_Toc22359_WPSOffice_Level2"/>
            <w:r>
              <w:rPr>
                <w:rFonts w:hint="eastAsia" w:ascii="仿宋_GB2312" w:hAnsi="仿宋_GB2312" w:eastAsia="仿宋_GB2312" w:cs="仿宋_GB2312"/>
                <w:szCs w:val="21"/>
                <w:lang w:val="en-US" w:eastAsia="zh-CN"/>
              </w:rPr>
              <w:t>15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中小企业声明函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r>
    </w:tbl>
    <w:p>
      <w:pPr>
        <w:snapToGrid w:val="0"/>
        <w:spacing w:before="159" w:beforeLines="50"/>
        <w:rPr>
          <w:rFonts w:hint="eastAsia" w:ascii="仿宋_GB2312" w:hAnsi="仿宋_GB2312" w:eastAsia="仿宋_GB2312" w:cs="仿宋_GB2312"/>
          <w:b/>
          <w:sz w:val="24"/>
        </w:rPr>
      </w:pPr>
    </w:p>
    <w:p>
      <w:pPr>
        <w:snapToGrid w:val="0"/>
        <w:spacing w:before="159" w:beforeLines="50"/>
        <w:rPr>
          <w:rFonts w:hint="eastAsia" w:ascii="仿宋_GB2312" w:hAnsi="仿宋_GB2312" w:eastAsia="仿宋_GB2312" w:cs="仿宋_GB2312"/>
          <w:b/>
          <w:sz w:val="24"/>
        </w:rPr>
      </w:pPr>
    </w:p>
    <w:p>
      <w:pPr>
        <w:snapToGrid w:val="0"/>
        <w:spacing w:before="159"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54"/>
      <w:bookmarkEnd w:id="55"/>
      <w:r>
        <w:rPr>
          <w:rFonts w:hint="eastAsia" w:ascii="仿宋_GB2312" w:hAnsi="仿宋_GB2312" w:eastAsia="仿宋_GB2312" w:cs="仿宋_GB2312"/>
          <w:b/>
          <w:sz w:val="24"/>
        </w:rPr>
        <w:t>（有一项不符合要求，不能进入下一阶段评审）</w:t>
      </w:r>
    </w:p>
    <w:bookmarkEnd w:id="52"/>
    <w:bookmarkEnd w:id="53"/>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服务价格明细表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服务需求响应表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8</w:t>
            </w:r>
          </w:p>
        </w:tc>
        <w:tc>
          <w:tcPr>
            <w:tcW w:w="6957" w:type="dxa"/>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snapToGrid w:val="0"/>
        <w:spacing w:before="159" w:beforeLines="50"/>
        <w:rPr>
          <w:rFonts w:ascii="仿宋_GB2312" w:hAnsi="仿宋_GB2312" w:eastAsia="仿宋_GB2312" w:cs="仿宋_GB2312"/>
          <w:b/>
          <w:sz w:val="24"/>
        </w:rPr>
      </w:pPr>
      <w:bookmarkStart w:id="56" w:name="_Toc27769_WPSOffice_Level2"/>
      <w:bookmarkStart w:id="57" w:name="_Toc24432_WPSOffice_Level2"/>
      <w:r>
        <w:rPr>
          <w:rFonts w:hint="eastAsia" w:ascii="仿宋_GB2312" w:hAnsi="仿宋_GB2312" w:eastAsia="仿宋_GB2312" w:cs="仿宋_GB2312"/>
          <w:b/>
          <w:sz w:val="24"/>
        </w:rPr>
        <w:t>四、其他材料</w:t>
      </w:r>
      <w:bookmarkEnd w:id="56"/>
      <w:bookmarkEnd w:id="57"/>
      <w:r>
        <w:rPr>
          <w:rFonts w:hint="eastAsia" w:ascii="仿宋_GB2312" w:hAnsi="仿宋_GB2312" w:eastAsia="仿宋_GB2312" w:cs="仿宋_GB2312"/>
          <w:b/>
          <w:sz w:val="24"/>
        </w:rPr>
        <w:t>（如有，请提供；如未提供，投标文件不作无效处理）</w:t>
      </w:r>
    </w:p>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kern w:val="0"/>
                <w:szCs w:val="21"/>
              </w:rPr>
              <w:t>监狱企业证明文件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szCs w:val="21"/>
              </w:rPr>
              <w:t>制造商企业（单位）类型声明函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残疾人福利性单位声明函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聘用建档立卡贫困人员物业公司声明函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pPr>
              <w:adjustRightInd w:val="0"/>
              <w:snapToGrid w:val="0"/>
              <w:jc w:val="center"/>
              <w:rPr>
                <w:rFonts w:ascii="仿宋_GB2312" w:hAnsi="仿宋_GB2312" w:eastAsia="仿宋_GB2312" w:cs="仿宋_GB2312"/>
                <w:kern w:val="0"/>
                <w:szCs w:val="21"/>
              </w:rPr>
            </w:pPr>
          </w:p>
        </w:tc>
        <w:tc>
          <w:tcPr>
            <w:tcW w:w="6957" w:type="dxa"/>
            <w:vAlign w:val="center"/>
          </w:tcPr>
          <w:p>
            <w:pPr>
              <w:pStyle w:val="31"/>
              <w:adjustRightInd w:val="0"/>
              <w:snapToGrid w:val="0"/>
              <w:ind w:left="25" w:leftChars="12"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00" w:lineRule="exact"/>
        <w:ind w:firstLine="480"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 </w:t>
      </w:r>
      <w:bookmarkStart w:id="58" w:name="_Toc23127_WPSOffice_Level2"/>
      <w:bookmarkStart w:id="59" w:name="_Toc24011_WPSOffice_Level2"/>
      <w:r>
        <w:rPr>
          <w:rFonts w:hint="eastAsia" w:ascii="仿宋_GB2312" w:hAnsi="仿宋_GB2312" w:eastAsia="仿宋_GB2312" w:cs="仿宋_GB2312"/>
          <w:b/>
          <w:sz w:val="24"/>
        </w:rPr>
        <w:t>重要提示：</w:t>
      </w:r>
      <w:bookmarkEnd w:id="58"/>
      <w:bookmarkEnd w:id="59"/>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3、投标文件应用中文书写。投标文件中所附或所引用的材料不是中文时，应附中文译本，并加盖公章（自然人投标的，无需加盖单位公章，需要签字）。</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60" w:name="_Toc26322_WPSOffice_Level2"/>
      <w:bookmarkStart w:id="61" w:name="_Toc21090_WPSOffice_Level2"/>
      <w:r>
        <w:rPr>
          <w:rFonts w:hint="eastAsia" w:ascii="仿宋_GB2312" w:hAnsi="仿宋_GB2312" w:eastAsia="仿宋_GB2312" w:cs="仿宋_GB2312"/>
          <w:b/>
          <w:bCs/>
          <w:sz w:val="32"/>
          <w:szCs w:val="32"/>
        </w:rPr>
        <w:t>投标文件、电子文档外封面、封口格式</w:t>
      </w:r>
      <w:bookmarkEnd w:id="60"/>
      <w:bookmarkEnd w:id="6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4"/>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62" w:name="_Toc2304_WPSOffice_Level2"/>
      <w:bookmarkStart w:id="63" w:name="_Toc21414_WPSOffice_Level2"/>
      <w:r>
        <w:rPr>
          <w:rFonts w:hint="eastAsia" w:ascii="仿宋_GB2312" w:hAnsi="仿宋_GB2312" w:eastAsia="仿宋_GB2312" w:cs="仿宋_GB2312"/>
          <w:b/>
          <w:sz w:val="32"/>
          <w:szCs w:val="32"/>
        </w:rPr>
        <w:t>目  录</w:t>
      </w:r>
      <w:bookmarkEnd w:id="62"/>
      <w:bookmarkEnd w:id="63"/>
    </w:p>
    <w:p>
      <w:pPr>
        <w:rPr>
          <w:rFonts w:ascii="仿宋_GB2312" w:hAnsi="仿宋_GB2312" w:eastAsia="仿宋_GB2312" w:cs="仿宋_GB2312"/>
        </w:rPr>
      </w:pPr>
      <w:bookmarkStart w:id="64" w:name="_Toc30940_WPSOffice_Level2"/>
      <w:bookmarkStart w:id="65" w:name="_Toc7636_WPSOffice_Level2"/>
      <w:r>
        <w:rPr>
          <w:rFonts w:hint="eastAsia" w:ascii="仿宋_GB2312" w:hAnsi="仿宋_GB2312" w:eastAsia="仿宋_GB2312" w:cs="仿宋_GB2312"/>
        </w:rPr>
        <w:t>一、资格证明材料</w:t>
      </w:r>
      <w:bookmarkEnd w:id="64"/>
      <w:bookmarkEnd w:id="65"/>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6" w:name="_Toc31702_WPSOffice_Level2"/>
      <w:bookmarkStart w:id="67" w:name="_Toc13950_WPSOffice_Level2"/>
      <w:r>
        <w:rPr>
          <w:rFonts w:hint="eastAsia" w:ascii="仿宋_GB2312" w:hAnsi="仿宋_GB2312" w:eastAsia="仿宋_GB2312" w:cs="仿宋_GB2312"/>
        </w:rPr>
        <w:t>二、符合性证明材料</w:t>
      </w:r>
      <w:bookmarkEnd w:id="66"/>
      <w:bookmarkEnd w:id="6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8" w:name="_Toc9090_WPSOffice_Level2"/>
      <w:bookmarkStart w:id="69" w:name="_Toc14854_WPSOffice_Level2"/>
      <w:r>
        <w:rPr>
          <w:rFonts w:hint="eastAsia" w:ascii="仿宋_GB2312" w:hAnsi="仿宋_GB2312" w:eastAsia="仿宋_GB2312" w:cs="仿宋_GB2312"/>
        </w:rPr>
        <w:t>三、其它材料</w:t>
      </w:r>
      <w:bookmarkEnd w:id="68"/>
      <w:bookmarkEnd w:id="69"/>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我单位的投标文件由资格证明材料、符合性证明材料和其它材料三部分组成，在此加盖单位公章并由法定代表人（或非法人组织负责人）或其授权委托人签字，保证投标文件中所有材料真实、有效。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bookmarkStart w:id="70" w:name="_Toc3401_WPSOffice_Level2"/>
      <w:bookmarkStart w:id="71" w:name="_Toc16924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70"/>
      <w:bookmarkEnd w:id="7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72" w:name="_Toc122_WPSOffice_Level2"/>
      <w:bookmarkStart w:id="73" w:name="_Toc21833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72"/>
      <w:bookmarkEnd w:id="7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74" w:name="_Toc12037_WPSOffice_Level2"/>
      <w:bookmarkStart w:id="75" w:name="_Toc23728_WPSOffice_Level2"/>
      <w:r>
        <w:rPr>
          <w:rFonts w:hint="eastAsia" w:ascii="仿宋_GB2312" w:hAnsi="仿宋_GB2312" w:eastAsia="仿宋_GB2312" w:cs="仿宋_GB2312"/>
          <w:b/>
          <w:sz w:val="32"/>
          <w:szCs w:val="32"/>
        </w:rPr>
        <w:t>具备履行合同所必需的设备和专业技术能力声明函</w:t>
      </w:r>
      <w:bookmarkEnd w:id="74"/>
      <w:bookmarkEnd w:id="7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76" w:name="_Toc28831_WPSOffice_Level2"/>
      <w:bookmarkStart w:id="77" w:name="_Toc1917_WPSOffice_Level2"/>
      <w:r>
        <w:rPr>
          <w:rFonts w:hint="eastAsia" w:ascii="仿宋_GB2312" w:hAnsi="仿宋_GB2312" w:eastAsia="仿宋_GB2312" w:cs="仿宋_GB2312"/>
          <w:sz w:val="28"/>
          <w:szCs w:val="28"/>
        </w:rPr>
        <w:t>（格式自拟）</w:t>
      </w:r>
      <w:bookmarkEnd w:id="76"/>
      <w:bookmarkEnd w:id="7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78" w:name="_Toc7498_WPSOffice_Level2"/>
      <w:bookmarkStart w:id="79" w:name="_Toc11967_WPSOffice_Level2"/>
      <w:r>
        <w:rPr>
          <w:rFonts w:hint="eastAsia" w:ascii="仿宋_GB2312" w:hAnsi="仿宋_GB2312" w:eastAsia="仿宋_GB2312" w:cs="仿宋_GB2312"/>
          <w:b/>
          <w:sz w:val="32"/>
          <w:szCs w:val="32"/>
        </w:rPr>
        <w:t>参加政府采购活动前3年内在经营活动中没有重大违法记录的书面声明</w:t>
      </w:r>
      <w:bookmarkEnd w:id="78"/>
      <w:bookmarkEnd w:id="7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0" w:name="_Toc16873_WPSOffice_Level2"/>
      <w:bookmarkStart w:id="81" w:name="_Toc30548_WPSOffice_Level2"/>
      <w:r>
        <w:rPr>
          <w:rFonts w:hint="eastAsia" w:ascii="仿宋_GB2312" w:hAnsi="仿宋_GB2312" w:eastAsia="仿宋_GB2312" w:cs="仿宋_GB2312"/>
          <w:b/>
          <w:sz w:val="32"/>
          <w:szCs w:val="32"/>
        </w:rPr>
        <w:t>联合体协议书</w:t>
      </w:r>
      <w:bookmarkEnd w:id="80"/>
      <w:bookmarkEnd w:id="81"/>
    </w:p>
    <w:p>
      <w:pPr>
        <w:pStyle w:val="7"/>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7"/>
        <w:spacing w:line="360" w:lineRule="auto"/>
        <w:ind w:firstLine="420" w:firstLineChars="200"/>
        <w:rPr>
          <w:rFonts w:ascii="仿宋_GB2312" w:hAnsi="仿宋_GB2312" w:eastAsia="仿宋_GB2312" w:cs="仿宋_GB2312"/>
          <w:u w:val="single"/>
        </w:rPr>
      </w:pPr>
      <w:bookmarkStart w:id="82" w:name="_Toc23749_WPSOffice_Level2"/>
      <w:bookmarkStart w:id="83" w:name="_Toc15561_WPSOffice_Level2"/>
      <w:r>
        <w:rPr>
          <w:rFonts w:hint="eastAsia" w:ascii="仿宋_GB2312" w:hAnsi="仿宋_GB2312" w:eastAsia="仿宋_GB2312" w:cs="仿宋_GB2312"/>
        </w:rPr>
        <w:t>1.</w:t>
      </w:r>
      <w:bookmarkEnd w:id="82"/>
      <w:bookmarkEnd w:id="83"/>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4" w:name="_Toc22173_WPSOffice_Level2"/>
      <w:bookmarkStart w:id="85" w:name="_Toc405_WPSOffice_Level2"/>
      <w:r>
        <w:rPr>
          <w:rFonts w:hint="eastAsia" w:ascii="仿宋_GB2312" w:hAnsi="仿宋_GB2312" w:eastAsia="仿宋_GB2312" w:cs="仿宋_GB2312"/>
        </w:rPr>
        <w:t>2.</w:t>
      </w:r>
      <w:bookmarkEnd w:id="84"/>
      <w:bookmarkEnd w:id="85"/>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6" w:name="_Toc7084_WPSOffice_Level2"/>
      <w:bookmarkStart w:id="87" w:name="_Toc23482_WPSOffice_Level2"/>
      <w:r>
        <w:rPr>
          <w:rFonts w:hint="eastAsia" w:ascii="仿宋_GB2312" w:hAnsi="仿宋_GB2312" w:eastAsia="仿宋_GB2312" w:cs="仿宋_GB2312"/>
        </w:rPr>
        <w:t>3.</w:t>
      </w:r>
      <w:bookmarkEnd w:id="86"/>
      <w:bookmarkEnd w:id="87"/>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8" w:name="_Toc14782_WPSOffice_Level2"/>
      <w:bookmarkStart w:id="89" w:name="_Toc24841_WPSOffice_Level2"/>
      <w:r>
        <w:rPr>
          <w:rFonts w:hint="eastAsia" w:ascii="仿宋_GB2312" w:hAnsi="仿宋_GB2312" w:eastAsia="仿宋_GB2312" w:cs="仿宋_GB2312"/>
          <w:b/>
          <w:sz w:val="32"/>
          <w:szCs w:val="32"/>
        </w:rPr>
        <w:t>投标函</w:t>
      </w:r>
      <w:bookmarkEnd w:id="88"/>
      <w:bookmarkEnd w:id="8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1、加密的电子征集响应文件（jmbs），应在文件领取开始时间至征集响应文件递交截止时间前通过 “新疆政采云平台”上传，开标时须使用 CA 秘钥进行文件解密工作。</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2、未加密的电子征集响应文件（jmbs格式）壹份，Word版本壹份，在开标截止时间前上传至政采云与开标现场解密的电子征集响应文件一致。</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人民币元的投标保证金。并同时宣布愿意遵守下列条款：</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firstLine="476" w:firstLineChars="227"/>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0" w:name="_Toc2673_WPSOffice_Level2"/>
      <w:bookmarkStart w:id="91" w:name="_Toc11267_WPSOffice_Level2"/>
      <w:r>
        <w:rPr>
          <w:rFonts w:hint="eastAsia" w:ascii="仿宋_GB2312" w:hAnsi="仿宋_GB2312" w:eastAsia="仿宋_GB2312" w:cs="仿宋_GB2312"/>
          <w:b/>
          <w:bCs/>
          <w:sz w:val="32"/>
          <w:szCs w:val="32"/>
        </w:rPr>
        <w:t>开标一览表</w:t>
      </w:r>
      <w:bookmarkEnd w:id="90"/>
      <w:bookmarkEnd w:id="9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right="-33" w:rightChars="-16"/>
              <w:jc w:val="center"/>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1252" w:type="dxa"/>
            <w:vAlign w:val="center"/>
          </w:tcPr>
          <w:p>
            <w:pPr>
              <w:adjustRightInd w:val="0"/>
              <w:snapToGrid w:val="0"/>
              <w:ind w:right="-42" w:rightChars="-20"/>
              <w:jc w:val="center"/>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0" w:rightChars="500"/>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服务价格明细表</w:t>
      </w:r>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07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122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123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457"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注：1.此表中，总价应和开标一览表的投标总价相一致。</w:t>
      </w:r>
    </w:p>
    <w:p>
      <w:pPr>
        <w:adjustRightInd w:val="0"/>
        <w:snapToGrid w:val="0"/>
        <w:spacing w:line="360" w:lineRule="auto"/>
        <w:ind w:right="105" w:rightChars="50" w:firstLine="840" w:firstLineChars="400"/>
        <w:jc w:val="left"/>
        <w:rPr>
          <w:rFonts w:ascii="仿宋_GB2312" w:hAnsi="仿宋_GB2312" w:eastAsia="仿宋_GB2312" w:cs="仿宋_GB2312"/>
          <w:szCs w:val="21"/>
        </w:rPr>
      </w:pPr>
      <w:r>
        <w:rPr>
          <w:rFonts w:hint="eastAsia" w:ascii="仿宋_GB2312" w:hAnsi="仿宋_GB2312" w:eastAsia="仿宋_GB2312" w:cs="仿宋_GB2312"/>
          <w:szCs w:val="21"/>
        </w:rPr>
        <w:t>2.本表可根据实际情况进行拓展。</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92" w:name="_Toc31555_WPSOffice_Level2"/>
      <w:bookmarkStart w:id="93" w:name="_Toc9235_WPSOffice_Level2"/>
      <w:r>
        <w:rPr>
          <w:rFonts w:hint="eastAsia" w:ascii="仿宋_GB2312" w:hAnsi="仿宋_GB2312" w:eastAsia="仿宋_GB2312" w:cs="仿宋_GB2312"/>
          <w:b/>
          <w:bCs/>
          <w:sz w:val="32"/>
          <w:szCs w:val="32"/>
        </w:rPr>
        <w:t>服务需求响应表</w:t>
      </w:r>
      <w:bookmarkEnd w:id="92"/>
      <w:bookmarkEnd w:id="93"/>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tabs>
                <w:tab w:val="left" w:pos="0"/>
              </w:tabs>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b w:val="0"/>
          <w:szCs w:val="28"/>
        </w:rPr>
        <w:br w:type="page"/>
      </w: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94" w:name="_Toc4431_WPSOffice_Level2"/>
      <w:bookmarkStart w:id="95" w:name="_Toc8488_WPSOffice_Level2"/>
      <w:r>
        <w:rPr>
          <w:rFonts w:hint="eastAsia" w:ascii="仿宋_GB2312" w:hAnsi="仿宋_GB2312" w:eastAsia="仿宋_GB2312" w:cs="仿宋_GB2312"/>
          <w:b/>
          <w:bCs/>
          <w:sz w:val="32"/>
          <w:szCs w:val="32"/>
        </w:rPr>
        <w:t>商务条款偏离表</w:t>
      </w:r>
      <w:bookmarkEnd w:id="94"/>
      <w:bookmarkEnd w:id="95"/>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0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    ）小时内响应；（     ）小时内到达</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7" w:leftChars="-1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6" w:name="_Toc20929_WPSOffice_Level2"/>
      <w:bookmarkStart w:id="97" w:name="_Toc9410_WPSOffice_Level2"/>
      <w:r>
        <w:rPr>
          <w:rFonts w:hint="eastAsia" w:ascii="仿宋_GB2312" w:hAnsi="仿宋_GB2312" w:eastAsia="仿宋_GB2312" w:cs="仿宋_GB2312"/>
          <w:b/>
          <w:bCs/>
          <w:sz w:val="32"/>
          <w:szCs w:val="32"/>
        </w:rPr>
        <w:t>投标人关联单位的说明</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98" w:name="_Toc2074_WPSOffice_Level2"/>
      <w:bookmarkStart w:id="99" w:name="_Toc31070_WPSOffice_Level2"/>
      <w:r>
        <w:rPr>
          <w:rFonts w:hint="eastAsia" w:ascii="仿宋_GB2312" w:hAnsi="仿宋_GB2312" w:eastAsia="仿宋_GB2312" w:cs="仿宋_GB2312"/>
          <w:szCs w:val="21"/>
        </w:rPr>
        <w:t>（1）与投标人单位法定代表人（或非法人组织负责人）为同一人的其他单位；</w:t>
      </w:r>
      <w:bookmarkEnd w:id="98"/>
      <w:bookmarkEnd w:id="99"/>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889_WPSOffice_Level2"/>
      <w:bookmarkStart w:id="101" w:name="_Toc27053_WPSOffice_Level2"/>
      <w:r>
        <w:rPr>
          <w:rFonts w:hint="eastAsia" w:ascii="仿宋_GB2312" w:hAnsi="仿宋_GB2312" w:eastAsia="仿宋_GB2312" w:cs="仿宋_GB2312"/>
          <w:szCs w:val="21"/>
        </w:rPr>
        <w:t>（2）与投标人存在直接控股、管理关系的其他单位。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02" w:name="_Hlk73969800"/>
      <w:r>
        <w:rPr>
          <w:rFonts w:hint="eastAsia" w:ascii="仿宋_GB2312" w:hAnsi="仿宋_GB2312" w:eastAsia="仿宋_GB2312" w:cs="仿宋_GB2312"/>
          <w:szCs w:val="28"/>
        </w:rPr>
        <w:t>格式16</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3" w:name="_Toc4541_WPSOffice_Level2"/>
      <w:bookmarkStart w:id="104" w:name="_Toc19164_WPSOffice_Level2"/>
      <w:r>
        <w:rPr>
          <w:rFonts w:hint="eastAsia" w:ascii="仿宋_GB2312" w:hAnsi="仿宋_GB2312" w:eastAsia="仿宋_GB2312" w:cs="仿宋_GB2312"/>
          <w:b/>
          <w:bCs/>
          <w:sz w:val="32"/>
          <w:szCs w:val="32"/>
        </w:rPr>
        <w:t>中小企业声明函</w:t>
      </w:r>
      <w:bookmarkEnd w:id="103"/>
      <w:bookmarkEnd w:id="104"/>
      <w:r>
        <w:rPr>
          <w:rFonts w:hint="eastAsia" w:ascii="仿宋_GB2312" w:hAnsi="仿宋_GB2312" w:eastAsia="仿宋_GB2312" w:cs="仿宋_GB2312"/>
          <w:b/>
          <w:bCs/>
          <w:sz w:val="32"/>
          <w:szCs w:val="32"/>
        </w:rPr>
        <w:t>（工程、服务）</w:t>
      </w:r>
    </w:p>
    <w:p>
      <w:pPr>
        <w:adjustRightInd w:val="0"/>
        <w:snapToGrid w:val="0"/>
        <w:spacing w:line="480" w:lineRule="auto"/>
        <w:ind w:right="105" w:rightChars="50"/>
        <w:jc w:val="left"/>
        <w:rPr>
          <w:rFonts w:ascii="仿宋_GB2312" w:hAnsi="仿宋_GB2312" w:eastAsia="仿宋_GB2312" w:cs="仿宋_GB2312"/>
          <w:kern w:val="0"/>
          <w:szCs w:val="21"/>
        </w:rPr>
      </w:pP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人，营业收入为万元，资产总额为      万元1，属于（中型企业、小型企业、微型企业）；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 ，属于（采购文件中明确的所属行业）；承建（承接）企业为（企业名称），从业人员      人，营业收入为         万元，资产总额为    万元，属于（中型企业、小型企业、微型企业）； </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kern w:val="0"/>
          <w:szCs w:val="21"/>
        </w:rPr>
        <w:t>1从业人员、营业收入、资产总额填报上一年度数据，无上一年度数据的新成立企业可不填报。</w:t>
      </w:r>
    </w:p>
    <w:bookmarkEnd w:id="102"/>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格式17</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05" w:name="_Toc25502_WPSOffice_Level2"/>
      <w:bookmarkStart w:id="106" w:name="_Toc21675_WPSOffice_Level2"/>
      <w:r>
        <w:rPr>
          <w:rFonts w:hint="eastAsia" w:ascii="仿宋_GB2312" w:hAnsi="仿宋_GB2312" w:eastAsia="仿宋_GB2312" w:cs="仿宋_GB2312"/>
          <w:b/>
          <w:bCs/>
          <w:sz w:val="32"/>
          <w:szCs w:val="32"/>
        </w:rPr>
        <w:t>制造商企业（单位）类型声明函</w:t>
      </w:r>
      <w:bookmarkEnd w:id="105"/>
      <w:bookmarkEnd w:id="106"/>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w:t>
      </w:r>
      <w:r>
        <w:rPr>
          <w:rFonts w:hint="eastAsia" w:ascii="仿宋_GB2312" w:hAnsi="仿宋_GB2312" w:eastAsia="仿宋_GB2312" w:cs="仿宋_GB2312"/>
          <w:b/>
          <w:bCs/>
          <w:szCs w:val="21"/>
        </w:rPr>
        <w:t>伴随货物</w:t>
      </w:r>
      <w:r>
        <w:rPr>
          <w:rFonts w:hint="eastAsia" w:ascii="仿宋_GB2312" w:hAnsi="仿宋_GB2312" w:eastAsia="仿宋_GB2312" w:cs="仿宋_GB2312"/>
          <w:szCs w:val="21"/>
        </w:rPr>
        <w:t>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本次投标提供的伴随货物（详见下表）是本企业（单位）制造的。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投标文件中所提供的以上产品为本企业生产的产品，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注：投标人所投产品为其它企业生产时须提供此声明函，仅作为价格扣除条件。</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napToGrid w:val="0"/>
        <w:spacing w:line="48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7" w:name="_Toc13566_WPSOffice_Level2"/>
      <w:bookmarkStart w:id="108" w:name="_Toc29880_WPSOffice_Level2"/>
      <w:r>
        <w:rPr>
          <w:rFonts w:hint="eastAsia" w:ascii="仿宋_GB2312" w:hAnsi="仿宋_GB2312" w:eastAsia="仿宋_GB2312" w:cs="仿宋_GB2312"/>
          <w:b/>
          <w:bCs/>
          <w:sz w:val="32"/>
          <w:szCs w:val="32"/>
        </w:rPr>
        <w:t>残疾人福利性单位声明函</w:t>
      </w:r>
      <w:bookmarkEnd w:id="107"/>
      <w:bookmarkEnd w:id="108"/>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注：供应商为非残疾人福利性单位的，无需填写此声明函。</w:t>
      </w: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widowControl/>
        <w:jc w:val="left"/>
        <w:rPr>
          <w:rFonts w:ascii="仿宋_GB2312" w:hAnsi="仿宋_GB2312" w:eastAsia="仿宋_GB2312" w:cs="仿宋_GB2312"/>
          <w:b/>
          <w:kern w:val="44"/>
          <w:sz w:val="4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格式19</w:t>
      </w:r>
    </w:p>
    <w:p>
      <w:pPr>
        <w:adjustRightInd w:val="0"/>
        <w:snapToGrid w:val="0"/>
        <w:spacing w:before="319" w:beforeLines="100" w:after="319" w:after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国务院扶贫办《关于运用政府采购政策支持脱贫攻坚的通知》（财库〔2019〕27 号）的规定，本单位为符合条件的单位，且本单位参加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项目采购活动，由本单位提供物业服务，其中聘用建档立卡贫困人员达到公司员工（含服务外包用工）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rPr>
      </w:pPr>
      <w:r>
        <w:rPr>
          <w:rFonts w:hint="eastAsia" w:ascii="仿宋_GB2312" w:hAnsi="仿宋_GB2312" w:eastAsia="仿宋_GB2312" w:cs="仿宋_GB2312"/>
          <w:szCs w:val="21"/>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pStyle w:val="3"/>
        <w:snapToGrid w:val="0"/>
        <w:spacing w:before="319" w:beforeLines="100" w:after="319" w:afterLines="100" w:line="360" w:lineRule="auto"/>
        <w:rPr>
          <w:rFonts w:ascii="仿宋_GB2312" w:hAnsi="仿宋_GB2312" w:eastAsia="仿宋_GB2312" w:cs="仿宋_GB2312"/>
          <w:szCs w:val="21"/>
        </w:rPr>
      </w:pPr>
      <w:bookmarkStart w:id="109" w:name="_Toc2821_WPSOffice_Level1"/>
      <w:r>
        <w:rPr>
          <w:rFonts w:hint="eastAsia" w:ascii="仿宋_GB2312" w:hAnsi="仿宋_GB2312" w:eastAsia="仿宋_GB2312" w:cs="仿宋_GB2312"/>
        </w:rPr>
        <w:br w:type="page"/>
      </w:r>
      <w:bookmarkStart w:id="110" w:name="_Toc4498_WPSOffice_Level1"/>
      <w:bookmarkStart w:id="111" w:name="_Toc30110"/>
      <w:bookmarkStart w:id="112" w:name="_Toc11327"/>
      <w:r>
        <w:rPr>
          <w:rFonts w:hint="eastAsia" w:ascii="仿宋_GB2312" w:hAnsi="仿宋_GB2312" w:eastAsia="仿宋_GB2312" w:cs="仿宋_GB2312"/>
        </w:rPr>
        <w:t>第三章 服务需求</w:t>
      </w:r>
      <w:bookmarkEnd w:id="110"/>
      <w:bookmarkEnd w:id="111"/>
      <w:bookmarkEnd w:id="112"/>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采购人应对服务提出详细的内容、标准及相关要求。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奎屯市公安局食堂食材采购五</w:t>
            </w:r>
            <w:bookmarkStart w:id="128" w:name="_GoBack"/>
            <w:bookmarkEnd w:id="128"/>
            <w:r>
              <w:rPr>
                <w:rFonts w:hint="eastAsia"/>
                <w:lang w:eastAsia="zh-CN"/>
              </w:rPr>
              <w:t>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rPr>
          <w:rFonts w:hint="eastAsia" w:ascii="宋体" w:hAnsi="宋体" w:eastAsia="宋体" w:cs="宋体"/>
          <w:sz w:val="21"/>
          <w:szCs w:val="21"/>
          <w:lang w:val="en-US" w:eastAsia="zh-CN"/>
        </w:rPr>
      </w:pPr>
    </w:p>
    <w:p>
      <w:pPr>
        <w:rPr>
          <w:rFonts w:hint="eastAsia"/>
          <w:b/>
          <w:bCs/>
          <w:lang w:eastAsia="zh-CN"/>
        </w:rPr>
      </w:pPr>
      <w:r>
        <w:rPr>
          <w:rFonts w:hint="eastAsia"/>
          <w:b/>
          <w:bCs/>
          <w:lang w:eastAsia="zh-CN"/>
        </w:rPr>
        <w:t>一、商务要求</w:t>
      </w:r>
    </w:p>
    <w:p>
      <w:pPr>
        <w:rPr>
          <w:rFonts w:hint="eastAsia"/>
          <w:lang w:eastAsia="zh-CN"/>
        </w:rPr>
      </w:pPr>
      <w:r>
        <w:rPr>
          <w:rFonts w:hint="eastAsia"/>
          <w:lang w:eastAsia="zh-CN"/>
        </w:rPr>
        <w:t>1、报价要求：</w:t>
      </w:r>
    </w:p>
    <w:p>
      <w:pPr>
        <w:rPr>
          <w:rFonts w:hint="eastAsia"/>
          <w:lang w:eastAsia="zh-CN"/>
        </w:rPr>
      </w:pPr>
      <w:r>
        <w:rPr>
          <w:rFonts w:hint="eastAsia"/>
          <w:lang w:eastAsia="zh-CN"/>
        </w:rPr>
        <w:t xml:space="preserve">本项目采用投标报价应包含所有产品、运输、税费、人员等价格。 </w:t>
      </w:r>
    </w:p>
    <w:p>
      <w:pPr>
        <w:rPr>
          <w:rFonts w:hint="eastAsia"/>
          <w:lang w:eastAsia="zh-CN"/>
        </w:rPr>
      </w:pPr>
      <w:r>
        <w:rPr>
          <w:rFonts w:hint="eastAsia"/>
          <w:lang w:eastAsia="zh-CN"/>
        </w:rPr>
        <w:t>2、价格要求</w:t>
      </w:r>
    </w:p>
    <w:p>
      <w:pPr>
        <w:rPr>
          <w:rFonts w:hint="eastAsia"/>
          <w:lang w:eastAsia="zh-CN"/>
        </w:rPr>
      </w:pPr>
      <w:r>
        <w:rPr>
          <w:rFonts w:hint="eastAsia"/>
          <w:lang w:eastAsia="zh-CN"/>
        </w:rPr>
        <w:t>1)、中标人在合同期限内，中标人按本公司每天挂牌的价格进行价格结算，采购人有权随时抽查中标人的供货清单价格，发现中标人有弄虚作假行为的，采购人有权取消其中标资格，终止合同。</w:t>
      </w:r>
    </w:p>
    <w:p>
      <w:pPr>
        <w:rPr>
          <w:rFonts w:hint="eastAsia"/>
          <w:lang w:eastAsia="zh-CN"/>
        </w:rPr>
      </w:pPr>
      <w:r>
        <w:rPr>
          <w:rFonts w:hint="eastAsia"/>
          <w:lang w:val="en-US" w:eastAsia="zh-CN"/>
        </w:rPr>
        <w:t>2）</w:t>
      </w:r>
      <w:r>
        <w:rPr>
          <w:rFonts w:hint="eastAsia"/>
          <w:lang w:eastAsia="zh-CN"/>
        </w:rPr>
        <w:t>、中标人提供的货物价格不得高于市场价格。</w:t>
      </w:r>
    </w:p>
    <w:p>
      <w:pPr>
        <w:rPr>
          <w:rFonts w:hint="eastAsia"/>
          <w:lang w:eastAsia="zh-CN"/>
        </w:rPr>
      </w:pPr>
      <w:r>
        <w:rPr>
          <w:rFonts w:hint="eastAsia"/>
          <w:lang w:eastAsia="zh-CN"/>
        </w:rPr>
        <w:t>3)、中标人必须负责中标货物的运输、搬运等工作，所产生的费用由中标人负责。</w:t>
      </w:r>
    </w:p>
    <w:p>
      <w:pPr>
        <w:rPr>
          <w:rFonts w:hint="eastAsia"/>
          <w:lang w:eastAsia="zh-CN"/>
        </w:rPr>
      </w:pPr>
      <w:r>
        <w:rPr>
          <w:rFonts w:hint="eastAsia"/>
          <w:lang w:eastAsia="zh-CN"/>
        </w:rPr>
        <w:t>4)、中标人不得擅自变更投标货品(含商标、名称、产地、包装、规格和重量等)，严格按采购人要求供应，否则，采购人有权拒收。如因市场流通问题确实需要变更的，应事先书面申请，并经采购人同意后方可改变。</w:t>
      </w:r>
    </w:p>
    <w:p>
      <w:pPr>
        <w:rPr>
          <w:rFonts w:hint="eastAsia"/>
          <w:b/>
          <w:bCs/>
          <w:lang w:eastAsia="zh-CN"/>
        </w:rPr>
      </w:pPr>
      <w:r>
        <w:rPr>
          <w:rFonts w:hint="eastAsia"/>
          <w:b/>
          <w:bCs/>
          <w:lang w:eastAsia="zh-CN"/>
        </w:rPr>
        <w:t>二、技术要求</w:t>
      </w:r>
    </w:p>
    <w:p>
      <w:pPr>
        <w:rPr>
          <w:rFonts w:hint="eastAsia"/>
          <w:lang w:eastAsia="zh-CN"/>
        </w:rPr>
      </w:pPr>
      <w:r>
        <w:rPr>
          <w:rFonts w:hint="eastAsia"/>
          <w:lang w:eastAsia="zh-CN"/>
        </w:rPr>
        <w:t>1、中标供应商须在本项目服务期内向采购人供应：禽畜鱼肉类、瓜菜水果类、粮油副食类，及其他食材、清洁用品、厨房日用品等。</w:t>
      </w:r>
    </w:p>
    <w:p>
      <w:pPr>
        <w:rPr>
          <w:rFonts w:hint="eastAsia"/>
          <w:lang w:eastAsia="zh-CN"/>
        </w:rPr>
      </w:pPr>
      <w:r>
        <w:rPr>
          <w:rFonts w:hint="eastAsia"/>
          <w:lang w:eastAsia="zh-CN"/>
        </w:rPr>
        <w:t>2、实际供货数量以采购人每次提供的订单为准。</w:t>
      </w:r>
    </w:p>
    <w:p>
      <w:pPr>
        <w:rPr>
          <w:rFonts w:hint="eastAsia"/>
          <w:lang w:eastAsia="zh-CN"/>
        </w:rPr>
      </w:pPr>
      <w:r>
        <w:rPr>
          <w:rFonts w:hint="eastAsia"/>
          <w:lang w:eastAsia="zh-CN"/>
        </w:rPr>
        <w:t>3、中标人不得将中标项目转让或分包给他人，否则采购人有权单方面终止合同，由此产生的一切经济损失由中标人自行承担。</w:t>
      </w:r>
    </w:p>
    <w:p>
      <w:pPr>
        <w:rPr>
          <w:rFonts w:hint="eastAsia"/>
          <w:lang w:eastAsia="zh-CN"/>
        </w:rPr>
      </w:pPr>
      <w:r>
        <w:rPr>
          <w:rFonts w:hint="eastAsia"/>
          <w:lang w:eastAsia="zh-CN"/>
        </w:rPr>
        <w:t>4、采购人提前一天以电话(含微信、传真)或邮箱方式向中标人下订单，订单内容包括名称、规格、数量、送货时间、加工要求等。</w:t>
      </w:r>
    </w:p>
    <w:p>
      <w:pPr>
        <w:rPr>
          <w:rFonts w:hint="eastAsia"/>
          <w:lang w:eastAsia="zh-CN"/>
        </w:rPr>
      </w:pPr>
      <w:r>
        <w:rPr>
          <w:rFonts w:hint="eastAsia"/>
          <w:lang w:eastAsia="zh-CN"/>
        </w:rPr>
        <w:t>5、中标人须在接到采购人订单之日的第二天，在</w:t>
      </w:r>
      <w:r>
        <w:rPr>
          <w:rFonts w:hint="eastAsia"/>
          <w:lang w:val="en-US" w:eastAsia="zh-CN"/>
        </w:rPr>
        <w:t>10</w:t>
      </w:r>
      <w:r>
        <w:rPr>
          <w:rFonts w:hint="eastAsia"/>
          <w:lang w:eastAsia="zh-CN"/>
        </w:rPr>
        <w:t>：</w:t>
      </w:r>
      <w:r>
        <w:rPr>
          <w:rFonts w:hint="eastAsia"/>
          <w:lang w:val="en-US" w:eastAsia="zh-CN"/>
        </w:rPr>
        <w:t>0</w:t>
      </w:r>
      <w:r>
        <w:rPr>
          <w:rFonts w:hint="eastAsia"/>
          <w:lang w:eastAsia="zh-CN"/>
        </w:rPr>
        <w:t>0前，将采购人所订购的货物送至采购人指定地点。</w:t>
      </w:r>
    </w:p>
    <w:p>
      <w:pPr>
        <w:rPr>
          <w:rFonts w:hint="eastAsia"/>
          <w:lang w:eastAsia="zh-CN"/>
        </w:rPr>
      </w:pPr>
      <w:r>
        <w:rPr>
          <w:rFonts w:hint="eastAsia"/>
          <w:lang w:eastAsia="zh-CN"/>
        </w:rPr>
        <w:t>6、肉类果蔬类须使用冷藏车运输，所供应的货品必须安全卫生、量足、质量合格，并提供有完善的售后服务。</w:t>
      </w:r>
    </w:p>
    <w:p>
      <w:pPr>
        <w:rPr>
          <w:rFonts w:hint="eastAsia"/>
          <w:lang w:eastAsia="zh-CN"/>
        </w:rPr>
      </w:pPr>
      <w:r>
        <w:rPr>
          <w:rFonts w:hint="eastAsia"/>
          <w:lang w:eastAsia="zh-CN"/>
        </w:rPr>
        <w:t>7、中标人应当根据采购人实际情况，按与采购人的约定，在规定的时间内将预定的货物数量送到指定地点。除客观不可抗力外，中标人不得推迟送货。如确需延迟送货的，中标人应在得知情况的同时告知采购人并征得采购人同意，投标人须承诺如中标后将准时送货到采购人指定地点，(投标时提供承诺函)。</w:t>
      </w:r>
    </w:p>
    <w:p>
      <w:pPr>
        <w:rPr>
          <w:rFonts w:hint="eastAsia"/>
          <w:lang w:eastAsia="zh-CN"/>
        </w:rPr>
      </w:pPr>
      <w:r>
        <w:rPr>
          <w:rFonts w:hint="eastAsia"/>
          <w:lang w:eastAsia="zh-CN"/>
        </w:rPr>
        <w:t>8、中标人应根据采购人实际要求运送货物甚至进行免费简单加工(活禽类要经宰杀和清洗，蔬菜类要达到净菜上市标准)。</w:t>
      </w:r>
    </w:p>
    <w:p>
      <w:pPr>
        <w:rPr>
          <w:rFonts w:hint="eastAsia"/>
          <w:lang w:eastAsia="zh-CN"/>
        </w:rPr>
      </w:pPr>
      <w:r>
        <w:rPr>
          <w:rFonts w:hint="eastAsia"/>
          <w:lang w:eastAsia="zh-CN"/>
        </w:rPr>
        <w:t>9、每次送货，中标人须委派一名专门负责人，负责货物的运输、过秤，并协助采购人验收货品，货品的品种和重量以采购人验收的结果为准。</w:t>
      </w:r>
    </w:p>
    <w:p>
      <w:pPr>
        <w:rPr>
          <w:rFonts w:hint="eastAsia"/>
          <w:lang w:eastAsia="zh-CN"/>
        </w:rPr>
      </w:pPr>
      <w:r>
        <w:rPr>
          <w:rFonts w:hint="eastAsia"/>
          <w:lang w:eastAsia="zh-CN"/>
        </w:rPr>
        <w:t>10、中标人须严格按照采购人的指令配送商品的数量，不得随意增减数量，否则，采购人有权拒收。如因市场流通问题确实需要变更的，应事先书面申请，并经采购人同意后方可改变。</w:t>
      </w:r>
    </w:p>
    <w:p>
      <w:pPr>
        <w:rPr>
          <w:rFonts w:hint="eastAsia"/>
          <w:lang w:eastAsia="zh-CN"/>
        </w:rPr>
      </w:pPr>
      <w:r>
        <w:rPr>
          <w:rFonts w:hint="eastAsia"/>
          <w:lang w:eastAsia="zh-CN"/>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pPr>
        <w:rPr>
          <w:rFonts w:hint="eastAsia"/>
          <w:lang w:eastAsia="zh-CN"/>
        </w:rPr>
      </w:pPr>
      <w:r>
        <w:rPr>
          <w:rFonts w:hint="eastAsia"/>
          <w:lang w:eastAsia="zh-CN"/>
        </w:rPr>
        <w:t>12、中标人的送货单必须详细注明商品的品牌、型号、单价、数量、送货单不得涂改。标记不清的，采购人将拒绝签收。结算期末中标人还应提供送货清单供采购人结算。</w:t>
      </w:r>
    </w:p>
    <w:p>
      <w:pPr>
        <w:rPr>
          <w:rFonts w:hint="eastAsia"/>
          <w:lang w:eastAsia="zh-CN"/>
        </w:rPr>
      </w:pPr>
      <w:r>
        <w:rPr>
          <w:rFonts w:hint="eastAsia"/>
          <w:lang w:eastAsia="zh-CN"/>
        </w:rPr>
        <w:t>13、中标人指定的送货专员必须穿着便于辨认的工衣和配戴胸卡，送货专员在采购人单位活动必须严格遵守采购人单位各项规章制度，不得做出有损采购人形象和利益的事情。</w:t>
      </w:r>
    </w:p>
    <w:p>
      <w:pPr>
        <w:rPr>
          <w:rFonts w:hint="eastAsia"/>
          <w:lang w:eastAsia="zh-CN"/>
        </w:rPr>
      </w:pPr>
      <w:r>
        <w:rPr>
          <w:rFonts w:hint="eastAsia"/>
          <w:lang w:eastAsia="zh-CN"/>
        </w:rPr>
        <w:t>14、中标人不得泄露采购人的商业秘密。泄密造成采购人损失的，中标人将承担由此产生的一切损失和法律责任。</w:t>
      </w:r>
    </w:p>
    <w:p>
      <w:pPr>
        <w:rPr>
          <w:rFonts w:hint="eastAsia"/>
          <w:lang w:eastAsia="zh-CN"/>
        </w:rPr>
      </w:pPr>
      <w:r>
        <w:rPr>
          <w:rFonts w:hint="eastAsia"/>
          <w:lang w:eastAsia="zh-CN"/>
        </w:rPr>
        <w:t>15、中标人应严格遵守《食品卫生法》和《动物检疫法》等相关规定，一经发现供应以下食品，除全部退货外，将取消供货单位的供货资格，供货单位并承担由此造成的经济责任和法律责任。</w:t>
      </w:r>
    </w:p>
    <w:p>
      <w:pPr>
        <w:rPr>
          <w:rFonts w:hint="eastAsia"/>
          <w:lang w:eastAsia="zh-CN"/>
        </w:rPr>
      </w:pPr>
      <w:r>
        <w:rPr>
          <w:rFonts w:hint="eastAsia"/>
          <w:lang w:eastAsia="zh-CN"/>
        </w:rPr>
        <w:t>①腐败变质、油脂酸败、霉变、生虫、污秽不洁、混有异物或者其他感官性状异常，对人体健康有害的。</w:t>
      </w:r>
    </w:p>
    <w:p>
      <w:pPr>
        <w:rPr>
          <w:rFonts w:hint="eastAsia"/>
          <w:lang w:eastAsia="zh-CN"/>
        </w:rPr>
      </w:pPr>
      <w:r>
        <w:rPr>
          <w:rFonts w:hint="eastAsia"/>
          <w:lang w:eastAsia="zh-CN"/>
        </w:rPr>
        <w:t>②含有毒、有害物质或者被有害物质污染，对人体健康有害的。</w:t>
      </w:r>
    </w:p>
    <w:p>
      <w:pPr>
        <w:rPr>
          <w:rFonts w:hint="eastAsia"/>
          <w:lang w:eastAsia="zh-CN"/>
        </w:rPr>
      </w:pPr>
      <w:r>
        <w:rPr>
          <w:rFonts w:hint="eastAsia"/>
          <w:lang w:eastAsia="zh-CN"/>
        </w:rPr>
        <w:t>③含有致病性寄生虫、微生物或者微生物含量超过国家限定标准的。</w:t>
      </w:r>
    </w:p>
    <w:p>
      <w:pPr>
        <w:rPr>
          <w:rFonts w:hint="eastAsia"/>
          <w:lang w:eastAsia="zh-CN"/>
        </w:rPr>
      </w:pPr>
      <w:r>
        <w:rPr>
          <w:rFonts w:hint="eastAsia"/>
          <w:lang w:eastAsia="zh-CN"/>
        </w:rPr>
        <w:t>④未经动物检疫部门检疫、检验或者检疫、检验不合格的肉类及其制品。</w:t>
      </w:r>
    </w:p>
    <w:p>
      <w:pPr>
        <w:rPr>
          <w:rFonts w:hint="eastAsia"/>
          <w:lang w:eastAsia="zh-CN"/>
        </w:rPr>
      </w:pPr>
      <w:r>
        <w:rPr>
          <w:rFonts w:hint="eastAsia"/>
          <w:lang w:eastAsia="zh-CN"/>
        </w:rPr>
        <w:t>⑤病死、毒死或者死因不明的禽、蓄、兽、水产动物等及其制品。</w:t>
      </w:r>
    </w:p>
    <w:p>
      <w:pPr>
        <w:rPr>
          <w:rFonts w:hint="eastAsia"/>
          <w:lang w:eastAsia="zh-CN"/>
        </w:rPr>
      </w:pPr>
      <w:r>
        <w:rPr>
          <w:rFonts w:hint="eastAsia"/>
          <w:lang w:eastAsia="zh-CN"/>
        </w:rPr>
        <w:t>⑥掺假、掺杂、伪造，影响营养、卫生的。</w:t>
      </w:r>
    </w:p>
    <w:p>
      <w:pPr>
        <w:rPr>
          <w:rFonts w:hint="eastAsia"/>
          <w:lang w:eastAsia="zh-CN"/>
        </w:rPr>
      </w:pPr>
      <w:r>
        <w:rPr>
          <w:rFonts w:hint="eastAsia"/>
          <w:lang w:eastAsia="zh-CN"/>
        </w:rPr>
        <w:t>⑦用非食品原料加工的，加入非食品用化学物质或者将非食品当作食品的。</w:t>
      </w:r>
    </w:p>
    <w:p>
      <w:pPr>
        <w:rPr>
          <w:rFonts w:hint="eastAsia"/>
          <w:lang w:eastAsia="zh-CN"/>
        </w:rPr>
      </w:pPr>
      <w:r>
        <w:rPr>
          <w:rFonts w:hint="eastAsia"/>
          <w:lang w:eastAsia="zh-CN"/>
        </w:rPr>
        <w:t>⑧超过保质期限的。</w:t>
      </w:r>
    </w:p>
    <w:p>
      <w:pPr>
        <w:rPr>
          <w:rFonts w:hint="eastAsia"/>
          <w:lang w:eastAsia="zh-CN"/>
        </w:rPr>
      </w:pPr>
      <w:r>
        <w:rPr>
          <w:rFonts w:hint="eastAsia"/>
          <w:lang w:eastAsia="zh-CN"/>
        </w:rPr>
        <w:t>16、其它：</w:t>
      </w:r>
    </w:p>
    <w:p>
      <w:pPr>
        <w:rPr>
          <w:rFonts w:hint="eastAsia"/>
          <w:lang w:eastAsia="zh-CN"/>
        </w:rPr>
      </w:pPr>
      <w:r>
        <w:rPr>
          <w:rFonts w:hint="eastAsia"/>
          <w:lang w:eastAsia="zh-CN"/>
        </w:rPr>
        <w:t>1)、采购人与中标人在投标及履行合同过程中，必须遵守《中华人民共和国反不正当竞争法》《中华人民共和国消费者权益保障法》、《中华人民共和国经济合同法》及相关的国家法律、法规。</w:t>
      </w:r>
    </w:p>
    <w:p>
      <w:pPr>
        <w:rPr>
          <w:rFonts w:hint="eastAsia"/>
          <w:lang w:eastAsia="zh-CN"/>
        </w:rPr>
      </w:pPr>
      <w:r>
        <w:rPr>
          <w:rFonts w:hint="eastAsia"/>
          <w:lang w:eastAsia="zh-CN"/>
        </w:rPr>
        <w:t>2)、项目结案要求：项目结束后中标人须向采购人提供台账、项目决算表、项目总结报告等相关数据资料。</w:t>
      </w:r>
    </w:p>
    <w:p>
      <w:pPr>
        <w:rPr>
          <w:rFonts w:hint="eastAsia"/>
          <w:b/>
          <w:bCs/>
          <w:lang w:eastAsia="zh-CN"/>
        </w:rPr>
      </w:pPr>
      <w:r>
        <w:rPr>
          <w:rFonts w:hint="eastAsia"/>
          <w:b/>
          <w:bCs/>
          <w:lang w:eastAsia="zh-CN"/>
        </w:rPr>
        <w:t>三、质量要求</w:t>
      </w:r>
    </w:p>
    <w:p>
      <w:pPr>
        <w:rPr>
          <w:rFonts w:hint="eastAsia"/>
          <w:lang w:eastAsia="zh-CN"/>
        </w:rPr>
      </w:pPr>
      <w:r>
        <w:rPr>
          <w:rFonts w:hint="eastAsia"/>
          <w:lang w:eastAsia="zh-CN"/>
        </w:rPr>
        <w:t>1.预包装食品：证件齐全、标示完整、感官无异常，有1年内合格的产品检验报告。</w:t>
      </w:r>
    </w:p>
    <w:p>
      <w:pPr>
        <w:rPr>
          <w:rFonts w:hint="eastAsia"/>
          <w:lang w:eastAsia="zh-CN"/>
        </w:rPr>
      </w:pPr>
      <w:r>
        <w:rPr>
          <w:rFonts w:hint="eastAsia"/>
          <w:lang w:eastAsia="zh-CN"/>
        </w:rPr>
        <w:t>2.肉类：猪肉、牛羊肉、禽类两证齐全，感官无异常；鱼类提供活鱼或符合要求的新鲜度。</w:t>
      </w:r>
    </w:p>
    <w:p>
      <w:pPr>
        <w:rPr>
          <w:rFonts w:hint="eastAsia"/>
          <w:lang w:eastAsia="zh-CN"/>
        </w:rPr>
      </w:pPr>
      <w:r>
        <w:rPr>
          <w:rFonts w:hint="eastAsia"/>
          <w:lang w:eastAsia="zh-CN"/>
        </w:rPr>
        <w:t>3.蔬菜瓜果：属无公害蔬菜水果、应当无毒、无害，具有相应的色、香、味等感官性状并保证优良的色泽和新鲜度。</w:t>
      </w:r>
    </w:p>
    <w:p>
      <w:pPr>
        <w:rPr>
          <w:rFonts w:hint="eastAsia"/>
          <w:lang w:eastAsia="zh-CN"/>
        </w:rPr>
      </w:pPr>
      <w:r>
        <w:rPr>
          <w:rFonts w:hint="eastAsia"/>
          <w:lang w:eastAsia="zh-CN"/>
        </w:rPr>
        <w:t>4.冷冻类、蛋、油米、副食品、干货类：保证优良的等级和外观，无虫咬、无变色变味。</w:t>
      </w:r>
    </w:p>
    <w:p>
      <w:pPr>
        <w:rPr>
          <w:rFonts w:hint="eastAsia"/>
          <w:lang w:eastAsia="zh-CN"/>
        </w:rPr>
      </w:pPr>
      <w:r>
        <w:rPr>
          <w:rFonts w:hint="eastAsia"/>
          <w:lang w:val="en-US" w:eastAsia="zh-CN"/>
        </w:rPr>
        <w:t>5.</w:t>
      </w:r>
      <w:r>
        <w:rPr>
          <w:rFonts w:hint="eastAsia"/>
          <w:lang w:eastAsia="zh-CN"/>
        </w:rPr>
        <w:t>所有食材质量必须符合《中华人民共和国食品安全法》相关规定要求。</w:t>
      </w:r>
    </w:p>
    <w:p>
      <w:pPr>
        <w:rPr>
          <w:rFonts w:hint="eastAsia"/>
          <w:lang w:eastAsia="zh-CN"/>
        </w:rPr>
      </w:pPr>
      <w:r>
        <w:rPr>
          <w:rFonts w:hint="eastAsia"/>
          <w:lang w:eastAsia="zh-CN"/>
        </w:rPr>
        <w:t>6.有使用有效期的货物，其剩余有效期不得少于标注有效期的80%。</w:t>
      </w:r>
    </w:p>
    <w:p>
      <w:pPr>
        <w:rPr>
          <w:rFonts w:hint="eastAsia"/>
          <w:lang w:eastAsia="zh-CN"/>
        </w:rPr>
      </w:pPr>
      <w:r>
        <w:rPr>
          <w:rFonts w:hint="eastAsia"/>
          <w:lang w:eastAsia="zh-CN"/>
        </w:rPr>
        <w:t>7.供应商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采购人有权拒收包装不整齐、已拆封的商品。所提供的食用油、酱油等食材商品，不含有转基因的成分。散装食材(蔬菜、肉类)的包装必须使用无毒、无害、无色(或白色)的胶质包装。</w:t>
      </w:r>
    </w:p>
    <w:p>
      <w:pPr>
        <w:rPr>
          <w:rFonts w:hint="eastAsia"/>
          <w:lang w:eastAsia="zh-CN"/>
        </w:rPr>
      </w:pPr>
      <w:r>
        <w:rPr>
          <w:rFonts w:hint="eastAsia"/>
          <w:lang w:eastAsia="zh-CN"/>
        </w:rPr>
        <w:t>8.供应商提供假冒伪劣、过期、变质、有毒食品的，货物出现损坏(包括表面损坏)，出现水渍、串味、受潮等导致货物改变的，采购人有权要求无条件退货或换货，情节严重的追究责任、没收履约保证金、或终止合同。</w:t>
      </w:r>
    </w:p>
    <w:p>
      <w:pPr>
        <w:rPr>
          <w:rFonts w:hint="eastAsia"/>
          <w:lang w:eastAsia="zh-CN"/>
        </w:rPr>
      </w:pPr>
      <w:r>
        <w:rPr>
          <w:rFonts w:hint="eastAsia"/>
          <w:lang w:eastAsia="zh-CN"/>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pPr>
        <w:rPr>
          <w:rFonts w:hint="eastAsia"/>
          <w:b/>
          <w:bCs/>
          <w:lang w:eastAsia="zh-CN"/>
        </w:rPr>
      </w:pPr>
      <w:r>
        <w:rPr>
          <w:rFonts w:hint="eastAsia"/>
          <w:b/>
          <w:bCs/>
          <w:lang w:eastAsia="zh-CN"/>
        </w:rPr>
        <w:t>四、配送服务要求</w:t>
      </w:r>
    </w:p>
    <w:p>
      <w:pPr>
        <w:rPr>
          <w:rFonts w:hint="eastAsia"/>
          <w:lang w:eastAsia="zh-CN"/>
        </w:rPr>
      </w:pPr>
      <w:r>
        <w:rPr>
          <w:rFonts w:hint="eastAsia"/>
          <w:lang w:eastAsia="zh-CN"/>
        </w:rPr>
        <w:t>1.具备严格的质量管理体系和完备的配送流程，供应商送货车辆须实行1小时配送圈运作。</w:t>
      </w:r>
    </w:p>
    <w:p>
      <w:pPr>
        <w:rPr>
          <w:rFonts w:hint="eastAsia"/>
          <w:lang w:eastAsia="zh-CN"/>
        </w:rPr>
      </w:pPr>
      <w:r>
        <w:rPr>
          <w:rFonts w:hint="eastAsia"/>
          <w:lang w:eastAsia="zh-CN"/>
        </w:rPr>
        <w:t>2.具备冷、鲜及冻品食材的相关储藏和配送设备。</w:t>
      </w:r>
    </w:p>
    <w:p>
      <w:pPr>
        <w:rPr>
          <w:rFonts w:hint="eastAsia"/>
          <w:lang w:eastAsia="zh-CN"/>
        </w:rPr>
      </w:pPr>
      <w:r>
        <w:rPr>
          <w:rFonts w:hint="eastAsia"/>
          <w:lang w:eastAsia="zh-CN"/>
        </w:rPr>
        <w:t>3.供应商供货商品若与订单不符，须立即更正，补送或更换的商品必须在1小时内送达。对不符合质量要求或验收标准的商品，当场清退，数量不足或部分退换货的，中标供应商必须在1小时内将补送或更换的商品送达。</w:t>
      </w:r>
    </w:p>
    <w:p>
      <w:pPr>
        <w:rPr>
          <w:rFonts w:hint="eastAsia"/>
          <w:lang w:eastAsia="zh-CN"/>
        </w:rPr>
      </w:pPr>
      <w:r>
        <w:rPr>
          <w:rFonts w:hint="eastAsia"/>
          <w:lang w:eastAsia="zh-CN"/>
        </w:rPr>
        <w:t>4.近三年内无违法经营及食品安全事故等不良记录。</w:t>
      </w:r>
    </w:p>
    <w:p>
      <w:pPr>
        <w:rPr>
          <w:rFonts w:hint="eastAsia"/>
          <w:lang w:eastAsia="zh-CN"/>
        </w:rPr>
      </w:pPr>
      <w:r>
        <w:rPr>
          <w:rFonts w:hint="eastAsia"/>
          <w:lang w:eastAsia="zh-CN"/>
        </w:rPr>
        <w:t>5不合格的货物将被无条件退货，由此而产生的费用将由中选供应商负责。</w:t>
      </w:r>
    </w:p>
    <w:p>
      <w:pPr>
        <w:rPr>
          <w:rFonts w:hint="eastAsia"/>
          <w:b/>
          <w:bCs/>
          <w:lang w:eastAsia="zh-CN"/>
        </w:rPr>
      </w:pPr>
      <w:r>
        <w:rPr>
          <w:rFonts w:hint="eastAsia"/>
          <w:b/>
          <w:bCs/>
          <w:lang w:eastAsia="zh-CN"/>
        </w:rPr>
        <w:t>五、验收标准</w:t>
      </w:r>
    </w:p>
    <w:p>
      <w:pPr>
        <w:rPr>
          <w:rFonts w:hint="eastAsia"/>
          <w:lang w:eastAsia="zh-CN"/>
        </w:rPr>
      </w:pPr>
      <w:r>
        <w:rPr>
          <w:rFonts w:hint="eastAsia"/>
          <w:lang w:eastAsia="zh-CN"/>
        </w:rPr>
        <w:t>1.肉类(含生鲜、冻品、鱼类、熟食等)</w:t>
      </w:r>
    </w:p>
    <w:p>
      <w:pPr>
        <w:rPr>
          <w:rFonts w:hint="eastAsia"/>
          <w:lang w:eastAsia="zh-CN"/>
        </w:rPr>
      </w:pPr>
      <w:r>
        <w:rPr>
          <w:rFonts w:hint="eastAsia"/>
          <w:lang w:eastAsia="zh-CN"/>
        </w:rPr>
        <w:t>①中标供应商所供货物须保持较好的外观和质量等级，符合国家食品部门的有关标准。鲜肉保证来源于正规肉联厂，严禁私宰肉，每批肉类必须提供检验检疫证明、检验合格证、分割销售凭据等，必须有生畜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pPr>
        <w:rPr>
          <w:rFonts w:hint="eastAsia"/>
          <w:lang w:eastAsia="zh-CN"/>
        </w:rPr>
      </w:pPr>
      <w:r>
        <w:rPr>
          <w:rFonts w:hint="eastAsia"/>
          <w:lang w:eastAsia="zh-CN"/>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pPr>
        <w:rPr>
          <w:rFonts w:hint="eastAsia"/>
          <w:lang w:eastAsia="zh-CN"/>
        </w:rPr>
      </w:pPr>
      <w:r>
        <w:rPr>
          <w:rFonts w:hint="eastAsia"/>
          <w:lang w:eastAsia="zh-CN"/>
        </w:rPr>
        <w:t>冷冻肉要求肉体冻实而坚硬，无化冻现象，肉质紧密而有弹性，色泽均匀，不粘手，交货时干净、新鲜、无异味，冷冻鱼类要求鱼眼睛清亮，角膜透明，鳞片上覆有冻结的透明黏液层，皮肤天然色泽明显。</w:t>
      </w:r>
    </w:p>
    <w:p>
      <w:pPr>
        <w:rPr>
          <w:rFonts w:hint="eastAsia"/>
          <w:lang w:eastAsia="zh-CN"/>
        </w:rPr>
      </w:pPr>
      <w:r>
        <w:rPr>
          <w:rFonts w:hint="eastAsia"/>
          <w:lang w:eastAsia="zh-CN"/>
        </w:rPr>
        <w:t>③冷冻禽类食品解冻后净重量不少于90%，冷冻肉类食品解冻后净重量不少于92%，冷冻水产类食品解冻后净重量不少于85%，解冻时间为4小时以内(室温20℃)所有冷冻食品要求清晰列出产品品牌、规格、类型、包装方式、包装净重、含冰量等相关参数。</w:t>
      </w:r>
    </w:p>
    <w:p>
      <w:pPr>
        <w:rPr>
          <w:rFonts w:hint="eastAsia"/>
          <w:lang w:eastAsia="zh-CN"/>
        </w:rPr>
      </w:pPr>
      <w:r>
        <w:rPr>
          <w:rFonts w:hint="eastAsia"/>
          <w:lang w:eastAsia="zh-CN"/>
        </w:rPr>
        <w:t>④家禽类交货时提供本批次产品的出厂检验合格证明，随车同行，提供《产品合格证》；肉制品须出具半年内有效的《卫生检疫报告》及《产品合格证》；水产品须出具贮存地的出入库检疫证明。</w:t>
      </w:r>
    </w:p>
    <w:p>
      <w:pPr>
        <w:rPr>
          <w:rFonts w:hint="eastAsia"/>
          <w:lang w:eastAsia="zh-CN"/>
        </w:rPr>
      </w:pPr>
      <w:r>
        <w:rPr>
          <w:rFonts w:hint="eastAsia"/>
          <w:lang w:eastAsia="zh-CN"/>
        </w:rPr>
        <w:t>2.粮油类</w:t>
      </w:r>
    </w:p>
    <w:p>
      <w:pPr>
        <w:rPr>
          <w:rFonts w:hint="eastAsia"/>
          <w:lang w:eastAsia="zh-CN"/>
        </w:rPr>
      </w:pPr>
      <w:r>
        <w:rPr>
          <w:rFonts w:hint="eastAsia"/>
          <w:lang w:eastAsia="zh-CN"/>
        </w:rPr>
        <w:t>①大米具有固有的色泽和气味，无异味或霉变，米粒无经过打蜡处理，无虫蛀结块挂丝或杂质异物；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rPr>
          <w:rFonts w:hint="eastAsia"/>
          <w:lang w:eastAsia="zh-CN"/>
        </w:rPr>
      </w:pPr>
      <w:r>
        <w:rPr>
          <w:rFonts w:hint="eastAsia"/>
          <w:lang w:eastAsia="zh-CN"/>
        </w:rPr>
        <w:t>②米、油：要提供国家机关发出的产品检验合格证书。包装食品：包装箱完整，同时包装箱要印有注册商标、生产厂家名称丶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rPr>
          <w:rFonts w:hint="eastAsia"/>
          <w:lang w:eastAsia="zh-CN"/>
        </w:rPr>
      </w:pPr>
      <w:r>
        <w:rPr>
          <w:rFonts w:hint="eastAsia"/>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6"/>
        </w:numPr>
        <w:rPr>
          <w:rFonts w:hint="eastAsia"/>
          <w:lang w:eastAsia="zh-CN"/>
        </w:rPr>
      </w:pPr>
      <w:r>
        <w:rPr>
          <w:rFonts w:hint="eastAsia"/>
          <w:lang w:eastAsia="zh-CN"/>
        </w:rPr>
        <w:t>蔬菜瓜果类</w:t>
      </w:r>
    </w:p>
    <w:p>
      <w:pPr>
        <w:numPr>
          <w:ilvl w:val="0"/>
          <w:numId w:val="0"/>
        </w:numPr>
        <w:ind w:firstLine="420" w:firstLineChars="200"/>
        <w:rPr>
          <w:rFonts w:hint="eastAsia"/>
          <w:lang w:eastAsia="zh-CN"/>
        </w:rPr>
      </w:pPr>
      <w:r>
        <w:rPr>
          <w:rFonts w:hint="eastAsia"/>
          <w:lang w:eastAsia="zh-CN"/>
        </w:rPr>
        <w:t>①所有蔬菜瓜果均来自蔬菜瓜果生产基地。所有蔬菜瓜果须有无农药残留等检测报告。农药残留符合《食品安全国家标准食品中农药最大残留限值》(GB2763-2014)的规定。所有蔬菜瓜果在交付采购人前须经过前期处理，可食用率达到95%以上。</w:t>
      </w:r>
      <w:r>
        <w:rPr>
          <w:rFonts w:hint="eastAsia"/>
          <w:lang w:eastAsia="zh-CN"/>
        </w:rPr>
        <w:br w:type="textWrapping"/>
      </w:r>
      <w:r>
        <w:rPr>
          <w:rFonts w:hint="eastAsia"/>
          <w:lang w:eastAsia="zh-CN"/>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w:t>
      </w:r>
    </w:p>
    <w:p>
      <w:pPr>
        <w:rPr>
          <w:rFonts w:hint="eastAsia"/>
          <w:lang w:eastAsia="zh-CN"/>
        </w:rPr>
      </w:pPr>
      <w:r>
        <w:rPr>
          <w:rFonts w:hint="eastAsia"/>
          <w:lang w:eastAsia="zh-CN"/>
        </w:rPr>
        <w:t>从蔬菜滋味看，因品种不同而各异，多数蔬菜滋味甘淡、甜酸、清爽鲜美，少数具有辛酸、苦涩等特殊风味以刺激食欲，如失去本品种原有的滋味即为异常。</w:t>
      </w:r>
      <w:r>
        <w:rPr>
          <w:rFonts w:hint="eastAsia"/>
          <w:lang w:eastAsia="zh-CN"/>
        </w:rPr>
        <w:br w:type="textWrapping"/>
      </w:r>
      <w:r>
        <w:rPr>
          <w:rFonts w:hint="eastAsia"/>
          <w:lang w:eastAsia="zh-CN"/>
        </w:rPr>
        <w:t>从蔬菜形态看，应尽量避免由于客观因素而造成的各种非正常、不新鲜的蔬菜，例如萎蔫、枯塌、损伤、病变、虫害侵蚀等引起的形态异常等。</w:t>
      </w:r>
    </w:p>
    <w:p>
      <w:pPr>
        <w:rPr>
          <w:rFonts w:hint="eastAsia"/>
          <w:lang w:eastAsia="zh-CN"/>
        </w:rPr>
      </w:pPr>
      <w:r>
        <w:rPr>
          <w:rFonts w:hint="eastAsia"/>
          <w:lang w:eastAsia="zh-CN"/>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pPr>
        <w:rPr>
          <w:rFonts w:hint="eastAsia"/>
          <w:lang w:eastAsia="zh-CN"/>
        </w:rPr>
      </w:pPr>
      <w:r>
        <w:rPr>
          <w:rFonts w:hint="eastAsia"/>
          <w:lang w:eastAsia="zh-CN"/>
        </w:rPr>
        <w:t>瓜果类：冬瓜、节瓜、黄瓜、丝瓜、苦瓜、莴笋、南瓜等。属同一品种规格，色泽一致，无疤点，无断裂，无腐烂、异味、明显机械伤，不带泥土。</w:t>
      </w:r>
    </w:p>
    <w:p>
      <w:pPr>
        <w:rPr>
          <w:rFonts w:hint="eastAsia"/>
          <w:lang w:eastAsia="zh-CN"/>
        </w:rPr>
      </w:pPr>
      <w:r>
        <w:rPr>
          <w:rFonts w:hint="eastAsia"/>
          <w:lang w:eastAsia="zh-CN"/>
        </w:rPr>
        <w:t>根菜类：白萝卜、胡萝卜、沙葛等。属同一品种规格，皮细光滑，肉质脆嫩致密新鲜，无干心、脱水、腐烂、裂痕、糠心、异味，不带泥沙，不带茎叶和须根。</w:t>
      </w:r>
    </w:p>
    <w:p>
      <w:pPr>
        <w:rPr>
          <w:rFonts w:hint="eastAsia"/>
          <w:lang w:eastAsia="zh-CN"/>
        </w:rPr>
      </w:pPr>
      <w:r>
        <w:rPr>
          <w:rFonts w:hint="eastAsia"/>
          <w:lang w:eastAsia="zh-CN"/>
        </w:rPr>
        <w:t>薯类：马铃薯(土豆)、红薯、香芋等。属同一品种规格，色泽一致，不带泥沙，不带须根，不干瘪，无腐烂、异味、明显机械伤、病虫害斑，马铃薯无发芽，皮不变绿。</w:t>
      </w:r>
    </w:p>
    <w:p>
      <w:pPr>
        <w:rPr>
          <w:rFonts w:hint="eastAsia"/>
          <w:lang w:eastAsia="zh-CN"/>
        </w:rPr>
      </w:pPr>
      <w:r>
        <w:rPr>
          <w:rFonts w:hint="eastAsia"/>
          <w:lang w:eastAsia="zh-CN"/>
        </w:rPr>
        <w:t>茄果类：茄子、圆椒、尖椒、西红柿(番茄)、玉米等。属同一品种规格，果实整洁，成熟度适中，无裂果及空洞现象，茄果不能有裂蒂及果皮变硬现象，无腐烂、异味，无明显机械伤。</w:t>
      </w:r>
    </w:p>
    <w:p>
      <w:pPr>
        <w:rPr>
          <w:rFonts w:hint="eastAsia"/>
          <w:lang w:eastAsia="zh-CN"/>
        </w:rPr>
      </w:pPr>
      <w:r>
        <w:rPr>
          <w:rFonts w:hint="eastAsia"/>
          <w:lang w:eastAsia="zh-CN"/>
        </w:rPr>
        <w:t>葱蒜类：蒜头、洋葱、生葱、生姜、韭菜等。属同一品种规格，允许葱、青蒜类保留干净须根，葱、蒜、韭菜不带老叶，蒜头、洋葱去根去枯叶，可食部分新鲜幼嫩，无腐烂、异味。</w:t>
      </w:r>
    </w:p>
    <w:p>
      <w:pPr>
        <w:rPr>
          <w:rFonts w:hint="eastAsia"/>
          <w:lang w:eastAsia="zh-CN"/>
        </w:rPr>
      </w:pPr>
      <w:r>
        <w:rPr>
          <w:rFonts w:hint="eastAsia"/>
          <w:lang w:eastAsia="zh-CN"/>
        </w:rPr>
        <w:t>水生菜类：莲藕等。属同一品种规格，肉质嫩，成熟度适中，无腐烂、异味，无明显机械伤，不带泥土和杂质，不干瘪，不黑心。</w:t>
      </w:r>
      <w:r>
        <w:rPr>
          <w:rFonts w:hint="eastAsia"/>
          <w:lang w:eastAsia="zh-CN"/>
        </w:rPr>
        <w:br w:type="textWrapping"/>
      </w:r>
      <w:r>
        <w:rPr>
          <w:rFonts w:hint="eastAsia"/>
          <w:lang w:eastAsia="zh-CN"/>
        </w:rPr>
        <w:t>芽苗类：黄豆芽、绿豆芽、蒜苗等。芽苗幼嫩，不带豆壳杂质，新鲜，不浸水，无腐烂、异味。</w:t>
      </w:r>
    </w:p>
    <w:p>
      <w:pPr>
        <w:rPr>
          <w:rFonts w:hint="eastAsia"/>
          <w:lang w:eastAsia="zh-CN"/>
        </w:rPr>
      </w:pPr>
      <w:r>
        <w:rPr>
          <w:rFonts w:hint="eastAsia"/>
          <w:lang w:eastAsia="zh-CN"/>
        </w:rPr>
        <w:t>③投标人需承诺所供蔬菜符合上述质量要求及农药残留不超过国家限量标准，若不符合，愿意接受退货处理并承担违约责任。</w:t>
      </w:r>
    </w:p>
    <w:p>
      <w:pPr>
        <w:rPr>
          <w:rFonts w:hint="eastAsia"/>
          <w:lang w:eastAsia="zh-CN"/>
        </w:rPr>
      </w:pPr>
      <w:r>
        <w:rPr>
          <w:rFonts w:hint="eastAsia"/>
          <w:lang w:eastAsia="zh-CN"/>
        </w:rPr>
        <w:t>④包装要求：容器(框、箱、袋)要求清洁、干燥、牢固、透气，无污染、无异味。每件包装必须按《农产品包装和标识管理办法》规定，在包装上或附加标识标明货物品种、种植地。</w:t>
      </w:r>
    </w:p>
    <w:p>
      <w:pPr>
        <w:rPr>
          <w:rFonts w:hint="eastAsia"/>
          <w:lang w:eastAsia="zh-CN"/>
        </w:rPr>
      </w:pPr>
      <w:r>
        <w:rPr>
          <w:rFonts w:hint="eastAsia"/>
          <w:lang w:eastAsia="zh-CN"/>
        </w:rPr>
        <w:t>4.其他农副产品类及副食品</w:t>
      </w:r>
    </w:p>
    <w:p>
      <w:pPr>
        <w:rPr>
          <w:rFonts w:hint="eastAsia"/>
          <w:lang w:eastAsia="zh-CN"/>
        </w:rPr>
      </w:pPr>
      <w:r>
        <w:rPr>
          <w:rFonts w:hint="eastAsia"/>
          <w:lang w:eastAsia="zh-CN"/>
        </w:rPr>
        <w:t>①供货商品均为合格产品，符合食物标准，均在保质期内，严禁使用过期食物。</w:t>
      </w:r>
      <w:r>
        <w:rPr>
          <w:rFonts w:hint="eastAsia"/>
          <w:lang w:eastAsia="zh-CN"/>
        </w:rPr>
        <w:br w:type="textWrapping"/>
      </w:r>
      <w:r>
        <w:rPr>
          <w:rFonts w:hint="eastAsia"/>
          <w:lang w:eastAsia="zh-CN"/>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pPr>
        <w:rPr>
          <w:rFonts w:hint="eastAsia"/>
          <w:b/>
          <w:bCs/>
          <w:lang w:eastAsia="zh-CN"/>
        </w:rPr>
      </w:pPr>
      <w:r>
        <w:rPr>
          <w:rFonts w:hint="eastAsia"/>
          <w:lang w:eastAsia="zh-CN"/>
        </w:rPr>
        <w:t>②所有食品均为正规厂家生产，包装完整，所有产品食品须有生产许可证编号，标明食品名称、规格、生产商、产地、生产日期、保质期等。</w:t>
      </w:r>
      <w:r>
        <w:rPr>
          <w:rFonts w:hint="eastAsia"/>
          <w:lang w:eastAsia="zh-CN"/>
        </w:rPr>
        <w:br w:type="textWrapping"/>
      </w:r>
      <w:r>
        <w:rPr>
          <w:rFonts w:hint="eastAsia"/>
          <w:b/>
          <w:bCs/>
          <w:lang w:eastAsia="zh-CN"/>
        </w:rPr>
        <w:t>六、付款方式</w:t>
      </w:r>
    </w:p>
    <w:p>
      <w:pPr>
        <w:rPr>
          <w:rFonts w:hint="eastAsia"/>
          <w:lang w:eastAsia="zh-CN"/>
        </w:rPr>
      </w:pPr>
      <w:r>
        <w:rPr>
          <w:rFonts w:hint="eastAsia"/>
          <w:lang w:eastAsia="zh-CN"/>
        </w:rPr>
        <w:t>1、中标人货款按季度进行结算。在办理付款手续之前双方须对供应货物的品种、数量、单价、金额等进行统计，并核实无误。</w:t>
      </w:r>
    </w:p>
    <w:p>
      <w:pPr>
        <w:rPr>
          <w:rFonts w:hint="eastAsia"/>
          <w:lang w:eastAsia="zh-CN"/>
        </w:rPr>
      </w:pPr>
      <w:r>
        <w:rPr>
          <w:rFonts w:hint="eastAsia"/>
          <w:lang w:eastAsia="zh-CN"/>
        </w:rPr>
        <w:t>2、采购人收到中标人收货凭证和有效等额发票后，15个工作日内办理支付手续；(具体付款时间以政府财政支付为准)。</w:t>
      </w:r>
    </w:p>
    <w:p>
      <w:pPr>
        <w:rPr>
          <w:rFonts w:hint="default"/>
          <w:lang w:val="en-US" w:eastAsia="zh-CN"/>
        </w:rPr>
      </w:pPr>
      <w:r>
        <w:rPr>
          <w:rFonts w:hint="eastAsia"/>
          <w:lang w:eastAsia="zh-CN"/>
        </w:rPr>
        <w:t>3、中标人凭以下有效文件与采购人结算</w:t>
      </w:r>
      <w:r>
        <w:rPr>
          <w:rFonts w:hint="eastAsia"/>
          <w:lang w:val="en-US" w:eastAsia="zh-CN"/>
        </w:rPr>
        <w:t>:</w:t>
      </w:r>
    </w:p>
    <w:p>
      <w:pPr>
        <w:rPr>
          <w:rFonts w:hint="eastAsia"/>
          <w:lang w:eastAsia="zh-CN"/>
        </w:rPr>
      </w:pPr>
      <w:r>
        <w:rPr>
          <w:rFonts w:hint="eastAsia"/>
          <w:lang w:eastAsia="zh-CN"/>
        </w:rPr>
        <w:t>1)、中标人开具的正式发票。</w:t>
      </w:r>
    </w:p>
    <w:p>
      <w:pPr>
        <w:rPr>
          <w:rFonts w:hint="eastAsia" w:ascii="宋体" w:hAnsi="宋体" w:eastAsia="宋体" w:cs="宋体"/>
          <w:sz w:val="21"/>
          <w:szCs w:val="21"/>
          <w:lang w:val="en-US" w:eastAsia="zh-CN"/>
        </w:rPr>
      </w:pPr>
      <w:r>
        <w:rPr>
          <w:rFonts w:hint="eastAsia"/>
          <w:b/>
          <w:bCs/>
          <w:lang w:val="en-US" w:eastAsia="zh-CN"/>
        </w:rPr>
        <w:t>2</w:t>
      </w:r>
      <w:r>
        <w:rPr>
          <w:rFonts w:hint="eastAsia"/>
          <w:b/>
          <w:bCs/>
          <w:lang w:eastAsia="zh-CN"/>
        </w:rPr>
        <w:t>）、</w:t>
      </w:r>
      <w:r>
        <w:rPr>
          <w:rFonts w:hint="eastAsia"/>
          <w:lang w:eastAsia="zh-CN"/>
        </w:rPr>
        <w:t>货物收货清单(加盖采购人公章)。</w:t>
      </w:r>
    </w:p>
    <w:p>
      <w:pPr>
        <w:rPr>
          <w:rFonts w:hint="eastAsia"/>
          <w:lang w:val="en-US" w:eastAsia="zh-CN"/>
        </w:rPr>
      </w:pPr>
    </w:p>
    <w:p>
      <w:pPr>
        <w:numPr>
          <w:ilvl w:val="0"/>
          <w:numId w:val="0"/>
        </w:numPr>
        <w:spacing w:line="360" w:lineRule="auto"/>
        <w:rPr>
          <w:rFonts w:hint="eastAsia" w:ascii="仿宋_GB2312" w:hAnsi="仿宋_GB2312" w:eastAsia="仿宋_GB2312" w:cs="仿宋_GB2312"/>
          <w:szCs w:val="21"/>
        </w:rPr>
      </w:pPr>
    </w:p>
    <w:p>
      <w:pPr>
        <w:numPr>
          <w:ilvl w:val="0"/>
          <w:numId w:val="0"/>
        </w:numPr>
        <w:spacing w:line="360" w:lineRule="auto"/>
        <w:ind w:firstLine="840" w:firstLineChars="400"/>
        <w:rPr>
          <w:rFonts w:ascii="仿宋_GB2312" w:hAnsi="仿宋_GB2312" w:eastAsia="仿宋_GB2312" w:cs="仿宋_GB2312"/>
        </w:rPr>
      </w:pPr>
    </w:p>
    <w:p>
      <w:pPr>
        <w:pStyle w:val="3"/>
        <w:snapToGrid w:val="0"/>
        <w:spacing w:before="0" w:after="0" w:line="240" w:lineRule="auto"/>
        <w:jc w:val="center"/>
        <w:rPr>
          <w:rFonts w:ascii="仿宋_GB2312" w:hAnsi="仿宋_GB2312" w:eastAsia="仿宋_GB2312" w:cs="仿宋_GB2312"/>
        </w:rPr>
      </w:pPr>
      <w:bookmarkStart w:id="113" w:name="_Toc8241"/>
      <w:bookmarkStart w:id="114" w:name="_Toc8062"/>
      <w:r>
        <w:rPr>
          <w:rFonts w:ascii="仿宋_GB2312" w:hAnsi="仿宋_GB2312" w:eastAsia="仿宋_GB2312" w:cs="仿宋_GB2312"/>
        </w:rPr>
        <w:br w:type="page"/>
      </w:r>
      <w:r>
        <w:rPr>
          <w:rFonts w:hint="eastAsia" w:ascii="仿宋_GB2312" w:hAnsi="仿宋_GB2312" w:eastAsia="仿宋_GB2312" w:cs="仿宋_GB2312"/>
        </w:rPr>
        <w:t>第四章 评标方法</w:t>
      </w:r>
      <w:bookmarkEnd w:id="109"/>
      <w:bookmarkEnd w:id="113"/>
      <w:bookmarkEnd w:id="114"/>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15" w:name="_Toc22313_WPSOffice_Level2"/>
      <w:r>
        <w:rPr>
          <w:rFonts w:hint="eastAsia" w:ascii="仿宋_GB2312" w:hAnsi="仿宋_GB2312" w:eastAsia="仿宋_GB2312" w:cs="仿宋_GB2312"/>
          <w:b/>
          <w:kern w:val="0"/>
          <w:szCs w:val="21"/>
        </w:rPr>
        <w:t>一、评标方法</w:t>
      </w:r>
      <w:bookmarkEnd w:id="11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16" w:name="_Toc21368_WPSOffice_Level2"/>
      <w:r>
        <w:rPr>
          <w:rFonts w:hint="eastAsia" w:ascii="仿宋_GB2312" w:hAnsi="仿宋_GB2312" w:eastAsia="仿宋_GB2312" w:cs="仿宋_GB2312"/>
          <w:b/>
          <w:kern w:val="0"/>
          <w:szCs w:val="21"/>
        </w:rPr>
        <w:t>二、评标原则及程序</w:t>
      </w:r>
      <w:bookmarkEnd w:id="11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10%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10-20%）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5.1.3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5.1.4残疾人福利性单位属于小型、微型企业的，不重复享受政策。</w:t>
      </w:r>
    </w:p>
    <w:p>
      <w:pPr>
        <w:adjustRightInd w:val="0"/>
        <w:spacing w:line="360" w:lineRule="auto"/>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5.2对于节能产品、环境标志产品的相关规定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采用最低评标价法的，</w:t>
      </w:r>
      <w:r>
        <w:rPr>
          <w:rFonts w:hint="eastAsia" w:ascii="仿宋_GB2312" w:hAnsi="仿宋_GB2312" w:eastAsia="仿宋_GB2312" w:cs="仿宋_GB2312"/>
          <w:szCs w:val="21"/>
        </w:rPr>
        <w:t>对</w:t>
      </w:r>
      <w:r>
        <w:rPr>
          <w:rFonts w:hint="eastAsia" w:ascii="仿宋_GB2312" w:hAnsi="仿宋_GB2312" w:eastAsia="仿宋_GB2312" w:cs="仿宋_GB2312"/>
          <w:kern w:val="0"/>
          <w:szCs w:val="21"/>
        </w:rPr>
        <w:t>清单中投标产品的报价</w:t>
      </w:r>
      <w:r>
        <w:rPr>
          <w:rFonts w:hint="eastAsia" w:ascii="仿宋_GB2312" w:hAnsi="仿宋_GB2312" w:eastAsia="仿宋_GB2312" w:cs="仿宋_GB2312"/>
          <w:szCs w:val="21"/>
        </w:rPr>
        <w:t>给予价格扣除，用扣除后的价格参与评审。报价扣除比例为</w:t>
      </w:r>
      <w:r>
        <w:rPr>
          <w:rFonts w:hint="eastAsia" w:ascii="仿宋_GB2312" w:hAnsi="仿宋_GB2312" w:eastAsia="仿宋_GB2312" w:cs="仿宋_GB2312"/>
          <w:kern w:val="0"/>
          <w:szCs w:val="21"/>
        </w:rPr>
        <w:t>清单中产品报价的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采用综合评分法评标的项目，对清单中产品给予相应的加分。（详见评分细则）</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（2）投标人应同时提供品目清单网络截图，并以明确标注所报产品信息和位置的方式，用以方便评审。</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（3）认证机构和获证产品信息发布媒体：详见中国政府采购网（www.ccgp.gov.cn）建立的与认证结果信息发布平台的链接。</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5.3对于聘用建档立卡贫困人员物业公司的相关规定</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在满足价格扣除条件且在投标文件中按要求提交了《聘用建档立卡贫困人员物业公司声明函》的供应商，对最后报价给予价格扣除，用扣除后的价格参与评审。扣除比例为最后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kern w:val="0"/>
          <w:szCs w:val="21"/>
        </w:rPr>
        <w:t>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1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1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18" w:name="_Toc32318_WPSOffice_Level2"/>
      <w:r>
        <w:rPr>
          <w:rFonts w:hint="eastAsia" w:ascii="仿宋_GB2312" w:hAnsi="仿宋_GB2312" w:eastAsia="仿宋_GB2312" w:cs="仿宋_GB2312"/>
          <w:szCs w:val="28"/>
        </w:rPr>
        <w:t xml:space="preserve">附件1                   </w:t>
      </w:r>
      <w:bookmarkEnd w:id="118"/>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14"/>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003"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668" w:type="dxa"/>
            <w:gridSpan w:val="3"/>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3959"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2003"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具备履行合同所必需的设备和专业技术能力声明函</w:t>
            </w:r>
          </w:p>
        </w:tc>
        <w:tc>
          <w:tcPr>
            <w:tcW w:w="2003" w:type="dxa"/>
            <w:vAlign w:val="center"/>
          </w:tcPr>
          <w:p>
            <w:pPr>
              <w:pStyle w:val="4"/>
              <w:adjustRightInd w:val="0"/>
              <w:snapToGrid w:val="0"/>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12</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其它资格证明文件（如适用，按投标人须知表1.3.4要求描述）</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p>
            <w:pPr>
              <w:snapToGrid w:val="0"/>
              <w:jc w:val="left"/>
              <w:rPr>
                <w:rFonts w:ascii="仿宋_GB2312" w:hAnsi="仿宋_GB2312" w:eastAsia="仿宋_GB2312" w:cs="仿宋_GB2312"/>
              </w:rPr>
            </w:pPr>
            <w:r>
              <w:rPr>
                <w:rFonts w:hint="eastAsia" w:ascii="仿宋_GB2312" w:hAnsi="仿宋_GB2312" w:eastAsia="仿宋_GB2312" w:cs="仿宋_GB2312"/>
              </w:rPr>
              <w:t>联合体各方均需查询（如适用）</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lang w:val="en-US" w:eastAsia="zh-CN"/>
              </w:rPr>
              <w:t>中小企业声明函</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003" w:type="dxa"/>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2"/>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2"/>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4"/>
        <w:adjustRightInd w:val="0"/>
        <w:snapToGrid w:val="0"/>
        <w:spacing w:before="0" w:after="0" w:line="240" w:lineRule="auto"/>
        <w:jc w:val="left"/>
        <w:rPr>
          <w:rFonts w:ascii="仿宋_GB2312" w:hAnsi="仿宋_GB2312" w:eastAsia="仿宋_GB2312" w:cs="仿宋_GB2312"/>
          <w:szCs w:val="28"/>
        </w:rPr>
      </w:pPr>
      <w:bookmarkStart w:id="119" w:name="_Toc11558_WPSOffice_Level2"/>
    </w:p>
    <w:p>
      <w:pPr>
        <w:pStyle w:val="4"/>
        <w:adjustRightInd w:val="0"/>
        <w:snapToGrid w:val="0"/>
        <w:spacing w:before="0" w:after="0" w:line="240" w:lineRule="auto"/>
        <w:jc w:val="left"/>
        <w:rPr>
          <w:rFonts w:ascii="仿宋_GB2312" w:hAnsi="仿宋_GB2312" w:eastAsia="仿宋_GB2312" w:cs="仿宋_GB2312"/>
          <w:szCs w:val="28"/>
        </w:rPr>
      </w:pPr>
    </w:p>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bookmarkEnd w:id="1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15"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014"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2376"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3015"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 w:val="20"/>
                <w:szCs w:val="21"/>
              </w:rPr>
              <w:t>递交投标保证金证明</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8</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301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响应招标文件实质性要求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样品或演示（如适用）</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符合投标须知表11.3及25.1所述全部要求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bookmarkStart w:id="120" w:name="_Toc17433_WPSOffice_Level2"/>
      <w:r>
        <w:rPr>
          <w:rFonts w:hint="eastAsia" w:ascii="仿宋_GB2312" w:hAnsi="仿宋_GB2312" w:eastAsia="仿宋_GB2312" w:cs="仿宋_GB2312"/>
        </w:rPr>
        <w:t>注：填表说明：1、每项内容审查合格，在表中填写“√”；不合格填写“×”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日      期：</w:t>
      </w:r>
    </w:p>
    <w:p>
      <w:pPr>
        <w:widowControl/>
        <w:jc w:val="left"/>
        <w:rPr>
          <w:rFonts w:ascii="仿宋_GB2312" w:hAnsi="仿宋_GB2312" w:eastAsia="仿宋_GB2312" w:cs="仿宋_GB2312"/>
          <w:b/>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bookmarkEnd w:id="120"/>
    </w:p>
    <w:p>
      <w:pPr>
        <w:spacing w:line="560" w:lineRule="exact"/>
        <w:jc w:val="center"/>
        <w:rPr>
          <w:rFonts w:ascii="方正小标宋简体" w:hAnsi="方正小标宋简体" w:eastAsia="方正小标宋简体" w:cs="方正小标宋简体"/>
          <w:sz w:val="44"/>
          <w:szCs w:val="44"/>
        </w:rPr>
      </w:pPr>
      <w:bookmarkStart w:id="121" w:name="_Toc25922_WPSOffice_Level1"/>
      <w:r>
        <w:rPr>
          <w:rFonts w:hint="eastAsia" w:ascii="方正小标宋简体" w:hAnsi="方正小标宋简体" w:eastAsia="方正小标宋简体" w:cs="方正小标宋简体"/>
          <w:sz w:val="44"/>
          <w:szCs w:val="44"/>
        </w:rPr>
        <w:t>评分细则</w:t>
      </w:r>
    </w:p>
    <w:p>
      <w:pPr>
        <w:spacing w:line="360" w:lineRule="exact"/>
        <w:ind w:firstLine="480" w:firstLineChars="200"/>
        <w:rPr>
          <w:rFonts w:ascii="宋体" w:hAnsi="宋体"/>
          <w:b/>
          <w:sz w:val="24"/>
        </w:rPr>
      </w:pPr>
    </w:p>
    <w:p>
      <w:pPr>
        <w:spacing w:line="360" w:lineRule="exact"/>
        <w:ind w:firstLine="480" w:firstLineChars="200"/>
        <w:rPr>
          <w:rFonts w:ascii="仿宋_GB2312" w:hAnsi="Arial" w:eastAsia="仿宋_GB2312"/>
          <w:sz w:val="24"/>
        </w:rPr>
      </w:pPr>
      <w:r>
        <w:rPr>
          <w:rFonts w:hint="eastAsia" w:ascii="仿宋_GB2312" w:hAnsi="Arial" w:eastAsia="仿宋_GB2312"/>
          <w:sz w:val="24"/>
        </w:rPr>
        <w:t>（1） 评标委员会根据招标文件，在对投标人投标文件综合评审的基础上分包进行评估打分。打分采取百分制，其中商务、技术部分为</w:t>
      </w:r>
      <w:r>
        <w:rPr>
          <w:rFonts w:hint="eastAsia" w:ascii="仿宋_GB2312" w:hAnsi="Arial" w:eastAsia="仿宋_GB2312"/>
          <w:sz w:val="24"/>
          <w:lang w:val="en-US" w:eastAsia="zh-CN"/>
        </w:rPr>
        <w:t>9</w:t>
      </w:r>
      <w:r>
        <w:rPr>
          <w:rFonts w:hint="eastAsia" w:ascii="仿宋_GB2312" w:hAnsi="Arial" w:eastAsia="仿宋_GB2312"/>
          <w:sz w:val="24"/>
        </w:rPr>
        <w:t>0分，报价</w:t>
      </w:r>
      <w:r>
        <w:rPr>
          <w:rFonts w:hint="eastAsia" w:ascii="仿宋_GB2312" w:hAnsi="Arial" w:eastAsia="仿宋_GB2312"/>
          <w:sz w:val="24"/>
          <w:lang w:val="en-US" w:eastAsia="zh-CN"/>
        </w:rPr>
        <w:t>10</w:t>
      </w:r>
      <w:r>
        <w:rPr>
          <w:rFonts w:hint="eastAsia" w:ascii="仿宋_GB2312" w:hAnsi="Arial" w:eastAsia="仿宋_GB2312"/>
          <w:sz w:val="24"/>
        </w:rPr>
        <w:t>分。</w:t>
      </w:r>
    </w:p>
    <w:p>
      <w:pPr>
        <w:spacing w:line="360" w:lineRule="exact"/>
        <w:ind w:firstLine="480" w:firstLineChars="200"/>
        <w:rPr>
          <w:rFonts w:ascii="仿宋_GB2312" w:hAnsi="Arial" w:eastAsia="仿宋_GB2312"/>
          <w:sz w:val="24"/>
        </w:rPr>
      </w:pPr>
      <w:r>
        <w:rPr>
          <w:rFonts w:hint="eastAsia" w:ascii="仿宋_GB2312" w:hAnsi="Arial" w:eastAsia="仿宋_GB2312"/>
          <w:sz w:val="24"/>
        </w:rPr>
        <w:t>（2） 评分项目、分值及评分办法如下：</w:t>
      </w:r>
    </w:p>
    <w:p>
      <w:pPr>
        <w:spacing w:line="360" w:lineRule="exact"/>
        <w:ind w:firstLine="470" w:firstLineChars="196"/>
        <w:rPr>
          <w:rFonts w:ascii="宋体" w:hAnsi="宋体"/>
          <w:b/>
          <w:sz w:val="24"/>
        </w:rPr>
      </w:pPr>
      <w:r>
        <w:rPr>
          <w:rFonts w:hint="eastAsia" w:ascii="宋体" w:hAnsi="宋体"/>
          <w:b/>
          <w:sz w:val="24"/>
          <w:lang w:val="en-US" w:eastAsia="zh-CN"/>
        </w:rPr>
        <w:t>1.</w:t>
      </w:r>
      <w:r>
        <w:rPr>
          <w:rFonts w:hint="eastAsia" w:ascii="宋体" w:hAnsi="宋体"/>
          <w:b/>
          <w:sz w:val="24"/>
        </w:rPr>
        <w:t>商务、技术部分（</w:t>
      </w:r>
      <w:r>
        <w:rPr>
          <w:rFonts w:hint="eastAsia" w:ascii="宋体" w:hAnsi="宋体"/>
          <w:b/>
          <w:sz w:val="24"/>
          <w:lang w:val="en-US" w:eastAsia="zh-CN"/>
        </w:rPr>
        <w:t>90</w:t>
      </w:r>
      <w:r>
        <w:rPr>
          <w:rFonts w:hint="eastAsia" w:ascii="宋体" w:hAnsi="宋体"/>
          <w:b/>
          <w:sz w:val="24"/>
        </w:rPr>
        <w:t>分）</w:t>
      </w:r>
    </w:p>
    <w:tbl>
      <w:tblPr>
        <w:tblStyle w:val="14"/>
        <w:tblpPr w:leftFromText="180" w:rightFromText="180" w:vertAnchor="text" w:horzAnchor="page" w:tblpX="1464" w:tblpY="2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8"/>
        <w:gridCol w:w="224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362" w:type="dxa"/>
          </w:tcPr>
          <w:p>
            <w:pPr>
              <w:rPr>
                <w:rFonts w:hint="eastAsia"/>
                <w:lang w:eastAsia="zh-CN"/>
              </w:rPr>
            </w:pPr>
            <w:r>
              <w:rPr>
                <w:rFonts w:hint="eastAsia"/>
                <w:lang w:eastAsia="zh-CN"/>
              </w:rPr>
              <w:t>评审</w:t>
            </w:r>
          </w:p>
          <w:p>
            <w:pPr>
              <w:rPr>
                <w:rFonts w:hint="eastAsia"/>
                <w:lang w:eastAsia="zh-CN"/>
              </w:rPr>
            </w:pPr>
            <w:r>
              <w:rPr>
                <w:rFonts w:hint="eastAsia"/>
                <w:lang w:eastAsia="zh-CN"/>
              </w:rPr>
              <w:t>因素</w:t>
            </w:r>
          </w:p>
        </w:tc>
        <w:tc>
          <w:tcPr>
            <w:tcW w:w="7370" w:type="dxa"/>
            <w:gridSpan w:val="2"/>
          </w:tcPr>
          <w:p>
            <w:pPr>
              <w:jc w:val="center"/>
              <w:rPr>
                <w:rFonts w:hint="eastAsia"/>
                <w:lang w:eastAsia="zh-CN"/>
              </w:rPr>
            </w:pPr>
            <w:r>
              <w:rPr>
                <w:rFonts w:hint="eastAsia"/>
                <w:lang w:eastAsia="zh-C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both"/>
              <w:rPr>
                <w:rFonts w:hint="eastAsia"/>
                <w:lang w:eastAsia="zh-CN"/>
              </w:rPr>
            </w:pPr>
            <w:r>
              <w:rPr>
                <w:rFonts w:hint="eastAsia"/>
                <w:lang w:eastAsia="zh-CN"/>
              </w:rPr>
              <w:t>技术部分（40分）</w:t>
            </w:r>
          </w:p>
        </w:tc>
        <w:tc>
          <w:tcPr>
            <w:tcW w:w="2303" w:type="dxa"/>
            <w:vAlign w:val="center"/>
          </w:tcPr>
          <w:p>
            <w:pPr>
              <w:ind w:left="0" w:leftChars="0" w:firstLine="0" w:firstLineChars="0"/>
              <w:jc w:val="center"/>
              <w:rPr>
                <w:rFonts w:hint="eastAsia"/>
                <w:lang w:eastAsia="zh-CN"/>
              </w:rPr>
            </w:pPr>
          </w:p>
          <w:p>
            <w:pPr>
              <w:ind w:left="0" w:leftChars="0" w:firstLine="0" w:firstLineChars="0"/>
              <w:jc w:val="center"/>
              <w:rPr>
                <w:rFonts w:hint="eastAsia"/>
                <w:lang w:eastAsia="zh-CN"/>
              </w:rPr>
            </w:pPr>
          </w:p>
          <w:p>
            <w:pPr>
              <w:ind w:left="0" w:leftChars="0" w:firstLine="0" w:firstLineChars="0"/>
              <w:jc w:val="center"/>
              <w:rPr>
                <w:rFonts w:hint="eastAsia"/>
                <w:lang w:eastAsia="zh-CN"/>
              </w:rPr>
            </w:pPr>
            <w:r>
              <w:rPr>
                <w:rFonts w:hint="eastAsia"/>
                <w:lang w:eastAsia="zh-CN"/>
              </w:rPr>
              <w:t>项目实施方案</w:t>
            </w:r>
            <w:r>
              <w:rPr>
                <w:rFonts w:hint="eastAsia"/>
                <w:lang w:val="en-US" w:eastAsia="zh-CN"/>
              </w:rPr>
              <w:t xml:space="preserve">   </w:t>
            </w:r>
            <w:r>
              <w:rPr>
                <w:rFonts w:hint="eastAsia"/>
                <w:lang w:eastAsia="zh-CN"/>
              </w:rPr>
              <w:t>(</w:t>
            </w:r>
            <w:r>
              <w:rPr>
                <w:rFonts w:hint="eastAsia"/>
                <w:lang w:val="en-US" w:eastAsia="zh-CN"/>
              </w:rPr>
              <w:t>20</w:t>
            </w:r>
            <w:r>
              <w:rPr>
                <w:rFonts w:hint="eastAsia"/>
                <w:lang w:eastAsia="zh-CN"/>
              </w:rPr>
              <w:t>分)</w:t>
            </w:r>
            <w:r>
              <w:rPr>
                <w:rFonts w:hint="eastAsia"/>
                <w:lang w:eastAsia="zh-CN"/>
              </w:rPr>
              <w:br w:type="textWrapping"/>
            </w:r>
          </w:p>
        </w:tc>
        <w:tc>
          <w:tcPr>
            <w:tcW w:w="5067" w:type="dxa"/>
          </w:tcPr>
          <w:p>
            <w:pPr>
              <w:rPr>
                <w:rFonts w:hint="eastAsia"/>
                <w:lang w:eastAsia="zh-CN"/>
              </w:rPr>
            </w:pPr>
            <w:r>
              <w:rPr>
                <w:rFonts w:hint="eastAsia"/>
                <w:lang w:eastAsia="zh-CN"/>
              </w:rPr>
              <w:t>①食材配送方案(</w:t>
            </w:r>
            <w:r>
              <w:rPr>
                <w:rFonts w:hint="eastAsia"/>
                <w:lang w:val="en-US" w:eastAsia="zh-CN"/>
              </w:rPr>
              <w:t>10</w:t>
            </w:r>
            <w:r>
              <w:rPr>
                <w:rFonts w:hint="eastAsia"/>
                <w:lang w:eastAsia="zh-CN"/>
              </w:rPr>
              <w:t>分)</w:t>
            </w:r>
            <w:r>
              <w:rPr>
                <w:rFonts w:hint="eastAsia"/>
                <w:lang w:eastAsia="zh-CN"/>
              </w:rPr>
              <w:br w:type="textWrapping"/>
            </w:r>
            <w:r>
              <w:rPr>
                <w:rFonts w:hint="eastAsia"/>
                <w:lang w:eastAsia="zh-CN"/>
              </w:rPr>
              <w:t>由评标委员会根据投标人的供货区做的食材配送方案等内容集体讨论，确定各投标人所属档次，再独立打分。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分)食材配送方案考虑欠缺，针对性和可行性差；</w:t>
            </w:r>
          </w:p>
          <w:p>
            <w:pPr>
              <w:ind w:left="0" w:leftChars="0" w:firstLine="0" w:firstLineChars="0"/>
              <w:rPr>
                <w:rFonts w:hint="eastAsia"/>
                <w:lang w:eastAsia="zh-CN"/>
              </w:rPr>
            </w:pPr>
            <w:r>
              <w:rPr>
                <w:rFonts w:hint="eastAsia"/>
                <w:lang w:eastAsia="zh-CN"/>
              </w:rPr>
              <w:t>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分)食材配送方案具有针对性和可行性，考虑一般，针对性和可行性一般；</w:t>
            </w:r>
            <w:r>
              <w:rPr>
                <w:rFonts w:hint="eastAsia"/>
                <w:lang w:eastAsia="zh-CN"/>
              </w:rPr>
              <w:br w:type="textWrapping"/>
            </w:r>
            <w:r>
              <w:rPr>
                <w:rFonts w:hint="eastAsia"/>
                <w:lang w:eastAsia="zh-CN"/>
              </w:rPr>
              <w:t>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分)食材配送方案切合招标人单位特点，符合招标人需求，考虑全面，具有很强针对性和可行性。</w:t>
            </w:r>
            <w:r>
              <w:rPr>
                <w:rFonts w:hint="eastAsia"/>
                <w:lang w:eastAsia="zh-CN"/>
              </w:rPr>
              <w:br w:type="textWrapping"/>
            </w:r>
            <w:r>
              <w:rPr>
                <w:rFonts w:hint="eastAsia"/>
                <w:lang w:eastAsia="zh-CN"/>
              </w:rPr>
              <w:t>②配送食材安全、质量保障机制以及问题货品的处理方案(</w:t>
            </w:r>
            <w:r>
              <w:rPr>
                <w:rFonts w:hint="eastAsia"/>
                <w:lang w:val="en-US" w:eastAsia="zh-CN"/>
              </w:rPr>
              <w:t>10</w:t>
            </w:r>
            <w:r>
              <w:rPr>
                <w:rFonts w:hint="eastAsia"/>
                <w:lang w:eastAsia="zh-CN"/>
              </w:rPr>
              <w:t>分)由评委会根据投标人的项目实施方案等内容集体讨论，确定各投标人所档次，再独立打分。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分)配送食材安全、质量保障机制以及问题货品的处理方案一股，基本满足要求，描述简单，具体实施步骤和要求描述较简单。</w:t>
            </w:r>
            <w:r>
              <w:rPr>
                <w:rFonts w:hint="eastAsia"/>
                <w:lang w:eastAsia="zh-CN"/>
              </w:rPr>
              <w:br w:type="textWrapping"/>
            </w:r>
            <w:r>
              <w:rPr>
                <w:rFonts w:hint="eastAsia"/>
                <w:lang w:eastAsia="zh-CN"/>
              </w:rPr>
              <w:t xml:space="preserve"> 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分)配送食材安全、质量保障机制以及问题货品的处理方案良好，符合要求、描述较详细，具体实施步骤和要求描述比较详细；三档(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分)配送食材安全、质量保障机制以及问题货品的处理方案优秀，符合要求、描述细致，具体实施步骤和要求描述全面，可行性强。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管理制度(</w:t>
            </w:r>
            <w:r>
              <w:rPr>
                <w:rFonts w:hint="eastAsia"/>
                <w:lang w:val="en-US" w:eastAsia="zh-CN"/>
              </w:rPr>
              <w:t>10</w:t>
            </w:r>
            <w:r>
              <w:rPr>
                <w:rFonts w:hint="eastAsia"/>
                <w:lang w:eastAsia="zh-CN"/>
              </w:rPr>
              <w:t>分)</w:t>
            </w:r>
          </w:p>
        </w:tc>
        <w:tc>
          <w:tcPr>
            <w:tcW w:w="5067" w:type="dxa"/>
          </w:tcPr>
          <w:p>
            <w:pPr>
              <w:rPr>
                <w:rFonts w:hint="eastAsia"/>
                <w:lang w:eastAsia="zh-CN"/>
              </w:rPr>
            </w:pPr>
            <w:r>
              <w:rPr>
                <w:rFonts w:hint="eastAsia"/>
                <w:lang w:eastAsia="zh-CN"/>
              </w:rPr>
              <w:t>根据投标人提供的各项管理制度，包括但不限于采购管理、仓储管理、配送管理等制度的完善性、可行性、实用性等方面由评委会根据投标人的管理制度等内容集体讨论，确定各投标人所属档次，再独立打分。</w:t>
            </w:r>
            <w:r>
              <w:rPr>
                <w:rFonts w:hint="eastAsia"/>
                <w:lang w:eastAsia="zh-CN"/>
              </w:rPr>
              <w:br w:type="textWrapping"/>
            </w:r>
            <w:r>
              <w:rPr>
                <w:rFonts w:hint="eastAsia"/>
                <w:lang w:eastAsia="zh-CN"/>
              </w:rPr>
              <w:t>一档(0.1-3分)：经评审小组综合比较评定，管理制度方案一般；</w:t>
            </w:r>
          </w:p>
          <w:p>
            <w:pPr>
              <w:ind w:left="0" w:leftChars="0" w:firstLine="0" w:firstLineChars="0"/>
              <w:rPr>
                <w:rFonts w:hint="eastAsia"/>
                <w:lang w:eastAsia="zh-CN"/>
              </w:rPr>
            </w:pPr>
            <w:r>
              <w:rPr>
                <w:rFonts w:hint="eastAsia"/>
                <w:lang w:eastAsia="zh-CN"/>
              </w:rPr>
              <w:t>二档(3.1-6分)：经评审小组综合比较评定，管理制度方案良好；</w:t>
            </w:r>
          </w:p>
          <w:p>
            <w:pPr>
              <w:ind w:left="0" w:leftChars="0" w:firstLine="0" w:firstLineChars="0"/>
              <w:rPr>
                <w:rFonts w:hint="eastAsia"/>
                <w:lang w:eastAsia="zh-CN"/>
              </w:rPr>
            </w:pPr>
            <w:r>
              <w:rPr>
                <w:rFonts w:hint="eastAsia"/>
                <w:lang w:eastAsia="zh-CN"/>
              </w:rPr>
              <w:t>三档(6.1-10分)：经评审小组综合比较评定，管理制度方案优秀。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食品安全检测能力及措施(</w:t>
            </w:r>
            <w:r>
              <w:rPr>
                <w:rFonts w:hint="eastAsia"/>
                <w:lang w:val="en-US" w:eastAsia="zh-CN"/>
              </w:rPr>
              <w:t>10</w:t>
            </w:r>
            <w:r>
              <w:rPr>
                <w:rFonts w:hint="eastAsia"/>
                <w:lang w:eastAsia="zh-CN"/>
              </w:rPr>
              <w:t>分)</w:t>
            </w:r>
            <w:r>
              <w:rPr>
                <w:rFonts w:hint="eastAsia"/>
                <w:lang w:eastAsia="zh-CN"/>
              </w:rPr>
              <w:br w:type="textWrapping"/>
            </w:r>
          </w:p>
        </w:tc>
        <w:tc>
          <w:tcPr>
            <w:tcW w:w="5067" w:type="dxa"/>
            <w:vAlign w:val="top"/>
          </w:tcPr>
          <w:p>
            <w:pPr>
              <w:ind w:left="0" w:leftChars="0" w:firstLine="0" w:firstLineChars="0"/>
              <w:rPr>
                <w:rFonts w:hint="eastAsia"/>
                <w:lang w:eastAsia="zh-CN"/>
              </w:rPr>
            </w:pPr>
            <w:r>
              <w:rPr>
                <w:rFonts w:hint="eastAsia"/>
                <w:lang w:eastAsia="zh-CN"/>
              </w:rPr>
              <w:t>(一)配送企业食品安全检测能力要求(</w:t>
            </w:r>
            <w:r>
              <w:rPr>
                <w:rFonts w:hint="eastAsia"/>
                <w:lang w:val="en-US" w:eastAsia="zh-CN"/>
              </w:rPr>
              <w:t>6</w:t>
            </w:r>
            <w:r>
              <w:rPr>
                <w:rFonts w:hint="eastAsia"/>
                <w:lang w:eastAsia="zh-CN"/>
              </w:rPr>
              <w:t>分)</w:t>
            </w:r>
            <w:r>
              <w:rPr>
                <w:rFonts w:hint="eastAsia"/>
                <w:lang w:eastAsia="zh-CN"/>
              </w:rPr>
              <w:br w:type="textWrapping"/>
            </w:r>
            <w:r>
              <w:rPr>
                <w:rFonts w:hint="eastAsia"/>
                <w:lang w:eastAsia="zh-CN"/>
              </w:rPr>
              <w:t>(1)配送企业设有标准化食品检测室并配备食品安全检测设备设施及试剂，能按要求对供应的生鲜肉类、蔬菜等食材食品关键性安全指标进行快速检测的得</w:t>
            </w:r>
            <w:r>
              <w:rPr>
                <w:rFonts w:hint="eastAsia"/>
                <w:lang w:val="en-US" w:eastAsia="zh-CN"/>
              </w:rPr>
              <w:t>3</w:t>
            </w:r>
            <w:r>
              <w:rPr>
                <w:rFonts w:hint="eastAsia"/>
                <w:lang w:eastAsia="zh-CN"/>
              </w:rPr>
              <w:t>分；</w:t>
            </w:r>
          </w:p>
          <w:p>
            <w:pPr>
              <w:ind w:left="0" w:leftChars="0" w:firstLine="0" w:firstLineChars="0"/>
              <w:rPr>
                <w:rFonts w:hint="eastAsia"/>
                <w:lang w:eastAsia="zh-CN"/>
              </w:rPr>
            </w:pPr>
            <w:r>
              <w:rPr>
                <w:rFonts w:hint="eastAsia"/>
                <w:lang w:eastAsia="zh-CN"/>
              </w:rPr>
              <w:t>(2)配送的米、面、油、调味品等预包装食品每年至少两次及以上送检到有资质的第三方检测机构并出具有产品检测合格报告的得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(二)能将检测信息即时上传给相关部门(采购方或食药监管部门)的得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(三)配备有兼职检测人员的得</w:t>
            </w:r>
            <w:r>
              <w:rPr>
                <w:rFonts w:hint="eastAsia"/>
                <w:lang w:val="en-US" w:eastAsia="zh-CN"/>
              </w:rPr>
              <w:t>1</w:t>
            </w:r>
            <w:r>
              <w:rPr>
                <w:rFonts w:hint="eastAsia"/>
                <w:lang w:eastAsia="zh-CN"/>
              </w:rPr>
              <w:t>分，有专职检测人员的得</w:t>
            </w:r>
            <w:r>
              <w:rPr>
                <w:rFonts w:hint="eastAsia"/>
                <w:lang w:val="en-US" w:eastAsia="zh-CN"/>
              </w:rPr>
              <w:t>2</w:t>
            </w:r>
            <w:r>
              <w:rPr>
                <w:rFonts w:hint="eastAsia"/>
                <w:lang w:eastAsia="zh-CN"/>
              </w:rPr>
              <w:t>分(提供质检员相关资质证明材料)。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center"/>
              <w:rPr>
                <w:rFonts w:hint="eastAsia"/>
                <w:lang w:eastAsia="zh-CN"/>
              </w:rPr>
            </w:pPr>
            <w:r>
              <w:rPr>
                <w:rFonts w:hint="eastAsia"/>
                <w:lang w:eastAsia="zh-CN"/>
              </w:rPr>
              <w:t>商务部分（50分）</w:t>
            </w:r>
          </w:p>
        </w:tc>
        <w:tc>
          <w:tcPr>
            <w:tcW w:w="2303" w:type="dxa"/>
            <w:vAlign w:val="center"/>
          </w:tcPr>
          <w:p>
            <w:pPr>
              <w:ind w:left="0" w:leftChars="0" w:firstLine="0" w:firstLineChars="0"/>
              <w:jc w:val="center"/>
              <w:rPr>
                <w:rFonts w:hint="eastAsia"/>
                <w:lang w:eastAsia="zh-CN"/>
              </w:rPr>
            </w:pPr>
            <w:r>
              <w:rPr>
                <w:rFonts w:hint="eastAsia"/>
                <w:lang w:eastAsia="zh-CN"/>
              </w:rPr>
              <w:t>投标人食品仓储能力(10分)</w:t>
            </w:r>
          </w:p>
        </w:tc>
        <w:tc>
          <w:tcPr>
            <w:tcW w:w="5067" w:type="dxa"/>
          </w:tcPr>
          <w:p>
            <w:pPr>
              <w:ind w:left="0" w:leftChars="0" w:firstLine="0" w:firstLineChars="0"/>
              <w:rPr>
                <w:rFonts w:hint="eastAsia"/>
                <w:lang w:eastAsia="zh-CN"/>
              </w:rPr>
            </w:pPr>
            <w:r>
              <w:rPr>
                <w:rFonts w:hint="eastAsia"/>
                <w:lang w:eastAsia="zh-CN"/>
              </w:rPr>
              <w:t>(一)0&lt;㎡食品仓库面积&lt;100㎡的得2分；</w:t>
            </w:r>
            <w:r>
              <w:rPr>
                <w:rFonts w:hint="eastAsia"/>
                <w:lang w:eastAsia="zh-CN"/>
              </w:rPr>
              <w:br w:type="textWrapping"/>
            </w:r>
            <w:r>
              <w:rPr>
                <w:rFonts w:hint="eastAsia"/>
                <w:lang w:eastAsia="zh-CN"/>
              </w:rPr>
              <w:t>(二)100㎡食品仓库面积&lt;500㎡的得4分；</w:t>
            </w:r>
            <w:r>
              <w:rPr>
                <w:rFonts w:hint="eastAsia"/>
                <w:lang w:eastAsia="zh-CN"/>
              </w:rPr>
              <w:br w:type="textWrapping"/>
            </w:r>
            <w:r>
              <w:rPr>
                <w:rFonts w:hint="eastAsia"/>
                <w:lang w:eastAsia="zh-CN"/>
              </w:rPr>
              <w:t>(三)500㎡食品仓库面积&lt;1500㎡的得6分；</w:t>
            </w:r>
            <w:r>
              <w:rPr>
                <w:rFonts w:hint="eastAsia"/>
                <w:lang w:eastAsia="zh-CN"/>
              </w:rPr>
              <w:br w:type="textWrapping"/>
            </w:r>
            <w:r>
              <w:rPr>
                <w:rFonts w:hint="eastAsia"/>
                <w:lang w:eastAsia="zh-CN"/>
              </w:rPr>
              <w:t>(四) 1500㎡食品仓库面积&lt;2000㎡的得8分；</w:t>
            </w:r>
            <w:r>
              <w:rPr>
                <w:rFonts w:hint="eastAsia"/>
                <w:lang w:eastAsia="zh-CN"/>
              </w:rPr>
              <w:br w:type="textWrapping"/>
            </w:r>
            <w:r>
              <w:rPr>
                <w:rFonts w:hint="eastAsia"/>
                <w:lang w:eastAsia="zh-CN"/>
              </w:rPr>
              <w:t>(五)200</w:t>
            </w:r>
            <w:r>
              <w:rPr>
                <w:rFonts w:hint="eastAsia"/>
                <w:lang w:val="en-US" w:eastAsia="zh-CN"/>
              </w:rPr>
              <w:t>0</w:t>
            </w:r>
            <w:r>
              <w:rPr>
                <w:rFonts w:hint="eastAsia"/>
                <w:lang w:eastAsia="zh-CN"/>
              </w:rPr>
              <w:t>㎡食品仓库面积得10分。</w:t>
            </w:r>
            <w:r>
              <w:rPr>
                <w:rFonts w:hint="eastAsia"/>
                <w:lang w:eastAsia="zh-CN"/>
              </w:rPr>
              <w:br w:type="textWrapping"/>
            </w:r>
            <w:r>
              <w:rPr>
                <w:rFonts w:hint="eastAsia"/>
                <w:lang w:eastAsia="zh-CN"/>
              </w:rPr>
              <w:t>注：食品仓库必须是食品专用仓库，不能与其他非食品物品共同使用.投标文件须有效的仓库租赁证明材料(如租赁合同复印件、仓库图片等，加盖投标人公章，原件备查)，不提供或不符合要求的该项不得分。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同类项目经验</w:t>
            </w:r>
          </w:p>
          <w:p>
            <w:pPr>
              <w:ind w:left="0" w:leftChars="0" w:firstLine="0" w:firstLineChars="0"/>
              <w:jc w:val="center"/>
              <w:rPr>
                <w:rFonts w:hint="eastAsia"/>
                <w:lang w:eastAsia="zh-CN"/>
              </w:rPr>
            </w:pPr>
            <w:r>
              <w:rPr>
                <w:rFonts w:hint="eastAsia"/>
                <w:lang w:eastAsia="zh-CN"/>
              </w:rPr>
              <w:t>(10.0分)</w:t>
            </w:r>
          </w:p>
        </w:tc>
        <w:tc>
          <w:tcPr>
            <w:tcW w:w="5067" w:type="dxa"/>
          </w:tcPr>
          <w:p>
            <w:pPr>
              <w:rPr>
                <w:rFonts w:hint="eastAsia"/>
                <w:lang w:eastAsia="zh-CN"/>
              </w:rPr>
            </w:pPr>
            <w:r>
              <w:rPr>
                <w:rFonts w:hint="eastAsia"/>
                <w:lang w:eastAsia="zh-CN"/>
              </w:rPr>
              <w:t>(1)投标人通过 I509001质量保证体系认证的得2分；</w:t>
            </w:r>
            <w:r>
              <w:rPr>
                <w:rFonts w:hint="eastAsia"/>
                <w:lang w:eastAsia="zh-CN"/>
              </w:rPr>
              <w:br w:type="textWrapping"/>
            </w:r>
            <w:r>
              <w:rPr>
                <w:rFonts w:hint="eastAsia"/>
                <w:lang w:eastAsia="zh-CN"/>
              </w:rPr>
              <w:t>(2)投标人通过 ISO22000质量保证体系认证的得2分；</w:t>
            </w:r>
            <w:r>
              <w:rPr>
                <w:rFonts w:hint="eastAsia"/>
                <w:lang w:eastAsia="zh-CN"/>
              </w:rPr>
              <w:br w:type="textWrapping"/>
            </w:r>
            <w:r>
              <w:rPr>
                <w:rFonts w:hint="eastAsia"/>
                <w:lang w:eastAsia="zh-CN"/>
              </w:rPr>
              <w:t>(3)投标人购买不少于200万元保额的食品安全责任险得2分。</w:t>
            </w:r>
            <w:r>
              <w:rPr>
                <w:rFonts w:hint="eastAsia"/>
                <w:lang w:eastAsia="zh-CN"/>
              </w:rPr>
              <w:br w:type="textWrapping"/>
            </w:r>
            <w:r>
              <w:rPr>
                <w:rFonts w:hint="eastAsia"/>
                <w:lang w:eastAsia="zh-CN"/>
              </w:rPr>
              <w:t>注：提供保单复印件并加盖公章，不提供的不得分。</w:t>
            </w:r>
            <w:r>
              <w:rPr>
                <w:rFonts w:hint="eastAsia"/>
                <w:lang w:eastAsia="zh-CN"/>
              </w:rPr>
              <w:br w:type="textWrapping"/>
            </w:r>
            <w:r>
              <w:rPr>
                <w:rFonts w:hint="eastAsia"/>
                <w:lang w:eastAsia="zh-CN"/>
              </w:rPr>
              <w:t>(4)2014年1月1日以来，投标人完成同类项目单项合同金额1000万元以上的，每项得2分。</w:t>
            </w:r>
            <w:r>
              <w:rPr>
                <w:rFonts w:hint="eastAsia"/>
                <w:lang w:eastAsia="zh-CN"/>
              </w:rPr>
              <w:br w:type="textWrapping"/>
            </w:r>
            <w:r>
              <w:rPr>
                <w:rFonts w:hint="eastAsia"/>
                <w:lang w:eastAsia="zh-CN"/>
              </w:rPr>
              <w:t>(5)目前至少有三家以上企事业单位配送服务案例的得2分，(提供中标文件或者供货合同证明，否则不得分)</w:t>
            </w:r>
            <w:r>
              <w:rPr>
                <w:rFonts w:hint="eastAsia"/>
                <w:lang w:eastAsia="zh-CN"/>
              </w:rPr>
              <w:br w:type="textWrapping"/>
            </w:r>
            <w:r>
              <w:rPr>
                <w:rFonts w:hint="eastAsia"/>
                <w:lang w:eastAsia="zh-CN"/>
              </w:rPr>
              <w:t xml:space="preserve"> 注：以上要求提供投标人相关证明材料的均须提供复印件并加盖投标人公章，业绩以投标人提供的中标/成交通知书或合同复印件并加盖投标人公章为准，原件备查，不提供的不得分。</w:t>
            </w:r>
            <w:r>
              <w:rPr>
                <w:rFonts w:hint="eastAsia"/>
                <w:lang w:eastAsia="zh-CN"/>
              </w:rPr>
              <w:br w:type="textWrapping"/>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冷库冷藏能力及规模(5分)</w:t>
            </w:r>
          </w:p>
        </w:tc>
        <w:tc>
          <w:tcPr>
            <w:tcW w:w="5067" w:type="dxa"/>
          </w:tcPr>
          <w:p>
            <w:pPr>
              <w:rPr>
                <w:rFonts w:hint="eastAsia"/>
                <w:lang w:eastAsia="zh-CN"/>
              </w:rPr>
            </w:pPr>
            <w:r>
              <w:rPr>
                <w:rFonts w:hint="eastAsia"/>
                <w:lang w:eastAsia="zh-CN"/>
              </w:rPr>
              <w:t>(一)0㎡食品冷库容量&lt;20㎡的得1分；</w:t>
            </w:r>
            <w:r>
              <w:rPr>
                <w:rFonts w:hint="eastAsia"/>
                <w:lang w:eastAsia="zh-CN"/>
              </w:rPr>
              <w:br w:type="textWrapping"/>
            </w:r>
            <w:r>
              <w:rPr>
                <w:rFonts w:hint="eastAsia"/>
                <w:lang w:eastAsia="zh-CN"/>
              </w:rPr>
              <w:t>(二)20㎡食品冷库容量&lt;100 ㎡的得2分；</w:t>
            </w:r>
            <w:r>
              <w:rPr>
                <w:rFonts w:hint="eastAsia"/>
                <w:lang w:eastAsia="zh-CN"/>
              </w:rPr>
              <w:br w:type="textWrapping"/>
            </w:r>
            <w:r>
              <w:rPr>
                <w:rFonts w:hint="eastAsia"/>
                <w:lang w:eastAsia="zh-CN"/>
              </w:rPr>
              <w:t>(三)100㎡食品冷库容量&lt;500 m²的得3分；</w:t>
            </w:r>
            <w:r>
              <w:rPr>
                <w:rFonts w:hint="eastAsia"/>
                <w:lang w:eastAsia="zh-CN"/>
              </w:rPr>
              <w:br w:type="textWrapping"/>
            </w:r>
            <w:r>
              <w:rPr>
                <w:rFonts w:hint="eastAsia"/>
                <w:lang w:eastAsia="zh-CN"/>
              </w:rPr>
              <w:t>(四)500㎡食品冷库容量&lt;1000 ㎡的得4分：</w:t>
            </w:r>
            <w:r>
              <w:rPr>
                <w:rFonts w:hint="eastAsia"/>
                <w:lang w:eastAsia="zh-CN"/>
              </w:rPr>
              <w:br w:type="textWrapping"/>
            </w:r>
            <w:r>
              <w:rPr>
                <w:rFonts w:hint="eastAsia"/>
                <w:lang w:eastAsia="zh-CN"/>
              </w:rPr>
              <w:t>(五)食品冷库容量≥1000㎡的得5分。</w:t>
            </w:r>
            <w:r>
              <w:rPr>
                <w:rFonts w:hint="eastAsia"/>
                <w:lang w:eastAsia="zh-CN"/>
              </w:rPr>
              <w:br w:type="textWrapping"/>
            </w:r>
            <w:r>
              <w:rPr>
                <w:rFonts w:hint="eastAsia"/>
                <w:lang w:eastAsia="zh-CN"/>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配送能力(5分)</w:t>
            </w:r>
          </w:p>
        </w:tc>
        <w:tc>
          <w:tcPr>
            <w:tcW w:w="5067" w:type="dxa"/>
          </w:tcPr>
          <w:p>
            <w:pPr>
              <w:ind w:left="0" w:leftChars="0" w:firstLine="0" w:firstLineChars="0"/>
              <w:rPr>
                <w:rFonts w:hint="eastAsia"/>
                <w:lang w:eastAsia="zh-CN"/>
              </w:rPr>
            </w:pPr>
            <w:r>
              <w:rPr>
                <w:rFonts w:hint="eastAsia"/>
                <w:lang w:eastAsia="zh-CN"/>
              </w:rPr>
              <w:t>(一)1辆≤配送车辆数量≤4辆的得1分；</w:t>
            </w:r>
            <w:r>
              <w:rPr>
                <w:rFonts w:hint="eastAsia"/>
                <w:lang w:eastAsia="zh-CN"/>
              </w:rPr>
              <w:br w:type="textWrapping"/>
            </w:r>
            <w:r>
              <w:rPr>
                <w:rFonts w:hint="eastAsia"/>
                <w:lang w:eastAsia="zh-CN"/>
              </w:rPr>
              <w:t>(二)5辆≤配送车辆数量≤10辆的2分；</w:t>
            </w:r>
            <w:r>
              <w:rPr>
                <w:rFonts w:hint="eastAsia"/>
                <w:lang w:eastAsia="zh-CN"/>
              </w:rPr>
              <w:br w:type="textWrapping"/>
            </w:r>
            <w:r>
              <w:rPr>
                <w:rFonts w:hint="eastAsia"/>
                <w:lang w:eastAsia="zh-CN"/>
              </w:rPr>
              <w:t>(三)11辆≤配送车辆数量≤20辆的得3分；</w:t>
            </w:r>
            <w:r>
              <w:rPr>
                <w:rFonts w:hint="eastAsia"/>
                <w:lang w:eastAsia="zh-CN"/>
              </w:rPr>
              <w:br w:type="textWrapping"/>
            </w:r>
            <w:r>
              <w:rPr>
                <w:rFonts w:hint="eastAsia"/>
                <w:lang w:eastAsia="zh-CN"/>
              </w:rPr>
              <w:t>(四)配送车辆数量&gt;20的得5分。</w:t>
            </w:r>
            <w:r>
              <w:rPr>
                <w:rFonts w:hint="eastAsia"/>
                <w:lang w:eastAsia="zh-CN"/>
              </w:rPr>
              <w:br w:type="textWrapping"/>
            </w:r>
            <w:r>
              <w:rPr>
                <w:rFonts w:hint="eastAsia"/>
                <w:lang w:eastAsia="zh-CN"/>
              </w:rPr>
              <w:t>注：生鲜冷冻类食品运输必须使用冷藏运输车辆，投标文件须时车辆持有有效证明材料，否则视为该车辆非投标人拟派本项目固定使用车辆，不计入数量计算。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加工场所(仓库)综合评分(</w:t>
            </w:r>
            <w:r>
              <w:rPr>
                <w:rFonts w:hint="eastAsia"/>
                <w:lang w:val="en-US" w:eastAsia="zh-CN"/>
              </w:rPr>
              <w:t>20</w:t>
            </w:r>
            <w:r>
              <w:rPr>
                <w:rFonts w:hint="eastAsia"/>
                <w:lang w:eastAsia="zh-CN"/>
              </w:rPr>
              <w:t>分)</w:t>
            </w:r>
            <w:r>
              <w:rPr>
                <w:rFonts w:hint="eastAsia"/>
                <w:lang w:eastAsia="zh-CN"/>
              </w:rPr>
              <w:br w:type="textWrapping"/>
            </w:r>
          </w:p>
        </w:tc>
        <w:tc>
          <w:tcPr>
            <w:tcW w:w="5067" w:type="dxa"/>
          </w:tcPr>
          <w:p>
            <w:pPr>
              <w:ind w:left="0" w:leftChars="0" w:firstLine="0" w:firstLineChars="0"/>
              <w:rPr>
                <w:rFonts w:hint="eastAsia"/>
                <w:lang w:eastAsia="zh-CN"/>
              </w:rPr>
            </w:pPr>
            <w:r>
              <w:rPr>
                <w:rFonts w:hint="eastAsia"/>
                <w:lang w:eastAsia="zh-CN"/>
              </w:rPr>
              <w:t>(一)加工场所(仓库)不设在易受到污染的区域，距离粪坑、污水池、暴露垃圾场(站)、早厕等污染源25米，得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(二)食品原料出入口设有高60cm以上不锈钢材质的防鼠板，得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(三)加工场所(仓库)内防绳、防尘、防虫、清洗消毒设施齐全，得</w:t>
            </w:r>
            <w:r>
              <w:rPr>
                <w:rFonts w:hint="eastAsia"/>
                <w:lang w:val="en-US" w:eastAsia="zh-CN"/>
              </w:rPr>
              <w:t>2</w:t>
            </w:r>
            <w:r>
              <w:rPr>
                <w:rFonts w:hint="eastAsia"/>
                <w:lang w:eastAsia="zh-CN"/>
              </w:rPr>
              <w:t>分，一项不齐全或不能正常使用不得分；</w:t>
            </w:r>
            <w:r>
              <w:rPr>
                <w:rFonts w:hint="eastAsia"/>
                <w:lang w:eastAsia="zh-CN"/>
              </w:rPr>
              <w:br w:type="textWrapping"/>
            </w:r>
            <w:r>
              <w:rPr>
                <w:rFonts w:hint="eastAsia"/>
                <w:lang w:eastAsia="zh-CN"/>
              </w:rPr>
              <w:t>(四)加工场所(仓库)内设备布部门合理、干净整洁、通风良好，得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（五）食品货架排列整洁，食品离地离墙10cm存放，得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(六)各区域能有效运用"色标"进行规范管理，得2分；</w:t>
            </w:r>
            <w:r>
              <w:rPr>
                <w:rFonts w:hint="eastAsia"/>
                <w:lang w:eastAsia="zh-CN"/>
              </w:rPr>
              <w:br w:type="textWrapping"/>
            </w:r>
            <w:r>
              <w:rPr>
                <w:rFonts w:hint="eastAsia"/>
                <w:lang w:eastAsia="zh-CN"/>
              </w:rPr>
              <w:t>(七)与食品原料接触的设施设备和工用具干净清洁，得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(八)每一类食品原料做到索证索票(包括营业执照、食品生产(经营)许可证的得</w:t>
            </w:r>
            <w:r>
              <w:rPr>
                <w:rFonts w:hint="eastAsia"/>
                <w:lang w:val="en-US" w:eastAsia="zh-CN"/>
              </w:rPr>
              <w:t>3</w:t>
            </w:r>
            <w:r>
              <w:rPr>
                <w:rFonts w:hint="eastAsia"/>
                <w:lang w:eastAsia="zh-CN"/>
              </w:rPr>
              <w:t>分，能提供厂家半年内第三方检测机构出具的《产品质量检测报告》并有电子台账并将台账资料留存半年以上的得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(九)蔬菜、肉类、米面、调味品、食用油来源清楚，和农村合作社、定点宰场、大型生产基地(工厂)、大型农贸批发市场等签订采购协议的得2分。</w:t>
            </w:r>
          </w:p>
        </w:tc>
      </w:tr>
    </w:tbl>
    <w:p>
      <w:pPr>
        <w:widowControl/>
        <w:shd w:val="clear" w:color="auto" w:fill="FFFFFF"/>
        <w:spacing w:line="240" w:lineRule="exact"/>
        <w:jc w:val="left"/>
        <w:rPr>
          <w:rFonts w:hint="eastAsia" w:ascii="仿宋_GB2312" w:hAnsi="仿宋_GB2312" w:eastAsia="仿宋_GB2312" w:cs="仿宋_GB2312"/>
          <w:kern w:val="0"/>
          <w:szCs w:val="21"/>
          <w:lang w:val="en-US" w:eastAsia="zh-CN"/>
        </w:rPr>
      </w:pPr>
    </w:p>
    <w:p>
      <w:pPr>
        <w:widowControl/>
        <w:shd w:val="clear" w:color="auto" w:fill="FFFFFF"/>
        <w:spacing w:line="240" w:lineRule="exact"/>
        <w:jc w:val="left"/>
        <w:rPr>
          <w:rFonts w:hint="eastAsia" w:ascii="仿宋_GB2312" w:hAnsi="仿宋_GB2312" w:eastAsia="仿宋_GB2312" w:cs="仿宋_GB2312"/>
          <w:kern w:val="0"/>
          <w:szCs w:val="21"/>
        </w:rPr>
      </w:pPr>
    </w:p>
    <w:p>
      <w:pPr>
        <w:numPr>
          <w:ilvl w:val="0"/>
          <w:numId w:val="9"/>
        </w:numPr>
        <w:spacing w:line="360" w:lineRule="exact"/>
        <w:ind w:firstLine="472" w:firstLineChars="200"/>
        <w:rPr>
          <w:rFonts w:ascii="仿宋_GB2312" w:hAnsi="Arial" w:eastAsia="仿宋_GB2312"/>
          <w:spacing w:val="-2"/>
          <w:sz w:val="24"/>
        </w:rPr>
      </w:pPr>
      <w:r>
        <w:rPr>
          <w:rFonts w:hint="eastAsia" w:ascii="仿宋_GB2312" w:hAnsi="Arial" w:eastAsia="仿宋_GB2312"/>
          <w:spacing w:val="-2"/>
          <w:sz w:val="24"/>
        </w:rPr>
        <w:t>最终报价</w:t>
      </w:r>
      <w:r>
        <w:rPr>
          <w:rFonts w:hint="eastAsia" w:ascii="仿宋_GB2312" w:hAnsi="Arial" w:eastAsia="仿宋_GB2312"/>
          <w:spacing w:val="-2"/>
          <w:sz w:val="24"/>
          <w:lang w:val="en-US" w:eastAsia="zh-CN"/>
        </w:rPr>
        <w:t>1</w:t>
      </w:r>
      <w:r>
        <w:rPr>
          <w:rFonts w:hint="eastAsia" w:ascii="仿宋_GB2312" w:hAnsi="Arial" w:eastAsia="仿宋_GB2312"/>
          <w:spacing w:val="-2"/>
          <w:sz w:val="24"/>
        </w:rPr>
        <w:t>0分。（此分值根据投标人投标报价计算结果）</w:t>
      </w:r>
      <w:r>
        <w:rPr>
          <w:rFonts w:hint="eastAsia" w:ascii="仿宋_GB2312" w:hAnsi="Arial" w:eastAsia="仿宋_GB2312"/>
          <w:spacing w:val="-2"/>
          <w:sz w:val="24"/>
        </w:rPr>
        <w:br w:type="textWrapping"/>
      </w:r>
      <w:r>
        <w:rPr>
          <w:rFonts w:hint="eastAsia" w:ascii="仿宋_GB2312" w:hAnsi="Arial" w:eastAsia="仿宋_GB2312"/>
          <w:spacing w:val="-2"/>
          <w:sz w:val="24"/>
        </w:rPr>
        <w:t xml:space="preserve">    (2)报价得分计算方法：此分值根据各投标人的投标报价采用低价优先法计算而得，即满足招标文件要求且投标价格最低的合理投标报价为评标基准价，其价格分为满分。其他投标人的价格分统一按照下列公式计算:投标报价得分=（单价最低价/投标报价）×价格权值×100，采购人对同类采购项目采用综合评分法的，原则上不得改变评审因素和评分标准。</w:t>
      </w:r>
    </w:p>
    <w:p>
      <w:r>
        <w:rPr>
          <w:rFonts w:hint="eastAsia" w:ascii="仿宋_GB2312" w:eastAsia="仿宋_GB2312"/>
          <w:b/>
          <w:color w:val="FF0000"/>
          <w:sz w:val="24"/>
        </w:rPr>
        <w:t>（3）如投标商投标报价超出本项目采购预算单价及预算总价价格，则取消资格。</w:t>
      </w:r>
    </w:p>
    <w:p>
      <w:pPr>
        <w:widowControl/>
        <w:shd w:val="clear" w:color="auto" w:fill="FFFFFF"/>
        <w:spacing w:line="240" w:lineRule="exact"/>
        <w:jc w:val="left"/>
        <w:rPr>
          <w:rFonts w:hint="eastAsia" w:ascii="仿宋_GB2312" w:hAnsi="仿宋_GB2312" w:eastAsia="仿宋_GB2312" w:cs="仿宋_GB2312"/>
          <w:kern w:val="0"/>
          <w:szCs w:val="21"/>
        </w:rPr>
      </w:pPr>
    </w:p>
    <w:p>
      <w:pPr>
        <w:spacing w:line="360" w:lineRule="exact"/>
        <w:rPr>
          <w:rFonts w:ascii="仿宋_GB2312" w:hAnsi="Arial" w:eastAsia="仿宋_GB2312"/>
          <w:sz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snapToGrid w:val="0"/>
        <w:spacing w:before="319" w:beforeLines="100" w:after="319" w:afterLines="100" w:line="360" w:lineRule="auto"/>
        <w:jc w:val="both"/>
        <w:rPr>
          <w:rFonts w:ascii="仿宋_GB2312" w:hAnsi="仿宋_GB2312" w:eastAsia="仿宋_GB2312" w:cs="仿宋_GB2312"/>
        </w:rPr>
      </w:pPr>
      <w:bookmarkStart w:id="122" w:name="_Toc24606"/>
      <w:bookmarkStart w:id="123" w:name="_Toc22690"/>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第五章 政府采购合同条款</w:t>
      </w:r>
      <w:bookmarkEnd w:id="121"/>
      <w:r>
        <w:rPr>
          <w:rFonts w:hint="eastAsia" w:ascii="仿宋_GB2312" w:hAnsi="仿宋_GB2312" w:eastAsia="仿宋_GB2312" w:cs="仿宋_GB2312"/>
        </w:rPr>
        <w:t>及格式</w:t>
      </w:r>
      <w:bookmarkEnd w:id="122"/>
      <w:bookmarkEnd w:id="123"/>
    </w:p>
    <w:p>
      <w:pPr>
        <w:rPr>
          <w:rFonts w:ascii="仿宋_GB2312" w:hAnsi="仿宋_GB2312" w:eastAsia="仿宋_GB2312" w:cs="仿宋_GB2312"/>
          <w:szCs w:val="28"/>
        </w:rPr>
      </w:pPr>
      <w:bookmarkStart w:id="124" w:name="_Toc23704_WPSOffice_Level1"/>
      <w:r>
        <w:rPr>
          <w:rFonts w:hint="eastAsia" w:ascii="仿宋_GB2312" w:hAnsi="仿宋_GB2312" w:eastAsia="仿宋_GB2312" w:cs="仿宋_GB2312"/>
          <w:szCs w:val="28"/>
        </w:rPr>
        <w:t>合同条款</w:t>
      </w:r>
      <w:bookmarkEnd w:id="124"/>
    </w:p>
    <w:p>
      <w:pPr>
        <w:spacing w:before="319" w:beforeLines="100" w:after="319"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0"/>
        </w:numPr>
        <w:spacing w:line="360" w:lineRule="auto"/>
        <w:rPr>
          <w:rFonts w:ascii="仿宋_GB2312" w:hAnsi="宋体" w:eastAsia="仿宋_GB2312"/>
          <w:b/>
          <w:szCs w:val="21"/>
        </w:rPr>
      </w:pPr>
      <w:r>
        <w:rPr>
          <w:rFonts w:hint="eastAsia" w:ascii="仿宋_GB2312" w:hAnsi="宋体" w:eastAsia="仿宋_GB2312"/>
          <w:b/>
          <w:szCs w:val="21"/>
        </w:rPr>
        <w:t>术语定义</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“政府采购合同价”指根据合同约定供方在正确地完全履行政府采购合同义务后需方应支付给供方的价格。</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“服务”指政府采购合同服务清单（同投标文件中开标一览表及其附表，下同）所约定的服务内容。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“检验”指需方按照政府采购合同约定的标准对供方所提供服务进行的检测和查验。</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“第三人”是指本政府采购合同双方以外的任何中国境内外的自然人、法人或其它经济组织。</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“招标文件”指采购人或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发布的招标文件。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“投标文件”指供方按照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招标文件的要求编制和递交，并最终被评标委员会接受的投标文件。</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2.技术规范与服务内容</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2.2 投标服务的服务内容应与招标文件规定服务内容及投标文件中的项目要求及投标响应表一致。</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3.知识产权</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spacing w:line="360" w:lineRule="auto"/>
        <w:ind w:firstLine="417" w:firstLineChars="199"/>
        <w:rPr>
          <w:rFonts w:ascii="仿宋_GB2312" w:hAnsi="宋体" w:eastAsia="仿宋_GB2312"/>
          <w:szCs w:val="21"/>
        </w:rPr>
      </w:pPr>
      <w:r>
        <w:rPr>
          <w:rFonts w:hint="eastAsia" w:ascii="仿宋_GB2312" w:hAnsi="宋体" w:eastAsia="仿宋_GB2312"/>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4.完成方式</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5.付款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5.1政府采购合同以人民币付款。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5.2在供方按照政府采购合同的规定履行服务后，需方按照合同约定的方式和条件付款。</w:t>
      </w:r>
    </w:p>
    <w:p>
      <w:pPr>
        <w:spacing w:line="360" w:lineRule="auto"/>
        <w:ind w:firstLine="420" w:firstLineChars="200"/>
        <w:rPr>
          <w:rFonts w:ascii="仿宋_GB2312" w:hAnsi="宋体" w:eastAsia="仿宋_GB2312"/>
          <w:b/>
          <w:szCs w:val="21"/>
        </w:rPr>
      </w:pPr>
      <w:r>
        <w:rPr>
          <w:rFonts w:hint="eastAsia" w:ascii="仿宋_GB2312" w:hAnsi="宋体" w:eastAsia="仿宋_GB2312"/>
          <w:b/>
          <w:szCs w:val="21"/>
        </w:rPr>
        <w:t>6.服务质量</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宋体" w:eastAsia="仿宋_GB2312"/>
          <w:b/>
          <w:szCs w:val="21"/>
        </w:rPr>
      </w:pPr>
      <w:r>
        <w:rPr>
          <w:rFonts w:hint="eastAsia" w:ascii="仿宋_GB2312" w:hAnsi="宋体" w:eastAsia="仿宋_GB2312"/>
          <w:b/>
          <w:szCs w:val="21"/>
        </w:rPr>
        <w:t>7.技术服务和保修责任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7.3.6保修期内，供方应投标时的承诺提供相关服务。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8.检验和验收</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8.1完成服务后，需方或采购代理机构（由具体项目决定）应在政府采购合同规定的时间内组织验收，并在“验收书”上签字。“验收书”将作为申请付款文件的一部分。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spacing w:line="360" w:lineRule="auto"/>
        <w:ind w:firstLine="457" w:firstLineChars="218"/>
        <w:rPr>
          <w:rFonts w:ascii="仿宋_GB2312" w:hAnsi="宋体" w:eastAsia="仿宋_GB2312"/>
          <w:b/>
          <w:szCs w:val="21"/>
        </w:rPr>
      </w:pPr>
      <w:r>
        <w:rPr>
          <w:rFonts w:hint="eastAsia" w:ascii="仿宋_GB2312" w:hAnsi="宋体" w:eastAsia="仿宋_GB2312"/>
          <w:b/>
          <w:szCs w:val="21"/>
        </w:rPr>
        <w:t>9.违约责任</w:t>
      </w:r>
    </w:p>
    <w:p>
      <w:pPr>
        <w:spacing w:line="360" w:lineRule="auto"/>
        <w:ind w:firstLine="457" w:firstLineChars="218"/>
        <w:rPr>
          <w:rFonts w:ascii="仿宋_GB2312" w:hAnsi="宋体" w:eastAsia="仿宋_GB2312" w:cs="Arial"/>
          <w:szCs w:val="21"/>
        </w:rPr>
      </w:pPr>
      <w:r>
        <w:rPr>
          <w:rFonts w:hint="eastAsia" w:ascii="仿宋_GB2312" w:hAnsi="宋体" w:eastAsia="仿宋_GB2312" w:cs="Arial"/>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9.3延期服务的违约责任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8.4以上各项交付的违约金并不影响违约方履行政府采购合同的各项义务。</w:t>
      </w:r>
    </w:p>
    <w:p>
      <w:pPr>
        <w:spacing w:line="360" w:lineRule="auto"/>
        <w:ind w:left="420"/>
        <w:rPr>
          <w:rFonts w:ascii="仿宋_GB2312" w:hAnsi="宋体" w:eastAsia="仿宋_GB2312" w:cs="Arial"/>
          <w:b/>
          <w:szCs w:val="21"/>
        </w:rPr>
      </w:pPr>
      <w:r>
        <w:rPr>
          <w:rFonts w:hint="eastAsia" w:ascii="仿宋_GB2312" w:hAnsi="宋体" w:eastAsia="仿宋_GB2312" w:cs="Arial"/>
          <w:b/>
          <w:szCs w:val="21"/>
        </w:rPr>
        <w:t>10.不可抗力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11.争端的解决</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11.1需方和供方应通过友好协商，解决在执行本政府采购合同过程中所发生的或与本政府采购合同有关的一切争端。</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12.违约终止政府采购合同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12.1.1如果供方未能在政府采购合同规定的限期或需方同意延长的限期内提供部分或全部服务；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12.1.2如果供方未能履行政府采购合同规定的其它任何义务。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13.政府采购法对政府采购合同变更终止的规定</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14.政府采购合同转让和分包</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本政府采购合同按照中华人民共和国的现行法律进行解释。</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16.政府采购合同生效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16.1本政府采购合同在供需双方法定代表人或其授权代理人签字和加盖公章后生效。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16.2本政府采购合同一式五份，需方执二份，供方、</w:t>
      </w:r>
      <w:r>
        <w:rPr>
          <w:rFonts w:hint="eastAsia" w:ascii="仿宋_GB2312" w:hAnsi="宋体" w:eastAsia="仿宋_GB2312" w:cs="Lucida Sans Unicode"/>
          <w:szCs w:val="21"/>
        </w:rPr>
        <w:t>采购代理机构</w:t>
      </w:r>
      <w:r>
        <w:rPr>
          <w:rFonts w:hint="eastAsia" w:ascii="仿宋_GB2312" w:hAnsi="宋体" w:eastAsia="仿宋_GB2312" w:cs="Arial"/>
          <w:szCs w:val="21"/>
        </w:rPr>
        <w:t xml:space="preserve">、财政部门各执一份。 </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17.政府采购合同附件</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下列文件构成本政府采购合同不可分割的组成部分，与本政府采购合同具有同等法律效力：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招标文件；</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17.2招标文件的更正公告、变更公告；</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17.3中标供应商提交的投标文件；        </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17.4</w:t>
      </w:r>
      <w:r>
        <w:rPr>
          <w:rFonts w:hint="eastAsia" w:ascii="仿宋_GB2312" w:hAnsi="宋体" w:eastAsia="仿宋_GB2312"/>
          <w:szCs w:val="21"/>
        </w:rPr>
        <w:t>政府采购合同条款；</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17.5中标通知书；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17.6政府采购合同的其它附件。</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line="240" w:lineRule="auto"/>
        <w:jc w:val="left"/>
        <w:rPr>
          <w:rFonts w:ascii="仿宋_GB2312" w:hAnsi="宋体" w:eastAsia="仿宋_GB2312"/>
          <w:sz w:val="21"/>
          <w:szCs w:val="21"/>
        </w:rPr>
      </w:pPr>
      <w:bookmarkStart w:id="125" w:name="_Toc7342_WPSOffice_Level1"/>
      <w:bookmarkStart w:id="126" w:name="_Toc372_WPSOffice_Level1"/>
      <w:bookmarkStart w:id="127" w:name="_Toc3044_WPSOffice_Level1"/>
      <w:r>
        <w:rPr>
          <w:rFonts w:hint="eastAsia" w:ascii="仿宋_GB2312" w:hAnsi="仿宋_GB2312" w:eastAsia="仿宋_GB2312" w:cs="仿宋_GB2312"/>
          <w:szCs w:val="28"/>
        </w:rPr>
        <w:t>合同格式</w:t>
      </w:r>
      <w:bookmarkEnd w:id="125"/>
      <w:bookmarkEnd w:id="126"/>
      <w:bookmarkEnd w:id="127"/>
    </w:p>
    <w:p>
      <w:pPr>
        <w:spacing w:before="319" w:beforeLines="100" w:after="319" w:afterLines="100" w:line="360" w:lineRule="auto"/>
        <w:jc w:val="center"/>
        <w:rPr>
          <w:rFonts w:ascii="宋体"/>
          <w:b/>
          <w:sz w:val="36"/>
          <w:szCs w:val="36"/>
        </w:rPr>
      </w:pPr>
      <w:r>
        <w:rPr>
          <w:rFonts w:hint="eastAsia" w:ascii="宋体" w:hAnsi="宋体"/>
          <w:b/>
          <w:sz w:val="36"/>
          <w:szCs w:val="36"/>
        </w:rPr>
        <w:t>政府采购合同格式</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pacing w:line="360" w:lineRule="auto"/>
        <w:jc w:val="left"/>
        <w:rPr>
          <w:rFonts w:ascii="黑体" w:hAnsi="宋体" w:eastAsia="黑体"/>
          <w:b/>
          <w:szCs w:val="21"/>
        </w:rPr>
      </w:pPr>
      <w:r>
        <w:rPr>
          <w:rFonts w:hint="eastAsia" w:ascii="黑体" w:hAnsi="宋体" w:eastAsia="黑体"/>
          <w:b/>
          <w:szCs w:val="21"/>
        </w:rPr>
        <w:t>　　一、政府采购合同文件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中标供应商提交的投标文件；</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spacing w:line="360" w:lineRule="auto"/>
        <w:jc w:val="left"/>
        <w:rPr>
          <w:rFonts w:ascii="黑体" w:hAnsi="宋体" w:eastAsia="黑体"/>
          <w:b/>
          <w:szCs w:val="21"/>
        </w:rPr>
      </w:pPr>
      <w:r>
        <w:rPr>
          <w:rFonts w:hint="eastAsia" w:ascii="黑体" w:hAnsi="宋体" w:eastAsia="黑体"/>
          <w:b/>
          <w:szCs w:val="21"/>
        </w:rPr>
        <w:t>　　二、政府采购合同范围和条件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spacing w:line="360" w:lineRule="auto"/>
        <w:jc w:val="left"/>
        <w:rPr>
          <w:rFonts w:ascii="黑体" w:hAnsi="宋体" w:eastAsia="黑体"/>
          <w:b/>
          <w:szCs w:val="21"/>
        </w:rPr>
      </w:pPr>
      <w:r>
        <w:rPr>
          <w:rFonts w:hint="eastAsia" w:ascii="黑体" w:hAnsi="宋体" w:eastAsia="黑体"/>
          <w:b/>
          <w:szCs w:val="21"/>
        </w:rPr>
        <w:t>　　三、政府采购合同标的</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本政府采购合同的标的为招标文件中所列相关服务。</w:t>
      </w:r>
      <w:r>
        <w:rPr>
          <w:rFonts w:hint="eastAsia" w:ascii="仿宋_GB2312" w:hAnsi="宋体" w:eastAsia="仿宋_GB2312"/>
          <w:szCs w:val="21"/>
        </w:rPr>
        <w:t>。</w:t>
      </w:r>
    </w:p>
    <w:p>
      <w:pPr>
        <w:spacing w:line="360" w:lineRule="auto"/>
        <w:jc w:val="left"/>
        <w:rPr>
          <w:rFonts w:ascii="黑体" w:hAnsi="宋体" w:eastAsia="黑体"/>
          <w:b/>
          <w:szCs w:val="21"/>
        </w:rPr>
      </w:pPr>
      <w:r>
        <w:rPr>
          <w:rFonts w:hint="eastAsia" w:ascii="黑体" w:hAnsi="宋体" w:eastAsia="黑体"/>
          <w:b/>
          <w:szCs w:val="21"/>
        </w:rPr>
        <w:t>　　四、政府采购合同金额</w:t>
      </w:r>
    </w:p>
    <w:p>
      <w:pPr>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spacing w:line="360" w:lineRule="auto"/>
        <w:jc w:val="left"/>
        <w:rPr>
          <w:rFonts w:ascii="黑体" w:hAnsi="宋体" w:eastAsia="黑体"/>
          <w:b/>
          <w:szCs w:val="21"/>
        </w:rPr>
      </w:pPr>
      <w:r>
        <w:rPr>
          <w:rFonts w:hint="eastAsia" w:ascii="黑体" w:hAnsi="宋体" w:eastAsia="黑体"/>
          <w:b/>
          <w:szCs w:val="21"/>
        </w:rPr>
        <w:t>　  五、付款方式及条件</w:t>
      </w:r>
    </w:p>
    <w:p>
      <w:pPr>
        <w:spacing w:line="360" w:lineRule="auto"/>
        <w:jc w:val="left"/>
        <w:rPr>
          <w:rFonts w:ascii="黑体" w:hAnsi="宋体" w:eastAsia="黑体"/>
          <w:b/>
          <w:szCs w:val="21"/>
        </w:rPr>
      </w:pPr>
    </w:p>
    <w:p>
      <w:pPr>
        <w:spacing w:line="360" w:lineRule="auto"/>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1.服务时间：</w:t>
      </w:r>
      <w:r>
        <w:rPr>
          <w:rFonts w:hint="eastAsia" w:ascii="仿宋_GB2312" w:hAnsi="宋体" w:eastAsia="仿宋_GB2312"/>
          <w:szCs w:val="21"/>
          <w:u w:val="single"/>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2.服务地点：</w:t>
      </w:r>
      <w:r>
        <w:rPr>
          <w:rFonts w:hint="eastAsia" w:ascii="仿宋_GB2312" w:hAnsi="宋体" w:eastAsia="仿宋_GB2312"/>
          <w:szCs w:val="21"/>
          <w:u w:val="single"/>
        </w:rPr>
        <w:t xml:space="preserve">        </w:t>
      </w:r>
    </w:p>
    <w:p>
      <w:pPr>
        <w:spacing w:line="360" w:lineRule="auto"/>
        <w:jc w:val="left"/>
        <w:rPr>
          <w:rFonts w:ascii="黑体" w:hAnsi="宋体" w:eastAsia="黑体"/>
          <w:b/>
          <w:szCs w:val="21"/>
        </w:rPr>
      </w:pPr>
      <w:r>
        <w:rPr>
          <w:rFonts w:hint="eastAsia" w:ascii="黑体" w:hAnsi="宋体" w:eastAsia="黑体"/>
          <w:b/>
          <w:szCs w:val="21"/>
        </w:rPr>
        <w:t>　　七、验收要求</w:t>
      </w:r>
    </w:p>
    <w:p>
      <w:pPr>
        <w:spacing w:line="360" w:lineRule="auto"/>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黑体" w:hAnsi="宋体" w:eastAsia="黑体"/>
          <w:b/>
          <w:szCs w:val="21"/>
        </w:rPr>
      </w:pPr>
      <w:r>
        <w:rPr>
          <w:rFonts w:hint="eastAsia" w:ascii="黑体" w:hAnsi="宋体" w:eastAsia="黑体"/>
          <w:b/>
          <w:szCs w:val="21"/>
        </w:rPr>
        <w:t xml:space="preserve">    八、违约责任</w:t>
      </w:r>
    </w:p>
    <w:p>
      <w:pPr>
        <w:spacing w:line="360" w:lineRule="auto"/>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spacing w:line="360" w:lineRule="auto"/>
        <w:jc w:val="left"/>
        <w:rPr>
          <w:rFonts w:ascii="黑体" w:hAnsi="宋体" w:eastAsia="黑体"/>
          <w:b/>
          <w:szCs w:val="21"/>
        </w:rPr>
      </w:pPr>
      <w:r>
        <w:rPr>
          <w:rFonts w:hint="eastAsia" w:ascii="黑体" w:hAnsi="宋体" w:eastAsia="黑体"/>
          <w:b/>
          <w:szCs w:val="21"/>
        </w:rPr>
        <w:t xml:space="preserve">    九、争议解决</w:t>
      </w:r>
    </w:p>
    <w:p>
      <w:pPr>
        <w:spacing w:line="360" w:lineRule="auto"/>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spacing w:line="360" w:lineRule="auto"/>
        <w:jc w:val="left"/>
        <w:rPr>
          <w:rFonts w:ascii="黑体" w:hAnsi="宋体" w:eastAsia="黑体"/>
          <w:b/>
          <w:szCs w:val="21"/>
        </w:rPr>
      </w:pPr>
      <w:r>
        <w:rPr>
          <w:rFonts w:hint="eastAsia" w:ascii="黑体" w:hAnsi="宋体" w:eastAsia="黑体"/>
          <w:b/>
          <w:szCs w:val="21"/>
        </w:rPr>
        <w:t xml:space="preserve">    十、合同生效</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
      <w:pPr>
        <w:adjustRightInd w:val="0"/>
        <w:snapToGrid w:val="0"/>
        <w:spacing w:line="360" w:lineRule="auto"/>
        <w:rPr>
          <w:rFonts w:ascii="仿宋_GB2312" w:hAnsi="仿宋_GB2312" w:eastAsia="仿宋_GB2312" w:cs="仿宋_GB2312"/>
          <w:szCs w:val="21"/>
          <w:u w:val="single"/>
        </w:rPr>
      </w:pP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B21B"/>
    <w:multiLevelType w:val="singleLevel"/>
    <w:tmpl w:val="8642B21B"/>
    <w:lvl w:ilvl="0" w:tentative="0">
      <w:start w:val="16"/>
      <w:numFmt w:val="decimal"/>
      <w:lvlText w:val="%1."/>
      <w:lvlJc w:val="left"/>
      <w:pPr>
        <w:tabs>
          <w:tab w:val="left" w:pos="312"/>
        </w:tabs>
      </w:pPr>
    </w:lvl>
  </w:abstractNum>
  <w:abstractNum w:abstractNumId="1">
    <w:nsid w:val="8D7800A4"/>
    <w:multiLevelType w:val="singleLevel"/>
    <w:tmpl w:val="8D7800A4"/>
    <w:lvl w:ilvl="0" w:tentative="0">
      <w:start w:val="1"/>
      <w:numFmt w:val="chineseCounting"/>
      <w:suff w:val="space"/>
      <w:lvlText w:val="第%1章"/>
      <w:lvlJc w:val="left"/>
      <w:rPr>
        <w:rFonts w:hint="eastAsia"/>
      </w:rPr>
    </w:lvl>
  </w:abstractNum>
  <w:abstractNum w:abstractNumId="2">
    <w:nsid w:val="9300BFDD"/>
    <w:multiLevelType w:val="singleLevel"/>
    <w:tmpl w:val="9300BFDD"/>
    <w:lvl w:ilvl="0" w:tentative="0">
      <w:start w:val="3"/>
      <w:numFmt w:val="decimal"/>
      <w:lvlText w:val="%1."/>
      <w:lvlJc w:val="left"/>
      <w:pPr>
        <w:tabs>
          <w:tab w:val="left" w:pos="312"/>
        </w:tabs>
      </w:pPr>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2420D4D"/>
    <w:multiLevelType w:val="singleLevel"/>
    <w:tmpl w:val="E2420D4D"/>
    <w:lvl w:ilvl="0" w:tentative="0">
      <w:start w:val="4"/>
      <w:numFmt w:val="decimal"/>
      <w:suff w:val="nothing"/>
      <w:lvlText w:val="%1、"/>
      <w:lvlJc w:val="left"/>
      <w:pPr>
        <w:ind w:left="210" w:firstLine="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959DA9D"/>
    <w:multiLevelType w:val="singleLevel"/>
    <w:tmpl w:val="5959DA9D"/>
    <w:lvl w:ilvl="0" w:tentative="0">
      <w:start w:val="1"/>
      <w:numFmt w:val="decimal"/>
      <w:suff w:val="nothing"/>
      <w:lvlText w:val="(%1)"/>
      <w:lvlJc w:val="left"/>
    </w:lvl>
  </w:abstractNum>
  <w:abstractNum w:abstractNumId="9">
    <w:nsid w:val="7B4156D0"/>
    <w:multiLevelType w:val="singleLevel"/>
    <w:tmpl w:val="7B4156D0"/>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 w:numId="8">
    <w:abstractNumId w:val="9"/>
  </w:num>
  <w:num w:numId="9">
    <w:abstractNumId w:val="8"/>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zkyNzM1NjhhMjQyMmQ5OWZlMDc5NTI5ZjA1MDIifQ=="/>
  </w:docVars>
  <w:rsids>
    <w:rsidRoot w:val="35AB3B2B"/>
    <w:rsid w:val="000112BA"/>
    <w:rsid w:val="00012C54"/>
    <w:rsid w:val="0001352F"/>
    <w:rsid w:val="000268C8"/>
    <w:rsid w:val="00031AC7"/>
    <w:rsid w:val="00046429"/>
    <w:rsid w:val="00063356"/>
    <w:rsid w:val="0007057C"/>
    <w:rsid w:val="00084E5A"/>
    <w:rsid w:val="00096E47"/>
    <w:rsid w:val="0009731D"/>
    <w:rsid w:val="000B13E4"/>
    <w:rsid w:val="000C0E37"/>
    <w:rsid w:val="000D1063"/>
    <w:rsid w:val="000E6314"/>
    <w:rsid w:val="000F5EC2"/>
    <w:rsid w:val="000F6EAA"/>
    <w:rsid w:val="001015DF"/>
    <w:rsid w:val="00110B2A"/>
    <w:rsid w:val="00124CB1"/>
    <w:rsid w:val="0013522F"/>
    <w:rsid w:val="0015632D"/>
    <w:rsid w:val="001612AD"/>
    <w:rsid w:val="001706A3"/>
    <w:rsid w:val="00170858"/>
    <w:rsid w:val="0018626B"/>
    <w:rsid w:val="00186430"/>
    <w:rsid w:val="00193BD6"/>
    <w:rsid w:val="001966CB"/>
    <w:rsid w:val="001D014E"/>
    <w:rsid w:val="001D74B3"/>
    <w:rsid w:val="001E311A"/>
    <w:rsid w:val="001E710F"/>
    <w:rsid w:val="001F2569"/>
    <w:rsid w:val="001F33B0"/>
    <w:rsid w:val="00210A2E"/>
    <w:rsid w:val="00211D5F"/>
    <w:rsid w:val="00213645"/>
    <w:rsid w:val="0022058A"/>
    <w:rsid w:val="002267F4"/>
    <w:rsid w:val="00234505"/>
    <w:rsid w:val="0025299C"/>
    <w:rsid w:val="00254496"/>
    <w:rsid w:val="002664FC"/>
    <w:rsid w:val="0026766D"/>
    <w:rsid w:val="002759FF"/>
    <w:rsid w:val="00282DFB"/>
    <w:rsid w:val="002E464C"/>
    <w:rsid w:val="002F1EE1"/>
    <w:rsid w:val="003074CB"/>
    <w:rsid w:val="00331217"/>
    <w:rsid w:val="00334518"/>
    <w:rsid w:val="00341F18"/>
    <w:rsid w:val="00346265"/>
    <w:rsid w:val="003574AB"/>
    <w:rsid w:val="00362F2A"/>
    <w:rsid w:val="00363498"/>
    <w:rsid w:val="003640E2"/>
    <w:rsid w:val="003678C9"/>
    <w:rsid w:val="00382F03"/>
    <w:rsid w:val="0039123C"/>
    <w:rsid w:val="003F5979"/>
    <w:rsid w:val="00403FF0"/>
    <w:rsid w:val="00440750"/>
    <w:rsid w:val="00453668"/>
    <w:rsid w:val="00462999"/>
    <w:rsid w:val="00465F3E"/>
    <w:rsid w:val="0047528E"/>
    <w:rsid w:val="004E3769"/>
    <w:rsid w:val="004F2CBB"/>
    <w:rsid w:val="005063EE"/>
    <w:rsid w:val="005378A0"/>
    <w:rsid w:val="00543C32"/>
    <w:rsid w:val="00543F74"/>
    <w:rsid w:val="005448D6"/>
    <w:rsid w:val="00565436"/>
    <w:rsid w:val="0057540F"/>
    <w:rsid w:val="00580B35"/>
    <w:rsid w:val="00585C7B"/>
    <w:rsid w:val="00592BFE"/>
    <w:rsid w:val="005A112A"/>
    <w:rsid w:val="005B5A1D"/>
    <w:rsid w:val="00620B1E"/>
    <w:rsid w:val="006358C4"/>
    <w:rsid w:val="00640FCC"/>
    <w:rsid w:val="00647AB6"/>
    <w:rsid w:val="00647C31"/>
    <w:rsid w:val="00650E82"/>
    <w:rsid w:val="00664A63"/>
    <w:rsid w:val="00665B62"/>
    <w:rsid w:val="00675EBF"/>
    <w:rsid w:val="00681AA3"/>
    <w:rsid w:val="00684E56"/>
    <w:rsid w:val="00694FB3"/>
    <w:rsid w:val="00696DCE"/>
    <w:rsid w:val="006B7FD6"/>
    <w:rsid w:val="006C44B1"/>
    <w:rsid w:val="006C67A0"/>
    <w:rsid w:val="006E3FA8"/>
    <w:rsid w:val="006E4228"/>
    <w:rsid w:val="007000C6"/>
    <w:rsid w:val="00701BE8"/>
    <w:rsid w:val="00702A69"/>
    <w:rsid w:val="007108AF"/>
    <w:rsid w:val="007179E7"/>
    <w:rsid w:val="007307D9"/>
    <w:rsid w:val="007358B6"/>
    <w:rsid w:val="00740856"/>
    <w:rsid w:val="00772CBE"/>
    <w:rsid w:val="00777049"/>
    <w:rsid w:val="0077749F"/>
    <w:rsid w:val="00786C98"/>
    <w:rsid w:val="007A2A67"/>
    <w:rsid w:val="007C439F"/>
    <w:rsid w:val="007C47D0"/>
    <w:rsid w:val="007D1608"/>
    <w:rsid w:val="007D2BE2"/>
    <w:rsid w:val="007E4F86"/>
    <w:rsid w:val="00816BC1"/>
    <w:rsid w:val="008227F0"/>
    <w:rsid w:val="008348F9"/>
    <w:rsid w:val="00855113"/>
    <w:rsid w:val="008730D3"/>
    <w:rsid w:val="008977EC"/>
    <w:rsid w:val="008A4B74"/>
    <w:rsid w:val="008C16CF"/>
    <w:rsid w:val="008F3176"/>
    <w:rsid w:val="0090354B"/>
    <w:rsid w:val="00922894"/>
    <w:rsid w:val="00952514"/>
    <w:rsid w:val="00996FA8"/>
    <w:rsid w:val="009C3508"/>
    <w:rsid w:val="009C3AA5"/>
    <w:rsid w:val="009C559E"/>
    <w:rsid w:val="009D4893"/>
    <w:rsid w:val="00A11BD5"/>
    <w:rsid w:val="00A1544B"/>
    <w:rsid w:val="00A17D78"/>
    <w:rsid w:val="00A231BF"/>
    <w:rsid w:val="00A338A0"/>
    <w:rsid w:val="00A33BC1"/>
    <w:rsid w:val="00A42E88"/>
    <w:rsid w:val="00A6581E"/>
    <w:rsid w:val="00A87EA9"/>
    <w:rsid w:val="00A963CF"/>
    <w:rsid w:val="00AA6028"/>
    <w:rsid w:val="00AA67B4"/>
    <w:rsid w:val="00AB6187"/>
    <w:rsid w:val="00AC6B76"/>
    <w:rsid w:val="00AF165E"/>
    <w:rsid w:val="00AF263F"/>
    <w:rsid w:val="00AF42CF"/>
    <w:rsid w:val="00AF6F09"/>
    <w:rsid w:val="00B10615"/>
    <w:rsid w:val="00B15A2D"/>
    <w:rsid w:val="00B203C4"/>
    <w:rsid w:val="00B41AFA"/>
    <w:rsid w:val="00B56F43"/>
    <w:rsid w:val="00B57337"/>
    <w:rsid w:val="00B825B8"/>
    <w:rsid w:val="00B85916"/>
    <w:rsid w:val="00B915DB"/>
    <w:rsid w:val="00BA564F"/>
    <w:rsid w:val="00BB7DB0"/>
    <w:rsid w:val="00BC054B"/>
    <w:rsid w:val="00BC12D7"/>
    <w:rsid w:val="00BD7B34"/>
    <w:rsid w:val="00C01B5F"/>
    <w:rsid w:val="00C114CA"/>
    <w:rsid w:val="00C1167D"/>
    <w:rsid w:val="00C1525D"/>
    <w:rsid w:val="00C36FAC"/>
    <w:rsid w:val="00C44A20"/>
    <w:rsid w:val="00C75300"/>
    <w:rsid w:val="00C85603"/>
    <w:rsid w:val="00C90727"/>
    <w:rsid w:val="00CF17C7"/>
    <w:rsid w:val="00D06610"/>
    <w:rsid w:val="00D17298"/>
    <w:rsid w:val="00D2136C"/>
    <w:rsid w:val="00D4010D"/>
    <w:rsid w:val="00D67E77"/>
    <w:rsid w:val="00D942B1"/>
    <w:rsid w:val="00DA6197"/>
    <w:rsid w:val="00DA65A0"/>
    <w:rsid w:val="00DA7474"/>
    <w:rsid w:val="00DB10A5"/>
    <w:rsid w:val="00DB41F3"/>
    <w:rsid w:val="00DC5BC4"/>
    <w:rsid w:val="00DD58A0"/>
    <w:rsid w:val="00DE4330"/>
    <w:rsid w:val="00DE58B1"/>
    <w:rsid w:val="00DF2F6E"/>
    <w:rsid w:val="00E27986"/>
    <w:rsid w:val="00E31360"/>
    <w:rsid w:val="00E34C56"/>
    <w:rsid w:val="00E418E9"/>
    <w:rsid w:val="00E542C7"/>
    <w:rsid w:val="00E55B1C"/>
    <w:rsid w:val="00E67AE6"/>
    <w:rsid w:val="00E77349"/>
    <w:rsid w:val="00E84E0C"/>
    <w:rsid w:val="00E865A7"/>
    <w:rsid w:val="00E90E2F"/>
    <w:rsid w:val="00ED6C37"/>
    <w:rsid w:val="00F20EC2"/>
    <w:rsid w:val="00F21271"/>
    <w:rsid w:val="00F31CE7"/>
    <w:rsid w:val="00F34C9A"/>
    <w:rsid w:val="00F357FC"/>
    <w:rsid w:val="00F77D36"/>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3302DF"/>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1A2992"/>
    <w:rsid w:val="096D5AA7"/>
    <w:rsid w:val="0997077C"/>
    <w:rsid w:val="09B12107"/>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566496"/>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CF5A23"/>
    <w:rsid w:val="10DD3E24"/>
    <w:rsid w:val="10EB0A61"/>
    <w:rsid w:val="10F96CD3"/>
    <w:rsid w:val="110D477C"/>
    <w:rsid w:val="11230728"/>
    <w:rsid w:val="11301804"/>
    <w:rsid w:val="117E3EBF"/>
    <w:rsid w:val="11967974"/>
    <w:rsid w:val="11A63895"/>
    <w:rsid w:val="11AA0E33"/>
    <w:rsid w:val="11D465DE"/>
    <w:rsid w:val="11DE5C6A"/>
    <w:rsid w:val="11F35E10"/>
    <w:rsid w:val="121E003E"/>
    <w:rsid w:val="123238F4"/>
    <w:rsid w:val="124E6914"/>
    <w:rsid w:val="12545C6B"/>
    <w:rsid w:val="127A62D0"/>
    <w:rsid w:val="12BA51F9"/>
    <w:rsid w:val="12D84CD4"/>
    <w:rsid w:val="12F51579"/>
    <w:rsid w:val="12F64150"/>
    <w:rsid w:val="12FD7CCA"/>
    <w:rsid w:val="13042B7A"/>
    <w:rsid w:val="13086650"/>
    <w:rsid w:val="131909C4"/>
    <w:rsid w:val="13631AD8"/>
    <w:rsid w:val="137139DD"/>
    <w:rsid w:val="13C139AF"/>
    <w:rsid w:val="13E01C4A"/>
    <w:rsid w:val="13F761E0"/>
    <w:rsid w:val="14103A0E"/>
    <w:rsid w:val="14333776"/>
    <w:rsid w:val="143A679C"/>
    <w:rsid w:val="144E16AB"/>
    <w:rsid w:val="144F6715"/>
    <w:rsid w:val="145843FC"/>
    <w:rsid w:val="147A16BB"/>
    <w:rsid w:val="149B6817"/>
    <w:rsid w:val="14AA5797"/>
    <w:rsid w:val="156600AB"/>
    <w:rsid w:val="15667555"/>
    <w:rsid w:val="157E3E54"/>
    <w:rsid w:val="157F26C3"/>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0F07E6"/>
    <w:rsid w:val="195924DA"/>
    <w:rsid w:val="19AD3DF7"/>
    <w:rsid w:val="19B50D0C"/>
    <w:rsid w:val="1A40548D"/>
    <w:rsid w:val="1ACA77FB"/>
    <w:rsid w:val="1ACC5BF8"/>
    <w:rsid w:val="1AD774CB"/>
    <w:rsid w:val="1B1E67F8"/>
    <w:rsid w:val="1B200CF6"/>
    <w:rsid w:val="1B390BDC"/>
    <w:rsid w:val="1B6F3710"/>
    <w:rsid w:val="1B7900EB"/>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1FFE591E"/>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53537F"/>
    <w:rsid w:val="217F6F47"/>
    <w:rsid w:val="217F7DC8"/>
    <w:rsid w:val="21C9221A"/>
    <w:rsid w:val="22160B82"/>
    <w:rsid w:val="223F3F77"/>
    <w:rsid w:val="2297314D"/>
    <w:rsid w:val="229F23A9"/>
    <w:rsid w:val="22A279E3"/>
    <w:rsid w:val="22BA2B41"/>
    <w:rsid w:val="22BF0053"/>
    <w:rsid w:val="22D26F9A"/>
    <w:rsid w:val="230706D2"/>
    <w:rsid w:val="23561695"/>
    <w:rsid w:val="23886FC3"/>
    <w:rsid w:val="23B12896"/>
    <w:rsid w:val="23CB0902"/>
    <w:rsid w:val="23F316BB"/>
    <w:rsid w:val="24763848"/>
    <w:rsid w:val="247C12B5"/>
    <w:rsid w:val="24827E18"/>
    <w:rsid w:val="24880FB1"/>
    <w:rsid w:val="24963225"/>
    <w:rsid w:val="24DF6949"/>
    <w:rsid w:val="2513393D"/>
    <w:rsid w:val="253353F5"/>
    <w:rsid w:val="25377C12"/>
    <w:rsid w:val="25787665"/>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723FA4"/>
    <w:rsid w:val="28B92147"/>
    <w:rsid w:val="28F321E9"/>
    <w:rsid w:val="293624BD"/>
    <w:rsid w:val="294D49C5"/>
    <w:rsid w:val="29BA0A21"/>
    <w:rsid w:val="29BE1781"/>
    <w:rsid w:val="2A19597B"/>
    <w:rsid w:val="2A23324E"/>
    <w:rsid w:val="2A461D15"/>
    <w:rsid w:val="2A6C2D68"/>
    <w:rsid w:val="2A7439F6"/>
    <w:rsid w:val="2ABC1DA2"/>
    <w:rsid w:val="2AFD4EC5"/>
    <w:rsid w:val="2AFF1738"/>
    <w:rsid w:val="2B046437"/>
    <w:rsid w:val="2B1B420B"/>
    <w:rsid w:val="2B1C14AB"/>
    <w:rsid w:val="2B376F2C"/>
    <w:rsid w:val="2B417276"/>
    <w:rsid w:val="2B5A5895"/>
    <w:rsid w:val="2B652539"/>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45248"/>
    <w:rsid w:val="2FDD75D7"/>
    <w:rsid w:val="2FF3519E"/>
    <w:rsid w:val="305B3E03"/>
    <w:rsid w:val="307B4A76"/>
    <w:rsid w:val="30AE4FB6"/>
    <w:rsid w:val="31003851"/>
    <w:rsid w:val="311145A1"/>
    <w:rsid w:val="31246057"/>
    <w:rsid w:val="312F1318"/>
    <w:rsid w:val="313279B0"/>
    <w:rsid w:val="31754A73"/>
    <w:rsid w:val="317F3D7D"/>
    <w:rsid w:val="31960D20"/>
    <w:rsid w:val="31A0687C"/>
    <w:rsid w:val="31BB59BE"/>
    <w:rsid w:val="31CD0C24"/>
    <w:rsid w:val="31D84FA3"/>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3926B5"/>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6D56AD"/>
    <w:rsid w:val="367F29FE"/>
    <w:rsid w:val="36863A20"/>
    <w:rsid w:val="369736C3"/>
    <w:rsid w:val="36BC0BCE"/>
    <w:rsid w:val="36C26B8E"/>
    <w:rsid w:val="36E41E01"/>
    <w:rsid w:val="36E548BA"/>
    <w:rsid w:val="36F452A3"/>
    <w:rsid w:val="371D006C"/>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AF42219"/>
    <w:rsid w:val="3B1E1277"/>
    <w:rsid w:val="3B241639"/>
    <w:rsid w:val="3B2729B5"/>
    <w:rsid w:val="3B2958E9"/>
    <w:rsid w:val="3B4342F2"/>
    <w:rsid w:val="3B484618"/>
    <w:rsid w:val="3BAC54A0"/>
    <w:rsid w:val="3BB450D2"/>
    <w:rsid w:val="3BB83A55"/>
    <w:rsid w:val="3BBD42E3"/>
    <w:rsid w:val="3C016259"/>
    <w:rsid w:val="3C074E47"/>
    <w:rsid w:val="3C5C6CAD"/>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211237"/>
    <w:rsid w:val="3F50722A"/>
    <w:rsid w:val="3F645D9C"/>
    <w:rsid w:val="3F8E1AF4"/>
    <w:rsid w:val="3FA35235"/>
    <w:rsid w:val="3FE62824"/>
    <w:rsid w:val="3FFD4490"/>
    <w:rsid w:val="40186353"/>
    <w:rsid w:val="405A34BE"/>
    <w:rsid w:val="40650AB8"/>
    <w:rsid w:val="40BC4452"/>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5A3F23"/>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0F1058"/>
    <w:rsid w:val="47396823"/>
    <w:rsid w:val="47711558"/>
    <w:rsid w:val="47723768"/>
    <w:rsid w:val="47D9353C"/>
    <w:rsid w:val="47E54F55"/>
    <w:rsid w:val="47EE423B"/>
    <w:rsid w:val="480005CF"/>
    <w:rsid w:val="48020608"/>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111717"/>
    <w:rsid w:val="4D2F1ADF"/>
    <w:rsid w:val="4D397E04"/>
    <w:rsid w:val="4D5B3007"/>
    <w:rsid w:val="4D83282D"/>
    <w:rsid w:val="4DB91463"/>
    <w:rsid w:val="4E2C33DD"/>
    <w:rsid w:val="4E3516A9"/>
    <w:rsid w:val="4E663FE6"/>
    <w:rsid w:val="4E982F17"/>
    <w:rsid w:val="4EB85066"/>
    <w:rsid w:val="4EBC4081"/>
    <w:rsid w:val="4ED43E85"/>
    <w:rsid w:val="4EEB7681"/>
    <w:rsid w:val="4F103949"/>
    <w:rsid w:val="4F186BF2"/>
    <w:rsid w:val="4F326208"/>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1851FE"/>
    <w:rsid w:val="53315390"/>
    <w:rsid w:val="534B0C47"/>
    <w:rsid w:val="5360776D"/>
    <w:rsid w:val="53682721"/>
    <w:rsid w:val="537261AA"/>
    <w:rsid w:val="537B3490"/>
    <w:rsid w:val="53BF62DB"/>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C1580"/>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040EEC"/>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3C5423"/>
    <w:rsid w:val="5D5D7AEC"/>
    <w:rsid w:val="5D6A3C9B"/>
    <w:rsid w:val="5DB07B64"/>
    <w:rsid w:val="5DB7265E"/>
    <w:rsid w:val="5DDE2965"/>
    <w:rsid w:val="5DE55D4F"/>
    <w:rsid w:val="5DEA05A2"/>
    <w:rsid w:val="5E0B635A"/>
    <w:rsid w:val="5E874794"/>
    <w:rsid w:val="5EA11D24"/>
    <w:rsid w:val="5EB9169C"/>
    <w:rsid w:val="5ED02091"/>
    <w:rsid w:val="5EF54261"/>
    <w:rsid w:val="5EF66F80"/>
    <w:rsid w:val="5EFD3DCB"/>
    <w:rsid w:val="5EFF4E59"/>
    <w:rsid w:val="5F300E25"/>
    <w:rsid w:val="5F323D85"/>
    <w:rsid w:val="5F401C13"/>
    <w:rsid w:val="5F5919A6"/>
    <w:rsid w:val="5F82440E"/>
    <w:rsid w:val="5F925DFC"/>
    <w:rsid w:val="5F9D6970"/>
    <w:rsid w:val="5FB7111C"/>
    <w:rsid w:val="5FB87095"/>
    <w:rsid w:val="5FE408D5"/>
    <w:rsid w:val="5FE71CC0"/>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A076E"/>
    <w:rsid w:val="620C4DF8"/>
    <w:rsid w:val="62552691"/>
    <w:rsid w:val="627E0359"/>
    <w:rsid w:val="62943E11"/>
    <w:rsid w:val="62AA2731"/>
    <w:rsid w:val="62B40FD5"/>
    <w:rsid w:val="62E65330"/>
    <w:rsid w:val="62FE72D8"/>
    <w:rsid w:val="631D6B30"/>
    <w:rsid w:val="632259C4"/>
    <w:rsid w:val="63263D0D"/>
    <w:rsid w:val="63337CAB"/>
    <w:rsid w:val="634D2D5C"/>
    <w:rsid w:val="6373260F"/>
    <w:rsid w:val="63856413"/>
    <w:rsid w:val="63D201A3"/>
    <w:rsid w:val="63E43042"/>
    <w:rsid w:val="64003D27"/>
    <w:rsid w:val="644763D7"/>
    <w:rsid w:val="646E04C5"/>
    <w:rsid w:val="64757F56"/>
    <w:rsid w:val="64774252"/>
    <w:rsid w:val="64823B69"/>
    <w:rsid w:val="648F1487"/>
    <w:rsid w:val="649548FB"/>
    <w:rsid w:val="64AD388C"/>
    <w:rsid w:val="64B60830"/>
    <w:rsid w:val="64CD45D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554A2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50238"/>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DB35B4"/>
    <w:rsid w:val="6EF22B0C"/>
    <w:rsid w:val="6EFF1080"/>
    <w:rsid w:val="6F170E2C"/>
    <w:rsid w:val="6F1C670B"/>
    <w:rsid w:val="6F45287E"/>
    <w:rsid w:val="6FD821D4"/>
    <w:rsid w:val="70531535"/>
    <w:rsid w:val="7056093E"/>
    <w:rsid w:val="70BF0D6E"/>
    <w:rsid w:val="70E01DD1"/>
    <w:rsid w:val="71146B51"/>
    <w:rsid w:val="71161C74"/>
    <w:rsid w:val="71597165"/>
    <w:rsid w:val="717256AD"/>
    <w:rsid w:val="718544F1"/>
    <w:rsid w:val="71BF79B2"/>
    <w:rsid w:val="71C02FF6"/>
    <w:rsid w:val="71DE2066"/>
    <w:rsid w:val="720A152D"/>
    <w:rsid w:val="721208BB"/>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DC3595"/>
    <w:rsid w:val="7BE20360"/>
    <w:rsid w:val="7BFE0BED"/>
    <w:rsid w:val="7C1A1A2B"/>
    <w:rsid w:val="7C2B005E"/>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412F43"/>
    <w:rsid w:val="7F8B1A78"/>
    <w:rsid w:val="7FA418D8"/>
    <w:rsid w:val="7FA92784"/>
    <w:rsid w:val="7FD27AE1"/>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21"/>
      <w:szCs w:val="24"/>
      <w:lang w:val="en-US" w:eastAsia="zh-CN" w:bidi="ar-SA"/>
    </w:rPr>
  </w:style>
  <w:style w:type="paragraph" w:styleId="3">
    <w:name w:val="heading 1"/>
    <w:basedOn w:val="1"/>
    <w:next w:val="1"/>
    <w:link w:val="21"/>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2">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pPr>
      <w:jc w:val="left"/>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rPr>
  </w:style>
  <w:style w:type="character" w:customStyle="1" w:styleId="21">
    <w:name w:val="标题 1 Char"/>
    <w:link w:val="3"/>
    <w:qFormat/>
    <w:uiPriority w:val="0"/>
    <w:rPr>
      <w:rFonts w:ascii="Calibri" w:hAnsi="Calibri" w:eastAsia="仿宋" w:cs="Times New Roman"/>
      <w:b/>
      <w:kern w:val="44"/>
      <w:sz w:val="44"/>
      <w:szCs w:val="24"/>
    </w:rPr>
  </w:style>
  <w:style w:type="character" w:customStyle="1" w:styleId="22">
    <w:name w:val="批注文字 Char"/>
    <w:link w:val="6"/>
    <w:qFormat/>
    <w:uiPriority w:val="99"/>
    <w:rPr>
      <w:rFonts w:ascii="Calibri" w:hAnsi="Calibri" w:eastAsia="仿宋" w:cs="Times New Roman"/>
      <w:kern w:val="2"/>
      <w:sz w:val="21"/>
      <w:szCs w:val="24"/>
    </w:rPr>
  </w:style>
  <w:style w:type="character" w:customStyle="1" w:styleId="23">
    <w:name w:val="批注框文本 Char"/>
    <w:link w:val="8"/>
    <w:qFormat/>
    <w:uiPriority w:val="0"/>
    <w:rPr>
      <w:rFonts w:ascii="Calibri" w:hAnsi="Calibri" w:eastAsia="仿宋" w:cs="Times New Roman"/>
      <w:kern w:val="2"/>
      <w:sz w:val="18"/>
      <w:szCs w:val="18"/>
    </w:rPr>
  </w:style>
  <w:style w:type="character" w:customStyle="1" w:styleId="24">
    <w:name w:val="页脚 Char"/>
    <w:link w:val="9"/>
    <w:qFormat/>
    <w:uiPriority w:val="99"/>
    <w:rPr>
      <w:rFonts w:eastAsia="仿宋"/>
      <w:kern w:val="2"/>
      <w:sz w:val="18"/>
      <w:szCs w:val="24"/>
    </w:rPr>
  </w:style>
  <w:style w:type="character" w:customStyle="1" w:styleId="25">
    <w:name w:val="批注主题 Char"/>
    <w:link w:val="13"/>
    <w:qFormat/>
    <w:uiPriority w:val="0"/>
    <w:rPr>
      <w:rFonts w:ascii="Calibri" w:hAnsi="Calibri" w:eastAsia="仿宋" w:cs="Times New Roman"/>
      <w:b/>
      <w:bCs/>
      <w:kern w:val="2"/>
      <w:sz w:val="21"/>
      <w:szCs w:val="24"/>
    </w:rPr>
  </w:style>
  <w:style w:type="paragraph" w:customStyle="1" w:styleId="26">
    <w:name w:val="WPSOffice手动目录 2"/>
    <w:qFormat/>
    <w:uiPriority w:val="0"/>
    <w:pPr>
      <w:ind w:left="200" w:leftChars="200"/>
    </w:pPr>
    <w:rPr>
      <w:rFonts w:ascii="Calibri" w:hAnsi="Calibri" w:eastAsia="宋体" w:cs="Calibri"/>
      <w:lang w:val="en-US" w:eastAsia="zh-CN" w:bidi="ar-SA"/>
    </w:rPr>
  </w:style>
  <w:style w:type="paragraph" w:customStyle="1" w:styleId="27">
    <w:name w:val="样式H"/>
    <w:basedOn w:val="3"/>
    <w:next w:val="1"/>
    <w:qFormat/>
    <w:uiPriority w:val="0"/>
    <w:pPr>
      <w:spacing w:before="100" w:line="500" w:lineRule="exact"/>
    </w:pPr>
  </w:style>
  <w:style w:type="paragraph" w:customStyle="1" w:styleId="28">
    <w:name w:val="样式1"/>
    <w:basedOn w:val="1"/>
    <w:qFormat/>
    <w:uiPriority w:val="0"/>
    <w:pPr>
      <w:numPr>
        <w:ilvl w:val="0"/>
        <w:numId w:val="1"/>
      </w:numPr>
      <w:adjustRightInd w:val="0"/>
      <w:textAlignment w:val="baseline"/>
    </w:pPr>
    <w:rPr>
      <w:rFonts w:ascii="宋体" w:hAnsi="宋体"/>
      <w:kern w:val="0"/>
      <w:szCs w:val="21"/>
    </w:rPr>
  </w:style>
  <w:style w:type="paragraph" w:styleId="29">
    <w:name w:val="List Paragraph"/>
    <w:basedOn w:val="1"/>
    <w:qFormat/>
    <w:uiPriority w:val="34"/>
    <w:pPr>
      <w:ind w:firstLine="420" w:firstLineChars="200"/>
    </w:pPr>
  </w:style>
  <w:style w:type="paragraph" w:customStyle="1" w:styleId="30">
    <w:name w:val="样式N"/>
    <w:basedOn w:val="27"/>
    <w:qFormat/>
    <w:uiPriority w:val="0"/>
    <w:rPr>
      <w:sz w:val="30"/>
    </w:rPr>
  </w:style>
  <w:style w:type="paragraph" w:customStyle="1" w:styleId="31">
    <w:name w:val="列出段落11"/>
    <w:basedOn w:val="1"/>
    <w:qFormat/>
    <w:uiPriority w:val="34"/>
    <w:pPr>
      <w:ind w:firstLine="420" w:firstLineChars="200"/>
    </w:pPr>
    <w:rPr>
      <w:rFonts w:eastAsia="宋体" w:cs="Times New Roman"/>
      <w:szCs w:val="22"/>
      <w:lang w:val="zh-CN"/>
    </w:rPr>
  </w:style>
  <w:style w:type="paragraph" w:customStyle="1" w:styleId="32">
    <w:name w:val="WPSOffice手动目录 1"/>
    <w:qFormat/>
    <w:uiPriority w:val="0"/>
    <w:rPr>
      <w:rFonts w:ascii="Times New Roman" w:hAnsi="Times New Roman" w:eastAsia="宋体" w:cs="Calibri"/>
      <w:lang w:val="en-US" w:eastAsia="zh-CN" w:bidi="ar-SA"/>
    </w:rPr>
  </w:style>
  <w:style w:type="paragraph" w:customStyle="1" w:styleId="33">
    <w:name w:val="WPSOffice手动目录 3"/>
    <w:qFormat/>
    <w:uiPriority w:val="0"/>
    <w:pPr>
      <w:ind w:left="400" w:leftChars="4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正文缩进_0"/>
    <w:basedOn w:val="37"/>
    <w:unhideWhenUsed/>
    <w:qFormat/>
    <w:uiPriority w:val="0"/>
    <w:pPr>
      <w:ind w:firstLine="420" w:firstLineChars="200"/>
    </w:p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61</Pages>
  <Words>31131</Words>
  <Characters>33077</Characters>
  <Lines>257</Lines>
  <Paragraphs>72</Paragraphs>
  <TotalTime>5</TotalTime>
  <ScaleCrop>false</ScaleCrop>
  <LinksUpToDate>false</LinksUpToDate>
  <CharactersWithSpaces>35946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王威尔Ø</cp:lastModifiedBy>
  <cp:lastPrinted>2019-12-27T06:09:00Z</cp:lastPrinted>
  <dcterms:modified xsi:type="dcterms:W3CDTF">2023-09-26T10:17:15Z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21FBC6C5D0904DA08E81D9D011ABA775</vt:lpwstr>
  </property>
</Properties>
</file>