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仿宋_GB2312"/>
          <w:sz w:val="32"/>
          <w:szCs w:val="32"/>
        </w:rPr>
      </w:pPr>
      <w:r>
        <w:rPr>
          <w:rFonts w:hint="eastAsia" w:ascii="黑体" w:hAnsi="黑体" w:eastAsia="黑体" w:cs="仿宋_GB2312"/>
          <w:sz w:val="32"/>
          <w:szCs w:val="32"/>
        </w:rPr>
        <w:t>附件3</w:t>
      </w:r>
    </w:p>
    <w:p>
      <w:pPr>
        <w:spacing w:line="48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（适用于不进行资格预审的公开招标项目）</w:t>
      </w:r>
    </w:p>
    <w:p>
      <w:pPr>
        <w:spacing w:line="480" w:lineRule="exact"/>
        <w:jc w:val="center"/>
        <w:rPr>
          <w:rFonts w:ascii="仿宋_GB2312" w:hAnsi="仿宋_GB2312" w:eastAsia="仿宋_GB2312" w:cs="仿宋_GB2312"/>
          <w:b/>
          <w:sz w:val="32"/>
          <w:szCs w:val="32"/>
        </w:rPr>
      </w:pPr>
    </w:p>
    <w:p>
      <w:pPr>
        <w:spacing w:line="360" w:lineRule="auto"/>
        <w:ind w:firstLine="260" w:firstLineChars="50"/>
        <w:jc w:val="center"/>
        <w:rPr>
          <w:rFonts w:ascii="仿宋_GB2312" w:hAnsi="仿宋_GB2312" w:eastAsia="仿宋_GB2312" w:cs="仿宋_GB2312"/>
          <w:b/>
          <w:sz w:val="52"/>
          <w:szCs w:val="52"/>
        </w:rPr>
      </w:pPr>
    </w:p>
    <w:p>
      <w:pPr>
        <w:spacing w:line="360" w:lineRule="auto"/>
        <w:ind w:firstLine="260" w:firstLineChars="50"/>
        <w:jc w:val="center"/>
        <w:rPr>
          <w:rFonts w:ascii="仿宋_GB2312" w:hAnsi="仿宋_GB2312" w:eastAsia="仿宋_GB2312" w:cs="仿宋_GB2312"/>
          <w:b/>
          <w:sz w:val="52"/>
          <w:szCs w:val="52"/>
        </w:rPr>
      </w:pPr>
    </w:p>
    <w:p>
      <w:pPr>
        <w:spacing w:line="360" w:lineRule="auto"/>
        <w:ind w:firstLine="260" w:firstLineChars="5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奎屯市政府采购项目</w:t>
      </w:r>
    </w:p>
    <w:p>
      <w:pPr>
        <w:spacing w:line="360" w:lineRule="auto"/>
        <w:ind w:firstLine="120" w:firstLineChars="50"/>
        <w:jc w:val="center"/>
        <w:rPr>
          <w:rFonts w:ascii="仿宋_GB2312" w:hAnsi="仿宋_GB2312" w:eastAsia="仿宋_GB2312" w:cs="仿宋_GB2312"/>
          <w:b/>
          <w:sz w:val="24"/>
        </w:rPr>
      </w:pPr>
    </w:p>
    <w:p>
      <w:pPr>
        <w:spacing w:line="360" w:lineRule="auto"/>
        <w:ind w:firstLine="240" w:firstLineChars="5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lang w:eastAsia="zh-CN"/>
        </w:rPr>
        <w:t>服务</w:t>
      </w:r>
      <w:r>
        <w:rPr>
          <w:rFonts w:hint="eastAsia" w:ascii="仿宋_GB2312" w:hAnsi="仿宋_GB2312" w:eastAsia="仿宋_GB2312" w:cs="仿宋_GB2312"/>
          <w:b/>
          <w:sz w:val="48"/>
          <w:szCs w:val="48"/>
        </w:rPr>
        <w:t>类公开招标</w:t>
      </w:r>
    </w:p>
    <w:p>
      <w:pPr>
        <w:spacing w:line="360" w:lineRule="auto"/>
        <w:ind w:firstLine="120" w:firstLineChars="50"/>
        <w:jc w:val="center"/>
        <w:rPr>
          <w:rFonts w:ascii="仿宋_GB2312" w:hAnsi="仿宋_GB2312" w:eastAsia="仿宋_GB2312" w:cs="仿宋_GB2312"/>
          <w:b/>
          <w:sz w:val="24"/>
        </w:rPr>
      </w:pPr>
    </w:p>
    <w:p>
      <w:pPr>
        <w:spacing w:line="360" w:lineRule="auto"/>
        <w:ind w:firstLine="240" w:firstLineChars="5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招标文件</w:t>
      </w: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360" w:lineRule="auto"/>
        <w:ind w:firstLine="846" w:firstLineChars="235"/>
        <w:rPr>
          <w:rFonts w:ascii="仿宋_GB2312" w:hAnsi="仿宋_GB2312" w:eastAsia="仿宋_GB2312" w:cs="仿宋_GB2312"/>
          <w:b/>
          <w:sz w:val="36"/>
          <w:szCs w:val="36"/>
        </w:rPr>
      </w:pPr>
      <w:r>
        <w:rPr>
          <w:rFonts w:hint="eastAsia" w:ascii="仿宋_GB2312" w:hAnsi="仿宋_GB2312" w:eastAsia="仿宋_GB2312" w:cs="仿宋_GB2312"/>
          <w:b/>
          <w:sz w:val="36"/>
          <w:szCs w:val="36"/>
        </w:rPr>
        <w:t>项目名称：</w:t>
      </w:r>
      <w:r>
        <w:rPr>
          <w:rFonts w:hint="eastAsia" w:ascii="仿宋_GB2312" w:hAnsi="仿宋_GB2312" w:eastAsia="仿宋_GB2312" w:cs="仿宋_GB2312"/>
          <w:b/>
          <w:sz w:val="36"/>
          <w:szCs w:val="36"/>
          <w:lang w:eastAsia="zh-CN"/>
        </w:rPr>
        <w:t>奎屯市公安局食堂食材采购四标段</w:t>
      </w:r>
    </w:p>
    <w:p>
      <w:pPr>
        <w:spacing w:line="360" w:lineRule="auto"/>
        <w:ind w:firstLine="846" w:firstLineChars="235"/>
        <w:rPr>
          <w:rFonts w:hint="eastAsia" w:ascii="仿宋_GB2312" w:hAnsi="仿宋_GB2312" w:eastAsia="仿宋_GB2312" w:cs="仿宋_GB2312"/>
          <w:b/>
          <w:sz w:val="36"/>
          <w:szCs w:val="36"/>
          <w:lang w:eastAsia="zh-CN"/>
        </w:rPr>
      </w:pPr>
      <w:r>
        <w:rPr>
          <w:rFonts w:hint="eastAsia" w:ascii="仿宋_GB2312" w:hAnsi="仿宋_GB2312" w:eastAsia="仿宋_GB2312" w:cs="仿宋_GB2312"/>
          <w:b/>
          <w:sz w:val="36"/>
          <w:szCs w:val="36"/>
        </w:rPr>
        <w:t>采购单位：奎屯市</w:t>
      </w:r>
      <w:r>
        <w:rPr>
          <w:rFonts w:hint="eastAsia" w:ascii="仿宋_GB2312" w:hAnsi="仿宋_GB2312" w:eastAsia="仿宋_GB2312" w:cs="仿宋_GB2312"/>
          <w:b/>
          <w:sz w:val="36"/>
          <w:szCs w:val="36"/>
          <w:lang w:eastAsia="zh-CN"/>
        </w:rPr>
        <w:t>公安局</w:t>
      </w:r>
    </w:p>
    <w:p>
      <w:pPr>
        <w:spacing w:line="360" w:lineRule="auto"/>
        <w:ind w:firstLine="846" w:firstLineChars="235"/>
        <w:rPr>
          <w:rFonts w:hint="eastAsia" w:ascii="仿宋_GB2312" w:hAnsi="仿宋_GB2312" w:eastAsia="仿宋_GB2312" w:cs="仿宋_GB2312"/>
          <w:b/>
          <w:sz w:val="36"/>
          <w:szCs w:val="36"/>
          <w:lang w:val="en-US" w:eastAsia="zh-CN"/>
        </w:rPr>
      </w:pPr>
      <w:r>
        <w:rPr>
          <w:rFonts w:hint="eastAsia" w:ascii="仿宋_GB2312" w:hAnsi="仿宋_GB2312" w:eastAsia="仿宋_GB2312" w:cs="仿宋_GB2312"/>
          <w:b/>
          <w:sz w:val="36"/>
          <w:szCs w:val="36"/>
        </w:rPr>
        <w:t>项目编号：KTJY-GK-2023-00</w:t>
      </w:r>
      <w:r>
        <w:rPr>
          <w:rFonts w:hint="eastAsia" w:ascii="仿宋_GB2312" w:hAnsi="仿宋_GB2312" w:eastAsia="仿宋_GB2312" w:cs="仿宋_GB2312"/>
          <w:b/>
          <w:sz w:val="36"/>
          <w:szCs w:val="36"/>
          <w:lang w:val="en-US" w:eastAsia="zh-CN"/>
        </w:rPr>
        <w:t>7</w:t>
      </w:r>
      <w:r>
        <w:rPr>
          <w:rFonts w:hint="eastAsia" w:ascii="仿宋_GB2312" w:hAnsi="仿宋_GB2312" w:eastAsia="仿宋_GB2312" w:cs="仿宋_GB2312"/>
          <w:b/>
          <w:sz w:val="36"/>
          <w:szCs w:val="36"/>
        </w:rPr>
        <w:t>-</w:t>
      </w:r>
      <w:r>
        <w:rPr>
          <w:rFonts w:hint="eastAsia" w:ascii="仿宋_GB2312" w:hAnsi="仿宋_GB2312" w:eastAsia="仿宋_GB2312" w:cs="仿宋_GB2312"/>
          <w:b/>
          <w:sz w:val="36"/>
          <w:szCs w:val="36"/>
          <w:lang w:val="en-US" w:eastAsia="zh-CN"/>
        </w:rPr>
        <w:t>4</w:t>
      </w:r>
    </w:p>
    <w:p>
      <w:pPr>
        <w:spacing w:line="360" w:lineRule="auto"/>
        <w:ind w:firstLine="846" w:firstLineChars="235"/>
        <w:rPr>
          <w:rFonts w:ascii="仿宋_GB2312" w:hAnsi="仿宋_GB2312" w:eastAsia="仿宋_GB2312" w:cs="仿宋_GB2312"/>
          <w:b/>
          <w:bCs/>
          <w:sz w:val="44"/>
          <w:szCs w:val="44"/>
        </w:rPr>
      </w:pPr>
      <w:r>
        <w:rPr>
          <w:rFonts w:hint="eastAsia" w:ascii="仿宋_GB2312" w:hAnsi="仿宋_GB2312" w:eastAsia="仿宋_GB2312" w:cs="仿宋_GB2312"/>
          <w:b/>
          <w:sz w:val="36"/>
          <w:szCs w:val="36"/>
        </w:rPr>
        <w:t>编制单位：奎屯市政务服务中心</w:t>
      </w:r>
    </w:p>
    <w:p>
      <w:pPr>
        <w:jc w:val="center"/>
        <w:rPr>
          <w:rFonts w:ascii="仿宋_GB2312" w:hAnsi="仿宋_GB2312" w:eastAsia="仿宋_GB2312" w:cs="仿宋_GB2312"/>
          <w:b/>
          <w:bCs/>
          <w:sz w:val="44"/>
          <w:szCs w:val="44"/>
        </w:rPr>
      </w:pPr>
    </w:p>
    <w:p>
      <w:pPr>
        <w:pStyle w:val="20"/>
        <w:sectPr>
          <w:pgSz w:w="11906" w:h="16838"/>
          <w:pgMar w:top="1440" w:right="2125" w:bottom="1440" w:left="1803" w:header="851" w:footer="992" w:gutter="0"/>
          <w:pgNumType w:start="1"/>
          <w:cols w:space="720" w:num="1"/>
          <w:docGrid w:type="linesAndChars" w:linePitch="312" w:charSpace="0"/>
        </w:sectPr>
      </w:pP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目  录</w:t>
      </w:r>
    </w:p>
    <w:p>
      <w:pPr>
        <w:jc w:val="center"/>
        <w:rPr>
          <w:rFonts w:ascii="仿宋_GB2312" w:hAnsi="仿宋_GB2312" w:eastAsia="仿宋_GB2312" w:cs="仿宋_GB2312"/>
          <w:b/>
          <w:bCs/>
          <w:sz w:val="44"/>
          <w:szCs w:val="44"/>
        </w:rPr>
      </w:pPr>
    </w:p>
    <w:p>
      <w:pPr>
        <w:pStyle w:val="11"/>
        <w:tabs>
          <w:tab w:val="right" w:leader="dot" w:pos="8300"/>
        </w:tabs>
        <w:spacing w:line="480" w:lineRule="auto"/>
        <w:rPr>
          <w:b/>
          <w:bCs/>
          <w:sz w:val="24"/>
        </w:rPr>
      </w:pPr>
      <w:r>
        <w:rPr>
          <w:b/>
          <w:bCs/>
          <w:sz w:val="24"/>
        </w:rPr>
        <w:fldChar w:fldCharType="begin"/>
      </w:r>
      <w:r>
        <w:rPr>
          <w:b/>
          <w:bCs/>
          <w:sz w:val="24"/>
        </w:rPr>
        <w:instrText xml:space="preserve">TOC \o "1-1" \h \u </w:instrText>
      </w:r>
      <w:r>
        <w:rPr>
          <w:b/>
          <w:bCs/>
          <w:sz w:val="24"/>
        </w:rPr>
        <w:fldChar w:fldCharType="separate"/>
      </w:r>
      <w:r>
        <w:fldChar w:fldCharType="begin"/>
      </w:r>
      <w:r>
        <w:instrText xml:space="preserve"> HYPERLINK \l "_Toc9521" </w:instrText>
      </w:r>
      <w:r>
        <w:fldChar w:fldCharType="separate"/>
      </w:r>
      <w:r>
        <w:rPr>
          <w:rFonts w:hint="eastAsia" w:ascii="仿宋_GB2312" w:hAnsi="仿宋_GB2312" w:eastAsia="仿宋_GB2312" w:cs="仿宋_GB2312"/>
          <w:b/>
          <w:bCs/>
          <w:sz w:val="24"/>
        </w:rPr>
        <w:t>招标公告</w:t>
      </w:r>
      <w:r>
        <w:rPr>
          <w:b/>
          <w:bCs/>
          <w:sz w:val="24"/>
        </w:rPr>
        <w:tab/>
      </w:r>
      <w:r>
        <w:rPr>
          <w:b/>
          <w:bCs/>
          <w:sz w:val="24"/>
        </w:rPr>
        <w:fldChar w:fldCharType="begin"/>
      </w:r>
      <w:r>
        <w:rPr>
          <w:b/>
          <w:bCs/>
          <w:sz w:val="24"/>
        </w:rPr>
        <w:instrText xml:space="preserve"> PAGEREF _Toc9521 </w:instrText>
      </w:r>
      <w:r>
        <w:rPr>
          <w:b/>
          <w:bCs/>
          <w:sz w:val="24"/>
        </w:rPr>
        <w:fldChar w:fldCharType="separate"/>
      </w:r>
      <w:r>
        <w:rPr>
          <w:b/>
          <w:bCs/>
          <w:sz w:val="24"/>
        </w:rPr>
        <w:t>1</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"_Toc27235" </w:instrText>
      </w:r>
      <w:r>
        <w:fldChar w:fldCharType="separate"/>
      </w:r>
      <w:r>
        <w:rPr>
          <w:rFonts w:hint="eastAsia" w:ascii="仿宋_GB2312" w:hAnsi="仿宋_GB2312" w:eastAsia="仿宋_GB2312" w:cs="仿宋_GB2312"/>
          <w:b/>
          <w:bCs/>
          <w:sz w:val="24"/>
        </w:rPr>
        <w:t>第一章 投标人须知</w:t>
      </w:r>
      <w:r>
        <w:rPr>
          <w:b/>
          <w:bCs/>
          <w:sz w:val="24"/>
        </w:rPr>
        <w:tab/>
      </w:r>
      <w:r>
        <w:rPr>
          <w:b/>
          <w:bCs/>
          <w:sz w:val="24"/>
        </w:rPr>
        <w:fldChar w:fldCharType="begin"/>
      </w:r>
      <w:r>
        <w:rPr>
          <w:b/>
          <w:bCs/>
          <w:sz w:val="24"/>
        </w:rPr>
        <w:instrText xml:space="preserve"> PAGEREF _Toc27235 </w:instrText>
      </w:r>
      <w:r>
        <w:rPr>
          <w:b/>
          <w:bCs/>
          <w:sz w:val="24"/>
        </w:rPr>
        <w:fldChar w:fldCharType="separate"/>
      </w:r>
      <w:r>
        <w:rPr>
          <w:b/>
          <w:bCs/>
          <w:sz w:val="24"/>
        </w:rPr>
        <w:t>3</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"_Toc13351" </w:instrText>
      </w:r>
      <w:r>
        <w:fldChar w:fldCharType="separate"/>
      </w:r>
      <w:r>
        <w:rPr>
          <w:rFonts w:hint="eastAsia" w:ascii="仿宋_GB2312" w:hAnsi="仿宋_GB2312" w:eastAsia="仿宋_GB2312" w:cs="仿宋_GB2312"/>
          <w:b/>
          <w:bCs/>
          <w:sz w:val="24"/>
        </w:rPr>
        <w:t>第二章 投标文件内容及格式</w:t>
      </w:r>
      <w:r>
        <w:rPr>
          <w:b/>
          <w:bCs/>
          <w:sz w:val="24"/>
        </w:rPr>
        <w:tab/>
      </w:r>
      <w:r>
        <w:rPr>
          <w:b/>
          <w:bCs/>
          <w:sz w:val="24"/>
        </w:rPr>
        <w:fldChar w:fldCharType="begin"/>
      </w:r>
      <w:r>
        <w:rPr>
          <w:b/>
          <w:bCs/>
          <w:sz w:val="24"/>
        </w:rPr>
        <w:instrText xml:space="preserve"> PAGEREF _Toc13351 </w:instrText>
      </w:r>
      <w:r>
        <w:rPr>
          <w:b/>
          <w:bCs/>
          <w:sz w:val="24"/>
        </w:rPr>
        <w:fldChar w:fldCharType="separate"/>
      </w:r>
      <w:r>
        <w:rPr>
          <w:b/>
          <w:bCs/>
          <w:sz w:val="24"/>
        </w:rPr>
        <w:t>18</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"_Toc11327" </w:instrText>
      </w:r>
      <w:r>
        <w:fldChar w:fldCharType="separate"/>
      </w:r>
      <w:r>
        <w:rPr>
          <w:rFonts w:hint="eastAsia" w:ascii="仿宋_GB2312" w:hAnsi="仿宋_GB2312" w:eastAsia="仿宋_GB2312" w:cs="仿宋_GB2312"/>
          <w:b/>
          <w:bCs/>
          <w:sz w:val="24"/>
        </w:rPr>
        <w:t>第三章 服务需求</w:t>
      </w:r>
      <w:r>
        <w:rPr>
          <w:b/>
          <w:bCs/>
          <w:sz w:val="24"/>
        </w:rPr>
        <w:tab/>
      </w:r>
      <w:r>
        <w:rPr>
          <w:b/>
          <w:bCs/>
          <w:sz w:val="24"/>
        </w:rPr>
        <w:fldChar w:fldCharType="begin"/>
      </w:r>
      <w:r>
        <w:rPr>
          <w:b/>
          <w:bCs/>
          <w:sz w:val="24"/>
        </w:rPr>
        <w:instrText xml:space="preserve"> PAGEREF _Toc11327 </w:instrText>
      </w:r>
      <w:r>
        <w:rPr>
          <w:b/>
          <w:bCs/>
          <w:sz w:val="24"/>
        </w:rPr>
        <w:fldChar w:fldCharType="separate"/>
      </w:r>
      <w:r>
        <w:rPr>
          <w:b/>
          <w:bCs/>
          <w:sz w:val="24"/>
        </w:rPr>
        <w:t>39</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"_Toc8062" </w:instrText>
      </w:r>
      <w:r>
        <w:fldChar w:fldCharType="separate"/>
      </w:r>
      <w:r>
        <w:rPr>
          <w:rFonts w:hint="eastAsia" w:ascii="仿宋_GB2312" w:hAnsi="仿宋_GB2312" w:eastAsia="仿宋_GB2312" w:cs="仿宋_GB2312"/>
          <w:b/>
          <w:bCs/>
          <w:sz w:val="24"/>
        </w:rPr>
        <w:t>第四章 评标方法</w:t>
      </w:r>
      <w:r>
        <w:rPr>
          <w:b/>
          <w:bCs/>
          <w:sz w:val="24"/>
        </w:rPr>
        <w:tab/>
      </w:r>
      <w:r>
        <w:rPr>
          <w:b/>
          <w:bCs/>
          <w:sz w:val="24"/>
        </w:rPr>
        <w:fldChar w:fldCharType="begin"/>
      </w:r>
      <w:r>
        <w:rPr>
          <w:b/>
          <w:bCs/>
          <w:sz w:val="24"/>
        </w:rPr>
        <w:instrText xml:space="preserve"> PAGEREF _Toc8062 </w:instrText>
      </w:r>
      <w:r>
        <w:rPr>
          <w:b/>
          <w:bCs/>
          <w:sz w:val="24"/>
        </w:rPr>
        <w:fldChar w:fldCharType="separate"/>
      </w:r>
      <w:r>
        <w:rPr>
          <w:b/>
          <w:bCs/>
          <w:sz w:val="24"/>
        </w:rPr>
        <w:t>40</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"_Toc24606" </w:instrText>
      </w:r>
      <w:r>
        <w:fldChar w:fldCharType="separate"/>
      </w:r>
      <w:r>
        <w:rPr>
          <w:rFonts w:hint="eastAsia" w:ascii="仿宋_GB2312" w:hAnsi="仿宋_GB2312" w:eastAsia="仿宋_GB2312" w:cs="仿宋_GB2312"/>
          <w:b/>
          <w:bCs/>
          <w:sz w:val="24"/>
        </w:rPr>
        <w:t>第五章 政府采购合同条款及格式</w:t>
      </w:r>
      <w:r>
        <w:rPr>
          <w:b/>
          <w:bCs/>
          <w:sz w:val="24"/>
        </w:rPr>
        <w:tab/>
      </w:r>
      <w:r>
        <w:rPr>
          <w:b/>
          <w:bCs/>
          <w:sz w:val="24"/>
        </w:rPr>
        <w:fldChar w:fldCharType="begin"/>
      </w:r>
      <w:r>
        <w:rPr>
          <w:b/>
          <w:bCs/>
          <w:sz w:val="24"/>
        </w:rPr>
        <w:instrText xml:space="preserve"> PAGEREF _Toc24606 </w:instrText>
      </w:r>
      <w:r>
        <w:rPr>
          <w:b/>
          <w:bCs/>
          <w:sz w:val="24"/>
        </w:rPr>
        <w:fldChar w:fldCharType="separate"/>
      </w:r>
      <w:r>
        <w:rPr>
          <w:b/>
          <w:bCs/>
          <w:sz w:val="24"/>
        </w:rPr>
        <w:t>46</w:t>
      </w:r>
      <w:r>
        <w:rPr>
          <w:b/>
          <w:bCs/>
          <w:sz w:val="24"/>
        </w:rPr>
        <w:fldChar w:fldCharType="end"/>
      </w:r>
      <w:r>
        <w:rPr>
          <w:b/>
          <w:bCs/>
          <w:sz w:val="24"/>
        </w:rPr>
        <w:fldChar w:fldCharType="end"/>
      </w:r>
    </w:p>
    <w:p>
      <w:pPr>
        <w:spacing w:line="480" w:lineRule="auto"/>
      </w:pPr>
      <w:r>
        <w:rPr>
          <w:b/>
          <w:bCs/>
          <w:sz w:val="24"/>
        </w:rPr>
        <w:fldChar w:fldCharType="end"/>
      </w:r>
    </w:p>
    <w:p>
      <w:pPr>
        <w:pStyle w:val="3"/>
        <w:rPr>
          <w:rFonts w:ascii="仿宋_GB2312" w:hAnsi="仿宋_GB2312" w:eastAsia="仿宋_GB2312" w:cs="仿宋_GB2312"/>
        </w:rPr>
        <w:sectPr>
          <w:footerReference r:id="rId3" w:type="default"/>
          <w:pgSz w:w="11906" w:h="16838"/>
          <w:pgMar w:top="1440" w:right="1803" w:bottom="1440" w:left="1803" w:header="851" w:footer="992" w:gutter="0"/>
          <w:pgNumType w:start="1"/>
          <w:cols w:space="720" w:num="1"/>
          <w:docGrid w:type="linesAndChars" w:linePitch="312" w:charSpace="0"/>
        </w:sectPr>
      </w:pPr>
      <w:bookmarkStart w:id="0" w:name="_Toc2983"/>
      <w:bookmarkStart w:id="1" w:name="_Toc1124_WPSOffice_Level1"/>
      <w:bookmarkStart w:id="2" w:name="_Toc9521"/>
    </w:p>
    <w:p>
      <w:pPr>
        <w:pStyle w:val="3"/>
        <w:rPr>
          <w:rFonts w:hint="eastAsia" w:ascii="仿宋_GB2312" w:hAnsi="仿宋_GB2312" w:eastAsia="仿宋_GB2312" w:cs="仿宋_GB2312"/>
        </w:rPr>
      </w:pPr>
      <w:r>
        <w:rPr>
          <w:rFonts w:hint="eastAsia" w:ascii="仿宋_GB2312" w:hAnsi="仿宋_GB2312" w:eastAsia="仿宋_GB2312" w:cs="仿宋_GB2312"/>
          <w:lang w:eastAsia="zh-CN"/>
        </w:rPr>
        <w:t>奎屯市公安局食堂食材采购四标段</w:t>
      </w:r>
      <w:r>
        <w:rPr>
          <w:rFonts w:hint="eastAsia" w:ascii="仿宋_GB2312" w:hAnsi="仿宋_GB2312" w:eastAsia="仿宋_GB2312" w:cs="仿宋_GB2312"/>
        </w:rPr>
        <w:t>的</w:t>
      </w:r>
    </w:p>
    <w:p>
      <w:pPr>
        <w:pStyle w:val="3"/>
        <w:rPr>
          <w:rFonts w:ascii="仿宋_GB2312" w:hAnsi="仿宋_GB2312" w:eastAsia="仿宋_GB2312" w:cs="仿宋_GB2312"/>
        </w:rPr>
      </w:pPr>
      <w:r>
        <w:rPr>
          <w:rFonts w:hint="eastAsia" w:ascii="仿宋_GB2312" w:hAnsi="仿宋_GB2312" w:eastAsia="仿宋_GB2312" w:cs="仿宋_GB2312"/>
        </w:rPr>
        <w:t>招标公告</w:t>
      </w:r>
      <w:bookmarkEnd w:id="0"/>
      <w:bookmarkEnd w:id="1"/>
      <w:bookmarkEnd w:id="2"/>
    </w:p>
    <w:p>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b w:val="0"/>
          <w:bCs/>
          <w:sz w:val="21"/>
          <w:szCs w:val="21"/>
          <w:lang w:val="en-US" w:eastAsia="zh-CN"/>
        </w:rPr>
        <w:t>奎屯市公安局食堂食材采购四标段招标</w:t>
      </w:r>
      <w:r>
        <w:rPr>
          <w:rFonts w:hint="eastAsia" w:ascii="仿宋_GB2312" w:hAnsi="仿宋_GB2312" w:eastAsia="仿宋_GB2312" w:cs="仿宋_GB2312"/>
          <w:szCs w:val="21"/>
        </w:rPr>
        <w:t>项目的潜在供应商应在</w:t>
      </w:r>
      <w:r>
        <w:rPr>
          <w:rFonts w:hint="eastAsia" w:ascii="仿宋_GB2312" w:hAnsi="仿宋_GB2312" w:eastAsia="仿宋_GB2312" w:cs="仿宋_GB2312"/>
          <w:szCs w:val="21"/>
          <w:u w:val="single"/>
        </w:rPr>
        <w:t>政采云平台（http://www.zcygov.cn/</w:t>
      </w:r>
      <w:r>
        <w:rPr>
          <w:rFonts w:hint="eastAsia" w:ascii="仿宋_GB2312" w:hAnsi="仿宋_GB2312" w:eastAsia="仿宋_GB2312" w:cs="仿宋_GB2312"/>
          <w:szCs w:val="21"/>
        </w:rPr>
        <w:t>获取招标文件，并于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color w:val="FF0000"/>
          <w:szCs w:val="21"/>
          <w:u w:val="single"/>
        </w:rPr>
        <w:t xml:space="preserve"> 2023</w:t>
      </w:r>
      <w:r>
        <w:rPr>
          <w:rFonts w:hint="eastAsia" w:ascii="仿宋_GB2312" w:hAnsi="仿宋_GB2312" w:eastAsia="仿宋_GB2312" w:cs="仿宋_GB2312"/>
          <w:bCs/>
          <w:color w:val="FF0000"/>
          <w:szCs w:val="21"/>
          <w:u w:val="single"/>
        </w:rPr>
        <w:t>年</w:t>
      </w:r>
      <w:r>
        <w:rPr>
          <w:rFonts w:hint="eastAsia" w:ascii="仿宋_GB2312" w:hAnsi="仿宋_GB2312" w:eastAsia="仿宋_GB2312" w:cs="仿宋_GB2312"/>
          <w:bCs/>
          <w:color w:val="FF0000"/>
          <w:szCs w:val="21"/>
          <w:highlight w:val="none"/>
          <w:u w:val="single"/>
          <w:lang w:val="en-US" w:eastAsia="zh-CN"/>
        </w:rPr>
        <w:t>10</w:t>
      </w:r>
      <w:r>
        <w:rPr>
          <w:rFonts w:hint="eastAsia" w:ascii="仿宋_GB2312" w:hAnsi="仿宋_GB2312" w:eastAsia="仿宋_GB2312" w:cs="仿宋_GB2312"/>
          <w:bCs/>
          <w:color w:val="FF0000"/>
          <w:szCs w:val="21"/>
          <w:highlight w:val="none"/>
          <w:u w:val="single"/>
        </w:rPr>
        <w:t>月</w:t>
      </w:r>
      <w:r>
        <w:rPr>
          <w:rFonts w:hint="eastAsia" w:ascii="仿宋_GB2312" w:hAnsi="仿宋_GB2312" w:eastAsia="仿宋_GB2312" w:cs="仿宋_GB2312"/>
          <w:bCs/>
          <w:color w:val="FF0000"/>
          <w:szCs w:val="21"/>
          <w:highlight w:val="none"/>
          <w:u w:val="single"/>
          <w:lang w:val="en-US" w:eastAsia="zh-CN"/>
        </w:rPr>
        <w:t>18</w:t>
      </w:r>
      <w:r>
        <w:rPr>
          <w:rFonts w:hint="eastAsia" w:ascii="仿宋_GB2312" w:hAnsi="仿宋_GB2312" w:eastAsia="仿宋_GB2312" w:cs="仿宋_GB2312"/>
          <w:bCs/>
          <w:color w:val="FF0000"/>
          <w:szCs w:val="21"/>
          <w:highlight w:val="none"/>
          <w:u w:val="single"/>
        </w:rPr>
        <w:t>日</w:t>
      </w:r>
      <w:r>
        <w:rPr>
          <w:rFonts w:hint="eastAsia" w:ascii="仿宋_GB2312" w:hAnsi="仿宋_GB2312" w:eastAsia="仿宋_GB2312" w:cs="仿宋_GB2312"/>
          <w:bCs/>
          <w:szCs w:val="21"/>
          <w:u w:val="single"/>
        </w:rPr>
        <w:t xml:space="preserve"> 10点 30分（</w:t>
      </w:r>
      <w:r>
        <w:rPr>
          <w:rFonts w:hint="eastAsia" w:ascii="仿宋_GB2312" w:hAnsi="仿宋_GB2312" w:eastAsia="仿宋_GB2312" w:cs="仿宋_GB2312"/>
          <w:bCs/>
          <w:szCs w:val="21"/>
        </w:rPr>
        <w:t>北京时间）前递交投标文件</w:t>
      </w:r>
      <w:r>
        <w:rPr>
          <w:rFonts w:hint="eastAsia" w:ascii="仿宋_GB2312" w:hAnsi="仿宋_GB2312" w:eastAsia="仿宋_GB2312" w:cs="仿宋_GB2312"/>
          <w:szCs w:val="21"/>
        </w:rPr>
        <w:t>。</w:t>
      </w:r>
    </w:p>
    <w:p>
      <w:pPr>
        <w:widowControl/>
        <w:adjustRightInd w:val="0"/>
        <w:snapToGrid w:val="0"/>
        <w:spacing w:line="360" w:lineRule="auto"/>
        <w:ind w:firstLine="420" w:firstLineChars="200"/>
        <w:jc w:val="left"/>
        <w:rPr>
          <w:rFonts w:ascii="仿宋_GB2312" w:hAnsi="仿宋_GB2312" w:eastAsia="仿宋_GB2312" w:cs="仿宋_GB2312"/>
          <w:b/>
          <w:bCs/>
          <w:kern w:val="0"/>
          <w:szCs w:val="21"/>
        </w:rPr>
      </w:pPr>
      <w:r>
        <w:rPr>
          <w:rFonts w:hint="eastAsia" w:ascii="仿宋_GB2312" w:hAnsi="仿宋_GB2312" w:eastAsia="仿宋_GB2312" w:cs="仿宋_GB2312"/>
          <w:kern w:val="0"/>
          <w:szCs w:val="21"/>
        </w:rPr>
        <w:t xml:space="preserve"> </w:t>
      </w:r>
    </w:p>
    <w:p>
      <w:pPr>
        <w:adjustRightInd w:val="0"/>
        <w:snapToGrid w:val="0"/>
        <w:spacing w:line="360" w:lineRule="auto"/>
        <w:rPr>
          <w:rFonts w:ascii="仿宋" w:hAnsi="仿宋" w:cs="仿宋"/>
          <w:b/>
          <w:bCs/>
          <w:szCs w:val="21"/>
        </w:rPr>
      </w:pPr>
      <w:r>
        <w:rPr>
          <w:rFonts w:hint="eastAsia" w:ascii="仿宋" w:hAnsi="仿宋" w:cs="仿宋"/>
          <w:b/>
          <w:bCs/>
          <w:szCs w:val="21"/>
        </w:rPr>
        <w:t>一、项目基本情况</w:t>
      </w:r>
    </w:p>
    <w:p>
      <w:pPr>
        <w:adjustRightInd w:val="0"/>
        <w:snapToGrid w:val="0"/>
        <w:spacing w:line="360" w:lineRule="auto"/>
        <w:rPr>
          <w:rFonts w:hint="eastAsia" w:ascii="仿宋" w:hAnsi="仿宋" w:eastAsia="仿宋" w:cs="仿宋"/>
          <w:szCs w:val="21"/>
          <w:lang w:eastAsia="zh-CN"/>
        </w:rPr>
      </w:pPr>
      <w:r>
        <w:rPr>
          <w:rFonts w:hint="eastAsia" w:ascii="仿宋" w:hAnsi="仿宋" w:cs="仿宋"/>
          <w:szCs w:val="21"/>
        </w:rPr>
        <w:t>项目编号：KTJY-GK-2023-00</w:t>
      </w:r>
      <w:r>
        <w:rPr>
          <w:rFonts w:hint="eastAsia" w:ascii="仿宋" w:hAnsi="仿宋" w:cs="仿宋"/>
          <w:szCs w:val="21"/>
          <w:lang w:val="en-US" w:eastAsia="zh-CN"/>
        </w:rPr>
        <w:t>7</w:t>
      </w:r>
      <w:r>
        <w:rPr>
          <w:rFonts w:hint="eastAsia" w:ascii="仿宋" w:hAnsi="仿宋" w:cs="仿宋"/>
          <w:szCs w:val="21"/>
        </w:rPr>
        <w:t>-</w:t>
      </w:r>
      <w:r>
        <w:rPr>
          <w:rFonts w:hint="eastAsia" w:ascii="仿宋" w:hAnsi="仿宋" w:cs="仿宋"/>
          <w:szCs w:val="21"/>
          <w:lang w:val="en-US" w:eastAsia="zh-CN"/>
        </w:rPr>
        <w:t>4</w:t>
      </w:r>
    </w:p>
    <w:p>
      <w:pPr>
        <w:adjustRightInd w:val="0"/>
        <w:snapToGrid w:val="0"/>
        <w:spacing w:line="360" w:lineRule="auto"/>
        <w:rPr>
          <w:rFonts w:ascii="仿宋" w:hAnsi="仿宋" w:cs="仿宋"/>
          <w:szCs w:val="21"/>
        </w:rPr>
      </w:pPr>
      <w:r>
        <w:rPr>
          <w:rFonts w:hint="eastAsia" w:ascii="仿宋" w:hAnsi="仿宋" w:cs="仿宋"/>
          <w:szCs w:val="21"/>
        </w:rPr>
        <w:t>项目名称：</w:t>
      </w:r>
      <w:r>
        <w:rPr>
          <w:rFonts w:hint="eastAsia" w:ascii="仿宋" w:hAnsi="仿宋" w:cs="仿宋"/>
          <w:szCs w:val="21"/>
          <w:lang w:eastAsia="zh-CN"/>
        </w:rPr>
        <w:t>奎屯市公安局食堂食材采购四标段</w:t>
      </w:r>
    </w:p>
    <w:p>
      <w:pPr>
        <w:adjustRightInd w:val="0"/>
        <w:snapToGrid w:val="0"/>
        <w:spacing w:line="360" w:lineRule="auto"/>
        <w:rPr>
          <w:rFonts w:ascii="仿宋" w:hAnsi="仿宋" w:cs="仿宋"/>
          <w:szCs w:val="21"/>
        </w:rPr>
      </w:pPr>
      <w:r>
        <w:rPr>
          <w:rFonts w:hint="eastAsia" w:ascii="仿宋" w:hAnsi="仿宋" w:cs="仿宋"/>
          <w:szCs w:val="21"/>
        </w:rPr>
        <w:t>预算金额：</w:t>
      </w:r>
      <w:r>
        <w:rPr>
          <w:rFonts w:hint="eastAsia"/>
          <w:lang w:val="en-US" w:eastAsia="zh-CN"/>
        </w:rPr>
        <w:t>2724000</w:t>
      </w:r>
      <w:r>
        <w:rPr>
          <w:rFonts w:hint="eastAsia" w:ascii="仿宋" w:hAnsi="仿宋" w:cs="仿宋"/>
          <w:szCs w:val="21"/>
        </w:rPr>
        <w:t>元</w:t>
      </w:r>
    </w:p>
    <w:p>
      <w:pPr>
        <w:adjustRightInd w:val="0"/>
        <w:snapToGrid w:val="0"/>
        <w:spacing w:line="360" w:lineRule="auto"/>
        <w:rPr>
          <w:rFonts w:hint="default" w:ascii="仿宋" w:hAnsi="仿宋" w:eastAsia="仿宋" w:cs="仿宋"/>
          <w:szCs w:val="21"/>
          <w:lang w:val="en-US" w:eastAsia="zh-CN"/>
        </w:rPr>
      </w:pPr>
      <w:r>
        <w:rPr>
          <w:rFonts w:hint="eastAsia" w:ascii="仿宋" w:hAnsi="仿宋" w:cs="仿宋"/>
          <w:szCs w:val="21"/>
        </w:rPr>
        <w:t>最高限价（如有）：</w:t>
      </w:r>
      <w:r>
        <w:rPr>
          <w:rFonts w:hint="eastAsia"/>
          <w:lang w:val="en-US" w:eastAsia="zh-CN"/>
        </w:rPr>
        <w:t>2724000</w:t>
      </w:r>
      <w:r>
        <w:rPr>
          <w:rFonts w:hint="eastAsia" w:ascii="仿宋" w:hAnsi="仿宋" w:cs="仿宋"/>
          <w:szCs w:val="21"/>
          <w:lang w:val="en-US" w:eastAsia="zh-CN"/>
        </w:rPr>
        <w:t>万元</w:t>
      </w:r>
    </w:p>
    <w:p>
      <w:pPr>
        <w:adjustRightInd w:val="0"/>
        <w:snapToGrid w:val="0"/>
        <w:spacing w:line="360" w:lineRule="auto"/>
        <w:rPr>
          <w:rFonts w:hint="eastAsia" w:ascii="仿宋" w:hAnsi="仿宋" w:cs="仿宋"/>
          <w:szCs w:val="21"/>
        </w:rPr>
      </w:pPr>
      <w:r>
        <w:rPr>
          <w:rFonts w:hint="eastAsia" w:ascii="仿宋" w:hAnsi="仿宋" w:cs="仿宋"/>
          <w:szCs w:val="21"/>
        </w:rPr>
        <w:t>采购需求：</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542"/>
        <w:gridCol w:w="1492"/>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77" w:type="dxa"/>
            <w:vAlign w:val="center"/>
          </w:tcPr>
          <w:p>
            <w:pPr>
              <w:ind w:left="0" w:leftChars="0" w:firstLine="0" w:firstLineChars="0"/>
              <w:jc w:val="center"/>
              <w:rPr>
                <w:rFonts w:hint="eastAsia"/>
                <w:lang w:eastAsia="zh-CN"/>
              </w:rPr>
            </w:pPr>
            <w:r>
              <w:rPr>
                <w:rFonts w:hint="eastAsia"/>
                <w:lang w:eastAsia="zh-CN"/>
              </w:rPr>
              <w:t>项目名称</w:t>
            </w:r>
          </w:p>
        </w:tc>
        <w:tc>
          <w:tcPr>
            <w:tcW w:w="3545" w:type="dxa"/>
            <w:vAlign w:val="center"/>
          </w:tcPr>
          <w:p>
            <w:pPr>
              <w:ind w:left="0" w:leftChars="0" w:firstLine="0" w:firstLineChars="0"/>
              <w:jc w:val="center"/>
              <w:rPr>
                <w:rFonts w:hint="eastAsia"/>
                <w:lang w:eastAsia="zh-CN"/>
              </w:rPr>
            </w:pPr>
            <w:r>
              <w:rPr>
                <w:rFonts w:hint="eastAsia"/>
                <w:lang w:eastAsia="zh-CN"/>
              </w:rPr>
              <w:t>项目内容</w:t>
            </w:r>
          </w:p>
        </w:tc>
        <w:tc>
          <w:tcPr>
            <w:tcW w:w="1493" w:type="dxa"/>
            <w:vAlign w:val="center"/>
          </w:tcPr>
          <w:p>
            <w:pPr>
              <w:ind w:left="0" w:leftChars="0" w:firstLine="0" w:firstLineChars="0"/>
              <w:jc w:val="center"/>
              <w:rPr>
                <w:rFonts w:hint="eastAsia"/>
                <w:lang w:eastAsia="zh-CN"/>
              </w:rPr>
            </w:pPr>
            <w:r>
              <w:rPr>
                <w:rFonts w:hint="eastAsia"/>
                <w:lang w:eastAsia="zh-CN"/>
              </w:rPr>
              <w:t>预算金额(元)</w:t>
            </w:r>
          </w:p>
        </w:tc>
        <w:tc>
          <w:tcPr>
            <w:tcW w:w="1504" w:type="dxa"/>
            <w:vAlign w:val="center"/>
          </w:tcPr>
          <w:p>
            <w:pPr>
              <w:ind w:left="0" w:leftChars="0" w:firstLine="0" w:firstLineChars="0"/>
              <w:jc w:val="center"/>
              <w:rPr>
                <w:rFonts w:hint="eastAsia"/>
                <w:lang w:eastAsia="zh-CN"/>
              </w:rPr>
            </w:pPr>
            <w:r>
              <w:rPr>
                <w:rFonts w:hint="eastAsia"/>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1977" w:type="dxa"/>
            <w:vAlign w:val="center"/>
          </w:tcPr>
          <w:p>
            <w:pPr>
              <w:ind w:left="0" w:leftChars="0" w:firstLine="0" w:firstLineChars="0"/>
              <w:jc w:val="center"/>
              <w:rPr>
                <w:rFonts w:hint="eastAsia"/>
                <w:lang w:eastAsia="zh-CN"/>
              </w:rPr>
            </w:pPr>
            <w:r>
              <w:rPr>
                <w:rFonts w:hint="eastAsia"/>
                <w:lang w:eastAsia="zh-CN"/>
              </w:rPr>
              <w:t>奎屯市公安局食堂食材采购四标段</w:t>
            </w:r>
          </w:p>
        </w:tc>
        <w:tc>
          <w:tcPr>
            <w:tcW w:w="3545" w:type="dxa"/>
            <w:vAlign w:val="center"/>
          </w:tcPr>
          <w:p>
            <w:pPr>
              <w:jc w:val="center"/>
              <w:rPr>
                <w:rFonts w:hint="default"/>
                <w:lang w:val="en-US" w:eastAsia="zh-CN"/>
              </w:rPr>
            </w:pPr>
          </w:p>
          <w:p>
            <w:pPr>
              <w:jc w:val="center"/>
              <w:rPr>
                <w:rFonts w:hint="default"/>
                <w:lang w:val="en-US" w:eastAsia="zh-CN"/>
              </w:rPr>
            </w:pPr>
          </w:p>
          <w:p>
            <w:pPr>
              <w:ind w:left="0" w:leftChars="0" w:firstLine="0" w:firstLineChars="0"/>
              <w:jc w:val="center"/>
              <w:rPr>
                <w:rFonts w:hint="eastAsia"/>
                <w:lang w:val="en-US" w:eastAsia="zh-CN"/>
              </w:rPr>
            </w:pPr>
            <w:r>
              <w:rPr>
                <w:rFonts w:hint="eastAsia"/>
                <w:lang w:eastAsia="zh-CN"/>
              </w:rPr>
              <w:t>米面油/肉类/蔬菜等食材采购</w:t>
            </w:r>
          </w:p>
          <w:p>
            <w:pPr>
              <w:jc w:val="center"/>
              <w:rPr>
                <w:rFonts w:hint="eastAsia"/>
                <w:lang w:val="en-US" w:eastAsia="zh-CN"/>
              </w:rPr>
            </w:pPr>
          </w:p>
          <w:p>
            <w:pPr>
              <w:jc w:val="center"/>
              <w:rPr>
                <w:rFonts w:hint="eastAsia"/>
                <w:lang w:eastAsia="zh-CN"/>
              </w:rPr>
            </w:pP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522" w:type="dxa"/>
            <w:gridSpan w:val="2"/>
            <w:vAlign w:val="center"/>
          </w:tcPr>
          <w:p>
            <w:pPr>
              <w:ind w:left="0" w:leftChars="0" w:firstLine="0" w:firstLineChars="0"/>
              <w:jc w:val="center"/>
              <w:rPr>
                <w:rFonts w:hint="eastAsia"/>
                <w:lang w:eastAsia="zh-CN"/>
              </w:rPr>
            </w:pPr>
            <w:r>
              <w:rPr>
                <w:rFonts w:hint="eastAsia"/>
                <w:lang w:eastAsia="zh-CN"/>
              </w:rPr>
              <w:t>预算合计(元)/最高限价合计(元)</w:t>
            </w: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bl>
    <w:p>
      <w:pPr>
        <w:adjustRightInd w:val="0"/>
        <w:snapToGrid w:val="0"/>
        <w:spacing w:line="360" w:lineRule="auto"/>
        <w:rPr>
          <w:rFonts w:hint="eastAsia" w:ascii="仿宋" w:hAnsi="仿宋" w:cs="仿宋"/>
          <w:szCs w:val="21"/>
        </w:rPr>
      </w:pPr>
    </w:p>
    <w:p>
      <w:pPr>
        <w:adjustRightInd w:val="0"/>
        <w:snapToGrid w:val="0"/>
        <w:spacing w:line="360" w:lineRule="auto"/>
        <w:rPr>
          <w:rFonts w:ascii="仿宋" w:hAnsi="仿宋" w:cs="仿宋"/>
          <w:szCs w:val="21"/>
        </w:rPr>
      </w:pPr>
      <w:r>
        <w:rPr>
          <w:rFonts w:hint="eastAsia" w:ascii="仿宋" w:hAnsi="仿宋" w:cs="仿宋"/>
          <w:szCs w:val="21"/>
        </w:rPr>
        <w:t>（详见招标文件）</w:t>
      </w:r>
    </w:p>
    <w:p>
      <w:pPr>
        <w:adjustRightInd w:val="0"/>
        <w:snapToGrid w:val="0"/>
        <w:spacing w:line="360" w:lineRule="auto"/>
        <w:rPr>
          <w:rFonts w:ascii="仿宋" w:hAnsi="仿宋" w:cs="仿宋"/>
          <w:szCs w:val="21"/>
        </w:rPr>
      </w:pPr>
      <w:r>
        <w:rPr>
          <w:rFonts w:hint="eastAsia" w:ascii="仿宋" w:hAnsi="仿宋" w:cs="仿宋"/>
          <w:szCs w:val="21"/>
        </w:rPr>
        <w:t>合同履行期限：</w:t>
      </w:r>
      <w:r>
        <w:rPr>
          <w:rFonts w:hint="default"/>
          <w:lang w:val="en-US" w:eastAsia="zh-CN"/>
        </w:rPr>
        <w:t>自中标签订合同之日起</w:t>
      </w:r>
      <w:r>
        <w:rPr>
          <w:rFonts w:hint="eastAsia"/>
          <w:lang w:val="en-US" w:eastAsia="zh-CN"/>
        </w:rPr>
        <w:t>一年</w:t>
      </w:r>
      <w:r>
        <w:rPr>
          <w:rFonts w:hint="eastAsia" w:ascii="仿宋" w:hAnsi="仿宋" w:cs="仿宋"/>
          <w:szCs w:val="21"/>
        </w:rPr>
        <w:t>。</w:t>
      </w:r>
    </w:p>
    <w:p>
      <w:pPr>
        <w:adjustRightInd w:val="0"/>
        <w:snapToGrid w:val="0"/>
        <w:spacing w:line="360" w:lineRule="auto"/>
        <w:rPr>
          <w:rFonts w:ascii="仿宋" w:hAnsi="仿宋" w:cs="仿宋"/>
          <w:szCs w:val="21"/>
        </w:rPr>
      </w:pPr>
      <w:r>
        <w:rPr>
          <w:rFonts w:hint="eastAsia" w:ascii="仿宋" w:hAnsi="仿宋" w:cs="仿宋"/>
          <w:szCs w:val="21"/>
        </w:rPr>
        <w:t>本项目</w:t>
      </w:r>
      <w:r>
        <w:rPr>
          <w:rFonts w:hint="eastAsia" w:ascii="仿宋" w:hAnsi="仿宋" w:cs="仿宋"/>
          <w:szCs w:val="21"/>
          <w:lang w:eastAsia="zh-CN"/>
        </w:rPr>
        <w:t>不</w:t>
      </w:r>
      <w:r>
        <w:rPr>
          <w:rFonts w:hint="eastAsia" w:ascii="仿宋" w:hAnsi="仿宋" w:cs="仿宋"/>
          <w:szCs w:val="21"/>
        </w:rPr>
        <w:t>接受联合体投标。</w:t>
      </w:r>
    </w:p>
    <w:p>
      <w:pPr>
        <w:adjustRightInd w:val="0"/>
        <w:snapToGrid w:val="0"/>
        <w:spacing w:line="360" w:lineRule="auto"/>
        <w:rPr>
          <w:rFonts w:ascii="仿宋" w:hAnsi="仿宋" w:cs="仿宋"/>
          <w:szCs w:val="21"/>
        </w:rPr>
      </w:pPr>
      <w:r>
        <w:rPr>
          <w:rFonts w:hint="eastAsia" w:ascii="仿宋" w:hAnsi="仿宋" w:cs="仿宋"/>
          <w:b/>
          <w:bCs/>
          <w:szCs w:val="21"/>
        </w:rPr>
        <w:t>二、供应商的资格要求</w:t>
      </w:r>
      <w:r>
        <w:rPr>
          <w:rFonts w:hint="eastAsia" w:ascii="仿宋" w:hAnsi="仿宋" w:cs="仿宋"/>
          <w:szCs w:val="21"/>
        </w:rPr>
        <w:t>：</w:t>
      </w:r>
    </w:p>
    <w:p>
      <w:pPr>
        <w:adjustRightInd w:val="0"/>
        <w:snapToGrid w:val="0"/>
        <w:spacing w:line="360" w:lineRule="auto"/>
        <w:rPr>
          <w:rFonts w:ascii="仿宋" w:hAnsi="仿宋" w:cs="仿宋"/>
          <w:szCs w:val="21"/>
        </w:rPr>
      </w:pPr>
      <w:r>
        <w:rPr>
          <w:rFonts w:hint="eastAsia" w:ascii="仿宋" w:hAnsi="仿宋" w:cs="仿宋"/>
          <w:szCs w:val="21"/>
        </w:rPr>
        <w:t>1.满足《中华人民共和国政府采购法》第二十二条规定；</w:t>
      </w:r>
    </w:p>
    <w:p>
      <w:pPr>
        <w:adjustRightInd w:val="0"/>
        <w:snapToGrid w:val="0"/>
        <w:spacing w:line="360" w:lineRule="auto"/>
        <w:rPr>
          <w:rFonts w:hint="eastAsia" w:ascii="仿宋" w:hAnsi="仿宋" w:eastAsia="仿宋" w:cs="仿宋"/>
          <w:szCs w:val="21"/>
          <w:lang w:val="en-US" w:eastAsia="zh-CN"/>
        </w:rPr>
      </w:pPr>
      <w:r>
        <w:rPr>
          <w:rFonts w:hint="eastAsia" w:ascii="仿宋" w:hAnsi="仿宋" w:cs="仿宋"/>
          <w:szCs w:val="21"/>
        </w:rPr>
        <w:t>2.落实政府采购政策需满足的资格要求：根据《政府采购促进中小企业发展管理办法》（财库﹝2020﹞46 号），按照中小企业十六个行业划型标准，本项目中小企业须属于</w:t>
      </w:r>
      <w:r>
        <w:rPr>
          <w:rFonts w:hint="eastAsia"/>
          <w:lang w:val="en-US" w:eastAsia="zh-CN"/>
        </w:rPr>
        <w:t>零售</w:t>
      </w:r>
      <w:r>
        <w:rPr>
          <w:rFonts w:hint="eastAsia" w:ascii="仿宋" w:hAnsi="仿宋" w:cs="仿宋"/>
          <w:szCs w:val="21"/>
        </w:rPr>
        <w:t>行业</w:t>
      </w:r>
      <w:r>
        <w:rPr>
          <w:rFonts w:hint="eastAsia" w:ascii="仿宋" w:hAnsi="仿宋" w:cs="仿宋"/>
          <w:szCs w:val="21"/>
          <w:lang w:val="en-US" w:eastAsia="zh-CN"/>
        </w:rPr>
        <w:t>;</w:t>
      </w:r>
    </w:p>
    <w:p>
      <w:pPr>
        <w:adjustRightInd w:val="0"/>
        <w:snapToGrid w:val="0"/>
        <w:spacing w:line="360" w:lineRule="auto"/>
        <w:rPr>
          <w:rFonts w:hint="eastAsia" w:ascii="仿宋" w:hAnsi="仿宋" w:cs="仿宋"/>
          <w:szCs w:val="21"/>
        </w:rPr>
      </w:pPr>
      <w:r>
        <w:rPr>
          <w:rFonts w:hint="eastAsia" w:ascii="仿宋" w:hAnsi="仿宋" w:cs="仿宋"/>
          <w:szCs w:val="21"/>
        </w:rPr>
        <w:t>3.本项目的特定资格要求：</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1）投标人须出具营业执照副本复印件加盖投标单位公章；</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2）法定代表人身份证（或社会保障卡、护照或公安部门的相关证明）复印件加盖公章；法定代表人的授权委托人身份证（或社会保障卡、护照或公安部门的相关证明）复印件加盖公章；法定代表人授权委托书原件应与所提供的身份证复印件一致；投标单位对提供有效证件的承诺（如提供的资格文件全部为原件则不需提供此承诺书）（原件）；</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3）投标人须提供投标人所在地社会保险经办机构出具的“提交首次响应文件时间”前3个月内单位实缴社会保险费用证明原件，若供应商成立不满3个月，则提供自成立以来的单位实缴社会保险费用证明原件；</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4）投标人须提供本单位营业执照所在地税务机关出具“提交首次响应文件时间”前3个月的税收证明原件；若供应商成立不满3个月，则提供自成立以来的税收证明原件；</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5）投标人需提供参加政府采购活动前3年内在经营活动中没有重大违法记录的书面声明加盖投标人公章；</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6))拒绝被信用中国网站（www.creditchina.gov.cn）、中国政府采购网（www.ccgp.gov.cn）列入失信被执行人、重大税收违法案件当事人名单、政府采购严重违法失信行为记录名单的企业和个人参与项目投标；</w:t>
      </w:r>
    </w:p>
    <w:p>
      <w:pPr>
        <w:adjustRightInd w:val="0"/>
        <w:snapToGrid w:val="0"/>
        <w:spacing w:line="360" w:lineRule="auto"/>
        <w:rPr>
          <w:rFonts w:ascii="仿宋" w:hAnsi="仿宋" w:cs="仿宋"/>
          <w:szCs w:val="21"/>
        </w:rPr>
      </w:pPr>
      <w:r>
        <w:rPr>
          <w:rFonts w:hint="eastAsia" w:ascii="仿宋" w:hAnsi="仿宋" w:cs="仿宋"/>
          <w:szCs w:val="21"/>
          <w:lang w:val="en-US" w:eastAsia="zh-CN"/>
        </w:rPr>
        <w:t>7)本项目不接受联合体投标，不允许分包或转包。</w:t>
      </w:r>
    </w:p>
    <w:p>
      <w:pPr>
        <w:adjustRightInd w:val="0"/>
        <w:snapToGrid w:val="0"/>
        <w:spacing w:line="360" w:lineRule="auto"/>
        <w:rPr>
          <w:rFonts w:ascii="仿宋" w:hAnsi="仿宋" w:cs="仿宋"/>
          <w:b/>
          <w:bCs/>
          <w:szCs w:val="21"/>
        </w:rPr>
      </w:pPr>
      <w:r>
        <w:rPr>
          <w:rFonts w:hint="eastAsia" w:ascii="仿宋" w:hAnsi="仿宋" w:cs="仿宋"/>
          <w:b/>
          <w:bCs/>
          <w:szCs w:val="21"/>
        </w:rPr>
        <w:t>三、获取招标文件</w:t>
      </w:r>
    </w:p>
    <w:p>
      <w:pPr>
        <w:adjustRightInd w:val="0"/>
        <w:snapToGrid w:val="0"/>
        <w:spacing w:line="360" w:lineRule="auto"/>
        <w:rPr>
          <w:rFonts w:ascii="仿宋" w:hAnsi="仿宋" w:cs="仿宋"/>
          <w:szCs w:val="21"/>
          <w:highlight w:val="darkGreen"/>
        </w:rPr>
      </w:pPr>
      <w:r>
        <w:rPr>
          <w:rFonts w:hint="eastAsia" w:ascii="仿宋" w:hAnsi="仿宋" w:cs="仿宋"/>
          <w:szCs w:val="21"/>
        </w:rPr>
        <w:t>时间：</w:t>
      </w:r>
      <w:r>
        <w:rPr>
          <w:rFonts w:hint="eastAsia" w:ascii="仿宋" w:hAnsi="仿宋" w:cs="仿宋"/>
          <w:szCs w:val="21"/>
          <w:highlight w:val="none"/>
        </w:rPr>
        <w:t xml:space="preserve"> 2023年</w:t>
      </w:r>
      <w:r>
        <w:rPr>
          <w:rFonts w:hint="eastAsia" w:ascii="仿宋" w:hAnsi="仿宋" w:cs="仿宋"/>
          <w:color w:val="FF0000"/>
          <w:szCs w:val="21"/>
          <w:highlight w:val="none"/>
          <w:lang w:val="en-US" w:eastAsia="zh-CN"/>
        </w:rPr>
        <w:t>9</w:t>
      </w:r>
      <w:r>
        <w:rPr>
          <w:rFonts w:hint="eastAsia" w:ascii="仿宋" w:hAnsi="仿宋" w:cs="仿宋"/>
          <w:color w:val="FF0000"/>
          <w:szCs w:val="21"/>
          <w:highlight w:val="none"/>
        </w:rPr>
        <w:t xml:space="preserve"> 月</w:t>
      </w:r>
      <w:r>
        <w:rPr>
          <w:rFonts w:hint="eastAsia" w:ascii="仿宋" w:hAnsi="仿宋" w:cs="仿宋"/>
          <w:color w:val="FF0000"/>
          <w:szCs w:val="21"/>
          <w:highlight w:val="none"/>
          <w:lang w:val="en-US" w:eastAsia="zh-CN"/>
        </w:rPr>
        <w:t>28</w:t>
      </w:r>
      <w:r>
        <w:rPr>
          <w:rFonts w:hint="eastAsia" w:ascii="仿宋" w:hAnsi="仿宋" w:cs="仿宋"/>
          <w:color w:val="FF0000"/>
          <w:szCs w:val="21"/>
          <w:highlight w:val="none"/>
        </w:rPr>
        <w:t>日至 2023年</w:t>
      </w:r>
      <w:r>
        <w:rPr>
          <w:rFonts w:hint="eastAsia" w:ascii="仿宋" w:hAnsi="仿宋" w:cs="仿宋"/>
          <w:color w:val="FF0000"/>
          <w:szCs w:val="21"/>
          <w:highlight w:val="none"/>
          <w:lang w:val="en-US" w:eastAsia="zh-CN"/>
        </w:rPr>
        <w:t>10</w:t>
      </w:r>
      <w:r>
        <w:rPr>
          <w:rFonts w:hint="eastAsia" w:ascii="仿宋" w:hAnsi="仿宋" w:cs="仿宋"/>
          <w:color w:val="FF0000"/>
          <w:szCs w:val="21"/>
          <w:highlight w:val="none"/>
        </w:rPr>
        <w:t>月</w:t>
      </w:r>
      <w:r>
        <w:rPr>
          <w:rFonts w:hint="eastAsia" w:ascii="仿宋" w:hAnsi="仿宋" w:cs="仿宋"/>
          <w:color w:val="FF0000"/>
          <w:szCs w:val="21"/>
          <w:highlight w:val="none"/>
          <w:lang w:val="en-US" w:eastAsia="zh-CN"/>
        </w:rPr>
        <w:t>18</w:t>
      </w:r>
      <w:r>
        <w:rPr>
          <w:rFonts w:hint="eastAsia" w:ascii="仿宋" w:hAnsi="仿宋" w:cs="仿宋"/>
          <w:color w:val="FF0000"/>
          <w:szCs w:val="21"/>
          <w:highlight w:val="none"/>
        </w:rPr>
        <w:t xml:space="preserve">日 </w:t>
      </w:r>
      <w:r>
        <w:rPr>
          <w:rFonts w:hint="eastAsia" w:ascii="仿宋" w:hAnsi="仿宋" w:cs="仿宋"/>
          <w:szCs w:val="21"/>
          <w:highlight w:val="none"/>
        </w:rPr>
        <w:t>，每天上午00:00至12:00，下午12:00至23:59（北京时间，法定节假日除外）</w:t>
      </w:r>
    </w:p>
    <w:p>
      <w:pPr>
        <w:adjustRightInd w:val="0"/>
        <w:snapToGrid w:val="0"/>
        <w:spacing w:line="360" w:lineRule="auto"/>
        <w:rPr>
          <w:rFonts w:ascii="仿宋" w:hAnsi="仿宋" w:cs="仿宋"/>
          <w:szCs w:val="21"/>
        </w:rPr>
      </w:pPr>
      <w:r>
        <w:rPr>
          <w:rFonts w:hint="eastAsia" w:ascii="仿宋" w:hAnsi="仿宋" w:cs="仿宋"/>
          <w:szCs w:val="21"/>
        </w:rPr>
        <w:t>地点：政采云平台（https://www.zcygov.cn/）</w:t>
      </w:r>
    </w:p>
    <w:p>
      <w:pPr>
        <w:adjustRightInd w:val="0"/>
        <w:snapToGrid w:val="0"/>
        <w:spacing w:line="360" w:lineRule="auto"/>
        <w:rPr>
          <w:rFonts w:ascii="仿宋" w:hAnsi="仿宋" w:cs="仿宋"/>
          <w:szCs w:val="21"/>
        </w:rPr>
      </w:pPr>
      <w:r>
        <w:rPr>
          <w:rFonts w:hint="eastAsia" w:ascii="仿宋" w:hAnsi="仿宋" w:cs="仿宋"/>
          <w:szCs w:val="21"/>
        </w:rPr>
        <w:t xml:space="preserve">方式：供应商登录政采云平台 </w:t>
      </w:r>
      <w:r>
        <w:fldChar w:fldCharType="begin"/>
      </w:r>
      <w:r>
        <w:instrText xml:space="preserve"> HYPERLINK "https://www.zcygov.cn/进入" </w:instrText>
      </w:r>
      <w:r>
        <w:fldChar w:fldCharType="separate"/>
      </w:r>
      <w:r>
        <w:rPr>
          <w:rStyle w:val="18"/>
          <w:rFonts w:hint="eastAsia" w:ascii="仿宋" w:hAnsi="仿宋" w:cs="仿宋"/>
          <w:szCs w:val="21"/>
        </w:rPr>
        <w:t>https://www.zcygov.cn/进入“项目采购”应用，在获取采购文件菜单中选择所要获取征集文件的项目，申请获取征集文件。</w:t>
      </w:r>
      <w:r>
        <w:rPr>
          <w:rStyle w:val="18"/>
          <w:rFonts w:hint="eastAsia" w:ascii="仿宋" w:hAnsi="仿宋" w:cs="仿宋"/>
          <w:szCs w:val="21"/>
        </w:rPr>
        <w:fldChar w:fldCharType="end"/>
      </w:r>
    </w:p>
    <w:p>
      <w:pPr>
        <w:adjustRightInd w:val="0"/>
        <w:snapToGrid w:val="0"/>
        <w:spacing w:line="360" w:lineRule="auto"/>
        <w:rPr>
          <w:rFonts w:ascii="仿宋" w:hAnsi="仿宋" w:cs="仿宋"/>
          <w:szCs w:val="21"/>
        </w:rPr>
      </w:pPr>
      <w:r>
        <w:rPr>
          <w:rFonts w:hint="eastAsia" w:ascii="仿宋" w:hAnsi="仿宋" w:cs="仿宋"/>
          <w:szCs w:val="21"/>
        </w:rPr>
        <w:t>售价：免费</w:t>
      </w:r>
    </w:p>
    <w:p>
      <w:pPr>
        <w:adjustRightInd w:val="0"/>
        <w:snapToGrid w:val="0"/>
        <w:spacing w:line="360" w:lineRule="auto"/>
        <w:rPr>
          <w:rFonts w:ascii="仿宋" w:hAnsi="仿宋" w:cs="仿宋"/>
          <w:b/>
          <w:bCs/>
          <w:szCs w:val="21"/>
        </w:rPr>
      </w:pPr>
      <w:r>
        <w:rPr>
          <w:rFonts w:hint="eastAsia" w:ascii="仿宋" w:hAnsi="仿宋" w:cs="仿宋"/>
          <w:b/>
          <w:bCs/>
          <w:szCs w:val="21"/>
        </w:rPr>
        <w:t>四、提交投标文件截止时间、开标时间和地点</w:t>
      </w:r>
    </w:p>
    <w:p>
      <w:pPr>
        <w:adjustRightInd w:val="0"/>
        <w:snapToGrid w:val="0"/>
        <w:spacing w:line="360" w:lineRule="auto"/>
        <w:rPr>
          <w:rFonts w:ascii="仿宋" w:hAnsi="仿宋" w:cs="仿宋"/>
          <w:szCs w:val="21"/>
        </w:rPr>
      </w:pPr>
      <w:r>
        <w:rPr>
          <w:rFonts w:hint="eastAsia" w:ascii="仿宋" w:hAnsi="仿宋" w:cs="仿宋"/>
          <w:szCs w:val="21"/>
        </w:rPr>
        <w:t>提交响应文件截止时间</w:t>
      </w:r>
      <w:r>
        <w:rPr>
          <w:rFonts w:hint="eastAsia" w:ascii="仿宋" w:hAnsi="仿宋" w:cs="仿宋"/>
          <w:szCs w:val="21"/>
          <w:highlight w:val="none"/>
        </w:rPr>
        <w:t>：2023年</w:t>
      </w:r>
      <w:r>
        <w:rPr>
          <w:rFonts w:hint="eastAsia" w:ascii="仿宋" w:hAnsi="仿宋" w:cs="仿宋"/>
          <w:color w:val="FF0000"/>
          <w:szCs w:val="21"/>
          <w:highlight w:val="none"/>
          <w:lang w:val="en-US" w:eastAsia="zh-CN"/>
        </w:rPr>
        <w:t>10</w:t>
      </w:r>
      <w:r>
        <w:rPr>
          <w:rFonts w:hint="eastAsia" w:ascii="仿宋" w:hAnsi="仿宋" w:cs="仿宋"/>
          <w:color w:val="FF0000"/>
          <w:szCs w:val="21"/>
          <w:highlight w:val="none"/>
        </w:rPr>
        <w:t>月</w:t>
      </w:r>
      <w:r>
        <w:rPr>
          <w:rFonts w:hint="eastAsia" w:ascii="仿宋" w:hAnsi="仿宋" w:cs="仿宋"/>
          <w:color w:val="FF0000"/>
          <w:szCs w:val="21"/>
          <w:highlight w:val="none"/>
          <w:lang w:val="en-US" w:eastAsia="zh-CN"/>
        </w:rPr>
        <w:t>18</w:t>
      </w:r>
      <w:r>
        <w:rPr>
          <w:rFonts w:hint="eastAsia" w:ascii="仿宋" w:hAnsi="仿宋" w:cs="仿宋"/>
          <w:color w:val="FF0000"/>
          <w:szCs w:val="21"/>
          <w:highlight w:val="none"/>
        </w:rPr>
        <w:t>日</w:t>
      </w:r>
      <w:r>
        <w:rPr>
          <w:rFonts w:hint="eastAsia" w:ascii="仿宋" w:hAnsi="仿宋" w:cs="仿宋"/>
          <w:szCs w:val="21"/>
          <w:highlight w:val="none"/>
        </w:rPr>
        <w:t>10点30分（</w:t>
      </w:r>
      <w:r>
        <w:rPr>
          <w:rFonts w:hint="eastAsia" w:ascii="仿宋" w:hAnsi="仿宋" w:cs="仿宋"/>
          <w:szCs w:val="21"/>
        </w:rPr>
        <w:t>北京时间）</w:t>
      </w:r>
    </w:p>
    <w:p>
      <w:pPr>
        <w:adjustRightInd w:val="0"/>
        <w:snapToGrid w:val="0"/>
        <w:spacing w:line="360" w:lineRule="auto"/>
        <w:rPr>
          <w:rFonts w:ascii="仿宋" w:hAnsi="仿宋" w:cs="仿宋"/>
          <w:szCs w:val="21"/>
        </w:rPr>
      </w:pPr>
      <w:r>
        <w:rPr>
          <w:rFonts w:hint="eastAsia" w:ascii="仿宋" w:hAnsi="仿宋" w:cs="仿宋"/>
          <w:szCs w:val="21"/>
        </w:rPr>
        <w:t>响应地点：新疆政府采购网政采云平台（http://www.zcygov.cn/）在线递交响应文件</w:t>
      </w:r>
    </w:p>
    <w:p>
      <w:pPr>
        <w:adjustRightInd w:val="0"/>
        <w:snapToGrid w:val="0"/>
        <w:spacing w:line="360" w:lineRule="auto"/>
        <w:rPr>
          <w:rFonts w:ascii="仿宋" w:hAnsi="仿宋" w:cs="仿宋"/>
          <w:szCs w:val="21"/>
        </w:rPr>
      </w:pPr>
      <w:r>
        <w:rPr>
          <w:rFonts w:hint="eastAsia" w:ascii="仿宋" w:hAnsi="仿宋" w:cs="仿宋"/>
          <w:szCs w:val="21"/>
        </w:rPr>
        <w:t>开标时间：</w:t>
      </w:r>
      <w:r>
        <w:rPr>
          <w:rFonts w:hint="eastAsia" w:ascii="仿宋" w:hAnsi="仿宋" w:cs="仿宋"/>
          <w:szCs w:val="21"/>
          <w:highlight w:val="none"/>
        </w:rPr>
        <w:t>2023年</w:t>
      </w:r>
      <w:r>
        <w:rPr>
          <w:rFonts w:hint="eastAsia" w:ascii="仿宋" w:hAnsi="仿宋" w:cs="仿宋"/>
          <w:color w:val="FF0000"/>
          <w:szCs w:val="21"/>
          <w:highlight w:val="none"/>
        </w:rPr>
        <w:t xml:space="preserve"> </w:t>
      </w:r>
      <w:r>
        <w:rPr>
          <w:rFonts w:hint="eastAsia" w:ascii="仿宋" w:hAnsi="仿宋" w:cs="仿宋"/>
          <w:color w:val="FF0000"/>
          <w:szCs w:val="21"/>
          <w:highlight w:val="none"/>
          <w:lang w:val="en-US" w:eastAsia="zh-CN"/>
        </w:rPr>
        <w:t>10</w:t>
      </w:r>
      <w:r>
        <w:rPr>
          <w:rFonts w:hint="eastAsia" w:ascii="仿宋" w:hAnsi="仿宋" w:cs="仿宋"/>
          <w:color w:val="FF0000"/>
          <w:szCs w:val="21"/>
          <w:highlight w:val="none"/>
        </w:rPr>
        <w:t>月</w:t>
      </w:r>
      <w:r>
        <w:rPr>
          <w:rFonts w:hint="eastAsia" w:ascii="仿宋" w:hAnsi="仿宋" w:cs="仿宋"/>
          <w:color w:val="FF0000"/>
          <w:szCs w:val="21"/>
          <w:highlight w:val="none"/>
          <w:lang w:val="en-US" w:eastAsia="zh-CN"/>
        </w:rPr>
        <w:t>18</w:t>
      </w:r>
      <w:r>
        <w:rPr>
          <w:rFonts w:hint="eastAsia" w:ascii="仿宋" w:hAnsi="仿宋" w:cs="仿宋"/>
          <w:color w:val="FF0000"/>
          <w:szCs w:val="21"/>
          <w:highlight w:val="none"/>
        </w:rPr>
        <w:t xml:space="preserve"> 日</w:t>
      </w:r>
      <w:r>
        <w:rPr>
          <w:rFonts w:hint="eastAsia" w:ascii="仿宋" w:hAnsi="仿宋" w:cs="仿宋"/>
          <w:szCs w:val="21"/>
          <w:highlight w:val="none"/>
        </w:rPr>
        <w:t>10点30分（</w:t>
      </w:r>
      <w:r>
        <w:rPr>
          <w:rFonts w:hint="eastAsia" w:ascii="仿宋" w:hAnsi="仿宋" w:cs="仿宋"/>
          <w:szCs w:val="21"/>
        </w:rPr>
        <w:t>北京时间）</w:t>
      </w:r>
    </w:p>
    <w:p>
      <w:pPr>
        <w:adjustRightInd w:val="0"/>
        <w:snapToGrid w:val="0"/>
        <w:spacing w:line="360" w:lineRule="auto"/>
        <w:rPr>
          <w:rFonts w:ascii="仿宋" w:hAnsi="仿宋" w:cs="仿宋"/>
          <w:szCs w:val="21"/>
        </w:rPr>
      </w:pPr>
      <w:r>
        <w:rPr>
          <w:rFonts w:hint="eastAsia" w:ascii="仿宋" w:hAnsi="仿宋" w:cs="仿宋"/>
          <w:szCs w:val="21"/>
        </w:rPr>
        <w:t>开标地点：供应商在政采云平台http://www.zcygov.cn/不见面开标大厅远程参加开标活动</w:t>
      </w:r>
    </w:p>
    <w:p>
      <w:pPr>
        <w:adjustRightInd w:val="0"/>
        <w:snapToGrid w:val="0"/>
        <w:spacing w:line="360" w:lineRule="auto"/>
        <w:rPr>
          <w:rFonts w:ascii="仿宋" w:hAnsi="仿宋" w:cs="仿宋"/>
          <w:szCs w:val="21"/>
        </w:rPr>
      </w:pPr>
      <w:r>
        <w:rPr>
          <w:rFonts w:hint="eastAsia" w:ascii="仿宋" w:hAnsi="仿宋" w:cs="仿宋"/>
          <w:szCs w:val="21"/>
        </w:rPr>
        <w:t>现场开标地点：奎屯市政务服务中心四楼</w:t>
      </w:r>
    </w:p>
    <w:p>
      <w:pPr>
        <w:adjustRightInd w:val="0"/>
        <w:snapToGrid w:val="0"/>
        <w:spacing w:line="360" w:lineRule="auto"/>
        <w:rPr>
          <w:rFonts w:ascii="仿宋" w:hAnsi="仿宋" w:cs="仿宋"/>
          <w:b/>
          <w:bCs/>
          <w:szCs w:val="21"/>
        </w:rPr>
      </w:pPr>
      <w:r>
        <w:rPr>
          <w:rFonts w:hint="eastAsia" w:ascii="仿宋" w:hAnsi="仿宋" w:cs="仿宋"/>
          <w:b/>
          <w:bCs/>
          <w:szCs w:val="21"/>
        </w:rPr>
        <w:t>五、公告期限</w:t>
      </w:r>
    </w:p>
    <w:p>
      <w:pPr>
        <w:adjustRightInd w:val="0"/>
        <w:snapToGrid w:val="0"/>
        <w:spacing w:line="360" w:lineRule="auto"/>
        <w:rPr>
          <w:rFonts w:ascii="仿宋" w:hAnsi="仿宋" w:cs="仿宋"/>
          <w:szCs w:val="21"/>
        </w:rPr>
      </w:pPr>
      <w:r>
        <w:rPr>
          <w:rFonts w:hint="eastAsia" w:ascii="仿宋" w:hAnsi="仿宋" w:cs="仿宋"/>
          <w:szCs w:val="21"/>
        </w:rPr>
        <w:t>自本公告发布之日起5个工作日。</w:t>
      </w:r>
    </w:p>
    <w:p>
      <w:pPr>
        <w:adjustRightInd w:val="0"/>
        <w:snapToGrid w:val="0"/>
        <w:spacing w:line="360" w:lineRule="auto"/>
        <w:rPr>
          <w:rFonts w:ascii="仿宋" w:hAnsi="仿宋" w:cs="仿宋"/>
          <w:b/>
          <w:bCs/>
          <w:szCs w:val="21"/>
        </w:rPr>
      </w:pPr>
      <w:r>
        <w:rPr>
          <w:rFonts w:hint="eastAsia" w:ascii="仿宋" w:hAnsi="仿宋" w:cs="仿宋"/>
          <w:b/>
          <w:bCs/>
          <w:szCs w:val="21"/>
        </w:rPr>
        <w:t>六、质疑与投诉</w:t>
      </w:r>
    </w:p>
    <w:p>
      <w:pPr>
        <w:adjustRightInd w:val="0"/>
        <w:snapToGrid w:val="0"/>
        <w:spacing w:line="360" w:lineRule="auto"/>
        <w:rPr>
          <w:rFonts w:ascii="仿宋" w:hAnsi="仿宋" w:cs="仿宋"/>
          <w:szCs w:val="21"/>
        </w:rPr>
      </w:pPr>
      <w:r>
        <w:rPr>
          <w:rFonts w:hint="eastAsia" w:ascii="仿宋" w:hAnsi="仿宋" w:cs="仿宋"/>
          <w:szCs w:val="21"/>
        </w:rPr>
        <w:t>供应商认为自己的权益受到损害的，可以在知道或者应知其权益受到损害之日起七个工作日内，向采购代理机构或采购人提出质疑。</w:t>
      </w:r>
    </w:p>
    <w:p>
      <w:pPr>
        <w:adjustRightInd w:val="0"/>
        <w:snapToGrid w:val="0"/>
        <w:spacing w:line="360" w:lineRule="auto"/>
        <w:rPr>
          <w:rFonts w:ascii="仿宋" w:hAnsi="仿宋" w:cs="仿宋"/>
          <w:szCs w:val="21"/>
        </w:rPr>
      </w:pPr>
      <w:r>
        <w:rPr>
          <w:rFonts w:hint="eastAsia" w:ascii="仿宋" w:hAnsi="仿宋" w:cs="仿宋"/>
          <w:szCs w:val="21"/>
        </w:rPr>
        <w:t>1、接收质疑函方式：书面纸质质疑函</w:t>
      </w:r>
    </w:p>
    <w:p>
      <w:pPr>
        <w:adjustRightInd w:val="0"/>
        <w:snapToGrid w:val="0"/>
        <w:spacing w:line="360" w:lineRule="auto"/>
        <w:rPr>
          <w:rFonts w:ascii="仿宋" w:hAnsi="仿宋" w:cs="仿宋"/>
          <w:szCs w:val="21"/>
        </w:rPr>
      </w:pPr>
      <w:r>
        <w:rPr>
          <w:rFonts w:hint="eastAsia" w:ascii="仿宋" w:hAnsi="仿宋" w:cs="仿宋"/>
          <w:szCs w:val="21"/>
        </w:rPr>
        <w:t>2、质疑函内容、格式：应符合《政府采购质疑和投诉办法》相关规定和财政部制定的《政府采购质疑函范本》格式。</w:t>
      </w:r>
    </w:p>
    <w:p>
      <w:pPr>
        <w:adjustRightInd w:val="0"/>
        <w:snapToGrid w:val="0"/>
        <w:spacing w:line="360" w:lineRule="auto"/>
        <w:rPr>
          <w:rFonts w:ascii="仿宋" w:hAnsi="仿宋" w:cs="仿宋"/>
          <w:szCs w:val="21"/>
        </w:rPr>
      </w:pPr>
      <w:r>
        <w:rPr>
          <w:rFonts w:hint="eastAsia" w:ascii="仿宋" w:hAnsi="仿宋" w:cs="仿宋"/>
          <w:szCs w:val="21"/>
        </w:rPr>
        <w:t>质疑供应商对采购人、采购代理机构的答复不满意，或者采购人、采购代理机构未在规定时间内作出答复的，可以在答复期满后15个工作日内向本级财政部门提起投诉。</w:t>
      </w:r>
    </w:p>
    <w:p>
      <w:pPr>
        <w:adjustRightInd w:val="0"/>
        <w:snapToGrid w:val="0"/>
        <w:spacing w:line="360" w:lineRule="auto"/>
        <w:rPr>
          <w:rFonts w:ascii="仿宋" w:hAnsi="仿宋" w:cs="仿宋"/>
          <w:b/>
          <w:bCs/>
          <w:szCs w:val="21"/>
        </w:rPr>
      </w:pPr>
      <w:r>
        <w:rPr>
          <w:rFonts w:hint="eastAsia" w:ascii="仿宋" w:hAnsi="仿宋" w:cs="仿宋"/>
          <w:b/>
          <w:bCs/>
          <w:szCs w:val="21"/>
        </w:rPr>
        <w:t>七、其他补充事宜</w:t>
      </w:r>
    </w:p>
    <w:p>
      <w:pPr>
        <w:adjustRightInd w:val="0"/>
        <w:snapToGrid w:val="0"/>
        <w:spacing w:line="360" w:lineRule="auto"/>
        <w:rPr>
          <w:rFonts w:ascii="仿宋" w:hAnsi="仿宋" w:cs="仿宋"/>
          <w:szCs w:val="21"/>
        </w:rPr>
      </w:pPr>
      <w:r>
        <w:rPr>
          <w:rFonts w:hint="eastAsia" w:ascii="仿宋" w:hAnsi="仿宋" w:cs="仿宋"/>
          <w:szCs w:val="21"/>
        </w:rPr>
        <w:t>特别提示：</w:t>
      </w:r>
    </w:p>
    <w:p>
      <w:pPr>
        <w:adjustRightInd w:val="0"/>
        <w:snapToGrid w:val="0"/>
        <w:spacing w:line="360" w:lineRule="auto"/>
        <w:rPr>
          <w:rFonts w:ascii="仿宋" w:hAnsi="仿宋" w:cs="仿宋"/>
          <w:szCs w:val="21"/>
        </w:rPr>
      </w:pPr>
      <w:r>
        <w:rPr>
          <w:rFonts w:hint="eastAsia" w:ascii="仿宋" w:hAnsi="仿宋" w:cs="仿宋"/>
          <w:szCs w:val="21"/>
        </w:rPr>
        <w:t>1.本项目实行电子招投标，供应商需要使用CA加密设备，凡参加本项目须自行购买与政采云平台完成对接的CA设备，如需购买新疆CA数字证书可访问新疆数字证书认证中心官方网站（https://www.xjca.com.cn/）或下载“新疆政务通”APP自行进行申领，也可以到其全疆各服务机构现场办理。如已有兵团或公共资源使用的新疆CA数字证书，也可与新疆CA联系，申请增加电子证书即可，无需重复申领。</w:t>
      </w:r>
    </w:p>
    <w:p>
      <w:pPr>
        <w:adjustRightInd w:val="0"/>
        <w:snapToGrid w:val="0"/>
        <w:spacing w:line="360" w:lineRule="auto"/>
        <w:rPr>
          <w:rFonts w:ascii="仿宋" w:hAnsi="仿宋" w:cs="仿宋"/>
          <w:szCs w:val="21"/>
        </w:rPr>
      </w:pPr>
      <w:r>
        <w:rPr>
          <w:rFonts w:hint="eastAsia" w:ascii="仿宋" w:hAnsi="仿宋" w:cs="仿宋"/>
          <w:szCs w:val="21"/>
        </w:rPr>
        <w:t>2.各供应商应在开标前确保成为新疆维吾尔自治区政府采购网正式注册入库供应商，并完成CA数字证书申领。因未注册入库、未办理CA数字证书等原因造成无法投标或投标失败等后果由供应商自行承担。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360" w:lineRule="auto"/>
        <w:rPr>
          <w:rFonts w:ascii="仿宋" w:hAnsi="仿宋" w:cs="仿宋"/>
          <w:szCs w:val="21"/>
        </w:rPr>
      </w:pPr>
      <w:r>
        <w:rPr>
          <w:rFonts w:hint="eastAsia" w:ascii="仿宋" w:hAnsi="仿宋" w:cs="仿宋"/>
          <w:szCs w:val="21"/>
        </w:rPr>
        <w:t>3.供应商须登录政采云平台申请获取磋商文件，提前下载并安装政采云投标客户端、CA驱动程序后，通过政采云电子投标客户端制作响应文件，同时自行承担与投标有关的一切费用。</w:t>
      </w:r>
    </w:p>
    <w:p>
      <w:pPr>
        <w:adjustRightInd w:val="0"/>
        <w:snapToGrid w:val="0"/>
        <w:spacing w:line="360" w:lineRule="auto"/>
        <w:rPr>
          <w:rFonts w:ascii="仿宋" w:hAnsi="仿宋" w:cs="仿宋"/>
          <w:szCs w:val="21"/>
        </w:rPr>
      </w:pPr>
      <w:r>
        <w:rPr>
          <w:rFonts w:hint="eastAsia" w:ascii="仿宋" w:hAnsi="仿宋" w:cs="仿宋"/>
          <w:szCs w:val="21"/>
        </w:rPr>
        <w:t>4.供应商在使用政采云投标客户端时，建议使用WIN7（64位）及以上操作系统。客户端和驱动程序请至新疆政府采购网（http://www.ccgp-xinjiang.gov.cn/）下载专区查看，如有问题可拨打政采云客户服务热线400-881-7190进行咨询。如因供应商自身原因导致在规定时间内无法正常解密的（如：浏览器故障、未安装客户端和相关驱动、网络故障、加密CA与解密CA不一致等），采购中心/代理机构不予异常处理，视为供应商自动弃标。</w:t>
      </w:r>
    </w:p>
    <w:p>
      <w:pPr>
        <w:adjustRightInd w:val="0"/>
        <w:snapToGrid w:val="0"/>
        <w:spacing w:line="360" w:lineRule="auto"/>
        <w:rPr>
          <w:rFonts w:ascii="仿宋" w:hAnsi="仿宋" w:cs="仿宋"/>
          <w:szCs w:val="21"/>
        </w:rPr>
      </w:pPr>
      <w:r>
        <w:rPr>
          <w:rFonts w:hint="eastAsia" w:ascii="仿宋" w:hAnsi="仿宋" w:cs="仿宋"/>
          <w:szCs w:val="21"/>
        </w:rPr>
        <w:t>5.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w:t>
      </w:r>
    </w:p>
    <w:p>
      <w:pPr>
        <w:adjustRightInd w:val="0"/>
        <w:snapToGrid w:val="0"/>
        <w:spacing w:line="360" w:lineRule="auto"/>
        <w:rPr>
          <w:rFonts w:ascii="仿宋" w:hAnsi="仿宋" w:cs="仿宋"/>
          <w:szCs w:val="21"/>
        </w:rPr>
      </w:pPr>
      <w:r>
        <w:rPr>
          <w:rFonts w:hint="eastAsia" w:ascii="仿宋" w:hAnsi="仿宋" w:cs="仿宋"/>
          <w:szCs w:val="21"/>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adjustRightInd w:val="0"/>
        <w:snapToGrid w:val="0"/>
        <w:spacing w:line="360" w:lineRule="auto"/>
        <w:rPr>
          <w:rFonts w:ascii="仿宋" w:hAnsi="仿宋" w:cs="仿宋"/>
          <w:szCs w:val="21"/>
        </w:rPr>
      </w:pPr>
      <w:r>
        <w:rPr>
          <w:rFonts w:hint="eastAsia" w:ascii="仿宋" w:hAnsi="仿宋" w:cs="仿宋"/>
          <w:szCs w:val="21"/>
        </w:rPr>
        <w:t>7.本项目落实的政府采购政策：</w:t>
      </w:r>
    </w:p>
    <w:p>
      <w:pPr>
        <w:adjustRightInd w:val="0"/>
        <w:snapToGrid w:val="0"/>
        <w:spacing w:line="360" w:lineRule="auto"/>
        <w:rPr>
          <w:rFonts w:ascii="仿宋" w:hAnsi="仿宋" w:cs="仿宋"/>
          <w:szCs w:val="21"/>
        </w:rPr>
      </w:pPr>
      <w:r>
        <w:rPr>
          <w:rFonts w:hint="eastAsia" w:ascii="仿宋" w:hAnsi="仿宋" w:cs="仿宋"/>
          <w:szCs w:val="21"/>
        </w:rPr>
        <w:t>1）政府采购促进中小企业发展；</w:t>
      </w:r>
    </w:p>
    <w:p>
      <w:pPr>
        <w:adjustRightInd w:val="0"/>
        <w:snapToGrid w:val="0"/>
        <w:spacing w:line="360" w:lineRule="auto"/>
        <w:rPr>
          <w:rFonts w:ascii="仿宋" w:hAnsi="仿宋" w:cs="仿宋"/>
          <w:szCs w:val="21"/>
        </w:rPr>
      </w:pPr>
      <w:r>
        <w:rPr>
          <w:rFonts w:hint="eastAsia" w:ascii="仿宋" w:hAnsi="仿宋" w:cs="仿宋"/>
          <w:szCs w:val="21"/>
        </w:rPr>
        <w:t>2）政府采购促进残疾人就业政策；</w:t>
      </w:r>
    </w:p>
    <w:p>
      <w:pPr>
        <w:adjustRightInd w:val="0"/>
        <w:snapToGrid w:val="0"/>
        <w:spacing w:line="360" w:lineRule="auto"/>
        <w:rPr>
          <w:rFonts w:ascii="仿宋" w:hAnsi="仿宋" w:cs="仿宋"/>
          <w:szCs w:val="21"/>
        </w:rPr>
      </w:pPr>
      <w:r>
        <w:rPr>
          <w:rFonts w:hint="eastAsia" w:ascii="仿宋" w:hAnsi="仿宋" w:cs="仿宋"/>
          <w:szCs w:val="21"/>
        </w:rPr>
        <w:t>3）扶持不发达地区和少数民族地区政策。</w:t>
      </w:r>
    </w:p>
    <w:p>
      <w:pPr>
        <w:adjustRightInd w:val="0"/>
        <w:snapToGrid w:val="0"/>
        <w:spacing w:line="360" w:lineRule="auto"/>
        <w:rPr>
          <w:rFonts w:ascii="仿宋" w:hAnsi="仿宋" w:cs="仿宋"/>
          <w:szCs w:val="21"/>
        </w:rPr>
      </w:pPr>
      <w:r>
        <w:rPr>
          <w:rFonts w:hint="eastAsia" w:ascii="仿宋" w:hAnsi="仿宋" w:cs="仿宋"/>
          <w:szCs w:val="21"/>
        </w:rPr>
        <w:t>8.供应商认为采购文件使自己的权益受到损害的，可以在知道或者应知道其权益受到损害之日起五个工作日内，以书面形式向征集人、采购代理机构提出质疑。质疑供应商对征集人、采购代理机构答复不满意或者征集人、采购代理机构未在规定的时间内作出答复的，可以在答复期满后十五个工作日内向同级政府采购监督管理部门投诉。</w:t>
      </w:r>
    </w:p>
    <w:p>
      <w:pPr>
        <w:adjustRightInd w:val="0"/>
        <w:snapToGrid w:val="0"/>
        <w:spacing w:line="360" w:lineRule="auto"/>
        <w:rPr>
          <w:rFonts w:ascii="仿宋" w:hAnsi="仿宋" w:cs="仿宋"/>
          <w:szCs w:val="21"/>
        </w:rPr>
      </w:pPr>
      <w:r>
        <w:rPr>
          <w:rFonts w:hint="eastAsia" w:ascii="仿宋" w:hAnsi="仿宋" w:cs="仿宋"/>
          <w:szCs w:val="21"/>
        </w:rPr>
        <w:t>9.其他内容详见采购文件。</w:t>
      </w:r>
    </w:p>
    <w:p>
      <w:pPr>
        <w:adjustRightInd w:val="0"/>
        <w:snapToGrid w:val="0"/>
        <w:spacing w:line="360" w:lineRule="auto"/>
        <w:rPr>
          <w:rFonts w:ascii="仿宋" w:hAnsi="仿宋" w:cs="仿宋"/>
          <w:b/>
          <w:bCs/>
          <w:szCs w:val="21"/>
        </w:rPr>
      </w:pPr>
      <w:r>
        <w:rPr>
          <w:rFonts w:hint="eastAsia" w:ascii="仿宋" w:hAnsi="仿宋" w:cs="仿宋"/>
          <w:b/>
          <w:bCs/>
          <w:szCs w:val="21"/>
        </w:rPr>
        <w:t>八、对本次招标提出询问，请按以下方式联系。</w:t>
      </w:r>
    </w:p>
    <w:p>
      <w:pPr>
        <w:adjustRightInd w:val="0"/>
        <w:snapToGrid w:val="0"/>
        <w:spacing w:line="360" w:lineRule="auto"/>
        <w:rPr>
          <w:rFonts w:ascii="仿宋" w:hAnsi="仿宋" w:cs="仿宋"/>
          <w:szCs w:val="21"/>
        </w:rPr>
      </w:pPr>
      <w:r>
        <w:rPr>
          <w:rFonts w:hint="eastAsia" w:ascii="仿宋" w:hAnsi="仿宋" w:cs="仿宋"/>
          <w:szCs w:val="21"/>
        </w:rPr>
        <w:t>1.采购人信息</w:t>
      </w:r>
    </w:p>
    <w:p>
      <w:pPr>
        <w:adjustRightInd w:val="0"/>
        <w:snapToGrid w:val="0"/>
        <w:spacing w:line="360" w:lineRule="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名</w:t>
      </w: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kern w:val="0"/>
          <w:szCs w:val="21"/>
        </w:rPr>
        <w:t>称：</w:t>
      </w:r>
      <w:r>
        <w:rPr>
          <w:rFonts w:hint="eastAsia" w:ascii="仿宋_GB2312" w:hAnsi="仿宋_GB2312" w:eastAsia="仿宋_GB2312" w:cs="仿宋_GB2312"/>
          <w:kern w:val="0"/>
          <w:szCs w:val="21"/>
          <w:lang w:val="en-US" w:eastAsia="zh-CN"/>
        </w:rPr>
        <w:t>奎屯市公安局</w:t>
      </w:r>
    </w:p>
    <w:p>
      <w:pPr>
        <w:adjustRightInd w:val="0"/>
        <w:snapToGrid w:val="0"/>
        <w:spacing w:line="360" w:lineRule="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地</w:t>
      </w: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kern w:val="0"/>
          <w:szCs w:val="21"/>
        </w:rPr>
        <w:t>址： 奎屯市喀什西路35号</w:t>
      </w:r>
    </w:p>
    <w:p>
      <w:pPr>
        <w:adjustRightInd w:val="0"/>
        <w:snapToGrid w:val="0"/>
        <w:spacing w:line="360" w:lineRule="auto"/>
        <w:rPr>
          <w:rFonts w:ascii="仿宋" w:hAnsi="仿宋" w:cs="仿宋"/>
          <w:szCs w:val="21"/>
        </w:rPr>
      </w:pPr>
      <w:r>
        <w:rPr>
          <w:rFonts w:hint="eastAsia" w:ascii="仿宋_GB2312" w:hAnsi="仿宋_GB2312" w:eastAsia="仿宋_GB2312" w:cs="仿宋_GB2312"/>
          <w:kern w:val="0"/>
          <w:szCs w:val="21"/>
        </w:rPr>
        <w:t>联系方式：18160481325</w:t>
      </w:r>
      <w:r>
        <w:rPr>
          <w:rFonts w:hint="eastAsia" w:ascii="仿宋" w:hAnsi="仿宋" w:cs="仿宋"/>
          <w:szCs w:val="21"/>
        </w:rPr>
        <w:t>　　</w:t>
      </w:r>
    </w:p>
    <w:p>
      <w:pPr>
        <w:adjustRightInd w:val="0"/>
        <w:snapToGrid w:val="0"/>
        <w:spacing w:line="360" w:lineRule="auto"/>
        <w:rPr>
          <w:rFonts w:ascii="仿宋" w:hAnsi="仿宋" w:cs="仿宋"/>
          <w:szCs w:val="21"/>
        </w:rPr>
      </w:pPr>
      <w:r>
        <w:rPr>
          <w:rFonts w:hint="eastAsia" w:ascii="仿宋" w:hAnsi="仿宋" w:cs="仿宋"/>
          <w:szCs w:val="21"/>
        </w:rPr>
        <w:t>2.采购代理机构信息</w:t>
      </w:r>
    </w:p>
    <w:p>
      <w:pPr>
        <w:adjustRightInd w:val="0"/>
        <w:snapToGrid w:val="0"/>
        <w:spacing w:line="360" w:lineRule="auto"/>
        <w:rPr>
          <w:rFonts w:ascii="仿宋" w:hAnsi="仿宋" w:cs="仿宋"/>
          <w:szCs w:val="21"/>
        </w:rPr>
      </w:pPr>
      <w:r>
        <w:rPr>
          <w:rFonts w:hint="eastAsia" w:ascii="仿宋" w:hAnsi="仿宋" w:cs="仿宋"/>
          <w:szCs w:val="21"/>
        </w:rPr>
        <w:t>名 称：奎屯市政务服务中心 </w:t>
      </w:r>
    </w:p>
    <w:p>
      <w:pPr>
        <w:adjustRightInd w:val="0"/>
        <w:snapToGrid w:val="0"/>
        <w:spacing w:line="360" w:lineRule="auto"/>
        <w:rPr>
          <w:rFonts w:ascii="仿宋" w:hAnsi="仿宋" w:cs="仿宋"/>
          <w:szCs w:val="21"/>
        </w:rPr>
      </w:pPr>
      <w:r>
        <w:rPr>
          <w:rFonts w:hint="eastAsia" w:ascii="仿宋" w:hAnsi="仿宋" w:cs="仿宋"/>
          <w:szCs w:val="21"/>
        </w:rPr>
        <w:t>地</w:t>
      </w:r>
      <w:r>
        <w:rPr>
          <w:rFonts w:hint="eastAsia" w:ascii="仿宋" w:hAnsi="仿宋" w:cs="仿宋"/>
          <w:szCs w:val="21"/>
          <w:lang w:val="en-US" w:eastAsia="zh-CN"/>
        </w:rPr>
        <w:t xml:space="preserve"> </w:t>
      </w:r>
      <w:r>
        <w:rPr>
          <w:rFonts w:hint="eastAsia" w:ascii="仿宋" w:hAnsi="仿宋" w:cs="仿宋"/>
          <w:szCs w:val="21"/>
        </w:rPr>
        <w:t>址：奎屯市北京西路20号  </w:t>
      </w:r>
    </w:p>
    <w:p>
      <w:pPr>
        <w:adjustRightInd w:val="0"/>
        <w:snapToGrid w:val="0"/>
        <w:spacing w:line="360" w:lineRule="auto"/>
        <w:rPr>
          <w:rFonts w:ascii="仿宋" w:hAnsi="仿宋" w:cs="仿宋"/>
          <w:szCs w:val="21"/>
        </w:rPr>
      </w:pPr>
      <w:r>
        <w:rPr>
          <w:rFonts w:hint="eastAsia" w:ascii="仿宋" w:hAnsi="仿宋" w:cs="仿宋"/>
          <w:szCs w:val="21"/>
        </w:rPr>
        <w:t xml:space="preserve">联系方式：0992-3279228      </w:t>
      </w:r>
    </w:p>
    <w:p>
      <w:pPr>
        <w:pStyle w:val="3"/>
        <w:snapToGrid w:val="0"/>
        <w:spacing w:before="312" w:beforeLines="100" w:after="312" w:afterLines="100" w:line="360" w:lineRule="auto"/>
        <w:rPr>
          <w:rFonts w:ascii="仿宋_GB2312" w:hAnsi="仿宋_GB2312" w:eastAsia="仿宋_GB2312" w:cs="仿宋_GB2312"/>
        </w:rPr>
      </w:pPr>
      <w:bookmarkStart w:id="3" w:name="_Toc26518_WPSOffice_Level1"/>
      <w:bookmarkStart w:id="4" w:name="_Toc27235"/>
      <w:bookmarkStart w:id="5" w:name="_Toc17894"/>
      <w:r>
        <w:rPr>
          <w:rFonts w:hint="eastAsia" w:ascii="仿宋_GB2312" w:hAnsi="仿宋_GB2312" w:eastAsia="仿宋_GB2312" w:cs="仿宋_GB2312"/>
        </w:rPr>
        <w:br w:type="page"/>
      </w:r>
      <w:r>
        <w:rPr>
          <w:rFonts w:hint="eastAsia" w:ascii="仿宋_GB2312" w:hAnsi="仿宋_GB2312" w:eastAsia="仿宋_GB2312" w:cs="仿宋_GB2312"/>
        </w:rPr>
        <w:t>第一章 投标人须知</w:t>
      </w:r>
      <w:bookmarkEnd w:id="3"/>
      <w:bookmarkEnd w:id="4"/>
      <w:bookmarkEnd w:id="5"/>
    </w:p>
    <w:p>
      <w:pPr>
        <w:pStyle w:val="4"/>
        <w:adjustRightInd w:val="0"/>
        <w:snapToGrid w:val="0"/>
        <w:spacing w:before="0" w:after="0" w:line="360" w:lineRule="auto"/>
        <w:rPr>
          <w:rFonts w:ascii="仿宋_GB2312" w:hAnsi="仿宋_GB2312" w:eastAsia="仿宋_GB2312" w:cs="仿宋_GB2312"/>
          <w:sz w:val="32"/>
          <w:szCs w:val="36"/>
        </w:rPr>
      </w:pPr>
      <w:bookmarkStart w:id="6" w:name="_Toc18613_WPSOffice_Level2"/>
      <w:r>
        <w:rPr>
          <w:rFonts w:hint="eastAsia" w:ascii="仿宋_GB2312" w:hAnsi="仿宋_GB2312" w:eastAsia="仿宋_GB2312" w:cs="仿宋_GB2312"/>
          <w:sz w:val="32"/>
          <w:szCs w:val="36"/>
        </w:rPr>
        <w:t>一 投标人须知表</w:t>
      </w:r>
      <w:bookmarkEnd w:id="6"/>
    </w:p>
    <w:tbl>
      <w:tblPr>
        <w:tblStyle w:val="14"/>
        <w:tblW w:w="8760" w:type="dxa"/>
        <w:tblInd w:w="0" w:type="dxa"/>
        <w:tblLayout w:type="fixed"/>
        <w:tblCellMar>
          <w:top w:w="0" w:type="dxa"/>
          <w:left w:w="108" w:type="dxa"/>
          <w:bottom w:w="0" w:type="dxa"/>
          <w:right w:w="108" w:type="dxa"/>
        </w:tblCellMar>
      </w:tblPr>
      <w:tblGrid>
        <w:gridCol w:w="761"/>
        <w:gridCol w:w="1714"/>
        <w:gridCol w:w="6285"/>
      </w:tblGrid>
      <w:tr>
        <w:tblPrEx>
          <w:tblCellMar>
            <w:top w:w="0" w:type="dxa"/>
            <w:left w:w="108" w:type="dxa"/>
            <w:bottom w:w="0" w:type="dxa"/>
            <w:right w:w="108" w:type="dxa"/>
          </w:tblCellMar>
        </w:tblPrEx>
        <w:trPr>
          <w:trHeight w:val="556" w:hRule="atLeast"/>
          <w:tblHeader/>
        </w:trPr>
        <w:tc>
          <w:tcPr>
            <w:tcW w:w="761" w:type="dxa"/>
            <w:tcBorders>
              <w:top w:val="single" w:color="auto" w:sz="4" w:space="0"/>
              <w:left w:val="single" w:color="auto" w:sz="4" w:space="0"/>
              <w:bottom w:val="single" w:color="auto" w:sz="4" w:space="0"/>
              <w:right w:val="single" w:color="auto" w:sz="4" w:space="0"/>
            </w:tcBorders>
            <w:vAlign w:val="center"/>
          </w:tcPr>
          <w:p>
            <w:pPr>
              <w:widowControl/>
              <w:ind w:left="-69" w:leftChars="-33" w:right="-69" w:rightChars="-33"/>
              <w:jc w:val="center"/>
              <w:rPr>
                <w:rFonts w:ascii="仿宋_GB2312" w:hAnsi="仿宋_GB2312" w:eastAsia="仿宋_GB2312" w:cs="仿宋_GB2312"/>
                <w:kern w:val="0"/>
                <w:szCs w:val="21"/>
              </w:rPr>
            </w:pPr>
            <w:bookmarkStart w:id="7" w:name="sys_招标项目基本内容及要求其他：Block"/>
            <w:bookmarkEnd w:id="7"/>
            <w:bookmarkStart w:id="8" w:name="招标项目基本内容及要求：Block"/>
            <w:bookmarkEnd w:id="8"/>
            <w:bookmarkStart w:id="9" w:name="招标项目基本内容及要求其他：Block"/>
            <w:bookmarkEnd w:id="9"/>
            <w:bookmarkStart w:id="10" w:name="sys_招标项目基本内容及要求：Block"/>
            <w:bookmarkEnd w:id="10"/>
            <w:r>
              <w:rPr>
                <w:rFonts w:hint="eastAsia" w:ascii="仿宋_GB2312" w:hAnsi="仿宋_GB2312" w:eastAsia="仿宋_GB2312" w:cs="仿宋_GB2312"/>
                <w:kern w:val="0"/>
                <w:szCs w:val="21"/>
              </w:rPr>
              <w:t>条款号</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项   目</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     容</w:t>
            </w:r>
          </w:p>
        </w:tc>
      </w:tr>
      <w:tr>
        <w:tblPrEx>
          <w:tblCellMar>
            <w:top w:w="0" w:type="dxa"/>
            <w:left w:w="108" w:type="dxa"/>
            <w:bottom w:w="0" w:type="dxa"/>
            <w:right w:w="108" w:type="dxa"/>
          </w:tblCellMar>
        </w:tblPrEx>
        <w:trPr>
          <w:trHeight w:val="1254"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采购人</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名  称：</w:t>
            </w:r>
            <w:r>
              <w:rPr>
                <w:rFonts w:hint="eastAsia" w:ascii="仿宋_GB2312" w:hAnsi="仿宋_GB2312" w:eastAsia="仿宋_GB2312" w:cs="仿宋_GB2312"/>
                <w:kern w:val="0"/>
                <w:szCs w:val="21"/>
                <w:u w:val="single"/>
              </w:rPr>
              <w:t xml:space="preserve">  奎屯市</w:t>
            </w:r>
            <w:r>
              <w:rPr>
                <w:rFonts w:hint="eastAsia" w:ascii="仿宋_GB2312" w:hAnsi="仿宋_GB2312" w:eastAsia="仿宋_GB2312" w:cs="仿宋_GB2312"/>
                <w:kern w:val="0"/>
                <w:szCs w:val="21"/>
                <w:u w:val="single"/>
                <w:lang w:eastAsia="zh-CN"/>
              </w:rPr>
              <w:t>公安局</w:t>
            </w:r>
            <w:r>
              <w:rPr>
                <w:rFonts w:hint="eastAsia" w:ascii="仿宋_GB2312" w:hAnsi="仿宋_GB2312" w:eastAsia="仿宋_GB2312" w:cs="仿宋_GB2312"/>
                <w:kern w:val="0"/>
                <w:szCs w:val="21"/>
                <w:u w:val="single"/>
              </w:rPr>
              <w:t xml:space="preserve">  </w:t>
            </w:r>
          </w:p>
          <w:p>
            <w:pPr>
              <w:widowControl/>
              <w:jc w:val="left"/>
              <w:rPr>
                <w:rFonts w:hint="eastAsia" w:ascii="仿宋_GB2312" w:hAnsi="仿宋_GB2312" w:eastAsia="仿宋_GB2312" w:cs="仿宋_GB2312"/>
                <w:kern w:val="0"/>
                <w:szCs w:val="21"/>
                <w:u w:val="single"/>
                <w:lang w:val="en-US" w:eastAsia="zh-CN"/>
              </w:rPr>
            </w:pPr>
            <w:r>
              <w:rPr>
                <w:rFonts w:hint="eastAsia" w:ascii="仿宋_GB2312" w:hAnsi="仿宋_GB2312" w:eastAsia="仿宋_GB2312" w:cs="仿宋_GB2312"/>
                <w:kern w:val="0"/>
                <w:szCs w:val="21"/>
              </w:rPr>
              <w:t>地  址：</w:t>
            </w:r>
            <w:r>
              <w:rPr>
                <w:rFonts w:hint="eastAsia" w:ascii="仿宋_GB2312" w:hAnsi="仿宋_GB2312" w:eastAsia="仿宋_GB2312" w:cs="仿宋_GB2312"/>
                <w:kern w:val="0"/>
                <w:szCs w:val="21"/>
                <w:u w:val="single"/>
                <w:lang w:eastAsia="zh-CN"/>
              </w:rPr>
              <w:t>奎屯市喀什西路</w:t>
            </w:r>
            <w:r>
              <w:rPr>
                <w:rFonts w:hint="eastAsia" w:ascii="仿宋_GB2312" w:hAnsi="仿宋_GB2312" w:eastAsia="仿宋_GB2312" w:cs="仿宋_GB2312"/>
                <w:kern w:val="0"/>
                <w:szCs w:val="21"/>
                <w:u w:val="single"/>
                <w:lang w:val="en-US" w:eastAsia="zh-CN"/>
              </w:rPr>
              <w:t>35号</w:t>
            </w:r>
          </w:p>
          <w:p>
            <w:pPr>
              <w:widowControl/>
              <w:jc w:val="left"/>
              <w:rPr>
                <w:rFonts w:hint="eastAsia" w:ascii="仿宋_GB2312" w:hAnsi="仿宋_GB2312" w:eastAsia="仿宋_GB2312" w:cs="仿宋_GB2312"/>
                <w:kern w:val="0"/>
                <w:szCs w:val="21"/>
                <w:u w:val="single"/>
                <w:lang w:eastAsia="zh-CN"/>
              </w:rPr>
            </w:pPr>
            <w:r>
              <w:rPr>
                <w:rFonts w:hint="eastAsia" w:ascii="仿宋_GB2312" w:hAnsi="仿宋_GB2312" w:eastAsia="仿宋_GB2312" w:cs="仿宋_GB2312"/>
                <w:kern w:val="0"/>
                <w:szCs w:val="21"/>
              </w:rPr>
              <w:t>联系人：</w:t>
            </w:r>
            <w:r>
              <w:rPr>
                <w:rFonts w:hint="eastAsia" w:ascii="仿宋_GB2312" w:hAnsi="仿宋_GB2312" w:eastAsia="仿宋_GB2312" w:cs="仿宋_GB2312"/>
                <w:kern w:val="0"/>
                <w:szCs w:val="21"/>
                <w:u w:val="single"/>
                <w:lang w:eastAsia="zh-CN"/>
              </w:rPr>
              <w:t>王栋</w:t>
            </w:r>
          </w:p>
          <w:p>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电  话：</w:t>
            </w:r>
            <w:r>
              <w:rPr>
                <w:rFonts w:hint="eastAsia" w:ascii="仿宋_GB2312" w:hAnsi="仿宋_GB2312" w:eastAsia="仿宋_GB2312" w:cs="仿宋_GB2312"/>
                <w:kern w:val="0"/>
                <w:szCs w:val="21"/>
                <w:u w:val="single"/>
                <w:lang w:val="en-US" w:eastAsia="zh-CN"/>
              </w:rPr>
              <w:t>18160481325</w:t>
            </w:r>
          </w:p>
        </w:tc>
      </w:tr>
      <w:tr>
        <w:tblPrEx>
          <w:tblCellMar>
            <w:top w:w="0" w:type="dxa"/>
            <w:left w:w="108" w:type="dxa"/>
            <w:bottom w:w="0" w:type="dxa"/>
            <w:right w:w="108" w:type="dxa"/>
          </w:tblCellMar>
        </w:tblPrEx>
        <w:trPr>
          <w:trHeight w:val="1254"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采购代理机构</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名</w:t>
            </w:r>
            <w:r>
              <w:rPr>
                <w:rFonts w:ascii="仿宋_GB2312" w:hAnsi="仿宋_GB2312" w:eastAsia="仿宋_GB2312" w:cs="仿宋_GB2312"/>
                <w:kern w:val="0"/>
                <w:szCs w:val="21"/>
              </w:rPr>
              <w:t xml:space="preserve"> </w:t>
            </w:r>
            <w:r>
              <w:rPr>
                <w:rFonts w:hint="eastAsia" w:ascii="仿宋_GB2312" w:hAnsi="仿宋_GB2312" w:eastAsia="仿宋_GB2312" w:cs="仿宋_GB2312"/>
                <w:kern w:val="0"/>
                <w:szCs w:val="21"/>
              </w:rPr>
              <w:t>称：奎屯市政务服务中心</w:t>
            </w:r>
            <w:r>
              <w:rPr>
                <w:rFonts w:ascii="仿宋_GB2312" w:hAnsi="仿宋_GB2312" w:eastAsia="仿宋_GB2312" w:cs="仿宋_GB2312"/>
                <w:kern w:val="0"/>
                <w:szCs w:val="21"/>
              </w:rPr>
              <w:t> </w:t>
            </w:r>
          </w:p>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地</w:t>
            </w:r>
            <w:r>
              <w:rPr>
                <w:rFonts w:ascii="仿宋_GB2312" w:hAnsi="仿宋_GB2312" w:eastAsia="仿宋_GB2312" w:cs="仿宋_GB2312"/>
                <w:kern w:val="0"/>
                <w:szCs w:val="21"/>
              </w:rPr>
              <w:t> </w:t>
            </w:r>
            <w:r>
              <w:rPr>
                <w:rFonts w:hint="eastAsia" w:ascii="仿宋_GB2312" w:hAnsi="仿宋_GB2312" w:eastAsia="仿宋_GB2312" w:cs="仿宋_GB2312"/>
                <w:kern w:val="0"/>
                <w:szCs w:val="21"/>
              </w:rPr>
              <w:t>址：奎屯市北京西路</w:t>
            </w: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号</w:t>
            </w:r>
            <w:r>
              <w:rPr>
                <w:rFonts w:ascii="仿宋_GB2312" w:hAnsi="仿宋_GB2312" w:eastAsia="仿宋_GB2312" w:cs="仿宋_GB2312"/>
                <w:kern w:val="0"/>
                <w:szCs w:val="21"/>
              </w:rPr>
              <w:t>  </w:t>
            </w:r>
          </w:p>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联系方式：0992-3279228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1.3.4</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合格供应商还要满足的其它资格条件</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1.3.5</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是否为专门面向</w:t>
            </w:r>
            <w:r>
              <w:rPr>
                <w:rFonts w:hint="eastAsia" w:ascii="仿宋_GB2312" w:hAnsi="仿宋_GB2312" w:eastAsia="仿宋_GB2312" w:cs="仿宋_GB2312"/>
                <w:szCs w:val="21"/>
              </w:rPr>
              <w:t>中小企业</w:t>
            </w:r>
            <w:r>
              <w:rPr>
                <w:rFonts w:hint="eastAsia" w:ascii="仿宋_GB2312" w:hAnsi="仿宋_GB2312" w:eastAsia="仿宋_GB2312" w:cs="仿宋_GB2312"/>
                <w:kern w:val="0"/>
                <w:szCs w:val="21"/>
              </w:rPr>
              <w:t>采购</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是</w:t>
            </w:r>
          </w:p>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否</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1.3.6</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kern w:val="0"/>
                <w:szCs w:val="21"/>
              </w:rPr>
            </w:pPr>
            <w:r>
              <w:rPr>
                <w:rFonts w:hint="eastAsia" w:ascii="仿宋_GB2312" w:hAnsi="仿宋_GB2312" w:eastAsia="仿宋_GB2312" w:cs="仿宋_GB2312"/>
                <w:szCs w:val="21"/>
              </w:rPr>
              <w:t>是否有政府强制采购的节能产品</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有，具体产品为</w:t>
            </w:r>
            <w:r>
              <w:rPr>
                <w:rFonts w:hint="eastAsia" w:ascii="仿宋_GB2312" w:hAnsi="仿宋_GB2312" w:eastAsia="仿宋_GB2312" w:cs="仿宋_GB2312"/>
                <w:bCs/>
                <w:kern w:val="0"/>
                <w:szCs w:val="21"/>
                <w:u w:val="single"/>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没有</w:t>
            </w:r>
          </w:p>
        </w:tc>
      </w:tr>
      <w:tr>
        <w:tblPrEx>
          <w:tblCellMar>
            <w:top w:w="0" w:type="dxa"/>
            <w:left w:w="108" w:type="dxa"/>
            <w:bottom w:w="0" w:type="dxa"/>
            <w:right w:w="108" w:type="dxa"/>
          </w:tblCellMar>
        </w:tblPrEx>
        <w:trPr>
          <w:trHeight w:val="321"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
                <w:kern w:val="0"/>
                <w:szCs w:val="21"/>
              </w:rPr>
            </w:pPr>
            <w:r>
              <w:rPr>
                <w:rFonts w:hint="eastAsia" w:ascii="仿宋_GB2312" w:hAnsi="仿宋_GB2312" w:eastAsia="仿宋_GB2312" w:cs="仿宋_GB2312"/>
                <w:bCs/>
                <w:kern w:val="0"/>
                <w:szCs w:val="21"/>
              </w:rPr>
              <w:t>是否允许联合体投标</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是</w:t>
            </w:r>
          </w:p>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否</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1.4.8</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联合体投标的其他资格要求</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p>
        </w:tc>
      </w:tr>
      <w:tr>
        <w:tblPrEx>
          <w:tblCellMar>
            <w:top w:w="0" w:type="dxa"/>
            <w:left w:w="108" w:type="dxa"/>
            <w:bottom w:w="0" w:type="dxa"/>
            <w:right w:w="108" w:type="dxa"/>
          </w:tblCellMar>
        </w:tblPrEx>
        <w:trPr>
          <w:trHeight w:val="943" w:hRule="atLeast"/>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项目预算金额、最高限价</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预算金额：</w:t>
            </w:r>
            <w:r>
              <w:rPr>
                <w:rFonts w:hint="eastAsia"/>
                <w:u w:val="single"/>
                <w:lang w:val="en-US" w:eastAsia="zh-CN"/>
              </w:rPr>
              <w:t>2724000</w:t>
            </w:r>
            <w:r>
              <w:rPr>
                <w:rFonts w:hint="eastAsia" w:ascii="仿宋_GB2312" w:hAnsi="仿宋_GB2312" w:eastAsia="仿宋_GB2312" w:cs="仿宋_GB2312"/>
                <w:bCs/>
                <w:kern w:val="0"/>
                <w:szCs w:val="21"/>
              </w:rPr>
              <w:t>元；</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最高限价：</w:t>
            </w:r>
            <w:r>
              <w:rPr>
                <w:rFonts w:hint="eastAsia"/>
                <w:u w:val="single"/>
                <w:lang w:val="en-US" w:eastAsia="zh-CN"/>
              </w:rPr>
              <w:t>2724000</w:t>
            </w:r>
            <w:r>
              <w:rPr>
                <w:rFonts w:hint="eastAsia" w:ascii="仿宋_GB2312" w:hAnsi="仿宋_GB2312" w:eastAsia="仿宋_GB2312" w:cs="仿宋_GB2312"/>
                <w:bCs/>
                <w:kern w:val="0"/>
                <w:szCs w:val="21"/>
              </w:rPr>
              <w:t>元；</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计量单位</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sym w:font="Wingdings 2" w:char="0052"/>
            </w:r>
            <w:r>
              <w:rPr>
                <w:rFonts w:hint="eastAsia" w:ascii="仿宋_GB2312" w:hAnsi="仿宋_GB2312" w:eastAsia="仿宋_GB2312" w:cs="仿宋_GB2312"/>
                <w:bCs/>
                <w:kern w:val="0"/>
                <w:szCs w:val="21"/>
              </w:rPr>
              <w:t>中华人民共和国法定计量单位</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sym w:font="Wingdings 2" w:char="00A3"/>
            </w:r>
            <w:r>
              <w:rPr>
                <w:rFonts w:hint="eastAsia" w:ascii="仿宋_GB2312" w:hAnsi="仿宋_GB2312" w:eastAsia="仿宋_GB2312" w:cs="仿宋_GB2312"/>
                <w:bCs/>
                <w:kern w:val="0"/>
                <w:szCs w:val="21"/>
              </w:rPr>
              <w:t>其他：</w:t>
            </w:r>
            <w:r>
              <w:rPr>
                <w:rFonts w:hint="eastAsia" w:ascii="仿宋_GB2312" w:hAnsi="仿宋_GB2312" w:eastAsia="仿宋_GB2312" w:cs="仿宋_GB2312"/>
                <w:bCs/>
                <w:kern w:val="0"/>
                <w:szCs w:val="21"/>
                <w:u w:val="single"/>
              </w:rPr>
              <w:t xml:space="preserve">             </w:t>
            </w:r>
          </w:p>
        </w:tc>
      </w:tr>
      <w:tr>
        <w:tblPrEx>
          <w:tblCellMar>
            <w:top w:w="0" w:type="dxa"/>
            <w:left w:w="108" w:type="dxa"/>
            <w:bottom w:w="0" w:type="dxa"/>
            <w:right w:w="108" w:type="dxa"/>
          </w:tblCellMar>
        </w:tblPrEx>
        <w:trPr>
          <w:trHeight w:val="1875"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kern w:val="0"/>
                <w:szCs w:val="21"/>
              </w:rPr>
              <w:t>现场考察、开标前答疑会</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不组织</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组织，时  间：</w:t>
            </w:r>
            <w:r>
              <w:rPr>
                <w:rFonts w:hint="eastAsia" w:ascii="仿宋_GB2312" w:hAnsi="仿宋_GB2312" w:eastAsia="仿宋_GB2312" w:cs="仿宋_GB2312"/>
                <w:bCs/>
                <w:kern w:val="0"/>
                <w:szCs w:val="21"/>
                <w:u w:val="single"/>
              </w:rPr>
              <w:t xml:space="preserve">         </w:t>
            </w:r>
          </w:p>
          <w:p>
            <w:pPr>
              <w:widowControl/>
              <w:ind w:left="-105" w:leftChars="-50" w:firstLine="949" w:firstLineChars="452"/>
              <w:rPr>
                <w:rFonts w:ascii="仿宋_GB2312" w:hAnsi="仿宋_GB2312" w:eastAsia="仿宋_GB2312" w:cs="仿宋_GB2312"/>
                <w:kern w:val="0"/>
                <w:szCs w:val="21"/>
              </w:rPr>
            </w:pPr>
            <w:r>
              <w:rPr>
                <w:rFonts w:hint="eastAsia" w:ascii="仿宋_GB2312" w:hAnsi="仿宋_GB2312" w:eastAsia="仿宋_GB2312" w:cs="仿宋_GB2312"/>
                <w:kern w:val="0"/>
                <w:szCs w:val="21"/>
              </w:rPr>
              <w:t>地  点：</w:t>
            </w:r>
            <w:r>
              <w:rPr>
                <w:rFonts w:hint="eastAsia" w:ascii="仿宋_GB2312" w:hAnsi="仿宋_GB2312" w:eastAsia="仿宋_GB2312" w:cs="仿宋_GB2312"/>
                <w:bCs/>
                <w:kern w:val="0"/>
                <w:szCs w:val="21"/>
                <w:u w:val="single"/>
              </w:rPr>
              <w:t xml:space="preserve">         </w:t>
            </w:r>
          </w:p>
          <w:p>
            <w:pPr>
              <w:ind w:left="-105" w:leftChars="-50" w:firstLine="949" w:firstLineChars="452"/>
              <w:rPr>
                <w:rFonts w:ascii="仿宋_GB2312" w:hAnsi="仿宋_GB2312" w:eastAsia="仿宋_GB2312" w:cs="仿宋_GB2312"/>
                <w:kern w:val="0"/>
                <w:szCs w:val="21"/>
              </w:rPr>
            </w:pPr>
            <w:r>
              <w:rPr>
                <w:rFonts w:hint="eastAsia" w:ascii="仿宋_GB2312" w:hAnsi="仿宋_GB2312" w:eastAsia="仿宋_GB2312" w:cs="仿宋_GB2312"/>
                <w:kern w:val="0"/>
                <w:szCs w:val="21"/>
              </w:rPr>
              <w:t>联系人：</w:t>
            </w:r>
            <w:r>
              <w:rPr>
                <w:rFonts w:hint="eastAsia" w:ascii="仿宋_GB2312" w:hAnsi="仿宋_GB2312" w:eastAsia="仿宋_GB2312" w:cs="仿宋_GB2312"/>
                <w:bCs/>
                <w:kern w:val="0"/>
                <w:szCs w:val="21"/>
                <w:u w:val="single"/>
              </w:rPr>
              <w:t xml:space="preserve">         </w:t>
            </w:r>
          </w:p>
          <w:p>
            <w:pPr>
              <w:ind w:left="-105" w:leftChars="-50" w:firstLine="949" w:firstLineChars="452"/>
              <w:rPr>
                <w:rFonts w:ascii="仿宋_GB2312" w:hAnsi="仿宋_GB2312" w:eastAsia="仿宋_GB2312" w:cs="仿宋_GB2312"/>
                <w:kern w:val="0"/>
                <w:szCs w:val="21"/>
              </w:rPr>
            </w:pPr>
            <w:r>
              <w:rPr>
                <w:rFonts w:hint="eastAsia" w:ascii="仿宋_GB2312" w:hAnsi="仿宋_GB2312" w:eastAsia="仿宋_GB2312" w:cs="仿宋_GB2312"/>
                <w:kern w:val="0"/>
                <w:szCs w:val="21"/>
              </w:rPr>
              <w:t>电  话：</w:t>
            </w:r>
            <w:r>
              <w:rPr>
                <w:rFonts w:hint="eastAsia" w:ascii="仿宋_GB2312" w:hAnsi="仿宋_GB2312" w:eastAsia="仿宋_GB2312" w:cs="仿宋_GB2312"/>
                <w:bCs/>
                <w:kern w:val="0"/>
                <w:szCs w:val="21"/>
                <w:u w:val="single"/>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组织，招标文件提供期限截止后以书面形式通知。</w:t>
            </w:r>
          </w:p>
        </w:tc>
      </w:tr>
      <w:tr>
        <w:tblPrEx>
          <w:tblCellMar>
            <w:top w:w="0" w:type="dxa"/>
            <w:left w:w="108" w:type="dxa"/>
            <w:bottom w:w="0" w:type="dxa"/>
            <w:right w:w="108" w:type="dxa"/>
          </w:tblCellMar>
        </w:tblPrEx>
        <w:trPr>
          <w:trHeight w:val="6227"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样品或演示</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t>■不需要</w:t>
            </w:r>
            <w:r>
              <w:rPr>
                <w:rFonts w:hint="eastAsia" w:ascii="仿宋_GB2312" w:hAnsi="仿宋_GB2312" w:eastAsia="仿宋_GB2312" w:cs="仿宋_GB2312"/>
                <w:bCs/>
                <w:kern w:val="0"/>
                <w:szCs w:val="21"/>
              </w:rPr>
              <w:t>提供样品</w:t>
            </w:r>
          </w:p>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需要</w:t>
            </w:r>
            <w:r>
              <w:rPr>
                <w:rFonts w:hint="eastAsia" w:ascii="仿宋_GB2312" w:hAnsi="仿宋_GB2312" w:eastAsia="仿宋_GB2312" w:cs="仿宋_GB2312"/>
                <w:bCs/>
                <w:kern w:val="0"/>
                <w:szCs w:val="21"/>
              </w:rPr>
              <w:t>提供样品</w:t>
            </w:r>
          </w:p>
          <w:p>
            <w:pPr>
              <w:rPr>
                <w:rFonts w:ascii="仿宋_GB2312" w:hAnsi="仿宋_GB2312" w:eastAsia="仿宋_GB2312" w:cs="仿宋_GB2312"/>
                <w:kern w:val="0"/>
                <w:szCs w:val="21"/>
              </w:rPr>
            </w:pPr>
            <w:r>
              <w:rPr>
                <w:rFonts w:hint="eastAsia" w:ascii="仿宋_GB2312" w:hAnsi="仿宋_GB2312" w:eastAsia="仿宋_GB2312" w:cs="仿宋_GB2312"/>
                <w:bCs/>
                <w:kern w:val="0"/>
                <w:szCs w:val="21"/>
              </w:rPr>
              <w:t xml:space="preserve">  </w:t>
            </w:r>
            <w:r>
              <w:rPr>
                <w:rFonts w:hint="eastAsia" w:ascii="仿宋_GB2312" w:hAnsi="仿宋_GB2312" w:eastAsia="仿宋_GB2312" w:cs="仿宋_GB2312"/>
                <w:kern w:val="0"/>
                <w:szCs w:val="21"/>
              </w:rPr>
              <w:t>1、递交样品的截止时间：</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年</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月</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日</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时（北京时间）</w:t>
            </w:r>
          </w:p>
          <w:p>
            <w:pPr>
              <w:ind w:firstLine="525" w:firstLineChars="250"/>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递交样品地点：</w:t>
            </w:r>
            <w:r>
              <w:rPr>
                <w:rFonts w:hint="eastAsia" w:ascii="仿宋_GB2312" w:hAnsi="仿宋_GB2312" w:eastAsia="仿宋_GB2312" w:cs="仿宋_GB2312"/>
                <w:kern w:val="0"/>
                <w:szCs w:val="21"/>
                <w:u w:val="single"/>
              </w:rPr>
              <w:t xml:space="preserve">                     </w:t>
            </w:r>
          </w:p>
          <w:p>
            <w:pPr>
              <w:ind w:firstLine="525" w:firstLineChars="250"/>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递交样品联系人：</w:t>
            </w:r>
            <w:r>
              <w:rPr>
                <w:rFonts w:hint="eastAsia" w:ascii="仿宋_GB2312" w:hAnsi="仿宋_GB2312" w:eastAsia="仿宋_GB2312" w:cs="仿宋_GB2312"/>
                <w:kern w:val="0"/>
                <w:szCs w:val="21"/>
                <w:u w:val="single"/>
              </w:rPr>
              <w:t xml:space="preserve">                   </w:t>
            </w:r>
          </w:p>
          <w:p>
            <w:pPr>
              <w:ind w:firstLine="525" w:firstLineChars="250"/>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递交样品联系电话：</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2、样品制作的标准和要求：</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3、随样品提交相关检测报告要求：</w:t>
            </w:r>
            <w:r>
              <w:rPr>
                <w:rFonts w:hint="eastAsia" w:ascii="仿宋_GB2312" w:hAnsi="仿宋_GB2312" w:eastAsia="仿宋_GB2312" w:cs="仿宋_GB2312"/>
                <w:kern w:val="0"/>
                <w:szCs w:val="21"/>
                <w:u w:val="single"/>
              </w:rPr>
              <w:t xml:space="preserve">       </w:t>
            </w:r>
          </w:p>
          <w:p>
            <w:pPr>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（包含是否要求提供、检测机构要求、检测内容等）</w:t>
            </w:r>
          </w:p>
          <w:p>
            <w:pPr>
              <w:numPr>
                <w:ilvl w:val="0"/>
                <w:numId w:val="2"/>
              </w:numPr>
              <w:rPr>
                <w:rFonts w:ascii="仿宋_GB2312" w:hAnsi="仿宋_GB2312" w:eastAsia="仿宋_GB2312" w:cs="仿宋_GB2312"/>
                <w:kern w:val="0"/>
                <w:szCs w:val="21"/>
              </w:rPr>
            </w:pPr>
            <w:r>
              <w:rPr>
                <w:rFonts w:hint="eastAsia" w:ascii="仿宋_GB2312" w:hAnsi="仿宋_GB2312" w:eastAsia="仿宋_GB2312" w:cs="仿宋_GB2312"/>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pPr>
              <w:ind w:left="210"/>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不</w:t>
            </w:r>
            <w:r>
              <w:rPr>
                <w:rFonts w:hint="eastAsia" w:ascii="仿宋_GB2312" w:hAnsi="仿宋_GB2312" w:eastAsia="仿宋_GB2312" w:cs="仿宋_GB2312"/>
                <w:bCs/>
                <w:kern w:val="0"/>
                <w:szCs w:val="21"/>
              </w:rPr>
              <w:t>需要提供演示</w:t>
            </w:r>
          </w:p>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需要</w:t>
            </w:r>
            <w:r>
              <w:rPr>
                <w:rFonts w:hint="eastAsia" w:ascii="仿宋_GB2312" w:hAnsi="仿宋_GB2312" w:eastAsia="仿宋_GB2312" w:cs="仿宋_GB2312"/>
                <w:bCs/>
                <w:kern w:val="0"/>
                <w:szCs w:val="21"/>
              </w:rPr>
              <w:t>提供演示</w:t>
            </w:r>
          </w:p>
          <w:p>
            <w:pPr>
              <w:rPr>
                <w:rFonts w:ascii="仿宋_GB2312" w:hAnsi="仿宋_GB2312" w:eastAsia="仿宋_GB2312" w:cs="仿宋_GB2312"/>
                <w:kern w:val="0"/>
                <w:szCs w:val="21"/>
              </w:rPr>
            </w:pPr>
            <w:r>
              <w:rPr>
                <w:rFonts w:hint="eastAsia" w:ascii="仿宋_GB2312" w:hAnsi="仿宋_GB2312" w:eastAsia="仿宋_GB2312" w:cs="仿宋_GB2312"/>
                <w:bCs/>
                <w:kern w:val="0"/>
                <w:szCs w:val="21"/>
              </w:rPr>
              <w:t xml:space="preserve">  </w:t>
            </w:r>
            <w:r>
              <w:rPr>
                <w:rFonts w:hint="eastAsia" w:ascii="仿宋_GB2312" w:hAnsi="仿宋_GB2312" w:eastAsia="仿宋_GB2312" w:cs="仿宋_GB2312"/>
                <w:kern w:val="0"/>
                <w:szCs w:val="21"/>
              </w:rPr>
              <w:t>1、演示时间：</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演示地点：</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演示顺序：</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2、演示要求：</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（内容、设备等要求）</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投标报价货币要求</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所有投标均按</w:t>
            </w:r>
            <w:r>
              <w:rPr>
                <w:rFonts w:hint="eastAsia" w:ascii="仿宋_GB2312" w:hAnsi="仿宋_GB2312" w:eastAsia="仿宋_GB2312" w:cs="仿宋_GB2312"/>
                <w:kern w:val="0"/>
                <w:szCs w:val="21"/>
                <w:u w:val="single"/>
              </w:rPr>
              <w:t xml:space="preserve">   人民币   </w:t>
            </w:r>
            <w:r>
              <w:rPr>
                <w:rFonts w:hint="eastAsia" w:ascii="仿宋_GB2312" w:hAnsi="仿宋_GB2312" w:eastAsia="仿宋_GB2312" w:cs="仿宋_GB2312"/>
                <w:kern w:val="0"/>
                <w:szCs w:val="21"/>
              </w:rPr>
              <w:t>货币进行报价。</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其它：</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627"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13.1</w:t>
            </w:r>
          </w:p>
        </w:tc>
        <w:tc>
          <w:tcPr>
            <w:tcW w:w="1714"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投标保证金</w:t>
            </w:r>
          </w:p>
        </w:tc>
        <w:tc>
          <w:tcPr>
            <w:tcW w:w="6285" w:type="dxa"/>
            <w:tcBorders>
              <w:top w:val="single" w:color="auto" w:sz="4" w:space="0"/>
              <w:left w:val="nil"/>
              <w:bottom w:val="single" w:color="auto" w:sz="8" w:space="0"/>
              <w:right w:val="single" w:color="auto" w:sz="8" w:space="0"/>
            </w:tcBorders>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本项目不收取投标保证金</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15.1</w:t>
            </w:r>
          </w:p>
        </w:tc>
        <w:tc>
          <w:tcPr>
            <w:tcW w:w="1714"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投标有效期</w:t>
            </w:r>
          </w:p>
        </w:tc>
        <w:tc>
          <w:tcPr>
            <w:tcW w:w="6285" w:type="dxa"/>
            <w:tcBorders>
              <w:top w:val="single" w:color="auto" w:sz="4" w:space="0"/>
              <w:left w:val="nil"/>
              <w:bottom w:val="single" w:color="auto" w:sz="8" w:space="0"/>
              <w:right w:val="single" w:color="auto" w:sz="8" w:space="0"/>
            </w:tcBorders>
            <w:vAlign w:val="center"/>
          </w:tcPr>
          <w:p>
            <w:pPr>
              <w:pStyle w:val="6"/>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 xml:space="preserve">  90  </w:t>
            </w:r>
            <w:r>
              <w:rPr>
                <w:rFonts w:hint="eastAsia" w:ascii="仿宋_GB2312" w:hAnsi="仿宋_GB2312" w:eastAsia="仿宋_GB2312" w:cs="仿宋_GB2312"/>
                <w:kern w:val="0"/>
                <w:szCs w:val="21"/>
              </w:rPr>
              <w:t>日历日</w:t>
            </w:r>
          </w:p>
        </w:tc>
      </w:tr>
      <w:tr>
        <w:tblPrEx>
          <w:tblCellMar>
            <w:top w:w="0" w:type="dxa"/>
            <w:left w:w="108" w:type="dxa"/>
            <w:bottom w:w="0" w:type="dxa"/>
            <w:right w:w="108" w:type="dxa"/>
          </w:tblCellMar>
        </w:tblPrEx>
        <w:trPr>
          <w:trHeight w:val="642"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szCs w:val="21"/>
              </w:rPr>
              <w:t>投标文件及电子文档</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szCs w:val="21"/>
                <w:lang w:val="zh-CN"/>
              </w:rPr>
              <w:t>加密的电子征集响应文件投标供应商应当在投标截止时间前，将生成的“电子加密响应文件”上传递交至“采购云平台”，投标截止时间以后上传递交的响应文件将被“政采云”平台拒收，开标时须使用 CA秘钥进行文件解密工作。</w:t>
            </w:r>
          </w:p>
        </w:tc>
      </w:tr>
      <w:tr>
        <w:tblPrEx>
          <w:tblCellMar>
            <w:top w:w="0" w:type="dxa"/>
            <w:left w:w="108" w:type="dxa"/>
            <w:bottom w:w="0" w:type="dxa"/>
            <w:right w:w="108" w:type="dxa"/>
          </w:tblCellMar>
        </w:tblPrEx>
        <w:trPr>
          <w:trHeight w:val="632"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递交投标文件截止时间、地点</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详见招标公告，以招标公告规定时间、地点为准。</w:t>
            </w:r>
          </w:p>
        </w:tc>
      </w:tr>
      <w:tr>
        <w:tblPrEx>
          <w:tblCellMar>
            <w:top w:w="0" w:type="dxa"/>
            <w:left w:w="108" w:type="dxa"/>
            <w:bottom w:w="0" w:type="dxa"/>
            <w:right w:w="108" w:type="dxa"/>
          </w:tblCellMar>
        </w:tblPrEx>
        <w:trPr>
          <w:trHeight w:val="614"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开标时间、地点</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详见招标公告，以招标公告规定时间、地点为准。</w:t>
            </w:r>
          </w:p>
        </w:tc>
      </w:tr>
      <w:tr>
        <w:tblPrEx>
          <w:tblCellMar>
            <w:top w:w="0" w:type="dxa"/>
            <w:left w:w="108" w:type="dxa"/>
            <w:bottom w:w="0" w:type="dxa"/>
            <w:right w:w="108" w:type="dxa"/>
          </w:tblCellMar>
        </w:tblPrEx>
        <w:trPr>
          <w:trHeight w:val="614"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评标委员会组成</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szCs w:val="21"/>
              </w:rPr>
              <w:t>评标委员会由采购人代表</w:t>
            </w:r>
            <w:r>
              <w:rPr>
                <w:rFonts w:hint="eastAsia" w:ascii="仿宋_GB2312" w:hAnsi="仿宋_GB2312" w:eastAsia="仿宋_GB2312" w:cs="仿宋_GB2312"/>
                <w:szCs w:val="21"/>
                <w:u w:val="single"/>
                <w:lang w:val="en-US" w:eastAsia="zh-CN"/>
              </w:rPr>
              <w:t>1</w:t>
            </w:r>
            <w:r>
              <w:rPr>
                <w:rFonts w:hint="eastAsia" w:ascii="仿宋_GB2312" w:hAnsi="仿宋_GB2312" w:eastAsia="仿宋_GB2312" w:cs="仿宋_GB2312"/>
                <w:szCs w:val="21"/>
              </w:rPr>
              <w:t>人，评审专家</w:t>
            </w:r>
            <w:r>
              <w:rPr>
                <w:rFonts w:hint="eastAsia" w:ascii="仿宋_GB2312" w:hAnsi="仿宋_GB2312" w:eastAsia="仿宋_GB2312" w:cs="仿宋_GB2312"/>
                <w:szCs w:val="21"/>
                <w:u w:val="single"/>
                <w:lang w:val="en-US" w:eastAsia="zh-CN"/>
              </w:rPr>
              <w:t>4</w:t>
            </w:r>
            <w:r>
              <w:rPr>
                <w:rFonts w:hint="eastAsia" w:ascii="仿宋_GB2312" w:hAnsi="仿宋_GB2312" w:eastAsia="仿宋_GB2312" w:cs="仿宋_GB2312"/>
                <w:szCs w:val="21"/>
              </w:rPr>
              <w:t>人组成，共</w:t>
            </w:r>
            <w:r>
              <w:rPr>
                <w:rFonts w:hint="eastAsia" w:ascii="仿宋_GB2312" w:hAnsi="仿宋_GB2312" w:eastAsia="仿宋_GB2312" w:cs="仿宋_GB2312"/>
                <w:szCs w:val="21"/>
                <w:u w:val="single"/>
                <w:lang w:val="en-US" w:eastAsia="zh-CN"/>
              </w:rPr>
              <w:t>5</w:t>
            </w:r>
            <w:r>
              <w:rPr>
                <w:rFonts w:hint="eastAsia" w:ascii="仿宋_GB2312" w:hAnsi="仿宋_GB2312" w:eastAsia="仿宋_GB2312" w:cs="仿宋_GB2312"/>
                <w:szCs w:val="21"/>
              </w:rPr>
              <w:t xml:space="preserve">人。 </w:t>
            </w:r>
          </w:p>
        </w:tc>
      </w:tr>
      <w:tr>
        <w:tblPrEx>
          <w:tblCellMar>
            <w:top w:w="0" w:type="dxa"/>
            <w:left w:w="108" w:type="dxa"/>
            <w:bottom w:w="0" w:type="dxa"/>
            <w:right w:w="108" w:type="dxa"/>
          </w:tblCellMar>
        </w:tblPrEx>
        <w:trPr>
          <w:trHeight w:val="2186"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szCs w:val="21"/>
              </w:rPr>
              <w:t>样品的评审方法以及评审标准</w:t>
            </w:r>
          </w:p>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szCs w:val="21"/>
              </w:rPr>
              <w:t>演示的评审方法及评审标准</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bCs/>
                <w:kern w:val="0"/>
                <w:szCs w:val="21"/>
              </w:rPr>
              <w:t>样品：</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t>1、样品评审方法：</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2、样品评审标准：</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u w:val="single"/>
              </w:rPr>
            </w:pP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演示：</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t>1、演示评审方法：</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2、演示评审标准：</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27.2</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评标办法</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Cs w:val="21"/>
              </w:rPr>
            </w:pPr>
            <w:r>
              <w:rPr>
                <w:rFonts w:hint="eastAsia" w:ascii="仿宋_GB2312" w:hAnsi="仿宋_GB2312" w:eastAsia="仿宋_GB2312" w:cs="仿宋_GB2312"/>
              </w:rPr>
              <w:t>■</w:t>
            </w:r>
            <w:r>
              <w:rPr>
                <w:rFonts w:hint="eastAsia" w:ascii="仿宋_GB2312" w:hAnsi="仿宋_GB2312" w:eastAsia="仿宋_GB2312" w:cs="仿宋_GB2312"/>
                <w:szCs w:val="21"/>
              </w:rPr>
              <w:t>综合评分法</w:t>
            </w:r>
          </w:p>
          <w:p>
            <w:pPr>
              <w:widowControl/>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最低评标价法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推荐中标候选人的数量</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 xml:space="preserve">       1       </w:t>
            </w:r>
          </w:p>
        </w:tc>
      </w:tr>
      <w:tr>
        <w:tblPrEx>
          <w:tblCellMar>
            <w:top w:w="0" w:type="dxa"/>
            <w:left w:w="108" w:type="dxa"/>
            <w:bottom w:w="0" w:type="dxa"/>
            <w:right w:w="108" w:type="dxa"/>
          </w:tblCellMar>
        </w:tblPrEx>
        <w:trPr>
          <w:trHeight w:val="943"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31</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确定中标人的方式</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中标人数量：</w:t>
            </w:r>
            <w:r>
              <w:rPr>
                <w:rFonts w:hint="eastAsia" w:ascii="仿宋_GB2312" w:hAnsi="仿宋_GB2312" w:eastAsia="仿宋_GB2312" w:cs="仿宋_GB2312"/>
                <w:kern w:val="0"/>
                <w:szCs w:val="21"/>
                <w:u w:val="single"/>
              </w:rPr>
              <w:t xml:space="preserve">   1   </w:t>
            </w:r>
          </w:p>
          <w:p>
            <w:pPr>
              <w:widowControl/>
              <w:rPr>
                <w:rFonts w:ascii="仿宋_GB2312" w:hAnsi="仿宋_GB2312" w:eastAsia="仿宋_GB2312" w:cs="仿宋_GB2312"/>
                <w:kern w:val="0"/>
                <w:szCs w:val="21"/>
                <w:u w:val="single"/>
              </w:rPr>
            </w:pPr>
            <w:r>
              <w:rPr>
                <w:rFonts w:hint="eastAsia" w:ascii="仿宋_GB2312" w:hAnsi="仿宋_GB2312" w:eastAsia="仿宋_GB2312" w:cs="仿宋_GB2312"/>
              </w:rPr>
              <w:t>■</w:t>
            </w:r>
            <w:r>
              <w:rPr>
                <w:rFonts w:hint="eastAsia" w:ascii="仿宋_GB2312" w:hAnsi="仿宋_GB2312" w:eastAsia="仿宋_GB2312" w:cs="仿宋_GB2312"/>
                <w:kern w:val="0"/>
                <w:szCs w:val="21"/>
              </w:rPr>
              <w:t>采购人委托评标委员会直接确定中标人</w:t>
            </w:r>
          </w:p>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采购人确定中标人</w:t>
            </w:r>
          </w:p>
        </w:tc>
      </w:tr>
      <w:tr>
        <w:tblPrEx>
          <w:tblCellMar>
            <w:top w:w="0" w:type="dxa"/>
            <w:left w:w="108" w:type="dxa"/>
            <w:bottom w:w="0" w:type="dxa"/>
            <w:right w:w="108" w:type="dxa"/>
          </w:tblCellMar>
        </w:tblPrEx>
        <w:trPr>
          <w:trHeight w:val="3119"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35.1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szCs w:val="21"/>
              </w:rPr>
              <w:t>履约保证金</w:t>
            </w:r>
          </w:p>
        </w:tc>
        <w:tc>
          <w:tcPr>
            <w:tcW w:w="6285"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t>本项目履约保证金按照相关规定由采购人和中标人自行商定</w:t>
            </w:r>
          </w:p>
          <w:p>
            <w:pPr>
              <w:shd w:val="clear" w:color="auto" w:fill="FFFFFF"/>
              <w:jc w:val="left"/>
              <w:rPr>
                <w:rFonts w:ascii="仿宋_GB2312" w:hAnsi="仿宋_GB2312" w:eastAsia="仿宋_GB2312" w:cs="仿宋_GB2312"/>
                <w:kern w:val="0"/>
                <w:szCs w:val="21"/>
              </w:rPr>
            </w:pPr>
            <w:r>
              <w:rPr>
                <w:rFonts w:hint="eastAsia" w:ascii="仿宋_GB2312" w:hAnsi="仿宋_GB2312" w:eastAsia="仿宋_GB2312" w:cs="仿宋_GB2312"/>
                <w:b/>
                <w:bCs/>
                <w:szCs w:val="21"/>
              </w:rPr>
              <w:t>（注：财政部门鼓励采用保函的方式递交履约保证金）</w:t>
            </w:r>
          </w:p>
        </w:tc>
      </w:tr>
      <w:tr>
        <w:tblPrEx>
          <w:tblCellMar>
            <w:top w:w="0" w:type="dxa"/>
            <w:left w:w="108" w:type="dxa"/>
            <w:bottom w:w="0" w:type="dxa"/>
            <w:right w:w="108" w:type="dxa"/>
          </w:tblCellMar>
        </w:tblPrEx>
        <w:trPr>
          <w:trHeight w:val="1254" w:hRule="atLeast"/>
        </w:trPr>
        <w:tc>
          <w:tcPr>
            <w:tcW w:w="761" w:type="dxa"/>
            <w:tcBorders>
              <w:top w:val="nil"/>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1714" w:type="dxa"/>
            <w:tcBorders>
              <w:top w:val="nil"/>
              <w:left w:val="single" w:color="auto" w:sz="4" w:space="0"/>
              <w:bottom w:val="single" w:color="auto" w:sz="8"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采购代理服务费</w:t>
            </w:r>
          </w:p>
        </w:tc>
        <w:tc>
          <w:tcPr>
            <w:tcW w:w="6285" w:type="dxa"/>
            <w:tcBorders>
              <w:top w:val="nil"/>
              <w:left w:val="nil"/>
              <w:bottom w:val="single" w:color="auto" w:sz="8" w:space="0"/>
              <w:right w:val="single" w:color="auto" w:sz="8" w:space="0"/>
            </w:tcBorders>
            <w:vAlign w:val="center"/>
          </w:tcPr>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rPr>
              <w:t>■</w:t>
            </w:r>
            <w:r>
              <w:rPr>
                <w:rFonts w:hint="eastAsia" w:ascii="仿宋_GB2312" w:hAnsi="仿宋_GB2312" w:eastAsia="仿宋_GB2312" w:cs="仿宋_GB2312"/>
                <w:szCs w:val="21"/>
              </w:rPr>
              <w:t>本项目不收取</w:t>
            </w:r>
            <w:r>
              <w:rPr>
                <w:rFonts w:hint="eastAsia" w:ascii="仿宋_GB2312" w:hAnsi="仿宋_GB2312" w:eastAsia="仿宋_GB2312" w:cs="仿宋_GB2312"/>
                <w:kern w:val="0"/>
                <w:szCs w:val="21"/>
              </w:rPr>
              <w:t>采购代理服务费</w:t>
            </w:r>
          </w:p>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本项目收取</w:t>
            </w:r>
            <w:r>
              <w:rPr>
                <w:rFonts w:hint="eastAsia" w:ascii="仿宋_GB2312" w:hAnsi="仿宋_GB2312" w:eastAsia="仿宋_GB2312" w:cs="仿宋_GB2312"/>
                <w:kern w:val="0"/>
                <w:szCs w:val="21"/>
              </w:rPr>
              <w:t>采购代理服务费</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本项目采购代理服务费由</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向采购代理机构予以支付。</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支付标准：</w:t>
            </w:r>
            <w:r>
              <w:rPr>
                <w:rFonts w:hint="eastAsia" w:ascii="仿宋_GB2312" w:hAnsi="仿宋_GB2312" w:eastAsia="仿宋_GB2312" w:cs="仿宋_GB2312"/>
                <w:kern w:val="0"/>
                <w:szCs w:val="21"/>
                <w:u w:val="single"/>
              </w:rPr>
              <w:t xml:space="preserve">              </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支付形式：</w:t>
            </w:r>
            <w:r>
              <w:rPr>
                <w:rFonts w:hint="eastAsia" w:ascii="仿宋_GB2312" w:hAnsi="仿宋_GB2312" w:eastAsia="仿宋_GB2312" w:cs="仿宋_GB2312"/>
                <w:kern w:val="0"/>
                <w:szCs w:val="21"/>
                <w:u w:val="single"/>
              </w:rPr>
              <w:t xml:space="preserve">              </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支付时间：</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3143"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39.3</w:t>
            </w:r>
          </w:p>
        </w:tc>
        <w:tc>
          <w:tcPr>
            <w:tcW w:w="1714" w:type="dxa"/>
            <w:tcBorders>
              <w:top w:val="single" w:color="auto" w:sz="4" w:space="0"/>
              <w:left w:val="single" w:color="auto" w:sz="4" w:space="0"/>
              <w:bottom w:val="single" w:color="auto" w:sz="8"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质疑</w:t>
            </w:r>
          </w:p>
        </w:tc>
        <w:tc>
          <w:tcPr>
            <w:tcW w:w="6285" w:type="dxa"/>
            <w:tcBorders>
              <w:top w:val="single" w:color="auto" w:sz="4" w:space="0"/>
              <w:left w:val="nil"/>
              <w:bottom w:val="single" w:color="auto" w:sz="8" w:space="0"/>
              <w:right w:val="single" w:color="auto" w:sz="8" w:space="0"/>
            </w:tcBorders>
            <w:vAlign w:val="center"/>
          </w:tcPr>
          <w:p>
            <w:pPr>
              <w:widowControl/>
              <w:rPr>
                <w:rFonts w:ascii="仿宋_GB2312" w:hAnsi="仿宋_GB2312" w:eastAsia="仿宋_GB2312" w:cs="仿宋_GB2312"/>
                <w:szCs w:val="21"/>
              </w:rPr>
            </w:pPr>
            <w:r>
              <w:rPr>
                <w:rFonts w:hint="eastAsia" w:ascii="仿宋_GB2312" w:hAnsi="仿宋_GB2312" w:eastAsia="仿宋_GB2312" w:cs="仿宋_GB2312"/>
                <w:szCs w:val="21"/>
              </w:rPr>
              <w:t>一、投标人认为自己的权益受到损害的，可以在知道或者应知其权益受到损害之日起七个工作日内，向采购代理机构提出质疑。</w:t>
            </w:r>
          </w:p>
          <w:p>
            <w:pPr>
              <w:widowControl/>
              <w:rPr>
                <w:rFonts w:ascii="仿宋_GB2312" w:hAnsi="仿宋_GB2312" w:eastAsia="仿宋_GB2312" w:cs="仿宋_GB2312"/>
                <w:szCs w:val="21"/>
              </w:rPr>
            </w:pPr>
            <w:r>
              <w:rPr>
                <w:rFonts w:hint="eastAsia" w:ascii="仿宋_GB2312" w:hAnsi="仿宋_GB2312" w:eastAsia="仿宋_GB2312" w:cs="仿宋_GB2312"/>
                <w:szCs w:val="21"/>
              </w:rPr>
              <w:t>1、接收质疑函的方式：接收加盖单位公章的书面质疑函</w:t>
            </w:r>
          </w:p>
          <w:p>
            <w:pPr>
              <w:widowControl/>
              <w:ind w:firstLine="420" w:firstLineChars="200"/>
              <w:rPr>
                <w:rFonts w:ascii="仿宋_GB2312" w:hAnsi="仿宋_GB2312" w:eastAsia="仿宋_GB2312" w:cs="仿宋_GB2312"/>
                <w:kern w:val="0"/>
                <w:szCs w:val="21"/>
                <w:u w:val="single"/>
              </w:rPr>
            </w:pPr>
            <w:r>
              <w:rPr>
                <w:rFonts w:hint="eastAsia" w:ascii="仿宋_GB2312" w:hAnsi="仿宋_GB2312" w:eastAsia="仿宋_GB2312" w:cs="仿宋_GB2312"/>
                <w:szCs w:val="21"/>
              </w:rPr>
              <w:t>联系单位：</w:t>
            </w:r>
            <w:r>
              <w:rPr>
                <w:rFonts w:hint="eastAsia" w:ascii="仿宋_GB2312" w:hAnsi="仿宋_GB2312" w:eastAsia="仿宋_GB2312" w:cs="仿宋_GB2312"/>
                <w:kern w:val="0"/>
                <w:szCs w:val="21"/>
                <w:u w:val="single"/>
              </w:rPr>
              <w:t xml:space="preserve">  奎屯市政务服务中心            </w:t>
            </w:r>
          </w:p>
          <w:p>
            <w:pPr>
              <w:widowControl/>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联系电话：</w:t>
            </w:r>
            <w:r>
              <w:rPr>
                <w:rFonts w:hint="eastAsia" w:ascii="仿宋_GB2312" w:hAnsi="仿宋_GB2312" w:eastAsia="仿宋_GB2312" w:cs="仿宋_GB2312"/>
                <w:kern w:val="0"/>
                <w:szCs w:val="21"/>
                <w:u w:val="single"/>
              </w:rPr>
              <w:t xml:space="preserve">   0992-3279228           </w:t>
            </w:r>
          </w:p>
          <w:p>
            <w:pPr>
              <w:widowControl/>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通讯地址：</w:t>
            </w:r>
            <w:r>
              <w:rPr>
                <w:rFonts w:hint="eastAsia" w:ascii="仿宋_GB2312" w:hAnsi="仿宋_GB2312" w:eastAsia="仿宋_GB2312" w:cs="仿宋_GB2312"/>
                <w:kern w:val="0"/>
                <w:szCs w:val="21"/>
                <w:u w:val="single"/>
              </w:rPr>
              <w:t xml:space="preserve">   奎屯市政务服务中心            </w:t>
            </w:r>
          </w:p>
          <w:p>
            <w:pPr>
              <w:widowControl/>
              <w:rPr>
                <w:rFonts w:ascii="仿宋_GB2312" w:hAnsi="仿宋_GB2312" w:eastAsia="仿宋_GB2312" w:cs="仿宋_GB2312"/>
                <w:szCs w:val="21"/>
              </w:rPr>
            </w:pPr>
            <w:r>
              <w:rPr>
                <w:rFonts w:hint="eastAsia" w:ascii="仿宋_GB2312" w:hAnsi="仿宋_GB2312" w:eastAsia="仿宋_GB2312" w:cs="仿宋_GB2312"/>
                <w:szCs w:val="21"/>
              </w:rPr>
              <w:t>2、质疑函的内容、格式：应符合《政府采购质疑和投诉办法》相关规定和财政部门制定的《政府采购质疑函范本》格式。</w:t>
            </w:r>
          </w:p>
          <w:p>
            <w:pPr>
              <w:pStyle w:val="6"/>
              <w:rPr>
                <w:rFonts w:ascii="仿宋_GB2312" w:hAnsi="仿宋_GB2312" w:eastAsia="仿宋_GB2312" w:cs="仿宋_GB2312"/>
                <w:kern w:val="0"/>
                <w:szCs w:val="21"/>
              </w:rPr>
            </w:pPr>
            <w:r>
              <w:rPr>
                <w:rFonts w:hint="eastAsia" w:ascii="仿宋_GB2312" w:hAnsi="仿宋_GB2312" w:eastAsia="仿宋_GB2312" w:cs="仿宋_GB2312"/>
                <w:szCs w:val="21"/>
              </w:rPr>
              <w:t>二、投标人应在法定质疑期内一次性针对同一采购程序环节提出质疑，否则针对再次提出质疑将不予接收。（采购程序环节分为：</w:t>
            </w:r>
            <w:r>
              <w:rPr>
                <w:rFonts w:hint="eastAsia" w:ascii="仿宋_GB2312" w:hAnsi="仿宋_GB2312" w:eastAsia="仿宋_GB2312" w:cs="仿宋_GB2312"/>
                <w:kern w:val="0"/>
                <w:szCs w:val="21"/>
              </w:rPr>
              <w:t>招标</w:t>
            </w:r>
            <w:r>
              <w:rPr>
                <w:rFonts w:hint="eastAsia" w:ascii="仿宋_GB2312" w:hAnsi="仿宋_GB2312" w:eastAsia="仿宋_GB2312" w:cs="仿宋_GB2312"/>
                <w:szCs w:val="21"/>
              </w:rPr>
              <w:t>公告、招标文件、招标过程、中标结果）</w:t>
            </w:r>
          </w:p>
        </w:tc>
      </w:tr>
    </w:tbl>
    <w:p>
      <w:pPr>
        <w:rPr>
          <w:rFonts w:ascii="仿宋_GB2312" w:hAnsi="仿宋_GB2312" w:eastAsia="仿宋_GB2312" w:cs="仿宋_GB2312"/>
        </w:rPr>
      </w:pPr>
      <w:r>
        <w:rPr>
          <w:rFonts w:hint="eastAsia" w:ascii="仿宋_GB2312" w:hAnsi="仿宋_GB2312" w:eastAsia="仿宋_GB2312" w:cs="仿宋_GB2312"/>
        </w:rPr>
        <w:t>注：表格中“</w:t>
      </w:r>
      <w:r>
        <w:rPr>
          <w:rFonts w:hint="eastAsia" w:ascii="仿宋_GB2312" w:hAnsi="仿宋_GB2312" w:eastAsia="仿宋_GB2312" w:cs="仿宋_GB2312"/>
        </w:rPr>
        <w:sym w:font="Wingdings 2" w:char="0052"/>
      </w:r>
      <w:r>
        <w:rPr>
          <w:rFonts w:hint="eastAsia" w:ascii="仿宋_GB2312" w:hAnsi="仿宋_GB2312" w:eastAsia="仿宋_GB2312" w:cs="仿宋_GB2312"/>
        </w:rPr>
        <w:t>”项或“■”项为被选中项。</w:t>
      </w:r>
    </w:p>
    <w:p>
      <w:pPr>
        <w:pStyle w:val="4"/>
        <w:adjustRightInd w:val="0"/>
        <w:snapToGrid w:val="0"/>
        <w:spacing w:before="0" w:after="0" w:line="360" w:lineRule="auto"/>
        <w:rPr>
          <w:rFonts w:ascii="仿宋_GB2312" w:hAnsi="仿宋_GB2312" w:eastAsia="仿宋_GB2312" w:cs="仿宋_GB2312"/>
          <w:sz w:val="32"/>
          <w:szCs w:val="36"/>
        </w:rPr>
      </w:pPr>
      <w:r>
        <w:rPr>
          <w:rFonts w:hint="eastAsia" w:ascii="仿宋_GB2312" w:hAnsi="仿宋_GB2312" w:eastAsia="仿宋_GB2312" w:cs="仿宋_GB2312"/>
          <w:sz w:val="21"/>
          <w:szCs w:val="21"/>
        </w:rPr>
        <w:br w:type="page"/>
      </w:r>
      <w:bookmarkStart w:id="11" w:name="_Toc30384_WPSOffice_Level2"/>
      <w:r>
        <w:rPr>
          <w:rFonts w:hint="eastAsia" w:ascii="仿宋_GB2312" w:hAnsi="仿宋_GB2312" w:eastAsia="仿宋_GB2312" w:cs="仿宋_GB2312"/>
          <w:sz w:val="32"/>
          <w:szCs w:val="36"/>
        </w:rPr>
        <w:t>二 总则</w:t>
      </w:r>
      <w:bookmarkEnd w:id="11"/>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1.采购人、采购代理机构及投标人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1.1采购人：是指依法进行政府采购的国家机关、事业单位、团体组织。本项目采购人见投标人须知表1.1条。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1.2采购代理机构：是指集中采购机构或从事采购代理业务的社会中介机构，本项目的采购代理机构见投标人须知表1.2条。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★1.3投标人：是指向采购人提供货物、工程或者服务的法人、非法人组织或者自然人。本项目的投标人及其投标服务须满足以下条件：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1.3.1在中华人民共和国境内注册，能够独立承担民事责任，有生产或供应能力的本国供应商。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1.3.2符合《中华人民共和国政府采购法》第二十二条关于供应商条件的规定，遵守本项目采购人本级和上级财政部门关于政府采购的有关规定。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1.3.3以采购代理机构认可的方式获得了本项目的招标文件。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1.3.4符合投标人须知表1.3.4条中规定的资格条件。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1.3.5若投标人须知表1.3.5条中写明专门面向中小企业采购的，如投标人为非中小企业且所投产品为非中小企业产品，其投标将被认定为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1.3.6若投标人须知表1.3.6款中写明采购服务所伴随的货物为财政部、发展改革委、生态环境部等部门发布的品目清单中属于实施政府强制采购品目清单范围的节能产品，如投标人所投伴随的货物不具备依据国家确定的认证机构出具的、处于有效期之内的节能产品认证证书，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★1.4如投标人须知表1.4条中允许联合体投标，对联合体规定如下：</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1.4.1两个以上供应商可以组成一个投标联合体，以一个投标人的身份投标。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1.4.2联合体各方均应符合《中华人民共和国政府采购法》第二十二条规定的条件。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1.4.3采购人根据采购项目对投标人的特殊要求，联合体中至少应当有一方符合相关规定。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1.4.4联合体各方应签订共同投标协议，明确约定联合体各方承担的工作和相应的责任。</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1.4.5大中型企业、其他自然人、法人或者非法人组织与小型、微型企业组成联合体共同参加投标，共同投标协议中应写明小型、微型企业的协议合同金额占到共同投标协议投标总金额的比例。</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1.4.6联合体中有同类资质的供应商按照联合体分工承担相同工作的，按照较低的资质等级确定联合体的资质等级。</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1.4.7以联合体形式参加政府采购活动的，联合体各方不得再单独参加或者与其他供应商另外组成联合体参加本项目投标，否则相关投标将被认定为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（1）两个以上的自然人、法人或者其他组织可以组成一个联合体，以一个投标人的身份共同参加政府采购活动。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（2）联合体中标的，联合体各方应共同与采购人签订采购合同，就采购合同约定的事项对采购人承担连带责任。</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1.4.8对联合体投标的其他资格要求见投标人须知表1.4.8条。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★1.5单位负责人为同一人或者存在直接控股、管理关系的不同供应商，其相关投标将被认定为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★1.7投标人在投标过程中不得向采购人提供、给予任何有价值的物品，影响其正常决策行为。一经发现，其将被认定为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2.资金来源</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2.1本项目的采购人已获得足以支付本次招标后所签订的合同项下的资金（包括财政性资金和本项目采购中无法与财政性资金分割的非财政性资金）。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★2.2项目预算金额和分项或分包最高限价见投标人须知表2.2条。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★2.3投标人报价超过招标文件规定的预算金额或者分项、分包最高限价的，其投标将被认定为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bookmarkStart w:id="12" w:name="_Toc266951048"/>
      <w:r>
        <w:rPr>
          <w:rFonts w:hint="eastAsia" w:ascii="仿宋_GB2312" w:hAnsi="仿宋_GB2312" w:eastAsia="仿宋_GB2312" w:cs="仿宋_GB2312"/>
          <w:b/>
          <w:bCs/>
          <w:szCs w:val="21"/>
        </w:rPr>
        <w:t>3.语言文字</w:t>
      </w:r>
      <w:bookmarkEnd w:id="12"/>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除专用术语外，与投标有关的语言均使用中文。必要时专用术语应附有中文注释。对不同文字文本投标文件的解释发生异议的，以中文文本为准。</w:t>
      </w:r>
    </w:p>
    <w:p>
      <w:pPr>
        <w:adjustRightInd w:val="0"/>
        <w:snapToGrid w:val="0"/>
        <w:spacing w:line="360" w:lineRule="auto"/>
        <w:rPr>
          <w:rFonts w:ascii="仿宋_GB2312" w:hAnsi="仿宋_GB2312" w:eastAsia="仿宋_GB2312" w:cs="仿宋_GB2312"/>
          <w:b/>
          <w:bCs/>
          <w:szCs w:val="21"/>
        </w:rPr>
      </w:pPr>
      <w:bookmarkStart w:id="13" w:name="_1.8_计量单位"/>
      <w:bookmarkEnd w:id="13"/>
      <w:bookmarkStart w:id="14" w:name="_Toc266951049"/>
      <w:r>
        <w:rPr>
          <w:rFonts w:hint="eastAsia" w:ascii="仿宋_GB2312" w:hAnsi="仿宋_GB2312" w:eastAsia="仿宋_GB2312" w:cs="仿宋_GB2312"/>
          <w:szCs w:val="21"/>
        </w:rPr>
        <w:t>★</w:t>
      </w:r>
      <w:r>
        <w:rPr>
          <w:rFonts w:hint="eastAsia" w:ascii="仿宋_GB2312" w:hAnsi="仿宋_GB2312" w:eastAsia="仿宋_GB2312" w:cs="仿宋_GB2312"/>
          <w:b/>
          <w:bCs/>
          <w:szCs w:val="21"/>
        </w:rPr>
        <w:t>4.计量单位</w:t>
      </w:r>
      <w:bookmarkEnd w:id="14"/>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除投标人须知表4条中有特殊要求外，投标文件中所使用的计量单位，应采用中华人民共和国法定计量单位。</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5.投标费用</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不论投标的结果如何，投标人应承担所有与投标有关的费用。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6.现场考察、开标前答疑会</w:t>
      </w:r>
    </w:p>
    <w:p>
      <w:pPr>
        <w:adjustRightInd w:val="0"/>
        <w:snapToGrid w:val="0"/>
        <w:spacing w:line="360" w:lineRule="auto"/>
        <w:rPr>
          <w:rFonts w:ascii="仿宋_GB2312" w:hAnsi="仿宋_GB2312" w:eastAsia="仿宋_GB2312" w:cs="仿宋_GB2312"/>
          <w:kern w:val="0"/>
          <w:szCs w:val="21"/>
        </w:rPr>
      </w:pPr>
      <w:bookmarkStart w:id="15" w:name="_1.10_投标预备会"/>
      <w:bookmarkEnd w:id="15"/>
      <w:r>
        <w:rPr>
          <w:rFonts w:hint="eastAsia" w:ascii="仿宋_GB2312" w:hAnsi="仿宋_GB2312" w:eastAsia="仿宋_GB2312" w:cs="仿宋_GB2312"/>
          <w:kern w:val="0"/>
          <w:szCs w:val="21"/>
        </w:rPr>
        <w:t>6.1</w:t>
      </w:r>
      <w:r>
        <w:fldChar w:fldCharType="begin"/>
      </w:r>
      <w:r>
        <w:instrText xml:space="preserve"> HYPERLINK \l "_踏勘现场" </w:instrText>
      </w:r>
      <w:r>
        <w:fldChar w:fldCharType="separate"/>
      </w:r>
      <w:r>
        <w:rPr>
          <w:rFonts w:hint="eastAsia" w:ascii="仿宋_GB2312" w:hAnsi="仿宋_GB2312" w:eastAsia="仿宋_GB2312" w:cs="仿宋_GB2312"/>
          <w:kern w:val="0"/>
          <w:szCs w:val="21"/>
        </w:rPr>
        <w:t>投标人须知表</w:t>
      </w:r>
      <w:r>
        <w:rPr>
          <w:rFonts w:hint="eastAsia" w:ascii="仿宋_GB2312" w:hAnsi="仿宋_GB2312" w:eastAsia="仿宋_GB2312" w:cs="仿宋_GB2312"/>
          <w:kern w:val="0"/>
          <w:szCs w:val="21"/>
        </w:rPr>
        <w:fldChar w:fldCharType="end"/>
      </w:r>
      <w:r>
        <w:rPr>
          <w:rFonts w:hint="eastAsia" w:ascii="仿宋_GB2312" w:hAnsi="仿宋_GB2312" w:eastAsia="仿宋_GB2312" w:cs="仿宋_GB2312"/>
          <w:kern w:val="0"/>
          <w:szCs w:val="21"/>
        </w:rPr>
        <w:t>6.1条规定组织现场考察或开标前答疑会的，采购人按规定的时间、地点组织投标人现场考察或开标前答疑会，或者在领取招标文件期限截止后以书面形式通知所有获取招标文件的潜在投标人。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6.2</w:t>
      </w:r>
      <w:r>
        <w:rPr>
          <w:rFonts w:hint="eastAsia" w:ascii="仿宋_GB2312" w:hAnsi="仿宋_GB2312" w:eastAsia="仿宋_GB2312" w:cs="仿宋_GB2312"/>
          <w:kern w:val="0"/>
          <w:szCs w:val="21"/>
        </w:rPr>
        <w:t>由于未参加现场考察或标前答疑而导致对项目实际情况不了解，影响技术文件编制、</w:t>
      </w:r>
      <w:r>
        <w:fldChar w:fldCharType="begin"/>
      </w:r>
      <w: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fldChar w:fldCharType="separate"/>
      </w:r>
      <w:r>
        <w:rPr>
          <w:rFonts w:hint="eastAsia" w:ascii="仿宋_GB2312" w:hAnsi="仿宋_GB2312" w:eastAsia="仿宋_GB2312" w:cs="仿宋_GB2312"/>
          <w:kern w:val="0"/>
          <w:szCs w:val="21"/>
        </w:rPr>
        <w:t>投标报价</w:t>
      </w:r>
      <w:r>
        <w:rPr>
          <w:rFonts w:hint="eastAsia" w:ascii="仿宋_GB2312" w:hAnsi="仿宋_GB2312" w:eastAsia="仿宋_GB2312" w:cs="仿宋_GB2312"/>
          <w:kern w:val="0"/>
          <w:szCs w:val="21"/>
        </w:rPr>
        <w:fldChar w:fldCharType="end"/>
      </w:r>
      <w:r>
        <w:rPr>
          <w:rFonts w:hint="eastAsia" w:ascii="仿宋_GB2312" w:hAnsi="仿宋_GB2312" w:eastAsia="仿宋_GB2312" w:cs="仿宋_GB2312"/>
          <w:kern w:val="0"/>
          <w:szCs w:val="21"/>
        </w:rPr>
        <w:t>准确性、综合因素响应不全面等问题的，由投标人自行承担相应后果。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6.3现场考察及参加标前答疑会所发生的费用及一切责任由投标人自行承担。</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7.适用法律</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的采购人、采购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pPr>
        <w:pStyle w:val="4"/>
        <w:rPr>
          <w:rFonts w:ascii="仿宋_GB2312" w:hAnsi="仿宋_GB2312" w:eastAsia="仿宋_GB2312" w:cs="仿宋_GB2312"/>
          <w:sz w:val="32"/>
          <w:szCs w:val="28"/>
        </w:rPr>
      </w:pPr>
      <w:bookmarkStart w:id="16" w:name="_Toc10106_WPSOffice_Level2"/>
      <w:r>
        <w:rPr>
          <w:rFonts w:hint="eastAsia" w:ascii="仿宋_GB2312" w:hAnsi="仿宋_GB2312" w:eastAsia="仿宋_GB2312" w:cs="仿宋_GB2312"/>
          <w:sz w:val="32"/>
          <w:szCs w:val="28"/>
        </w:rPr>
        <w:t>三 招标文件</w:t>
      </w:r>
      <w:bookmarkEnd w:id="16"/>
    </w:p>
    <w:p>
      <w:pPr>
        <w:tabs>
          <w:tab w:val="left" w:pos="312"/>
        </w:tabs>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8.招标文件构成</w:t>
      </w:r>
    </w:p>
    <w:p>
      <w:pPr>
        <w:tabs>
          <w:tab w:val="left" w:pos="312"/>
        </w:tabs>
        <w:adjustRightInd w:val="0"/>
        <w:snapToGrid w:val="0"/>
        <w:spacing w:line="360" w:lineRule="auto"/>
        <w:rPr>
          <w:rFonts w:ascii="仿宋_GB2312" w:hAnsi="仿宋_GB2312" w:eastAsia="仿宋_GB2312" w:cs="仿宋_GB2312"/>
        </w:rPr>
      </w:pPr>
      <w:r>
        <w:rPr>
          <w:rFonts w:hint="eastAsia" w:ascii="仿宋_GB2312" w:hAnsi="仿宋_GB2312" w:eastAsia="仿宋_GB2312" w:cs="仿宋_GB2312"/>
          <w:szCs w:val="21"/>
        </w:rPr>
        <w:t>8.1招标</w:t>
      </w:r>
      <w:r>
        <w:rPr>
          <w:rFonts w:hint="eastAsia" w:ascii="仿宋_GB2312" w:hAnsi="仿宋_GB2312" w:eastAsia="仿宋_GB2312" w:cs="仿宋_GB2312"/>
        </w:rPr>
        <w:t>文件内容如下:</w:t>
      </w: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kern w:val="0"/>
          <w:szCs w:val="21"/>
        </w:rPr>
        <w:t>招标</w:t>
      </w:r>
      <w:r>
        <w:rPr>
          <w:rFonts w:hint="eastAsia" w:ascii="仿宋_GB2312" w:hAnsi="仿宋_GB2312" w:eastAsia="仿宋_GB2312" w:cs="仿宋_GB2312"/>
        </w:rPr>
        <w:t>公告</w:t>
      </w:r>
    </w:p>
    <w:p>
      <w:pPr>
        <w:numPr>
          <w:ilvl w:val="0"/>
          <w:numId w:val="3"/>
        </w:numPr>
        <w:adjustRightInd w:val="0"/>
        <w:snapToGrid w:val="0"/>
        <w:spacing w:line="360" w:lineRule="auto"/>
        <w:ind w:firstLine="420" w:firstLineChars="200"/>
        <w:rPr>
          <w:rFonts w:ascii="仿宋_GB2312" w:hAnsi="仿宋_GB2312" w:eastAsia="仿宋_GB2312" w:cs="仿宋_GB2312"/>
        </w:rPr>
      </w:pPr>
      <w:bookmarkStart w:id="17" w:name="_Toc4961_WPSOffice_Level2"/>
      <w:bookmarkStart w:id="18" w:name="_Toc24604_WPSOffice_Level2"/>
      <w:bookmarkStart w:id="19" w:name="_Toc188_WPSOffice_Level2"/>
      <w:bookmarkStart w:id="20" w:name="_Toc25935_WPSOffice_Level2"/>
      <w:r>
        <w:rPr>
          <w:rFonts w:hint="eastAsia" w:ascii="仿宋_GB2312" w:hAnsi="仿宋_GB2312" w:eastAsia="仿宋_GB2312" w:cs="仿宋_GB2312"/>
        </w:rPr>
        <w:t>投标人须知</w:t>
      </w:r>
      <w:bookmarkEnd w:id="17"/>
      <w:bookmarkEnd w:id="18"/>
      <w:bookmarkEnd w:id="19"/>
      <w:bookmarkEnd w:id="20"/>
    </w:p>
    <w:p>
      <w:pPr>
        <w:adjustRightInd w:val="0"/>
        <w:snapToGrid w:val="0"/>
        <w:spacing w:line="360" w:lineRule="auto"/>
        <w:ind w:firstLine="420" w:firstLineChars="200"/>
        <w:rPr>
          <w:rFonts w:ascii="仿宋_GB2312" w:hAnsi="仿宋_GB2312" w:eastAsia="仿宋_GB2312" w:cs="仿宋_GB2312"/>
        </w:rPr>
      </w:pPr>
      <w:bookmarkStart w:id="21" w:name="_Toc13276_WPSOffice_Level2"/>
      <w:bookmarkStart w:id="22" w:name="_Toc31424_WPSOffice_Level2"/>
      <w:bookmarkStart w:id="23" w:name="_Toc2443_WPSOffice_Level2"/>
      <w:bookmarkStart w:id="24" w:name="_Toc32235_WPSOffice_Level2"/>
      <w:r>
        <w:rPr>
          <w:rFonts w:hint="eastAsia" w:ascii="仿宋_GB2312" w:hAnsi="仿宋_GB2312" w:eastAsia="仿宋_GB2312" w:cs="仿宋_GB2312"/>
        </w:rPr>
        <w:t>第二章 投标文件内容及格式</w:t>
      </w:r>
      <w:bookmarkEnd w:id="21"/>
      <w:bookmarkEnd w:id="22"/>
      <w:bookmarkEnd w:id="23"/>
      <w:bookmarkEnd w:id="24"/>
    </w:p>
    <w:p>
      <w:pPr>
        <w:adjustRightInd w:val="0"/>
        <w:snapToGrid w:val="0"/>
        <w:spacing w:line="360" w:lineRule="auto"/>
        <w:ind w:firstLine="420" w:firstLineChars="200"/>
        <w:rPr>
          <w:rFonts w:ascii="仿宋_GB2312" w:hAnsi="仿宋_GB2312" w:eastAsia="仿宋_GB2312" w:cs="仿宋_GB2312"/>
        </w:rPr>
      </w:pPr>
      <w:bookmarkStart w:id="25" w:name="_Toc4416_WPSOffice_Level2"/>
      <w:bookmarkStart w:id="26" w:name="_Toc24836_WPSOffice_Level2"/>
      <w:bookmarkStart w:id="27" w:name="_Toc16269_WPSOffice_Level2"/>
      <w:bookmarkStart w:id="28" w:name="_Toc7005_WPSOffice_Level2"/>
      <w:r>
        <w:rPr>
          <w:rFonts w:hint="eastAsia" w:ascii="仿宋_GB2312" w:hAnsi="仿宋_GB2312" w:eastAsia="仿宋_GB2312" w:cs="仿宋_GB2312"/>
        </w:rPr>
        <w:t>第三章 服务需求</w:t>
      </w:r>
      <w:bookmarkEnd w:id="25"/>
      <w:bookmarkEnd w:id="26"/>
      <w:bookmarkEnd w:id="27"/>
      <w:bookmarkEnd w:id="28"/>
    </w:p>
    <w:p>
      <w:pPr>
        <w:adjustRightInd w:val="0"/>
        <w:snapToGrid w:val="0"/>
        <w:spacing w:line="360" w:lineRule="auto"/>
        <w:ind w:firstLine="420" w:firstLineChars="200"/>
        <w:rPr>
          <w:rFonts w:ascii="仿宋_GB2312" w:hAnsi="仿宋_GB2312" w:eastAsia="仿宋_GB2312" w:cs="仿宋_GB2312"/>
        </w:rPr>
      </w:pPr>
      <w:bookmarkStart w:id="29" w:name="_Toc23459_WPSOffice_Level2"/>
      <w:bookmarkStart w:id="30" w:name="_Toc16294_WPSOffice_Level2"/>
      <w:bookmarkStart w:id="31" w:name="_Toc25382_WPSOffice_Level2"/>
      <w:bookmarkStart w:id="32" w:name="_Toc16119_WPSOffice_Level2"/>
      <w:r>
        <w:rPr>
          <w:rFonts w:hint="eastAsia" w:ascii="仿宋_GB2312" w:hAnsi="仿宋_GB2312" w:eastAsia="仿宋_GB2312" w:cs="仿宋_GB2312"/>
        </w:rPr>
        <w:t>第四章 评标方法</w:t>
      </w:r>
      <w:bookmarkEnd w:id="29"/>
      <w:bookmarkEnd w:id="30"/>
      <w:bookmarkEnd w:id="31"/>
      <w:bookmarkEnd w:id="32"/>
    </w:p>
    <w:p>
      <w:pPr>
        <w:adjustRightInd w:val="0"/>
        <w:snapToGrid w:val="0"/>
        <w:spacing w:line="360" w:lineRule="auto"/>
        <w:ind w:firstLine="420" w:firstLineChars="200"/>
        <w:rPr>
          <w:rFonts w:ascii="仿宋_GB2312" w:hAnsi="仿宋_GB2312" w:eastAsia="仿宋_GB2312" w:cs="仿宋_GB2312"/>
        </w:rPr>
      </w:pPr>
      <w:bookmarkStart w:id="33" w:name="_Toc28106_WPSOffice_Level2"/>
      <w:bookmarkStart w:id="34" w:name="_Toc9629_WPSOffice_Level2"/>
      <w:bookmarkStart w:id="35" w:name="_Toc16368_WPSOffice_Level2"/>
      <w:bookmarkStart w:id="36" w:name="_Toc17794_WPSOffice_Level2"/>
      <w:r>
        <w:rPr>
          <w:rFonts w:hint="eastAsia" w:ascii="仿宋_GB2312" w:hAnsi="仿宋_GB2312" w:eastAsia="仿宋_GB2312" w:cs="仿宋_GB2312"/>
        </w:rPr>
        <w:t>第五章 政府采购合同条款及格式</w:t>
      </w:r>
      <w:bookmarkEnd w:id="33"/>
      <w:bookmarkEnd w:id="34"/>
      <w:bookmarkEnd w:id="35"/>
      <w:bookmarkEnd w:id="36"/>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★8.2投标人应认真阅读招标文件所有的事项、格式、条款等。如投标人没有按照招标文件要求提交资料，或者投标文件没有对招标文件做出实质性响应，可能导致其投标被认定为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9.招标文件的澄清与修改</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9.2澄清或者修改的内容为招标文件的组成部分，对所有招标文件的收受人具有约束力。投标人在收到上述通知后，应及时向采购代理机构回函确认。</w:t>
      </w:r>
    </w:p>
    <w:p>
      <w:pPr>
        <w:pStyle w:val="4"/>
        <w:rPr>
          <w:rFonts w:ascii="仿宋_GB2312" w:hAnsi="仿宋_GB2312" w:eastAsia="仿宋_GB2312" w:cs="仿宋_GB2312"/>
          <w:sz w:val="32"/>
          <w:szCs w:val="28"/>
        </w:rPr>
      </w:pPr>
      <w:bookmarkStart w:id="37" w:name="_Toc7415_WPSOffice_Level2"/>
      <w:r>
        <w:rPr>
          <w:rFonts w:hint="eastAsia" w:ascii="仿宋_GB2312" w:hAnsi="仿宋_GB2312" w:eastAsia="仿宋_GB2312" w:cs="仿宋_GB2312"/>
          <w:sz w:val="32"/>
          <w:szCs w:val="28"/>
        </w:rPr>
        <w:t>四 投标文件的编制</w:t>
      </w:r>
      <w:bookmarkEnd w:id="37"/>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10.投标范围</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10.1项目有分包的，投标人可对招标文件其中某一个分包或几个分包进行投标。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★10.2投标人应当对所投分包在招标文件“服务需求”中所列的所有服务内容进行投标，如仅响应分包中某一部分内容，其该包投标将被认定为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10.3无论招标文件第三章 服务需求中是否要求，投标人所投的服务均应符合国家强制性标准。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11.投标文件构成</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★11.1投标人应完整地按招标文件提供的投标文件格式及要求编写投标文件。投标文件应包括资格证明文件、符合性证明文件、其它材料三部分。具体见第二章 投标文件内容及格式。</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★11.2投标人应按招标文件提供的格式编写投标文件。招标文件提供标准格式的按标准格式填列，未提供标准格式的可自行拟定。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11.3样品或演示要求详见投标人须知表11.3条。</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12.投标报价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12.1所有投标均按投标人须知表12.1条中要求货币进行报价。投标人的投标报价应遵守《中华人民共和国价格法》。同时，根据《中华人民共和国政府采购法》第三条的规定，为保证公平竞争，如有服务主体部分的赠与行为，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12.2投标人应按招标文件要求在相关表格中标明投标服务及伴随货物的单价和总价，并由法定代表人（非法人组织的负责人）或其委托代理人签署。</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12.3投标人所报的各分项投标单价在合同履行过程中是固定不变的，不得以任何理由予以变更。任何包含价格调整要求的投标，其投标将被认定为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szCs w:val="21"/>
        </w:rPr>
        <w:t>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12.4每种服务只能有一个投标报价。采购人不接受具有附加条件的报价。</w:t>
      </w:r>
    </w:p>
    <w:p>
      <w:pPr>
        <w:adjustRightInd w:val="0"/>
        <w:snapToGrid w:val="0"/>
        <w:spacing w:line="360" w:lineRule="auto"/>
        <w:rPr>
          <w:rFonts w:ascii="仿宋_GB2312" w:hAnsi="仿宋_GB2312" w:eastAsia="仿宋_GB2312" w:cs="仿宋_GB2312"/>
          <w:szCs w:val="21"/>
        </w:rPr>
      </w:pPr>
      <w:bookmarkStart w:id="38" w:name="_Toc22507_WPSOffice_Level2"/>
      <w:bookmarkStart w:id="39" w:name="_Toc31973_WPSOffice_Level2"/>
      <w:r>
        <w:rPr>
          <w:rFonts w:hint="eastAsia" w:ascii="仿宋_GB2312" w:hAnsi="仿宋_GB2312" w:eastAsia="仿宋_GB2312" w:cs="仿宋_GB2312"/>
          <w:szCs w:val="21"/>
        </w:rPr>
        <w:t>12.5除非招标文件另有规定，报价原则上精确到小数点后两位。</w:t>
      </w:r>
      <w:bookmarkEnd w:id="38"/>
      <w:bookmarkEnd w:id="39"/>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★13.投标保证金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13.1投标人应提交投标人须知表13.1条中规定的投标保证金，并作为其投标的一部分。</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13.2投标保证金缴纳人、招标文件领取人、投标登记人和投标人必须为同一组织机构或联合体内不同成员单位，否则将视同未按招标文件规定交纳投标保证金。</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13.3投标人存在下列情形的，投标保证金不予退还:</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（1）在投标有效期内，投标人撤销投标的;</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（2）中标后不按本须知第34条的规定与采购人签订合同的;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（3）中标后不按本须知第35条的规定提交履约保证金的;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（4）中标后不按本须知第36条的规定缴纳采购代理服务费的;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（5）存在其他违法违规行为的。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13.4联合体投标的，可以由联合体中的一方或者共同提交投标保证金。以一方名义提交投标保证金的，对联合体各方均具有约束力。</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13.5投标保证金的退还</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13.5.1中标人应在与采购人签订合同之日起5个工作日内，及时联系保证金收受机构办理投标保证金退还手续。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13.5.2未中标投标人的投标保证金将在中标通知书发出之日暨中标结果公告公布之日起5个工作日内无息退还。投标人应及时联系保证金收受机构办理退还投标保证金手续。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13.5.3投标人在投标截止时间前撤回已提交的投标文件的，投标人应自采购人或者采购代理机构收到投标人书面撤回通知之日起５个工作日内，及时联系保证金收受机构办理投标保证金退还手续。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13.5.4政府采购投标担保函不予退回。</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13.6因投标人自身原因导致无法及时退还的，采购人或采购代理机构将不承担相应责任。</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14.证明投标标的的合格性和符合招标文件规定的技术文件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14.1投标人应提交证明文件，证明其投标内容符合招标文件规定。该证明文件是投标文件的一部分。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14.2上条所述的证明文件，可以是文字资料、图纸和数据。</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15.投标有效期</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15.1投标应在投标人须知表15.1条中规定的投标有效期内保持有效。投标有效期不满足要求的投标，其投标将被认定为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numPr>
          <w:ilvl w:val="0"/>
          <w:numId w:val="4"/>
        </w:num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投标文件的签署及规定</w:t>
      </w:r>
      <w:bookmarkStart w:id="40" w:name="_Toc27725_WPSOffice_Level2"/>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16.1、本项目实行电子招投标响应，供应商须登录政采云平台申请获取采购文件，并需要使用CA锁，登录政采云电子投标客户端制作响应文件，若供应商参与投标,自行承担与投标有关的一切费用。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16.2、各供应商应在开标前确保是新疆维吾尔自治区政府采购网正式注册入库的供应商，并完成CA数字证书申领。因未注册入库、未办理CA数字证书等原因造成无法投标或投标失败等后果的由供应商自行承担。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16.3、供应商可前往新疆政府采购网（http://www.zcygov.cn/）下载专区，下载政采云电子投标客户端，安装完成后，可通过账号密码或CA登录客户端进行响应文件制作。在使用政采云电子投标客户端时，建议使用WIN7及以上操作系统。若对项目采购电子交易系统操作有疑问，可登录“政采云”平台（https://login.zcygov.cn/），点击右侧咨询小采，获取采小蜜智能服务管家帮助，或拨打政采云服务热线400-881-7190获取热线服务帮助。</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16.4、供应商在开标时须携带制作加密电子响应文件所使用的CA锁，电脑须提前配置好浏览器（建议使用360浏览器或谷歌浏览器），以便开标时在线解密。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16.5、投标供应商应当在投标截止时间前，将生成的“电子加密响应文件”上传递交至“政采云”平台，投标截止时间以后上传递交的响应文件将被“政采云”平台拒收。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16.6、其他内容详见采购文件。</w:t>
      </w:r>
    </w:p>
    <w:p>
      <w:pPr>
        <w:pStyle w:val="4"/>
        <w:adjustRightInd w:val="0"/>
        <w:snapToGrid w:val="0"/>
        <w:spacing w:before="312" w:beforeLines="100" w:after="0" w:line="360" w:lineRule="auto"/>
        <w:rPr>
          <w:rFonts w:ascii="仿宋_GB2312" w:hAnsi="仿宋_GB2312" w:eastAsia="仿宋_GB2312" w:cs="仿宋_GB2312"/>
          <w:b w:val="0"/>
          <w:sz w:val="21"/>
          <w:szCs w:val="21"/>
        </w:rPr>
      </w:pPr>
      <w:r>
        <w:rPr>
          <w:rFonts w:hint="eastAsia" w:ascii="仿宋_GB2312" w:hAnsi="仿宋_GB2312" w:eastAsia="仿宋_GB2312" w:cs="仿宋_GB2312"/>
        </w:rPr>
        <w:t>五 响应文件的递交</w:t>
      </w:r>
    </w:p>
    <w:bookmarkEnd w:id="40"/>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★17.递交响应文件截止</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17.1、本项目为全流程电子开评标项目，供应商须在响应文件递交截止时间前制作并提交：</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加密的响应文件（jmbs格式），并在文件领取开始时间至响应文件递交截止时间前通过“政采云平台”上传；上传时必须得到电脑“上传成功”的确认。请供应商在上传时认真检查上传响应文件是否完整、正确。</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17.2文件格式所要求包含的全部资料应全部制作在响应文件内，严格按照本项目文件所有格式如实填写（不涉及的内容除外），不应存在漏项或缺项，否则将存在响应文件被拒绝的风险。</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17.3响应文件以外的任何资料采购人将拒收。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17.4供应商编辑电子响应文件时，根据文件要求用法人CA秘钥和企业CA秘钥进行签章制作；最后一步生成电子征集响应文件（jmbs格式）时，只能用本单位的企业CA秘钥加密。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17.5响应文件封面或扉页必须加盖供应商单位公章及法定代表人签字。供应商必须按照文件的规定和要求在指定位置签字或盖章。签字位置必须为法定代表人或委托代理人亲笔签名，使用CA锁电子签名或者亲笔签字后整页扫描上传，否则按无效投标处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18. 投标文件的接收、修改与撤回</w:t>
      </w:r>
    </w:p>
    <w:p>
      <w:pPr>
        <w:adjustRightInd w:val="0"/>
        <w:snapToGrid w:val="0"/>
        <w:spacing w:line="360" w:lineRule="auto"/>
        <w:rPr>
          <w:rFonts w:ascii="仿宋_GB2312" w:hAnsi="仿宋_GB2312" w:eastAsia="仿宋_GB2312" w:cs="仿宋_GB2312"/>
          <w:szCs w:val="21"/>
        </w:rPr>
      </w:pPr>
      <w:bookmarkStart w:id="41" w:name="_Toc988_WPSOffice_Level2"/>
      <w:bookmarkStart w:id="42" w:name="_Toc4544_WPSOffice_Level2"/>
      <w:r>
        <w:rPr>
          <w:rFonts w:hint="eastAsia" w:ascii="仿宋_GB2312" w:hAnsi="仿宋_GB2312" w:eastAsia="仿宋_GB2312" w:cs="仿宋_GB2312"/>
          <w:szCs w:val="21"/>
        </w:rPr>
        <w:t>18.1 供应商在响应文件规定的递交截止时间前，将响应文件按供应商须知第16条规定解密递交。未按文件要求将加密递交的响应文件将被拒绝。</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18.2不接受邮寄的征集响应文件。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18.3供应商在递交了征集响应文件后，可以修改或撤回其征集响应文件，但必须在规定的递交截止时间前，以书面形式通知采购代理机构。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18.4在递交截止时间之后，供应商不得对其递交的征集响应文件作任何修改或撤回。</w:t>
      </w:r>
    </w:p>
    <w:p>
      <w:pPr>
        <w:adjustRightInd w:val="0"/>
        <w:snapToGrid w:val="0"/>
        <w:spacing w:line="360" w:lineRule="auto"/>
        <w:jc w:val="center"/>
        <w:rPr>
          <w:rFonts w:ascii="仿宋_GB2312" w:hAnsi="仿宋_GB2312" w:eastAsia="仿宋_GB2312" w:cs="仿宋_GB2312"/>
          <w:sz w:val="32"/>
          <w:szCs w:val="28"/>
        </w:rPr>
      </w:pPr>
      <w:r>
        <w:rPr>
          <w:rFonts w:hint="eastAsia" w:ascii="仿宋_GB2312" w:hAnsi="仿宋_GB2312" w:eastAsia="仿宋_GB2312" w:cs="仿宋_GB2312"/>
          <w:sz w:val="32"/>
          <w:szCs w:val="28"/>
        </w:rPr>
        <w:t>六 开标及评标</w:t>
      </w:r>
      <w:bookmarkEnd w:id="41"/>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20.开标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20.1.1代理单位按照文件规定的时间，地点组织开标。响应文件递交截止时间前一小时内，各投标供应商的法定代表人或委托代理人均提前进入网上开标大厅，选择进入对应标段的开标会议区在线签到。</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20.1.2有重大偏离的响应文件将被拒绝。</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20.1.3 开标程序</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主持人按下列程序进行开标：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1）主持人登录网上开标大厅，进入不见面开标系统，选择本项目进行网上开标。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2）各供应商的授权委托人或法定代表人需在响应文件递交截止时间前一小时内进入网上开标大厅。响应文件递交截止时间截止后，根据主持人的要求在规定的时间内进行征集响应文件的解密。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3）主持人在供应商全部解密响应文件成功后，导入全部投标响应文件，根据投标报价进行唱标环节。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4）唱标环节结束后，供应商确认有无异议，若供应商有异议，可一一作出答复，所有供应商确认无异议后开标结束。</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5）开标结束，采购代理机构对开标过程进行记录，并存档备查。转入评标阶段。</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6）招标代理人对开标过程进行记录，并存档备查；</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21评标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详见文件第四部分 评标办法</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22响应文件的澄清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22.3.1评标委员会有权请供应商就响应文件中的有关问题予以书面说明和澄清。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22.3.2 供应商对要求说明和澄清的问题应以书面形式明确答复，并应有法定代表人或其授权代表的签字。</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22.3.3 供应商的澄清文件是响应文件的组成部分，并替代响应文件中被澄清的部分。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22.3.4 响应文件的澄清不得超出响应文件的范围或者改变投标的实质内容。</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23.废标条件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23.1未按照文件的规定提交投标保证金的；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23.2响应文件未按征集文件要求签字、盖章的；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23.3不具备文件中规定的资格要求的；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23.4报价超过文件中规定的最高限价的；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23.5投标截止时间以后送达；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23.6无法人身份证明书的或无法定代表人出具的授权委托书的；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23.7响应文件的内容不全、扫描件不清晰或者关键内容字迹模糊、无法辨认的；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23.8供应商递交两份或多份内容不同的响应文件，或在一份响应文件中对同一招标货物报有两个或多个报价的；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23.9响应文件含有采购人不能接受的附加条件的；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23.10供应商以他人名义投标、响应文件雷同或者以弄虚作假等方式投标的；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23.11出现其他不符合法律法规和不满足文件实质性要求的其他情形；</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23.12未按照文件格式制作响应文件的；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23.13响应文件中所附证件或证明材料无效不能实质性响应征集文件的；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23.4如采购人所采购产品为政府强制采购产品，供应商所投产品不属于品目清单范围内或未在认证证书有效期内的。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 xml:space="preserve">23.15文件中明确规定可以废标的其他情形；                     </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23.16违反法律、法规及有关规定的其他行为。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24有下列情形之一的，视为供应商串通投标，其投标无效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24.1不同供应商的响应文件由同一单位或者个人编制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24.2不同供应商委托同一单位或者个人办理投标事宜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24.3不同供应商的响应文件载明的项目管理成员或者联系人员为同一人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24.4不同供应商的响应文件异常一致或者投标报价呈规律性差异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24.5不同供应商的响应文件互相混装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24.6不同供应商的投标保证金从同一单位或者个人的账户转出。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25其它</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25.1评标委员会有权选择和拒绝供应商中标。评标委员会无义务向供应商进行任何有关评标的解释。</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25.2供应商在评标过程中，所进行的力图影响评标结果的不符合招标规定的活动，可能导致其被取消中标资格。</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26.比较与评价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26.1经符合性审查合格的投标文件，评标委员会将根据招标文件确定的评标方法和标准，对其技术部分和商务部分作进一步的比较和评价。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26.2评标严格按照招标文件的要求和条件进行。根据实际情况，在投标人须知表27.2条中规定采用下列一种评标方法，详细评标标准见第四章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（1）最低评标价法，是指投标文件满足招标文件全部实质性要求，且投标报价最低的投标人为中标候选人的评标方法。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（2）综合评分法，是指投标文件满足招标文件全部实质性要求，且按照评审因素的量化指标评审得分最高的投标人为中标候选人的评标方法。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26.3 根据《财政部 工业和信息化部关于印发&lt;政府采购促进中小企业发展管理办法&gt;的通知》（财库[2020]46号）、《财政部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或省级以上监狱管理局、戒毒管理局（含新疆生产建设兵团）出具的属于监狱企业的证明文件的投标人， 其投标报价扣除 10-20%后参与评审。具体详见第四章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26.4 依据财政部、发展改革委、生态环境部等部门发布的品目清单和国家确定的认证机构出具的、处于有效期之内的节能产品、环境标志产品认证证书实施政府优先采购。具体优先采购办法详见第四章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26.5依据财政部 国务院扶贫办《关于运用政府采购政策支持脱贫攻坚的通知》（财库〔2019〕27 号）的规定，对于聘用建档立卡贫困人员物业公司的项目，在满足价格扣除条件且在投标文件中提交了《聘用建档立卡贫困人员物业公司声明函》的投标人，对其投标报价扣除后参与评审。对具体办法详见第四章 评标方法。</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28.中标候选人的推荐原则及标准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28.1除第32条规定外，评标委员会将根据评标标准，对实质上响应招标文件的投标人按下列方法进行排序，推荐中标候选人：</w:t>
      </w:r>
    </w:p>
    <w:p>
      <w:pPr>
        <w:adjustRightInd w:val="0"/>
        <w:snapToGrid w:val="0"/>
        <w:spacing w:line="360" w:lineRule="auto"/>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adjustRightInd w:val="0"/>
        <w:snapToGrid w:val="0"/>
        <w:spacing w:line="360" w:lineRule="auto"/>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（2）采用综合评分法的，评标结果按评审后得分由高到低顺序排列。得分相同的，按第四章评标办法规定执行。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28.2评标委员会将根据评标标准，按投标人须知表29.2条中规定的数量推荐中标候选人。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28.3因推荐中标候选人名单产生其他问题，由评标委员会集体研究处理。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30.保密原则</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30.1评标将在严格保密的情况下进行。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30.2有关人员应当遵守评标工作纪律，不得泄露评审文件、评标情况和评标过程中获悉的国家秘密、商业秘密。</w:t>
      </w:r>
    </w:p>
    <w:p>
      <w:pPr>
        <w:pStyle w:val="4"/>
        <w:rPr>
          <w:rFonts w:ascii="仿宋_GB2312" w:hAnsi="仿宋_GB2312" w:eastAsia="仿宋_GB2312" w:cs="仿宋_GB2312"/>
          <w:sz w:val="32"/>
          <w:szCs w:val="28"/>
        </w:rPr>
      </w:pPr>
      <w:r>
        <w:rPr>
          <w:rFonts w:hint="eastAsia" w:ascii="仿宋_GB2312" w:hAnsi="仿宋_GB2312" w:eastAsia="仿宋_GB2312" w:cs="仿宋_GB2312"/>
          <w:sz w:val="32"/>
          <w:szCs w:val="28"/>
        </w:rPr>
        <w:t>七 确定中标</w:t>
      </w:r>
      <w:bookmarkEnd w:id="42"/>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31.确定中标人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由采购人或者采购人委托评标委员会按照投标人须知表31中规定的方式确定中标人。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★32.采购任务取消</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因重大变故采购任务取消时，采购人有权拒绝任何供应商中标，且对受影响的投标人不承担任何责任。</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33.中标通知书</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33.1采购人或者采购代理机构应当自中标人确定之日起2个工作日内，在</w:t>
      </w:r>
      <w:r>
        <w:rPr>
          <w:rFonts w:eastAsia="楷体"/>
          <w:sz w:val="24"/>
        </w:rPr>
        <w:t>新疆政府采购网</w:t>
      </w:r>
      <w:r>
        <w:rPr>
          <w:rFonts w:hint="eastAsia" w:ascii="仿宋_GB2312" w:hAnsi="仿宋_GB2312" w:eastAsia="仿宋_GB2312" w:cs="仿宋_GB2312"/>
          <w:szCs w:val="21"/>
        </w:rPr>
        <w:t>媒体上公告中标结果。同时向中标人发出中标通知书。</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33.2中标通知书是合同的组成部分。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34.签订合同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34.1中标人应当自发出中标通知书之日起 30 日内，与采购人签订书面合同。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34.3中标人拒绝与采购人签订合同的，采购人可以按照评标报告推荐的中标候选人名单排序，确定下一中标候选人为中标人，也可以重新开展政府采购活动。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35.履约保证金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35.1中标人应按照投标人须知表35.1条规定向采购人缴纳履约保证金。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35.2 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36.采购代理服务费</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中标人须按照投标须知表36条规定，向采购代理机构支付采购代理服务费。</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37.廉洁自律规定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37.1 采购代理机构工作人员不得以不正当手段获取政府采购代理业务，不得与采购人、投标人恶意串通操纵政府采购活动。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37.2 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38.人员回避</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39.质疑与接收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39.2质疑投标人应按照财政部门制定的《政府采购质疑函范本》格式和《政府采购质疑和投诉办法》的要求，在法定质疑期内以纸质形式提出质疑，针对同一采购程序环节的质疑应一次性提出。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超出法定质疑期的、重复提出的、分次提出的或内容、形式不符合《政府采购质疑和投诉办法》的，质疑投标人将依法承担不利后果。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39.3采购代理机构质疑函接收部门、联系电话和通讯地址, 见投标人须知表39.3条。</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40.履约验收</w:t>
      </w:r>
    </w:p>
    <w:p>
      <w:pPr>
        <w:adjustRightInd w:val="0"/>
        <w:snapToGrid w:val="0"/>
        <w:spacing w:line="360" w:lineRule="auto"/>
        <w:ind w:firstLine="420"/>
        <w:rPr>
          <w:rFonts w:ascii="仿宋_GB2312" w:hAnsi="仿宋_GB2312" w:eastAsia="仿宋_GB2312" w:cs="仿宋_GB2312"/>
          <w:szCs w:val="21"/>
        </w:rPr>
      </w:pPr>
      <w:r>
        <w:rPr>
          <w:rFonts w:hint="eastAsia" w:ascii="仿宋_GB2312" w:hAnsi="仿宋_GB2312" w:eastAsia="仿宋_GB2312" w:cs="仿宋_GB2312"/>
          <w:szCs w:val="21"/>
        </w:rPr>
        <w:t>本项目采购人及其委托的采购代理机构将严格按照政府采购相关法律法规的要求进行验收。</w:t>
      </w: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ind w:firstLine="420"/>
        <w:rPr>
          <w:rFonts w:ascii="仿宋_GB2312" w:hAnsi="仿宋_GB2312" w:eastAsia="仿宋_GB2312" w:cs="仿宋_GB2312"/>
          <w:b/>
        </w:rPr>
        <w:sectPr>
          <w:footerReference r:id="rId4" w:type="default"/>
          <w:pgSz w:w="11906" w:h="16838"/>
          <w:pgMar w:top="1440" w:right="1803" w:bottom="1440" w:left="1803" w:header="851" w:footer="992" w:gutter="0"/>
          <w:pgNumType w:start="1"/>
          <w:cols w:space="720" w:num="1"/>
          <w:docGrid w:type="linesAndChars" w:linePitch="312" w:charSpace="0"/>
        </w:sectPr>
      </w:pPr>
    </w:p>
    <w:p>
      <w:pPr>
        <w:pStyle w:val="3"/>
        <w:snapToGrid w:val="0"/>
        <w:spacing w:before="0" w:after="0"/>
        <w:rPr>
          <w:rFonts w:ascii="仿宋_GB2312" w:hAnsi="仿宋_GB2312" w:eastAsia="仿宋_GB2312" w:cs="仿宋_GB2312"/>
        </w:rPr>
      </w:pPr>
      <w:bookmarkStart w:id="43" w:name="_Toc20672"/>
      <w:bookmarkStart w:id="44" w:name="_Toc17725_WPSOffice_Level1"/>
      <w:bookmarkStart w:id="45" w:name="_Toc13351"/>
      <w:r>
        <w:rPr>
          <w:rFonts w:hint="eastAsia" w:ascii="仿宋_GB2312" w:hAnsi="仿宋_GB2312" w:eastAsia="仿宋_GB2312" w:cs="仿宋_GB2312"/>
        </w:rPr>
        <w:t>第二章 投标文件内容及格式</w:t>
      </w:r>
      <w:bookmarkEnd w:id="43"/>
      <w:bookmarkEnd w:id="44"/>
      <w:bookmarkEnd w:id="45"/>
    </w:p>
    <w:p>
      <w:pPr>
        <w:rPr>
          <w:rFonts w:ascii="仿宋_GB2312" w:hAnsi="仿宋_GB2312" w:eastAsia="仿宋_GB2312" w:cs="仿宋_GB2312"/>
          <w:b/>
          <w:sz w:val="24"/>
        </w:rPr>
      </w:pPr>
      <w:bookmarkStart w:id="46" w:name="投标文件内容及格式：Block"/>
      <w:bookmarkEnd w:id="46"/>
      <w:bookmarkStart w:id="47" w:name="sys_投标文件内容及格式：Block"/>
      <w:bookmarkEnd w:id="47"/>
      <w:bookmarkStart w:id="48" w:name="_Toc1538_WPSOffice_Level2"/>
      <w:bookmarkStart w:id="49" w:name="_Toc2481_WPSOffice_Level2"/>
      <w:r>
        <w:rPr>
          <w:rFonts w:hint="eastAsia" w:ascii="仿宋_GB2312" w:hAnsi="仿宋_GB2312" w:eastAsia="仿宋_GB2312" w:cs="仿宋_GB2312"/>
          <w:b/>
          <w:sz w:val="24"/>
        </w:rPr>
        <w:t>一、投标文件、电子文档的外封面、封口、封皮及目录</w:t>
      </w:r>
      <w:bookmarkEnd w:id="48"/>
      <w:bookmarkEnd w:id="49"/>
    </w:p>
    <w:tbl>
      <w:tblPr>
        <w:tblStyle w:val="14"/>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95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53"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内容</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53" w:type="dxa"/>
            <w:vAlign w:val="center"/>
          </w:tcPr>
          <w:p>
            <w:pPr>
              <w:widowControl/>
              <w:adjustRightInd w:val="0"/>
              <w:snapToGrid w:val="0"/>
              <w:jc w:val="left"/>
              <w:rPr>
                <w:rFonts w:ascii="仿宋_GB2312" w:hAnsi="仿宋_GB2312" w:eastAsia="仿宋_GB2312" w:cs="仿宋_GB2312"/>
                <w:b/>
                <w:kern w:val="0"/>
                <w:szCs w:val="21"/>
              </w:rPr>
            </w:pPr>
            <w:r>
              <w:rPr>
                <w:rFonts w:hint="eastAsia" w:ascii="仿宋_GB2312" w:hAnsi="仿宋_GB2312" w:eastAsia="仿宋_GB2312" w:cs="仿宋_GB2312"/>
                <w:kern w:val="0"/>
                <w:szCs w:val="21"/>
              </w:rPr>
              <w:t>投标文件、电子文档的外封面及封口</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953" w:type="dxa"/>
            <w:vAlign w:val="center"/>
          </w:tcPr>
          <w:p>
            <w:pPr>
              <w:widowControl/>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投标文件的封皮</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6953" w:type="dxa"/>
            <w:vAlign w:val="center"/>
          </w:tcPr>
          <w:p>
            <w:pPr>
              <w:widowControl/>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投标文件的目录</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r>
    </w:tbl>
    <w:p>
      <w:pPr>
        <w:snapToGrid w:val="0"/>
        <w:spacing w:before="159" w:beforeLines="50"/>
        <w:rPr>
          <w:rFonts w:ascii="仿宋_GB2312" w:hAnsi="仿宋_GB2312" w:eastAsia="仿宋_GB2312" w:cs="仿宋_GB2312"/>
          <w:b/>
          <w:sz w:val="24"/>
        </w:rPr>
      </w:pPr>
      <w:bookmarkStart w:id="50" w:name="_Toc1266_WPSOffice_Level2"/>
      <w:bookmarkStart w:id="51" w:name="_Toc31052_WPSOffice_Level2"/>
      <w:r>
        <w:rPr>
          <w:rFonts w:hint="eastAsia" w:ascii="仿宋_GB2312" w:hAnsi="仿宋_GB2312" w:eastAsia="仿宋_GB2312" w:cs="仿宋_GB2312"/>
          <w:b/>
          <w:sz w:val="24"/>
        </w:rPr>
        <w:t>二、资格证明材料</w:t>
      </w:r>
      <w:bookmarkEnd w:id="50"/>
      <w:bookmarkEnd w:id="51"/>
      <w:r>
        <w:rPr>
          <w:rFonts w:hint="eastAsia" w:ascii="仿宋_GB2312" w:hAnsi="仿宋_GB2312" w:eastAsia="仿宋_GB2312" w:cs="仿宋_GB2312"/>
          <w:b/>
          <w:sz w:val="24"/>
        </w:rPr>
        <w:t>（有一项不符合要求，不能进入下一阶段评审）</w:t>
      </w:r>
    </w:p>
    <w:tbl>
      <w:tblPr>
        <w:tblStyle w:val="14"/>
        <w:tblW w:w="8339" w:type="dxa"/>
        <w:tblInd w:w="0" w:type="dxa"/>
        <w:tblLayout w:type="fixed"/>
        <w:tblCellMar>
          <w:top w:w="0" w:type="dxa"/>
          <w:left w:w="0" w:type="dxa"/>
          <w:bottom w:w="0" w:type="dxa"/>
          <w:right w:w="0" w:type="dxa"/>
        </w:tblCellMar>
      </w:tblPr>
      <w:tblGrid>
        <w:gridCol w:w="666"/>
        <w:gridCol w:w="6924"/>
        <w:gridCol w:w="749"/>
      </w:tblGrid>
      <w:tr>
        <w:tblPrEx>
          <w:tblCellMar>
            <w:top w:w="0" w:type="dxa"/>
            <w:left w:w="0" w:type="dxa"/>
            <w:bottom w:w="0" w:type="dxa"/>
            <w:right w:w="0" w:type="dxa"/>
          </w:tblCellMar>
        </w:tblPrEx>
        <w:trPr>
          <w:trHeight w:val="312" w:hRule="atLeast"/>
          <w:tblHeader/>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bookmarkStart w:id="52" w:name="sys_资格性证明材料：Document"/>
            <w:bookmarkStart w:id="53" w:name="资格性证明材料：Document"/>
            <w:r>
              <w:rPr>
                <w:rFonts w:hint="eastAsia" w:ascii="仿宋_GB2312" w:hAnsi="仿宋_GB2312" w:eastAsia="仿宋_GB2312" w:cs="仿宋_GB2312"/>
                <w:szCs w:val="21"/>
              </w:rPr>
              <w:t>序号</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资格性证明材料</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格式</w:t>
            </w:r>
          </w:p>
        </w:tc>
      </w:tr>
      <w:tr>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营业执照或事业单位法人证书或执业许可证等证明文件复印件或自然人的身份证明复印件（自然人身份证明仅在自然人作为投标主体时适用）</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组织机构代码证复印件（三证合一的不需提供）</w:t>
            </w:r>
          </w:p>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税务登记证复印件（三证合一的不需提供）</w:t>
            </w:r>
          </w:p>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312"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法定代表人（或非法人组织负责人）身份证明书（自然人投标的无需提供）</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法定代表人（或非法人组织负责人）授权委托书（授权委托人参加投标的须提供）</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r>
      <w:tr>
        <w:tblPrEx>
          <w:tblCellMar>
            <w:top w:w="0" w:type="dxa"/>
            <w:left w:w="0" w:type="dxa"/>
            <w:bottom w:w="0" w:type="dxa"/>
            <w:right w:w="0" w:type="dxa"/>
          </w:tblCellMar>
        </w:tblPrEx>
        <w:trPr>
          <w:trHeight w:val="1217"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 w:hAnsi="仿宋" w:cs="仿宋"/>
                <w:szCs w:val="21"/>
                <w:lang w:val="en-US" w:eastAsia="zh-CN"/>
              </w:rPr>
              <w:t>投标人须提供投标人所在地社会保险经办机构出具的“提交首次响应文件时间”前3个月内单位实缴社会保险费用证明原件，若供应商成立不满3个月，则提供自成立以来的单位实缴社会保险费用证明原件</w:t>
            </w:r>
            <w:r>
              <w:rPr>
                <w:rFonts w:hint="eastAsia" w:ascii="仿宋_GB2312" w:hAnsi="仿宋_GB2312" w:eastAsia="仿宋_GB2312" w:cs="仿宋_GB2312"/>
                <w:szCs w:val="21"/>
              </w:rPr>
              <w:t>（注：依法免税的投标人，应提供相关证明材料，包括相关法规要求原文及加盖单位公章的情况说明）</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1217"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 w:hAnsi="仿宋" w:cs="仿宋"/>
                <w:szCs w:val="21"/>
                <w:lang w:val="en-US" w:eastAsia="zh-CN"/>
              </w:rPr>
              <w:t>投标人须提供本单位营业执照所在地税务机关出具“提交首次响应文件时间”前3个月的税收证明原件；若供应商成立不满3个月，则提供自成立以来的税收证明原件</w:t>
            </w:r>
            <w:r>
              <w:rPr>
                <w:rFonts w:hint="eastAsia" w:ascii="仿宋_GB2312" w:hAnsi="仿宋_GB2312" w:eastAsia="仿宋_GB2312" w:cs="仿宋_GB2312"/>
                <w:szCs w:val="21"/>
              </w:rPr>
              <w:t>（注：依法不需要缴纳社会保障资金的投标人，应提供相关证明材料，包括相关法规要求原文及加盖公章的情况说明）</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参加政府采购活动前3年内在经营活动中没有重大违法记录的书面声明</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8</w:t>
            </w: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其它资格证明文件（如适用，按投标人须知表1.3.4要求描述）</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14</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信用记录（采购人或采购代理机构将按照招标文件规定的审查期间内进行查询）</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联合体各方均需查询（如适用）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default" w:ascii="仿宋_GB2312" w:hAnsi="仿宋_GB2312" w:eastAsia="仿宋_GB2312" w:cs="仿宋_GB2312"/>
                <w:szCs w:val="21"/>
                <w:lang w:val="en-US" w:eastAsia="zh-CN"/>
              </w:rPr>
            </w:pPr>
            <w:bookmarkStart w:id="54" w:name="_Toc25206_WPSOffice_Level2"/>
            <w:bookmarkStart w:id="55" w:name="_Toc22359_WPSOffice_Level2"/>
            <w:r>
              <w:rPr>
                <w:rFonts w:hint="eastAsia" w:ascii="仿宋_GB2312" w:hAnsi="仿宋_GB2312" w:eastAsia="仿宋_GB2312" w:cs="仿宋_GB2312"/>
                <w:szCs w:val="21"/>
                <w:lang w:val="en-US" w:eastAsia="zh-CN"/>
              </w:rPr>
              <w:t>15</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中小企业声明函</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r>
    </w:tbl>
    <w:p>
      <w:pPr>
        <w:snapToGrid w:val="0"/>
        <w:spacing w:before="159" w:beforeLines="50"/>
        <w:rPr>
          <w:rFonts w:hint="eastAsia" w:ascii="仿宋_GB2312" w:hAnsi="仿宋_GB2312" w:eastAsia="仿宋_GB2312" w:cs="仿宋_GB2312"/>
          <w:b/>
          <w:sz w:val="24"/>
        </w:rPr>
      </w:pPr>
    </w:p>
    <w:p>
      <w:pPr>
        <w:snapToGrid w:val="0"/>
        <w:spacing w:before="159" w:beforeLines="50"/>
        <w:rPr>
          <w:rFonts w:hint="eastAsia" w:ascii="仿宋_GB2312" w:hAnsi="仿宋_GB2312" w:eastAsia="仿宋_GB2312" w:cs="仿宋_GB2312"/>
          <w:b/>
          <w:sz w:val="24"/>
        </w:rPr>
      </w:pPr>
    </w:p>
    <w:p>
      <w:pPr>
        <w:snapToGrid w:val="0"/>
        <w:spacing w:before="159" w:beforeLines="50"/>
        <w:rPr>
          <w:rFonts w:ascii="仿宋_GB2312" w:hAnsi="仿宋_GB2312" w:eastAsia="仿宋_GB2312" w:cs="仿宋_GB2312"/>
          <w:b/>
          <w:sz w:val="24"/>
        </w:rPr>
      </w:pPr>
      <w:r>
        <w:rPr>
          <w:rFonts w:hint="eastAsia" w:ascii="仿宋_GB2312" w:hAnsi="仿宋_GB2312" w:eastAsia="仿宋_GB2312" w:cs="仿宋_GB2312"/>
          <w:b/>
          <w:sz w:val="24"/>
        </w:rPr>
        <w:t>三、符合性证明材料</w:t>
      </w:r>
      <w:bookmarkEnd w:id="54"/>
      <w:bookmarkEnd w:id="55"/>
      <w:r>
        <w:rPr>
          <w:rFonts w:hint="eastAsia" w:ascii="仿宋_GB2312" w:hAnsi="仿宋_GB2312" w:eastAsia="仿宋_GB2312" w:cs="仿宋_GB2312"/>
          <w:b/>
          <w:sz w:val="24"/>
        </w:rPr>
        <w:t>（有一项不符合要求，不能进入下一阶段评审）</w:t>
      </w:r>
    </w:p>
    <w:bookmarkEnd w:id="52"/>
    <w:bookmarkEnd w:id="53"/>
    <w:tbl>
      <w:tblPr>
        <w:tblStyle w:val="14"/>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957"/>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5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符合性证明材料</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递交投标保证金证明材料复印件</w:t>
            </w:r>
          </w:p>
        </w:tc>
        <w:tc>
          <w:tcPr>
            <w:tcW w:w="770" w:type="dxa"/>
            <w:vAlign w:val="center"/>
          </w:tcPr>
          <w:p>
            <w:pPr>
              <w:adjustRightInd w:val="0"/>
              <w:snapToGrid w:val="0"/>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开标一览表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服务价格明细表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服务需求响应表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商务条款偏离表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投标人关联单位说明</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kern w:val="0"/>
                <w:szCs w:val="21"/>
              </w:rPr>
              <w:t>8</w:t>
            </w:r>
          </w:p>
        </w:tc>
        <w:tc>
          <w:tcPr>
            <w:tcW w:w="6957" w:type="dxa"/>
            <w:vAlign w:val="center"/>
          </w:tcPr>
          <w:p>
            <w:pPr>
              <w:adjustRightInd w:val="0"/>
              <w:snapToGrid w:val="0"/>
              <w:rPr>
                <w:rFonts w:ascii="仿宋_GB2312" w:hAnsi="仿宋_GB2312" w:eastAsia="仿宋_GB2312" w:cs="仿宋_GB2312"/>
                <w:b/>
                <w:szCs w:val="21"/>
              </w:rPr>
            </w:pPr>
            <w:r>
              <w:rPr>
                <w:rFonts w:hint="eastAsia" w:ascii="仿宋_GB2312" w:hAnsi="仿宋_GB2312" w:eastAsia="仿宋_GB2312" w:cs="仿宋_GB2312"/>
                <w:kern w:val="0"/>
                <w:szCs w:val="21"/>
              </w:rPr>
              <w:t>其他符合性证明材料</w:t>
            </w:r>
          </w:p>
        </w:tc>
        <w:tc>
          <w:tcPr>
            <w:tcW w:w="770" w:type="dxa"/>
            <w:vAlign w:val="center"/>
          </w:tcPr>
          <w:p>
            <w:pPr>
              <w:adjustRightInd w:val="0"/>
              <w:snapToGrid w:val="0"/>
              <w:jc w:val="center"/>
              <w:rPr>
                <w:rFonts w:ascii="仿宋_GB2312" w:hAnsi="仿宋_GB2312" w:eastAsia="仿宋_GB2312" w:cs="仿宋_GB2312"/>
                <w:kern w:val="0"/>
                <w:szCs w:val="21"/>
              </w:rPr>
            </w:pPr>
          </w:p>
        </w:tc>
      </w:tr>
    </w:tbl>
    <w:p>
      <w:pPr>
        <w:snapToGrid w:val="0"/>
        <w:spacing w:before="159" w:beforeLines="50"/>
        <w:rPr>
          <w:rFonts w:ascii="仿宋_GB2312" w:hAnsi="仿宋_GB2312" w:eastAsia="仿宋_GB2312" w:cs="仿宋_GB2312"/>
          <w:b/>
          <w:sz w:val="24"/>
        </w:rPr>
      </w:pPr>
      <w:bookmarkStart w:id="56" w:name="_Toc27769_WPSOffice_Level2"/>
      <w:bookmarkStart w:id="57" w:name="_Toc24432_WPSOffice_Level2"/>
      <w:r>
        <w:rPr>
          <w:rFonts w:hint="eastAsia" w:ascii="仿宋_GB2312" w:hAnsi="仿宋_GB2312" w:eastAsia="仿宋_GB2312" w:cs="仿宋_GB2312"/>
          <w:b/>
          <w:sz w:val="24"/>
        </w:rPr>
        <w:t>四、其他材料</w:t>
      </w:r>
      <w:bookmarkEnd w:id="56"/>
      <w:bookmarkEnd w:id="57"/>
      <w:r>
        <w:rPr>
          <w:rFonts w:hint="eastAsia" w:ascii="仿宋_GB2312" w:hAnsi="仿宋_GB2312" w:eastAsia="仿宋_GB2312" w:cs="仿宋_GB2312"/>
          <w:b/>
          <w:sz w:val="24"/>
        </w:rPr>
        <w:t>（如有，请提供；如未提供，投标文件不作无效处理）</w:t>
      </w:r>
    </w:p>
    <w:tbl>
      <w:tblPr>
        <w:tblStyle w:val="14"/>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957"/>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5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其他材料</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57" w:type="dxa"/>
            <w:vAlign w:val="center"/>
          </w:tcPr>
          <w:p>
            <w:pPr>
              <w:adjustRightInd w:val="0"/>
              <w:snapToGrid w:val="0"/>
              <w:ind w:left="25" w:leftChars="12"/>
              <w:rPr>
                <w:rFonts w:ascii="仿宋_GB2312" w:hAnsi="仿宋_GB2312" w:eastAsia="仿宋_GB2312" w:cs="仿宋_GB2312"/>
                <w:kern w:val="0"/>
                <w:szCs w:val="21"/>
              </w:rPr>
            </w:pPr>
            <w:r>
              <w:rPr>
                <w:rFonts w:hint="eastAsia" w:ascii="仿宋_GB2312" w:hAnsi="仿宋_GB2312" w:eastAsia="仿宋_GB2312" w:cs="仿宋_GB2312"/>
                <w:kern w:val="0"/>
                <w:szCs w:val="21"/>
              </w:rPr>
              <w:t>监狱企业证明文件</w:t>
            </w:r>
          </w:p>
        </w:tc>
        <w:tc>
          <w:tcPr>
            <w:tcW w:w="770" w:type="dxa"/>
            <w:vAlign w:val="center"/>
          </w:tcPr>
          <w:p>
            <w:pPr>
              <w:adjustRightInd w:val="0"/>
              <w:snapToGrid w:val="0"/>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2</w:t>
            </w:r>
          </w:p>
        </w:tc>
        <w:tc>
          <w:tcPr>
            <w:tcW w:w="6957" w:type="dxa"/>
            <w:vAlign w:val="center"/>
          </w:tcPr>
          <w:p>
            <w:pPr>
              <w:adjustRightInd w:val="0"/>
              <w:snapToGrid w:val="0"/>
              <w:ind w:left="25" w:leftChars="12"/>
              <w:rPr>
                <w:rFonts w:ascii="仿宋_GB2312" w:hAnsi="仿宋_GB2312" w:eastAsia="仿宋_GB2312" w:cs="仿宋_GB2312"/>
                <w:kern w:val="0"/>
                <w:szCs w:val="21"/>
              </w:rPr>
            </w:pPr>
            <w:r>
              <w:rPr>
                <w:rFonts w:hint="eastAsia" w:ascii="仿宋_GB2312" w:hAnsi="仿宋_GB2312" w:eastAsia="仿宋_GB2312" w:cs="仿宋_GB2312"/>
                <w:szCs w:val="21"/>
              </w:rPr>
              <w:t>制造商企业（单位）类型声明函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3</w:t>
            </w:r>
          </w:p>
        </w:tc>
        <w:tc>
          <w:tcPr>
            <w:tcW w:w="6957" w:type="dxa"/>
            <w:vAlign w:val="center"/>
          </w:tcPr>
          <w:p>
            <w:pPr>
              <w:adjustRightInd w:val="0"/>
              <w:snapToGrid w:val="0"/>
              <w:ind w:left="25" w:leftChars="12"/>
              <w:rPr>
                <w:rFonts w:ascii="仿宋_GB2312" w:hAnsi="仿宋_GB2312" w:eastAsia="仿宋_GB2312" w:cs="仿宋_GB2312"/>
                <w:szCs w:val="21"/>
              </w:rPr>
            </w:pPr>
            <w:r>
              <w:rPr>
                <w:rFonts w:hint="eastAsia" w:ascii="仿宋_GB2312" w:hAnsi="仿宋_GB2312" w:eastAsia="仿宋_GB2312" w:cs="仿宋_GB2312"/>
                <w:szCs w:val="21"/>
              </w:rPr>
              <w:t>残疾人福利性单位声明函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4</w:t>
            </w:r>
          </w:p>
        </w:tc>
        <w:tc>
          <w:tcPr>
            <w:tcW w:w="6957" w:type="dxa"/>
            <w:vAlign w:val="center"/>
          </w:tcPr>
          <w:p>
            <w:pPr>
              <w:adjustRightInd w:val="0"/>
              <w:snapToGrid w:val="0"/>
              <w:ind w:left="25" w:leftChars="12"/>
              <w:rPr>
                <w:rFonts w:ascii="仿宋_GB2312" w:hAnsi="仿宋_GB2312" w:eastAsia="仿宋_GB2312" w:cs="仿宋_GB2312"/>
                <w:szCs w:val="21"/>
              </w:rPr>
            </w:pPr>
            <w:r>
              <w:rPr>
                <w:rFonts w:hint="eastAsia" w:ascii="仿宋_GB2312" w:hAnsi="仿宋_GB2312" w:eastAsia="仿宋_GB2312" w:cs="仿宋_GB2312"/>
                <w:szCs w:val="21"/>
              </w:rPr>
              <w:t>聘用建档立卡贫困人员物业公司声明函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82" w:type="dxa"/>
            <w:vAlign w:val="center"/>
          </w:tcPr>
          <w:p>
            <w:pPr>
              <w:adjustRightInd w:val="0"/>
              <w:snapToGrid w:val="0"/>
              <w:jc w:val="center"/>
              <w:rPr>
                <w:rFonts w:ascii="仿宋_GB2312" w:hAnsi="仿宋_GB2312" w:eastAsia="仿宋_GB2312" w:cs="仿宋_GB2312"/>
                <w:kern w:val="0"/>
                <w:szCs w:val="21"/>
              </w:rPr>
            </w:pPr>
          </w:p>
        </w:tc>
        <w:tc>
          <w:tcPr>
            <w:tcW w:w="6957" w:type="dxa"/>
            <w:vAlign w:val="center"/>
          </w:tcPr>
          <w:p>
            <w:pPr>
              <w:pStyle w:val="31"/>
              <w:adjustRightInd w:val="0"/>
              <w:snapToGrid w:val="0"/>
              <w:ind w:left="25" w:leftChars="12"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70" w:type="dxa"/>
            <w:vAlign w:val="center"/>
          </w:tcPr>
          <w:p>
            <w:pPr>
              <w:adjustRightInd w:val="0"/>
              <w:snapToGrid w:val="0"/>
              <w:jc w:val="center"/>
              <w:rPr>
                <w:rFonts w:ascii="仿宋_GB2312" w:hAnsi="仿宋_GB2312" w:eastAsia="仿宋_GB2312" w:cs="仿宋_GB2312"/>
                <w:kern w:val="0"/>
                <w:szCs w:val="21"/>
              </w:rPr>
            </w:pPr>
          </w:p>
        </w:tc>
      </w:tr>
    </w:tbl>
    <w:p>
      <w:pPr>
        <w:adjustRightInd w:val="0"/>
        <w:snapToGrid w:val="0"/>
        <w:spacing w:line="300" w:lineRule="exact"/>
        <w:ind w:firstLine="480" w:firstLineChars="200"/>
        <w:rPr>
          <w:rFonts w:ascii="仿宋_GB2312" w:hAnsi="仿宋_GB2312" w:eastAsia="仿宋_GB2312" w:cs="仿宋_GB2312"/>
          <w:b/>
          <w:sz w:val="24"/>
        </w:rPr>
      </w:pPr>
      <w:r>
        <w:rPr>
          <w:rFonts w:hint="eastAsia" w:ascii="仿宋_GB2312" w:hAnsi="仿宋_GB2312" w:eastAsia="仿宋_GB2312" w:cs="仿宋_GB2312"/>
          <w:b/>
          <w:sz w:val="24"/>
        </w:rPr>
        <w:t xml:space="preserve"> </w:t>
      </w:r>
      <w:bookmarkStart w:id="58" w:name="_Toc24011_WPSOffice_Level2"/>
      <w:bookmarkStart w:id="59" w:name="_Toc23127_WPSOffice_Level2"/>
      <w:r>
        <w:rPr>
          <w:rFonts w:hint="eastAsia" w:ascii="仿宋_GB2312" w:hAnsi="仿宋_GB2312" w:eastAsia="仿宋_GB2312" w:cs="仿宋_GB2312"/>
          <w:b/>
          <w:sz w:val="24"/>
        </w:rPr>
        <w:t>重要提示：</w:t>
      </w:r>
      <w:bookmarkEnd w:id="58"/>
      <w:bookmarkEnd w:id="59"/>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1、投标人提供的证明材料，除需要投标人填报或有特殊说明外，均须按要求提供。</w:t>
      </w:r>
      <w:r>
        <w:rPr>
          <w:rFonts w:hint="eastAsia" w:ascii="仿宋_GB2312" w:hAnsi="仿宋_GB2312" w:eastAsia="仿宋_GB2312" w:cs="仿宋_GB2312"/>
          <w:b/>
          <w:bCs/>
          <w:szCs w:val="21"/>
        </w:rPr>
        <w:t xml:space="preserve"> </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2、投标人在编制投标文件时，对于给定格式的文件内容，必须按照给定的标准格式进行填报；对于没有给定标准格式的文件内容，可以由投标人自行设计。</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3、投标文件应用中文书写。投标文件中所附或所引用的材料不是中文时，应附中文译本，并加盖公章（自然人投标的，无需加盖单位公章，需要签字）。</w:t>
      </w:r>
    </w:p>
    <w:p>
      <w:pPr>
        <w:adjustRightInd w:val="0"/>
        <w:snapToGrid w:val="0"/>
        <w:spacing w:line="30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4、</w:t>
      </w:r>
      <w:r>
        <w:rPr>
          <w:rFonts w:hint="eastAsia" w:ascii="仿宋_GB2312" w:hAnsi="仿宋_GB2312" w:eastAsia="仿宋_GB2312" w:cs="仿宋_GB2312"/>
          <w:b/>
          <w:bCs/>
          <w:szCs w:val="21"/>
        </w:rPr>
        <w:t>“资格证明材料”</w:t>
      </w:r>
      <w:r>
        <w:rPr>
          <w:rFonts w:hint="eastAsia" w:ascii="仿宋_GB2312" w:hAnsi="仿宋_GB2312" w:eastAsia="仿宋_GB2312" w:cs="仿宋_GB2312"/>
        </w:rPr>
        <w:t>所列内容即为采购项目的资格审查条件，有一项不符合要求，不能进入下一阶段评审。</w:t>
      </w:r>
    </w:p>
    <w:p>
      <w:pPr>
        <w:adjustRightInd w:val="0"/>
        <w:snapToGrid w:val="0"/>
        <w:spacing w:line="300" w:lineRule="exact"/>
        <w:ind w:firstLine="420" w:firstLineChars="200"/>
        <w:rPr>
          <w:rFonts w:ascii="仿宋_GB2312" w:hAnsi="仿宋_GB2312" w:eastAsia="仿宋_GB2312" w:cs="仿宋_GB2312"/>
        </w:rPr>
      </w:pPr>
      <w:r>
        <w:rPr>
          <w:rFonts w:hint="eastAsia" w:ascii="仿宋_GB2312" w:hAnsi="仿宋_GB2312" w:eastAsia="仿宋_GB2312" w:cs="仿宋_GB2312"/>
        </w:rPr>
        <w:t>5、</w:t>
      </w:r>
      <w:r>
        <w:rPr>
          <w:rFonts w:hint="eastAsia" w:ascii="仿宋_GB2312" w:hAnsi="仿宋_GB2312" w:eastAsia="仿宋_GB2312" w:cs="仿宋_GB2312"/>
          <w:b/>
          <w:bCs/>
          <w:szCs w:val="21"/>
        </w:rPr>
        <w:t>“符合性证明材料”</w:t>
      </w:r>
      <w:r>
        <w:rPr>
          <w:rFonts w:hint="eastAsia" w:ascii="仿宋_GB2312" w:hAnsi="仿宋_GB2312" w:eastAsia="仿宋_GB2312" w:cs="仿宋_GB2312"/>
        </w:rPr>
        <w:t>所列内容即为采购项目的符合性审查条件，有一项不符合要求，不能进入下一阶段评审。</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rPr>
        <w:t>6、</w:t>
      </w:r>
      <w:r>
        <w:rPr>
          <w:rFonts w:hint="eastAsia" w:ascii="仿宋_GB2312" w:hAnsi="仿宋_GB2312" w:eastAsia="仿宋_GB2312" w:cs="仿宋_GB2312"/>
          <w:szCs w:val="21"/>
        </w:rPr>
        <w:t>“其他材料”</w:t>
      </w:r>
    </w:p>
    <w:p>
      <w:pPr>
        <w:adjustRightInd w:val="0"/>
        <w:snapToGrid w:val="0"/>
        <w:spacing w:line="30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szCs w:val="21"/>
        </w:rPr>
        <w:t>（1）</w:t>
      </w:r>
      <w:r>
        <w:rPr>
          <w:rFonts w:hint="eastAsia" w:ascii="仿宋_GB2312" w:hAnsi="仿宋_GB2312" w:eastAsia="仿宋_GB2312" w:cs="仿宋_GB2312"/>
          <w:kern w:val="0"/>
          <w:szCs w:val="21"/>
        </w:rPr>
        <w:t>综合评分法：</w:t>
      </w:r>
      <w:r>
        <w:rPr>
          <w:rFonts w:hint="eastAsia" w:ascii="仿宋_GB2312" w:hAnsi="仿宋_GB2312" w:eastAsia="仿宋_GB2312" w:cs="仿宋_GB2312"/>
          <w:szCs w:val="21"/>
        </w:rPr>
        <w:t>投标人可就</w:t>
      </w:r>
      <w:r>
        <w:rPr>
          <w:rFonts w:hint="eastAsia" w:ascii="仿宋_GB2312" w:hAnsi="仿宋_GB2312" w:eastAsia="仿宋_GB2312" w:cs="仿宋_GB2312"/>
          <w:kern w:val="0"/>
          <w:szCs w:val="21"/>
        </w:rPr>
        <w:t>招标文件要求以及评分细则中各项要求提供相应材料。</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kern w:val="0"/>
          <w:szCs w:val="21"/>
        </w:rPr>
        <w:t>最低评标价法：</w:t>
      </w:r>
      <w:r>
        <w:rPr>
          <w:rFonts w:hint="eastAsia" w:ascii="仿宋_GB2312" w:hAnsi="仿宋_GB2312" w:eastAsia="仿宋_GB2312" w:cs="仿宋_GB2312"/>
          <w:szCs w:val="21"/>
        </w:rPr>
        <w:t>投标人可就</w:t>
      </w:r>
      <w:r>
        <w:rPr>
          <w:rFonts w:hint="eastAsia" w:ascii="仿宋_GB2312" w:hAnsi="仿宋_GB2312" w:eastAsia="仿宋_GB2312" w:cs="仿宋_GB2312"/>
          <w:kern w:val="0"/>
          <w:szCs w:val="21"/>
        </w:rPr>
        <w:t>招标文件要求提供相应材料。</w:t>
      </w:r>
    </w:p>
    <w:p>
      <w:pPr>
        <w:rPr>
          <w:rFonts w:ascii="仿宋_GB2312" w:hAnsi="仿宋_GB2312" w:eastAsia="仿宋_GB2312" w:cs="仿宋_GB2312"/>
        </w:rPr>
      </w:pPr>
      <w:r>
        <w:rPr>
          <w:rFonts w:hint="eastAsia" w:ascii="仿宋_GB2312" w:hAnsi="仿宋_GB2312" w:eastAsia="仿宋_GB2312" w:cs="仿宋_GB2312"/>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w:t>
      </w:r>
    </w:p>
    <w:p>
      <w:pPr>
        <w:jc w:val="center"/>
        <w:rPr>
          <w:rFonts w:ascii="仿宋_GB2312" w:hAnsi="仿宋_GB2312" w:eastAsia="仿宋_GB2312" w:cs="仿宋_GB2312"/>
          <w:b/>
          <w:bCs/>
          <w:sz w:val="32"/>
          <w:szCs w:val="32"/>
        </w:rPr>
      </w:pPr>
      <w:bookmarkStart w:id="60" w:name="_Toc26322_WPSOffice_Level2"/>
      <w:bookmarkStart w:id="61" w:name="_Toc21090_WPSOffice_Level2"/>
      <w:r>
        <w:rPr>
          <w:rFonts w:hint="eastAsia" w:ascii="仿宋_GB2312" w:hAnsi="仿宋_GB2312" w:eastAsia="仿宋_GB2312" w:cs="仿宋_GB2312"/>
          <w:b/>
          <w:bCs/>
          <w:sz w:val="32"/>
          <w:szCs w:val="32"/>
        </w:rPr>
        <w:t>投标文件、电子文档外封面、封口格式</w:t>
      </w:r>
      <w:bookmarkEnd w:id="60"/>
      <w:bookmarkEnd w:id="61"/>
    </w:p>
    <w:p>
      <w:pPr>
        <w:rPr>
          <w:rFonts w:ascii="仿宋_GB2312" w:hAnsi="仿宋_GB2312" w:eastAsia="仿宋_GB2312" w:cs="仿宋_GB2312"/>
        </w:rPr>
      </w:pPr>
      <w:r>
        <w:rPr>
          <w:rFonts w:hint="eastAsia" w:ascii="仿宋_GB2312" w:hAnsi="仿宋_GB2312" w:eastAsia="仿宋_GB2312" w:cs="仿宋_GB2312"/>
          <w:sz w:val="28"/>
          <w:szCs w:val="28"/>
        </w:rPr>
        <w:t>封面格式：</w:t>
      </w:r>
    </w:p>
    <w:tbl>
      <w:tblPr>
        <w:tblStyle w:val="14"/>
        <w:tblW w:w="59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90" w:hRule="atLeast"/>
          <w:jc w:val="center"/>
        </w:trPr>
        <w:tc>
          <w:tcPr>
            <w:tcW w:w="5960" w:type="dxa"/>
          </w:tcPr>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r>
              <w:rPr>
                <w:rFonts w:hint="eastAsia" w:ascii="仿宋_GB2312" w:hAnsi="仿宋_GB2312" w:eastAsia="仿宋_GB2312" w:cs="仿宋_GB2312"/>
                <w:b/>
                <w:bCs/>
                <w:sz w:val="44"/>
                <w:szCs w:val="52"/>
              </w:rPr>
              <w:t>投标文件/电子文档</w:t>
            </w: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所投包号：第  包</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项目名称：</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项目编号：</w:t>
            </w: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投标人名称（加盖单位公章）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sz w:val="24"/>
          <w:szCs w:val="32"/>
        </w:rPr>
        <w:t>封口格式：</w:t>
      </w:r>
    </w:p>
    <w:tbl>
      <w:tblPr>
        <w:tblStyle w:val="14"/>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——于   年  月  日   时之前不准启封（公章）——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格式2</w:t>
      </w:r>
    </w:p>
    <w:p>
      <w:pPr>
        <w:jc w:val="center"/>
        <w:rPr>
          <w:rFonts w:ascii="仿宋_GB2312" w:hAnsi="仿宋_GB2312" w:eastAsia="仿宋_GB2312" w:cs="仿宋_GB2312"/>
          <w:b/>
          <w:bCs/>
          <w:sz w:val="32"/>
          <w:szCs w:val="32"/>
        </w:rPr>
      </w:pPr>
      <w:r>
        <w:rPr>
          <w:rFonts w:ascii="仿宋_GB2312" w:hAnsi="仿宋_GB2312" w:eastAsia="仿宋_GB2312" w:cs="仿宋_GB2312"/>
          <w:sz w:val="32"/>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wrap="square" upright="1"/>
                    </wps:wsp>
                  </a:graphicData>
                </a:graphic>
              </wp:anchor>
            </w:drawing>
          </mc:Choice>
          <mc:Fallback>
            <w:pict>
              <v:shape id="_x0000_s1026" o:spid="_x0000_s1026" o:spt="202" type="#_x0000_t202" style="position:absolute;left:0pt;margin-left:305.4pt;margin-top:28.45pt;height:44.35pt;width:98.7pt;z-index:251659264;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1XXs+2QAAAAoB&#10;AAAPAAAAAAAAAAEAIAAAACIAAABkcnMvZG93bnJldi54bWxQSwECFAAUAAAACACHTuJAIeVfCRoC&#10;AABSBAAADgAAAAAAAAABACAAAAAoAQAAZHJzL2Uyb0RvYy54bWxQSwUGAAAAAAYABgBZAQAAtAUA&#10;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hint="eastAsia" w:ascii="仿宋_GB2312" w:hAnsi="仿宋_GB2312" w:eastAsia="仿宋_GB2312" w:cs="仿宋_GB2312"/>
          <w:b/>
          <w:bCs/>
          <w:sz w:val="32"/>
          <w:szCs w:val="32"/>
        </w:rPr>
        <w:t>投标文件的封皮</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投  标  文  件</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所投包号：第  包</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项目编号：</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格式3</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62" w:name="_Toc2304_WPSOffice_Level2"/>
      <w:bookmarkStart w:id="63" w:name="_Toc21414_WPSOffice_Level2"/>
      <w:r>
        <w:rPr>
          <w:rFonts w:hint="eastAsia" w:ascii="仿宋_GB2312" w:hAnsi="仿宋_GB2312" w:eastAsia="仿宋_GB2312" w:cs="仿宋_GB2312"/>
          <w:b/>
          <w:sz w:val="32"/>
          <w:szCs w:val="32"/>
        </w:rPr>
        <w:t>目  录</w:t>
      </w:r>
      <w:bookmarkEnd w:id="62"/>
      <w:bookmarkEnd w:id="63"/>
    </w:p>
    <w:p>
      <w:pPr>
        <w:rPr>
          <w:rFonts w:ascii="仿宋_GB2312" w:hAnsi="仿宋_GB2312" w:eastAsia="仿宋_GB2312" w:cs="仿宋_GB2312"/>
        </w:rPr>
      </w:pPr>
      <w:bookmarkStart w:id="64" w:name="_Toc30940_WPSOffice_Level2"/>
      <w:bookmarkStart w:id="65" w:name="_Toc7636_WPSOffice_Level2"/>
      <w:r>
        <w:rPr>
          <w:rFonts w:hint="eastAsia" w:ascii="仿宋_GB2312" w:hAnsi="仿宋_GB2312" w:eastAsia="仿宋_GB2312" w:cs="仿宋_GB2312"/>
        </w:rPr>
        <w:t>一、资格证明材料</w:t>
      </w:r>
      <w:bookmarkEnd w:id="64"/>
      <w:bookmarkEnd w:id="65"/>
    </w:p>
    <w:p>
      <w:pPr>
        <w:rPr>
          <w:rFonts w:ascii="仿宋_GB2312" w:hAnsi="仿宋_GB2312" w:eastAsia="仿宋_GB2312" w:cs="仿宋_GB2312"/>
        </w:rPr>
      </w:pPr>
      <w:r>
        <w:rPr>
          <w:rFonts w:hint="eastAsia" w:ascii="仿宋_GB2312" w:hAnsi="仿宋_GB2312" w:eastAsia="仿宋_GB2312" w:cs="仿宋_GB2312"/>
        </w:rPr>
        <w:t>……</w:t>
      </w:r>
    </w:p>
    <w:p>
      <w:pPr>
        <w:rPr>
          <w:rFonts w:ascii="仿宋_GB2312" w:hAnsi="仿宋_GB2312" w:eastAsia="仿宋_GB2312" w:cs="仿宋_GB2312"/>
        </w:rPr>
      </w:pPr>
      <w:bookmarkStart w:id="66" w:name="_Toc31702_WPSOffice_Level2"/>
      <w:bookmarkStart w:id="67" w:name="_Toc13950_WPSOffice_Level2"/>
      <w:r>
        <w:rPr>
          <w:rFonts w:hint="eastAsia" w:ascii="仿宋_GB2312" w:hAnsi="仿宋_GB2312" w:eastAsia="仿宋_GB2312" w:cs="仿宋_GB2312"/>
        </w:rPr>
        <w:t>二、符合性证明材料</w:t>
      </w:r>
      <w:bookmarkEnd w:id="66"/>
      <w:bookmarkEnd w:id="67"/>
    </w:p>
    <w:p>
      <w:pPr>
        <w:rPr>
          <w:rFonts w:ascii="仿宋_GB2312" w:hAnsi="仿宋_GB2312" w:eastAsia="仿宋_GB2312" w:cs="仿宋_GB2312"/>
        </w:rPr>
      </w:pPr>
      <w:r>
        <w:rPr>
          <w:rFonts w:hint="eastAsia" w:ascii="仿宋_GB2312" w:hAnsi="仿宋_GB2312" w:eastAsia="仿宋_GB2312" w:cs="仿宋_GB2312"/>
        </w:rPr>
        <w:t>……</w:t>
      </w:r>
    </w:p>
    <w:p>
      <w:pPr>
        <w:rPr>
          <w:rFonts w:ascii="仿宋_GB2312" w:hAnsi="仿宋_GB2312" w:eastAsia="仿宋_GB2312" w:cs="仿宋_GB2312"/>
        </w:rPr>
      </w:pPr>
      <w:bookmarkStart w:id="68" w:name="_Toc9090_WPSOffice_Level2"/>
      <w:bookmarkStart w:id="69" w:name="_Toc14854_WPSOffice_Level2"/>
      <w:r>
        <w:rPr>
          <w:rFonts w:hint="eastAsia" w:ascii="仿宋_GB2312" w:hAnsi="仿宋_GB2312" w:eastAsia="仿宋_GB2312" w:cs="仿宋_GB2312"/>
        </w:rPr>
        <w:t>三、其它材料</w:t>
      </w:r>
      <w:bookmarkEnd w:id="68"/>
      <w:bookmarkEnd w:id="69"/>
    </w:p>
    <w:p>
      <w:pPr>
        <w:rPr>
          <w:rFonts w:ascii="仿宋_GB2312" w:hAnsi="仿宋_GB2312" w:eastAsia="仿宋_GB2312" w:cs="仿宋_GB2312"/>
          <w:szCs w:val="21"/>
        </w:rPr>
      </w:pPr>
      <w:r>
        <w:rPr>
          <w:rFonts w:hint="eastAsia" w:ascii="仿宋_GB2312" w:hAnsi="仿宋_GB2312" w:eastAsia="仿宋_GB2312" w:cs="仿宋_GB2312"/>
          <w:szCs w:val="21"/>
        </w:rPr>
        <w:t>……</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我单位的投标文件由资格证明材料、符合性证明材料和其它材料三部分组成，在此加盖单位公章并由法定代表人（或非法人组织负责人）或其授权委托人签字，保证投标文件中所有材料真实、有效。</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pStyle w:val="4"/>
        <w:adjustRightInd w:val="0"/>
        <w:snapToGrid w:val="0"/>
        <w:spacing w:before="0" w:after="0" w:line="240" w:lineRule="auto"/>
        <w:jc w:val="left"/>
        <w:rPr>
          <w:rFonts w:ascii="仿宋_GB2312" w:hAnsi="仿宋_GB2312" w:eastAsia="仿宋_GB2312" w:cs="仿宋_GB2312"/>
          <w:b w:val="0"/>
          <w:bCs/>
          <w:sz w:val="32"/>
          <w:szCs w:val="32"/>
        </w:rPr>
      </w:pPr>
      <w:r>
        <w:rPr>
          <w:rFonts w:hint="eastAsia" w:ascii="仿宋_GB2312" w:hAnsi="仿宋_GB2312" w:eastAsia="仿宋_GB2312" w:cs="仿宋_GB2312"/>
        </w:rPr>
        <w:br w:type="page"/>
      </w:r>
      <w:r>
        <w:rPr>
          <w:rFonts w:hint="eastAsia" w:ascii="仿宋_GB2312" w:hAnsi="仿宋_GB2312" w:eastAsia="仿宋_GB2312" w:cs="仿宋_GB2312"/>
          <w:szCs w:val="28"/>
        </w:rPr>
        <w:t>格式4</w:t>
      </w:r>
      <w:bookmarkStart w:id="70" w:name="_Toc3401_WPSOffice_Level2"/>
      <w:bookmarkStart w:id="71" w:name="_Toc16924_WPSOffice_Level2"/>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法定代表人（或非法人组织负责人）身份证明书</w:t>
      </w:r>
      <w:bookmarkEnd w:id="70"/>
      <w:bookmarkEnd w:id="71"/>
    </w:p>
    <w:p>
      <w:pPr>
        <w:spacing w:line="360" w:lineRule="auto"/>
        <w:ind w:firstLine="840" w:firstLineChars="400"/>
        <w:rPr>
          <w:rFonts w:ascii="仿宋_GB2312" w:hAnsi="仿宋_GB2312" w:eastAsia="仿宋_GB2312" w:cs="仿宋_GB2312"/>
          <w:szCs w:val="21"/>
        </w:rPr>
      </w:pPr>
      <w:r>
        <w:rPr>
          <w:rFonts w:hint="eastAsia" w:ascii="仿宋_GB2312" w:hAnsi="仿宋_GB2312" w:eastAsia="仿宋_GB2312" w:cs="仿宋_GB2312"/>
          <w:szCs w:val="21"/>
        </w:rPr>
        <w:t>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，性别：</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，出生日期：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，现任职务：</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，系</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（投标人名称）的法定代表人（或非法人组织负责人）。</w:t>
      </w:r>
    </w:p>
    <w:p>
      <w:pPr>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rPr>
          <w:rFonts w:ascii="仿宋_GB2312" w:hAnsi="仿宋_GB2312" w:eastAsia="仿宋_GB2312" w:cs="仿宋_GB2312"/>
          <w:szCs w:val="21"/>
        </w:rPr>
      </w:pPr>
      <w:r>
        <w:rPr>
          <w:rFonts w:hint="eastAsia" w:ascii="仿宋_GB2312" w:hAnsi="仿宋_GB2312" w:eastAsia="仿宋_GB2312" w:cs="仿宋_GB2312"/>
          <w:szCs w:val="21"/>
        </w:rPr>
        <w:t>特此证明。</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tbl>
      <w:tblPr>
        <w:tblStyle w:val="14"/>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（※法定代表人（或非法人组织负责人）身份证正、反面复印件※）</w:t>
            </w:r>
          </w:p>
        </w:tc>
      </w:tr>
    </w:tbl>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spacing w:line="480" w:lineRule="auto"/>
        <w:rPr>
          <w:rFonts w:ascii="仿宋_GB2312" w:hAnsi="仿宋_GB2312" w:eastAsia="仿宋_GB2312" w:cs="仿宋_GB2312"/>
          <w:u w:val="single"/>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b w:val="0"/>
          <w:bCs/>
          <w:sz w:val="32"/>
          <w:szCs w:val="32"/>
        </w:rPr>
      </w:pPr>
      <w:r>
        <w:rPr>
          <w:rFonts w:hint="eastAsia" w:ascii="仿宋_GB2312" w:hAnsi="仿宋_GB2312" w:eastAsia="仿宋_GB2312" w:cs="仿宋_GB2312"/>
          <w:szCs w:val="28"/>
        </w:rPr>
        <w:t>格式5</w:t>
      </w:r>
      <w:bookmarkStart w:id="72" w:name="_Toc122_WPSOffice_Level2"/>
      <w:bookmarkStart w:id="73" w:name="_Toc21833_WPSOffice_Level2"/>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法定代表人（或非法人组织负责人）授权委托书</w:t>
      </w:r>
      <w:bookmarkEnd w:id="72"/>
      <w:bookmarkEnd w:id="73"/>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单位名称：</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法定代表人（或非法人组织负责人）姓名：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tabs>
          <w:tab w:val="left" w:pos="5205"/>
        </w:tabs>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住所地：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ab/>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授权委托人姓名：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工作单位：</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电话：</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现委托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就</w:t>
      </w:r>
      <w:r>
        <w:rPr>
          <w:rFonts w:hint="eastAsia" w:ascii="仿宋_GB2312" w:hAnsi="仿宋_GB2312" w:eastAsia="仿宋_GB2312" w:cs="仿宋_GB2312"/>
          <w:szCs w:val="21"/>
          <w:u w:val="single"/>
        </w:rPr>
        <w:t>（项目编号、项目名称、包号）</w:t>
      </w:r>
      <w:r>
        <w:rPr>
          <w:rFonts w:hint="eastAsia" w:ascii="仿宋_GB2312" w:hAnsi="仿宋_GB2312" w:eastAsia="仿宋_GB2312" w:cs="仿宋_GB2312"/>
          <w:szCs w:val="21"/>
        </w:rPr>
        <w:t>投标中，以我单位名义处理一切与之有关的事务。</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本授权书于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日签字或盖章生效，无转委托，特此声明。</w:t>
      </w:r>
    </w:p>
    <w:p>
      <w:pPr>
        <w:spacing w:line="360" w:lineRule="auto"/>
        <w:rPr>
          <w:rFonts w:ascii="仿宋_GB2312" w:hAnsi="仿宋_GB2312" w:eastAsia="仿宋_GB2312" w:cs="仿宋_GB2312"/>
          <w:szCs w:val="21"/>
        </w:rPr>
      </w:pPr>
    </w:p>
    <w:tbl>
      <w:tblPr>
        <w:tblStyle w:val="14"/>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（※授权委托人身份证正、反面复印件※）</w:t>
            </w:r>
          </w:p>
        </w:tc>
      </w:tr>
    </w:tbl>
    <w:p>
      <w:pPr>
        <w:spacing w:line="360" w:lineRule="auto"/>
        <w:rPr>
          <w:rFonts w:ascii="仿宋_GB2312" w:hAnsi="仿宋_GB2312" w:eastAsia="仿宋_GB2312" w:cs="仿宋_GB2312"/>
          <w:szCs w:val="21"/>
        </w:rPr>
      </w:pP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委托人（加盖单位公章）：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法定代表人（或非法人组织负责人）（签字或盖章）：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授权委托人（签字或盖章）：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详细通讯地址：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邮政编码 ：</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传        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     话：</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格式6</w:t>
      </w:r>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具有良好的商业信誉和健全的财务会计制度的承诺函</w:t>
      </w:r>
    </w:p>
    <w:p>
      <w:pPr>
        <w:spacing w:before="319" w:beforeLines="100" w:after="319" w:afterLines="100" w:line="480" w:lineRule="exact"/>
        <w:ind w:right="630" w:rightChars="3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（格式自拟）</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格式7</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74" w:name="_Toc12037_WPSOffice_Level2"/>
      <w:bookmarkStart w:id="75" w:name="_Toc23728_WPSOffice_Level2"/>
      <w:r>
        <w:rPr>
          <w:rFonts w:hint="eastAsia" w:ascii="仿宋_GB2312" w:hAnsi="仿宋_GB2312" w:eastAsia="仿宋_GB2312" w:cs="仿宋_GB2312"/>
          <w:b/>
          <w:sz w:val="32"/>
          <w:szCs w:val="32"/>
        </w:rPr>
        <w:t>具备履行合同所必需的设备和专业技术能力声明函</w:t>
      </w:r>
      <w:bookmarkEnd w:id="74"/>
      <w:bookmarkEnd w:id="75"/>
    </w:p>
    <w:p>
      <w:pPr>
        <w:spacing w:before="319" w:beforeLines="100" w:after="319" w:afterLines="100" w:line="480" w:lineRule="exact"/>
        <w:ind w:right="630" w:rightChars="300"/>
        <w:jc w:val="center"/>
        <w:rPr>
          <w:rFonts w:ascii="仿宋_GB2312" w:hAnsi="仿宋_GB2312" w:eastAsia="仿宋_GB2312" w:cs="仿宋_GB2312"/>
          <w:sz w:val="28"/>
          <w:szCs w:val="28"/>
        </w:rPr>
      </w:pPr>
      <w:bookmarkStart w:id="76" w:name="_Toc28831_WPSOffice_Level2"/>
      <w:bookmarkStart w:id="77" w:name="_Toc1917_WPSOffice_Level2"/>
      <w:r>
        <w:rPr>
          <w:rFonts w:hint="eastAsia" w:ascii="仿宋_GB2312" w:hAnsi="仿宋_GB2312" w:eastAsia="仿宋_GB2312" w:cs="仿宋_GB2312"/>
          <w:sz w:val="28"/>
          <w:szCs w:val="28"/>
        </w:rPr>
        <w:t>（格式自拟）</w:t>
      </w:r>
      <w:bookmarkEnd w:id="76"/>
      <w:bookmarkEnd w:id="77"/>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4"/>
        <w:adjustRightInd w:val="0"/>
        <w:snapToGrid w:val="0"/>
        <w:spacing w:before="0" w:after="0" w:line="240" w:lineRule="auto"/>
        <w:jc w:val="left"/>
        <w:rPr>
          <w:rFonts w:ascii="仿宋_GB2312" w:hAnsi="仿宋_GB2312" w:eastAsia="仿宋_GB2312" w:cs="仿宋_GB2312"/>
        </w:rPr>
      </w:pPr>
      <w:r>
        <w:rPr>
          <w:rFonts w:hint="eastAsia" w:ascii="仿宋_GB2312" w:hAnsi="仿宋_GB2312" w:eastAsia="仿宋_GB2312" w:cs="仿宋_GB2312"/>
          <w:szCs w:val="28"/>
        </w:rPr>
        <w:t>格式8</w:t>
      </w:r>
    </w:p>
    <w:p>
      <w:pPr>
        <w:spacing w:before="319" w:beforeLines="100" w:after="319" w:afterLines="100" w:line="480" w:lineRule="exact"/>
        <w:ind w:right="630" w:rightChars="300"/>
        <w:jc w:val="center"/>
        <w:rPr>
          <w:rFonts w:ascii="仿宋_GB2312" w:hAnsi="仿宋_GB2312" w:eastAsia="仿宋_GB2312" w:cs="仿宋_GB2312"/>
          <w:b/>
          <w:sz w:val="32"/>
          <w:szCs w:val="32"/>
        </w:rPr>
      </w:pPr>
      <w:r>
        <w:rPr>
          <w:rFonts w:hint="eastAsia" w:ascii="仿宋_GB2312" w:hAnsi="仿宋_GB2312" w:eastAsia="仿宋_GB2312" w:cs="仿宋_GB2312"/>
          <w:b/>
          <w:sz w:val="44"/>
          <w:szCs w:val="44"/>
        </w:rPr>
        <w:t xml:space="preserve">  </w:t>
      </w:r>
      <w:r>
        <w:rPr>
          <w:rFonts w:hint="eastAsia" w:ascii="仿宋_GB2312" w:hAnsi="仿宋_GB2312" w:eastAsia="仿宋_GB2312" w:cs="仿宋_GB2312"/>
          <w:b/>
          <w:sz w:val="32"/>
          <w:szCs w:val="32"/>
        </w:rPr>
        <w:t xml:space="preserve"> </w:t>
      </w:r>
      <w:bookmarkStart w:id="78" w:name="_Toc7498_WPSOffice_Level2"/>
      <w:bookmarkStart w:id="79" w:name="_Toc11967_WPSOffice_Level2"/>
      <w:r>
        <w:rPr>
          <w:rFonts w:hint="eastAsia" w:ascii="仿宋_GB2312" w:hAnsi="仿宋_GB2312" w:eastAsia="仿宋_GB2312" w:cs="仿宋_GB2312"/>
          <w:b/>
          <w:sz w:val="32"/>
          <w:szCs w:val="32"/>
        </w:rPr>
        <w:t>参加政府采购活动前3年内在经营活动中没有重大违法记录的书面声明</w:t>
      </w:r>
      <w:bookmarkEnd w:id="78"/>
      <w:bookmarkEnd w:id="79"/>
    </w:p>
    <w:p>
      <w:pPr>
        <w:spacing w:line="360" w:lineRule="auto"/>
        <w:ind w:right="630" w:rightChars="300"/>
        <w:rPr>
          <w:rFonts w:ascii="仿宋_GB2312" w:hAnsi="仿宋_GB2312" w:eastAsia="仿宋_GB2312" w:cs="仿宋_GB2312"/>
          <w:b/>
          <w:szCs w:val="21"/>
        </w:rPr>
      </w:pPr>
      <w:r>
        <w:rPr>
          <w:rFonts w:hint="eastAsia" w:ascii="仿宋_GB2312" w:hAnsi="仿宋_GB2312" w:eastAsia="仿宋_GB2312" w:cs="仿宋_GB2312"/>
          <w:b/>
          <w:szCs w:val="21"/>
          <w:u w:val="single"/>
        </w:rPr>
        <w:t xml:space="preserve">（采购人或采购代理机构名称） </w:t>
      </w:r>
      <w:r>
        <w:rPr>
          <w:rFonts w:hint="eastAsia" w:ascii="仿宋_GB2312" w:hAnsi="仿宋_GB2312" w:eastAsia="仿宋_GB2312" w:cs="仿宋_GB2312"/>
          <w:b/>
          <w:szCs w:val="21"/>
        </w:rPr>
        <w:t xml:space="preserve"> ：</w:t>
      </w:r>
    </w:p>
    <w:p>
      <w:pPr>
        <w:spacing w:line="360" w:lineRule="auto"/>
        <w:ind w:right="-21" w:rightChars="-10" w:firstLine="493" w:firstLineChars="235"/>
        <w:rPr>
          <w:rFonts w:ascii="仿宋_GB2312" w:hAnsi="仿宋_GB2312" w:eastAsia="仿宋_GB2312" w:cs="仿宋_GB2312"/>
          <w:szCs w:val="21"/>
        </w:rPr>
      </w:pPr>
      <w:r>
        <w:rPr>
          <w:rFonts w:hint="eastAsia" w:ascii="仿宋_GB2312" w:hAnsi="仿宋_GB2312" w:eastAsia="仿宋_GB2312" w:cs="仿宋_GB2312"/>
          <w:szCs w:val="21"/>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pPr>
        <w:tabs>
          <w:tab w:val="left" w:pos="10065"/>
        </w:tabs>
        <w:spacing w:line="360" w:lineRule="auto"/>
        <w:ind w:right="-21" w:rightChars="-10" w:firstLine="371" w:firstLineChars="177"/>
        <w:rPr>
          <w:rFonts w:ascii="仿宋_GB2312" w:hAnsi="仿宋_GB2312" w:eastAsia="仿宋_GB2312" w:cs="仿宋_GB2312"/>
          <w:szCs w:val="21"/>
        </w:rPr>
      </w:pPr>
      <w:r>
        <w:rPr>
          <w:rFonts w:hint="eastAsia" w:ascii="仿宋_GB2312" w:hAnsi="仿宋_GB2312" w:eastAsia="仿宋_GB2312" w:cs="仿宋_GB2312"/>
          <w:szCs w:val="21"/>
        </w:rPr>
        <w:t>如发现我单位提供的声明函不实时，我单位将按照《政府采购法》有关提供虚假材料的规定，接受处罚。</w:t>
      </w:r>
    </w:p>
    <w:p>
      <w:pPr>
        <w:spacing w:line="360" w:lineRule="auto"/>
        <w:ind w:right="1050" w:rightChars="50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特此声明。</w:t>
      </w:r>
    </w:p>
    <w:p>
      <w:pPr>
        <w:spacing w:line="5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line="360" w:lineRule="exact"/>
        <w:ind w:right="1050" w:rightChars="500"/>
        <w:rPr>
          <w:rFonts w:ascii="仿宋_GB2312" w:hAnsi="仿宋_GB2312" w:eastAsia="仿宋_GB2312" w:cs="仿宋_GB2312"/>
          <w:szCs w:val="21"/>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格式9</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80" w:name="_Toc16873_WPSOffice_Level2"/>
      <w:bookmarkStart w:id="81" w:name="_Toc30548_WPSOffice_Level2"/>
      <w:r>
        <w:rPr>
          <w:rFonts w:hint="eastAsia" w:ascii="仿宋_GB2312" w:hAnsi="仿宋_GB2312" w:eastAsia="仿宋_GB2312" w:cs="仿宋_GB2312"/>
          <w:b/>
          <w:sz w:val="32"/>
          <w:szCs w:val="32"/>
        </w:rPr>
        <w:t>联合体协议书</w:t>
      </w:r>
      <w:bookmarkEnd w:id="80"/>
      <w:bookmarkEnd w:id="81"/>
    </w:p>
    <w:p>
      <w:pPr>
        <w:pStyle w:val="7"/>
        <w:spacing w:line="360" w:lineRule="auto"/>
        <w:rPr>
          <w:rFonts w:ascii="仿宋_GB2312" w:hAnsi="仿宋_GB2312" w:eastAsia="仿宋_GB2312" w:cs="仿宋_GB2312"/>
        </w:rPr>
      </w:pPr>
      <w:r>
        <w:rPr>
          <w:rFonts w:hint="eastAsia" w:ascii="仿宋_GB2312" w:hAnsi="仿宋_GB2312" w:eastAsia="仿宋_GB2312" w:cs="仿宋_GB2312"/>
          <w:u w:val="single"/>
        </w:rPr>
        <w:t>(采购人或采购代理机构)</w:t>
      </w:r>
      <w:r>
        <w:rPr>
          <w:rFonts w:hint="eastAsia" w:ascii="仿宋_GB2312" w:hAnsi="仿宋_GB2312" w:eastAsia="仿宋_GB2312" w:cs="仿宋_GB2312"/>
        </w:rPr>
        <w:t>：</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经研究，我方决定自愿组成联合体共同参加</w:t>
      </w:r>
      <w:r>
        <w:rPr>
          <w:rFonts w:hint="eastAsia" w:ascii="仿宋_GB2312" w:hAnsi="仿宋_GB2312" w:eastAsia="仿宋_GB2312" w:cs="仿宋_GB2312"/>
          <w:u w:val="single"/>
        </w:rPr>
        <w:t>(项目名称、项目编号、包号)</w:t>
      </w:r>
      <w:r>
        <w:rPr>
          <w:rFonts w:hint="eastAsia" w:ascii="仿宋_GB2312" w:hAnsi="仿宋_GB2312" w:eastAsia="仿宋_GB2312" w:cs="仿宋_GB2312"/>
        </w:rPr>
        <w:t>项目的投标。现就联合体投标事宜订立如下协议：</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一、联合体成员：</w:t>
      </w:r>
    </w:p>
    <w:p>
      <w:pPr>
        <w:pStyle w:val="7"/>
        <w:spacing w:line="360" w:lineRule="auto"/>
        <w:ind w:firstLine="420" w:firstLineChars="200"/>
        <w:rPr>
          <w:rFonts w:ascii="仿宋_GB2312" w:hAnsi="仿宋_GB2312" w:eastAsia="仿宋_GB2312" w:cs="仿宋_GB2312"/>
          <w:u w:val="single"/>
        </w:rPr>
      </w:pPr>
      <w:bookmarkStart w:id="82" w:name="_Toc23749_WPSOffice_Level2"/>
      <w:bookmarkStart w:id="83" w:name="_Toc15561_WPSOffice_Level2"/>
      <w:r>
        <w:rPr>
          <w:rFonts w:hint="eastAsia" w:ascii="仿宋_GB2312" w:hAnsi="仿宋_GB2312" w:eastAsia="仿宋_GB2312" w:cs="仿宋_GB2312"/>
        </w:rPr>
        <w:t>1.</w:t>
      </w:r>
      <w:bookmarkEnd w:id="82"/>
      <w:bookmarkEnd w:id="83"/>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bookmarkStart w:id="84" w:name="_Toc22173_WPSOffice_Level2"/>
      <w:bookmarkStart w:id="85" w:name="_Toc405_WPSOffice_Level2"/>
      <w:r>
        <w:rPr>
          <w:rFonts w:hint="eastAsia" w:ascii="仿宋_GB2312" w:hAnsi="仿宋_GB2312" w:eastAsia="仿宋_GB2312" w:cs="仿宋_GB2312"/>
        </w:rPr>
        <w:t>2.</w:t>
      </w:r>
      <w:bookmarkEnd w:id="84"/>
      <w:bookmarkEnd w:id="85"/>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bookmarkStart w:id="86" w:name="_Toc7084_WPSOffice_Level2"/>
      <w:bookmarkStart w:id="87" w:name="_Toc23482_WPSOffice_Level2"/>
      <w:r>
        <w:rPr>
          <w:rFonts w:hint="eastAsia" w:ascii="仿宋_GB2312" w:hAnsi="仿宋_GB2312" w:eastAsia="仿宋_GB2312" w:cs="仿宋_GB2312"/>
        </w:rPr>
        <w:t>3.</w:t>
      </w:r>
      <w:bookmarkEnd w:id="86"/>
      <w:bookmarkEnd w:id="87"/>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u w:val="single"/>
        </w:rPr>
        <w:t>(某成员单位名称)</w:t>
      </w:r>
      <w:r>
        <w:rPr>
          <w:rFonts w:hint="eastAsia" w:ascii="仿宋_GB2312" w:hAnsi="仿宋_GB2312" w:eastAsia="仿宋_GB2312" w:cs="仿宋_GB2312"/>
        </w:rPr>
        <w:t>为(联合体名称)牵头人。</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三、联合体牵头人合法代表联合体各成员负责本项目投标文件编制活动，代表联合体提交和接收相关的资料、信息及指示，并处理与投标或成交有关的一切事务；联合体中标后，联合体牵头人负责合同订立和合同实施阶段的主办、组织和协调工作。</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四、联合体将严格按照招标文件的各项要求，递交投标文件，参加投标，履行中标义务和中标后的合同，并向采购人承担连带责任。</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五、联合体各成员单位内部的职责分工如下：</w:t>
      </w:r>
      <w:r>
        <w:rPr>
          <w:rFonts w:hint="eastAsia" w:ascii="仿宋_GB2312" w:hAnsi="仿宋_GB2312" w:eastAsia="仿宋_GB2312" w:cs="仿宋_GB2312"/>
          <w:u w:val="single"/>
        </w:rPr>
        <w:t xml:space="preserve">                  </w:t>
      </w:r>
      <w:r>
        <w:rPr>
          <w:rFonts w:hint="eastAsia" w:ascii="仿宋_GB2312" w:hAnsi="仿宋_GB2312" w:eastAsia="仿宋_GB2312" w:cs="仿宋_GB2312"/>
        </w:rPr>
        <w:t>。按照本条上述分工，联合体成员单位各自所承担的合同工作量比例如下：</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六、本协议书自签署之日起生效，合同履行完毕后自动失效。</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七、本协议书一式</w:t>
      </w:r>
      <w:r>
        <w:rPr>
          <w:rFonts w:hint="eastAsia" w:ascii="仿宋_GB2312" w:hAnsi="仿宋_GB2312" w:eastAsia="仿宋_GB2312" w:cs="仿宋_GB2312"/>
          <w:u w:val="single"/>
        </w:rPr>
        <w:t xml:space="preserve">  </w:t>
      </w:r>
      <w:r>
        <w:rPr>
          <w:rFonts w:hint="eastAsia" w:ascii="仿宋_GB2312" w:hAnsi="仿宋_GB2312" w:eastAsia="仿宋_GB2312" w:cs="仿宋_GB2312"/>
        </w:rPr>
        <w:t>份，联合体成员和采购人各执</w:t>
      </w:r>
      <w:r>
        <w:rPr>
          <w:rFonts w:hint="eastAsia" w:ascii="仿宋_GB2312" w:hAnsi="仿宋_GB2312" w:eastAsia="仿宋_GB2312" w:cs="仿宋_GB2312"/>
          <w:u w:val="single"/>
        </w:rPr>
        <w:t xml:space="preserve">  </w:t>
      </w:r>
      <w:r>
        <w:rPr>
          <w:rFonts w:hint="eastAsia" w:ascii="仿宋_GB2312" w:hAnsi="仿宋_GB2312" w:eastAsia="仿宋_GB2312" w:cs="仿宋_GB2312"/>
        </w:rPr>
        <w:t>份。</w:t>
      </w:r>
    </w:p>
    <w:p>
      <w:pPr>
        <w:pStyle w:val="7"/>
        <w:spacing w:line="360" w:lineRule="auto"/>
        <w:ind w:firstLine="420" w:firstLineChars="200"/>
        <w:rPr>
          <w:rFonts w:ascii="仿宋_GB2312" w:hAnsi="仿宋_GB2312" w:eastAsia="仿宋_GB2312" w:cs="仿宋_GB2312"/>
        </w:rPr>
      </w:pPr>
    </w:p>
    <w:p>
      <w:pPr>
        <w:pStyle w:val="7"/>
        <w:spacing w:line="360" w:lineRule="auto"/>
        <w:rPr>
          <w:rFonts w:ascii="仿宋_GB2312" w:hAnsi="仿宋_GB2312" w:eastAsia="仿宋_GB2312" w:cs="仿宋_GB2312"/>
          <w:u w:val="single"/>
        </w:rPr>
      </w:pPr>
      <w:r>
        <w:rPr>
          <w:rFonts w:hint="eastAsia" w:ascii="仿宋_GB2312" w:hAnsi="仿宋_GB2312" w:eastAsia="仿宋_GB2312" w:cs="仿宋_GB2312"/>
        </w:rPr>
        <w:t>牵头人名称(加盖单位公章)：</w:t>
      </w:r>
      <w:r>
        <w:rPr>
          <w:rFonts w:hint="eastAsia" w:ascii="仿宋_GB2312" w:hAnsi="仿宋_GB2312" w:eastAsia="仿宋_GB2312" w:cs="仿宋_GB2312"/>
          <w:u w:val="single"/>
        </w:rPr>
        <w:t xml:space="preserve">                            </w:t>
      </w:r>
    </w:p>
    <w:p>
      <w:pPr>
        <w:pStyle w:val="7"/>
        <w:spacing w:line="360" w:lineRule="auto"/>
        <w:rPr>
          <w:rFonts w:ascii="仿宋_GB2312" w:hAnsi="仿宋_GB2312" w:eastAsia="仿宋_GB2312" w:cs="仿宋_GB2312"/>
        </w:rPr>
      </w:pPr>
      <w:r>
        <w:rPr>
          <w:rFonts w:hint="eastAsia" w:ascii="仿宋_GB2312" w:hAnsi="仿宋_GB2312" w:eastAsia="仿宋_GB2312" w:cs="仿宋_GB2312"/>
        </w:rPr>
        <w:t>法定代表人或其授权委托人(签字或盖章)：</w:t>
      </w:r>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p>
    <w:p>
      <w:pPr>
        <w:pStyle w:val="7"/>
        <w:spacing w:line="360" w:lineRule="auto"/>
        <w:rPr>
          <w:rFonts w:ascii="仿宋_GB2312" w:hAnsi="仿宋_GB2312" w:eastAsia="仿宋_GB2312" w:cs="仿宋_GB2312"/>
          <w:u w:val="single"/>
        </w:rPr>
      </w:pPr>
      <w:r>
        <w:rPr>
          <w:rFonts w:hint="eastAsia" w:ascii="仿宋_GB2312" w:hAnsi="仿宋_GB2312" w:eastAsia="仿宋_GB2312" w:cs="仿宋_GB2312"/>
        </w:rPr>
        <w:t>成员名称(加盖单位公章)：</w:t>
      </w:r>
      <w:r>
        <w:rPr>
          <w:rFonts w:hint="eastAsia" w:ascii="仿宋_GB2312" w:hAnsi="仿宋_GB2312" w:eastAsia="仿宋_GB2312" w:cs="仿宋_GB2312"/>
          <w:u w:val="single"/>
        </w:rPr>
        <w:t xml:space="preserve">                              </w:t>
      </w:r>
    </w:p>
    <w:p>
      <w:pPr>
        <w:pStyle w:val="7"/>
        <w:spacing w:line="360" w:lineRule="auto"/>
        <w:rPr>
          <w:rFonts w:ascii="仿宋_GB2312" w:hAnsi="仿宋_GB2312" w:eastAsia="仿宋_GB2312" w:cs="仿宋_GB2312"/>
          <w:u w:val="single"/>
        </w:rPr>
      </w:pPr>
      <w:r>
        <w:rPr>
          <w:rFonts w:hint="eastAsia" w:ascii="仿宋_GB2312" w:hAnsi="仿宋_GB2312" w:eastAsia="仿宋_GB2312" w:cs="仿宋_GB2312"/>
        </w:rPr>
        <w:t>法定代表人或其授权委托人(签字或盖章)：</w:t>
      </w:r>
      <w:r>
        <w:rPr>
          <w:rFonts w:hint="eastAsia" w:ascii="仿宋_GB2312" w:hAnsi="仿宋_GB2312" w:eastAsia="仿宋_GB2312" w:cs="仿宋_GB2312"/>
          <w:u w:val="single"/>
        </w:rPr>
        <w:t xml:space="preserve">                  </w:t>
      </w:r>
    </w:p>
    <w:p>
      <w:pPr>
        <w:spacing w:line="360" w:lineRule="exact"/>
        <w:ind w:right="1050" w:rightChars="500"/>
        <w:jc w:val="left"/>
        <w:rPr>
          <w:rFonts w:ascii="仿宋_GB2312" w:hAnsi="仿宋_GB2312" w:eastAsia="仿宋_GB2312" w:cs="仿宋_GB2312"/>
          <w:szCs w:val="21"/>
          <w:u w:val="single"/>
        </w:rPr>
      </w:pPr>
      <w:r>
        <w:rPr>
          <w:rFonts w:hint="eastAsia" w:ascii="仿宋_GB2312" w:hAnsi="仿宋_GB2312" w:eastAsia="仿宋_GB2312" w:cs="仿宋_GB2312"/>
          <w:szCs w:val="21"/>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360" w:lineRule="auto"/>
        <w:ind w:right="105" w:rightChars="50"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格式10</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88" w:name="_Toc14782_WPSOffice_Level2"/>
      <w:bookmarkStart w:id="89" w:name="_Toc24841_WPSOffice_Level2"/>
      <w:r>
        <w:rPr>
          <w:rFonts w:hint="eastAsia" w:ascii="仿宋_GB2312" w:hAnsi="仿宋_GB2312" w:eastAsia="仿宋_GB2312" w:cs="仿宋_GB2312"/>
          <w:b/>
          <w:sz w:val="32"/>
          <w:szCs w:val="32"/>
        </w:rPr>
        <w:t>投标函</w:t>
      </w:r>
      <w:bookmarkEnd w:id="88"/>
      <w:bookmarkEnd w:id="89"/>
    </w:p>
    <w:p>
      <w:pPr>
        <w:adjustRightInd w:val="0"/>
        <w:snapToGrid w:val="0"/>
        <w:spacing w:line="360" w:lineRule="auto"/>
        <w:ind w:right="630" w:rightChars="300"/>
        <w:rPr>
          <w:rFonts w:ascii="仿宋_GB2312" w:hAnsi="仿宋_GB2312" w:eastAsia="仿宋_GB2312" w:cs="仿宋_GB2312"/>
          <w:szCs w:val="21"/>
          <w:u w:val="single"/>
        </w:rPr>
      </w:pPr>
      <w:r>
        <w:rPr>
          <w:rFonts w:hint="eastAsia" w:ascii="仿宋_GB2312" w:hAnsi="仿宋_GB2312" w:eastAsia="仿宋_GB2312" w:cs="仿宋_GB2312"/>
          <w:szCs w:val="21"/>
          <w:u w:val="single"/>
        </w:rPr>
        <w:t>（采购人或采购代理机构）：</w:t>
      </w:r>
    </w:p>
    <w:p>
      <w:pPr>
        <w:adjustRightInd w:val="0"/>
        <w:snapToGrid w:val="0"/>
        <w:spacing w:line="360" w:lineRule="auto"/>
        <w:ind w:right="-21" w:rightChars="-10" w:firstLine="420"/>
        <w:rPr>
          <w:rFonts w:ascii="仿宋_GB2312" w:hAnsi="仿宋_GB2312" w:eastAsia="仿宋_GB2312" w:cs="仿宋_GB2312"/>
          <w:szCs w:val="21"/>
        </w:rPr>
      </w:pPr>
      <w:r>
        <w:rPr>
          <w:rFonts w:hint="eastAsia" w:ascii="仿宋_GB2312" w:hAnsi="仿宋_GB2312" w:eastAsia="仿宋_GB2312" w:cs="仿宋_GB2312"/>
          <w:szCs w:val="21"/>
        </w:rPr>
        <w:t>根据贵方</w:t>
      </w:r>
      <w:r>
        <w:rPr>
          <w:rFonts w:hint="eastAsia" w:ascii="仿宋_GB2312" w:hAnsi="仿宋_GB2312" w:eastAsia="仿宋_GB2312" w:cs="仿宋_GB2312"/>
          <w:szCs w:val="21"/>
          <w:u w:val="single"/>
        </w:rPr>
        <w:t>(项目名称)</w:t>
      </w:r>
      <w:r>
        <w:rPr>
          <w:rFonts w:hint="eastAsia" w:ascii="仿宋_GB2312" w:hAnsi="仿宋_GB2312" w:eastAsia="仿宋_GB2312" w:cs="仿宋_GB2312"/>
          <w:szCs w:val="21"/>
        </w:rPr>
        <w:t>项目的招标公告</w:t>
      </w:r>
      <w:r>
        <w:rPr>
          <w:rFonts w:hint="eastAsia" w:ascii="仿宋_GB2312" w:hAnsi="仿宋_GB2312" w:eastAsia="仿宋_GB2312" w:cs="仿宋_GB2312"/>
          <w:szCs w:val="21"/>
          <w:u w:val="single"/>
        </w:rPr>
        <w:t>(招标编号)</w:t>
      </w:r>
      <w:r>
        <w:rPr>
          <w:rFonts w:hint="eastAsia" w:ascii="仿宋_GB2312" w:hAnsi="仿宋_GB2312" w:eastAsia="仿宋_GB2312" w:cs="仿宋_GB2312"/>
          <w:szCs w:val="21"/>
        </w:rPr>
        <w:t>,签字代表</w:t>
      </w:r>
      <w:r>
        <w:rPr>
          <w:rFonts w:hint="eastAsia" w:ascii="仿宋_GB2312" w:hAnsi="仿宋_GB2312" w:eastAsia="仿宋_GB2312" w:cs="仿宋_GB2312"/>
          <w:szCs w:val="21"/>
          <w:u w:val="single"/>
        </w:rPr>
        <w:t>(姓名、职务)</w:t>
      </w:r>
      <w:r>
        <w:rPr>
          <w:rFonts w:hint="eastAsia" w:ascii="仿宋_GB2312" w:hAnsi="仿宋_GB2312" w:eastAsia="仿宋_GB2312" w:cs="仿宋_GB2312"/>
          <w:szCs w:val="21"/>
        </w:rPr>
        <w:t>经正式授权并代表投标人</w:t>
      </w:r>
      <w:r>
        <w:rPr>
          <w:rFonts w:hint="eastAsia" w:ascii="仿宋_GB2312" w:hAnsi="仿宋_GB2312" w:eastAsia="仿宋_GB2312" w:cs="仿宋_GB2312"/>
          <w:szCs w:val="21"/>
          <w:u w:val="single"/>
        </w:rPr>
        <w:t>（名称、地址）</w:t>
      </w:r>
      <w:r>
        <w:rPr>
          <w:rFonts w:hint="eastAsia" w:ascii="仿宋_GB2312" w:hAnsi="仿宋_GB2312" w:eastAsia="仿宋_GB2312" w:cs="仿宋_GB2312"/>
          <w:szCs w:val="21"/>
        </w:rPr>
        <w:t>提交下述文件</w:t>
      </w:r>
    </w:p>
    <w:p>
      <w:pPr>
        <w:adjustRightInd w:val="0"/>
        <w:snapToGrid w:val="0"/>
        <w:spacing w:line="360" w:lineRule="auto"/>
        <w:ind w:right="-21" w:rightChars="-10" w:firstLine="420"/>
        <w:rPr>
          <w:rFonts w:ascii="仿宋_GB2312" w:hAnsi="仿宋_GB2312" w:eastAsia="仿宋_GB2312" w:cs="仿宋_GB2312"/>
          <w:szCs w:val="21"/>
        </w:rPr>
      </w:pPr>
      <w:r>
        <w:rPr>
          <w:rFonts w:hint="eastAsia" w:ascii="仿宋_GB2312" w:hAnsi="仿宋_GB2312" w:eastAsia="仿宋_GB2312" w:cs="仿宋_GB2312"/>
          <w:szCs w:val="21"/>
        </w:rPr>
        <w:t>1、加密的电子征集响应文件（jmbs），应在文件领取开始时间至征集响应文件递交截止时间前通过 “新疆政采云平台”上传，开标时须使用 CA 秘钥进行文件解密工作。</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2、未加密的电子征集响应文件（jmbs格式）壹份，Word版本壹份，在开标截止时间前上传至政采云与开标现场解密的电子征集响应文件一致。</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形式出具的金额为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人民币元的投标保证金。并同时宣布愿意遵守下列条款：</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据此，签字代表宣布同意如下：</w:t>
      </w:r>
    </w:p>
    <w:p>
      <w:pPr>
        <w:numPr>
          <w:ilvl w:val="0"/>
          <w:numId w:val="5"/>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本项目投标总价详见开标一览表。</w:t>
      </w:r>
    </w:p>
    <w:p>
      <w:pPr>
        <w:numPr>
          <w:ilvl w:val="0"/>
          <w:numId w:val="5"/>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本投标有效期为自递交投标文件截止之日起</w:t>
      </w:r>
      <w:r>
        <w:rPr>
          <w:rFonts w:hint="eastAsia" w:ascii="仿宋_GB2312" w:hAnsi="仿宋_GB2312" w:eastAsia="仿宋_GB2312" w:cs="仿宋_GB2312"/>
          <w:szCs w:val="21"/>
          <w:u w:val="single"/>
        </w:rPr>
        <w:t>90</w:t>
      </w:r>
      <w:r>
        <w:rPr>
          <w:rFonts w:hint="eastAsia" w:ascii="仿宋_GB2312" w:hAnsi="仿宋_GB2312" w:eastAsia="仿宋_GB2312" w:cs="仿宋_GB2312"/>
          <w:szCs w:val="21"/>
        </w:rPr>
        <w:t>日历日。</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（3）已详细审查全部招标文件，包括所有补充通知（如果有的话）。</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（4）在规定的开标时间后，遵守招标文件中有关保证金的规定。</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（5）我方不是为本项目提供整体设计、规范编制或者项目管理、监理、检测等服务的供应商，我方不是采购代理机构的附属机构。</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（6）在领取中标通知书的同时按招标文件规定的形式，向采购代理机构一次性支付采购代理服务费（适用于中标人支付采购代理服务费情形）。</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（7）按照贵方可能要求，提供与其投标有关的一切数据或资料，完全理解贵方不一定接受最低价的投标或收到的任何投标。</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（8）按照招标文件的规定履行合同责任和义务。</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（9）我方承诺投标文件中的证明材料真实、合法、有效。</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其他事项：</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与本项目有关的一切往来通讯请寄</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传真：</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电话：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电子邮件：</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法定代表人（非法人组织负责人）或其授权委托人（签字或盖章）：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投标人开户银行（全称）：</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投标人银行账号：</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rPr>
          <w:rFonts w:ascii="仿宋_GB2312" w:hAnsi="仿宋_GB2312" w:eastAsia="仿宋_GB2312" w:cs="仿宋_GB2312"/>
          <w:szCs w:val="21"/>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firstLine="476" w:firstLineChars="227"/>
        <w:rPr>
          <w:rFonts w:ascii="仿宋_GB2312" w:hAnsi="仿宋_GB2312" w:eastAsia="仿宋_GB2312" w:cs="仿宋_GB2312"/>
          <w:szCs w:val="21"/>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格式11</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90" w:name="_Toc2673_WPSOffice_Level2"/>
      <w:bookmarkStart w:id="91" w:name="_Toc11267_WPSOffice_Level2"/>
      <w:r>
        <w:rPr>
          <w:rFonts w:hint="eastAsia" w:ascii="仿宋_GB2312" w:hAnsi="仿宋_GB2312" w:eastAsia="仿宋_GB2312" w:cs="仿宋_GB2312"/>
          <w:b/>
          <w:bCs/>
          <w:sz w:val="32"/>
          <w:szCs w:val="32"/>
        </w:rPr>
        <w:t>开标一览表</w:t>
      </w:r>
      <w:bookmarkEnd w:id="90"/>
      <w:bookmarkEnd w:id="91"/>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报价单位：</w:t>
      </w:r>
    </w:p>
    <w:tbl>
      <w:tblPr>
        <w:tblStyle w:val="14"/>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373"/>
        <w:gridCol w:w="1309"/>
        <w:gridCol w:w="1109"/>
        <w:gridCol w:w="1252"/>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549"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服务名称</w:t>
            </w:r>
          </w:p>
        </w:tc>
        <w:tc>
          <w:tcPr>
            <w:tcW w:w="2373"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投标总价</w:t>
            </w:r>
          </w:p>
        </w:tc>
        <w:tc>
          <w:tcPr>
            <w:tcW w:w="1309"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投标保证金</w:t>
            </w:r>
          </w:p>
        </w:tc>
        <w:tc>
          <w:tcPr>
            <w:tcW w:w="1109" w:type="dxa"/>
            <w:vAlign w:val="center"/>
          </w:tcPr>
          <w:p>
            <w:pPr>
              <w:adjustRightInd w:val="0"/>
              <w:snapToGrid w:val="0"/>
              <w:ind w:right="-33" w:rightChars="-16"/>
              <w:jc w:val="center"/>
              <w:rPr>
                <w:rFonts w:ascii="仿宋_GB2312" w:hAnsi="仿宋_GB2312" w:eastAsia="仿宋_GB2312" w:cs="仿宋_GB2312"/>
                <w:szCs w:val="21"/>
              </w:rPr>
            </w:pPr>
            <w:r>
              <w:rPr>
                <w:rFonts w:hint="eastAsia" w:ascii="仿宋_GB2312" w:hAnsi="仿宋_GB2312" w:eastAsia="仿宋_GB2312" w:cs="仿宋_GB2312"/>
                <w:szCs w:val="21"/>
              </w:rPr>
              <w:t>履约期限</w:t>
            </w:r>
          </w:p>
        </w:tc>
        <w:tc>
          <w:tcPr>
            <w:tcW w:w="1252" w:type="dxa"/>
            <w:vAlign w:val="center"/>
          </w:tcPr>
          <w:p>
            <w:pPr>
              <w:adjustRightInd w:val="0"/>
              <w:snapToGrid w:val="0"/>
              <w:ind w:right="-42" w:rightChars="-20"/>
              <w:jc w:val="center"/>
              <w:rPr>
                <w:rFonts w:ascii="仿宋_GB2312" w:hAnsi="仿宋_GB2312" w:eastAsia="仿宋_GB2312" w:cs="仿宋_GB2312"/>
                <w:szCs w:val="21"/>
              </w:rPr>
            </w:pPr>
            <w:r>
              <w:rPr>
                <w:rFonts w:hint="eastAsia" w:ascii="仿宋_GB2312" w:hAnsi="仿宋_GB2312" w:eastAsia="仿宋_GB2312" w:cs="仿宋_GB2312"/>
                <w:szCs w:val="21"/>
              </w:rPr>
              <w:t>履约地点</w:t>
            </w:r>
          </w:p>
        </w:tc>
        <w:tc>
          <w:tcPr>
            <w:tcW w:w="951"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54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2373" w:type="dxa"/>
            <w:vAlign w:val="center"/>
          </w:tcPr>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小写：</w:t>
            </w:r>
          </w:p>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大写：</w:t>
            </w:r>
          </w:p>
        </w:tc>
        <w:tc>
          <w:tcPr>
            <w:tcW w:w="130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110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1252"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951" w:type="dxa"/>
            <w:vAlign w:val="center"/>
          </w:tcPr>
          <w:p>
            <w:pPr>
              <w:adjustRightInd w:val="0"/>
              <w:snapToGrid w:val="0"/>
              <w:ind w:left="-54" w:leftChars="-26" w:right="-46" w:rightChars="-22"/>
              <w:jc w:val="center"/>
              <w:rPr>
                <w:rFonts w:ascii="仿宋_GB2312" w:hAnsi="仿宋_GB2312" w:eastAsia="仿宋_GB2312" w:cs="仿宋_GB2312"/>
                <w:szCs w:val="21"/>
              </w:rPr>
            </w:pPr>
          </w:p>
        </w:tc>
      </w:tr>
    </w:tbl>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注：此表中，投标总价应和服务价格明细表的总价相一致。</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480" w:lineRule="auto"/>
        <w:ind w:right="1050" w:rightChars="500"/>
        <w:rPr>
          <w:rFonts w:ascii="仿宋_GB2312" w:hAnsi="仿宋_GB2312" w:eastAsia="仿宋_GB2312" w:cs="仿宋_GB2312"/>
          <w:szCs w:val="21"/>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480" w:lineRule="auto"/>
        <w:ind w:right="1050" w:rightChars="500"/>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格式12</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服务价格明细表</w:t>
      </w:r>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报价单位：</w:t>
      </w:r>
    </w:p>
    <w:tbl>
      <w:tblPr>
        <w:tblStyle w:val="14"/>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078"/>
        <w:gridCol w:w="1228"/>
        <w:gridCol w:w="1238"/>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078"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服务名称</w:t>
            </w:r>
          </w:p>
        </w:tc>
        <w:tc>
          <w:tcPr>
            <w:tcW w:w="1228"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单价</w:t>
            </w:r>
          </w:p>
        </w:tc>
        <w:tc>
          <w:tcPr>
            <w:tcW w:w="1238"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1457"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089" w:type="dxa"/>
            <w:gridSpan w:val="2"/>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注：1.此表中，总价应和开标一览表的投标总价相一致。</w:t>
      </w:r>
    </w:p>
    <w:p>
      <w:pPr>
        <w:adjustRightInd w:val="0"/>
        <w:snapToGrid w:val="0"/>
        <w:spacing w:line="360" w:lineRule="auto"/>
        <w:ind w:right="105" w:rightChars="50" w:firstLine="840" w:firstLineChars="400"/>
        <w:jc w:val="left"/>
        <w:rPr>
          <w:rFonts w:ascii="仿宋_GB2312" w:hAnsi="仿宋_GB2312" w:eastAsia="仿宋_GB2312" w:cs="仿宋_GB2312"/>
          <w:szCs w:val="21"/>
        </w:rPr>
      </w:pPr>
      <w:r>
        <w:rPr>
          <w:rFonts w:hint="eastAsia" w:ascii="仿宋_GB2312" w:hAnsi="仿宋_GB2312" w:eastAsia="仿宋_GB2312" w:cs="仿宋_GB2312"/>
          <w:szCs w:val="21"/>
        </w:rPr>
        <w:t>2.本表可根据实际情况进行拓展。</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adjustRightInd w:val="0"/>
        <w:snapToGrid w:val="0"/>
        <w:spacing w:line="360" w:lineRule="auto"/>
        <w:ind w:right="1050" w:rightChars="500"/>
        <w:rPr>
          <w:rFonts w:ascii="仿宋_GB2312" w:hAnsi="仿宋_GB2312" w:eastAsia="仿宋_GB2312" w:cs="仿宋_GB2312"/>
          <w:szCs w:val="21"/>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360" w:lineRule="auto"/>
        <w:ind w:right="105" w:rightChars="50"/>
        <w:jc w:val="left"/>
        <w:rPr>
          <w:rFonts w:ascii="仿宋_GB2312" w:hAnsi="仿宋_GB2312" w:eastAsia="仿宋_GB2312" w:cs="仿宋_GB2312"/>
          <w:szCs w:val="21"/>
          <w:u w:val="single"/>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br w:type="page"/>
      </w:r>
      <w:r>
        <w:rPr>
          <w:rFonts w:hint="eastAsia" w:ascii="仿宋_GB2312" w:hAnsi="仿宋_GB2312" w:eastAsia="仿宋_GB2312" w:cs="仿宋_GB2312"/>
          <w:szCs w:val="28"/>
        </w:rPr>
        <w:t>格式13</w:t>
      </w:r>
    </w:p>
    <w:p>
      <w:pPr>
        <w:adjustRightInd w:val="0"/>
        <w:snapToGrid w:val="0"/>
        <w:spacing w:before="319" w:beforeLines="100" w:line="360" w:lineRule="auto"/>
        <w:ind w:right="105" w:rightChars="50"/>
        <w:jc w:val="center"/>
        <w:rPr>
          <w:rFonts w:ascii="仿宋_GB2312" w:hAnsi="仿宋_GB2312" w:eastAsia="仿宋_GB2312" w:cs="仿宋_GB2312"/>
          <w:b/>
          <w:bCs/>
          <w:sz w:val="32"/>
          <w:szCs w:val="32"/>
        </w:rPr>
      </w:pPr>
      <w:bookmarkStart w:id="92" w:name="_Toc9235_WPSOffice_Level2"/>
      <w:bookmarkStart w:id="93" w:name="_Toc31555_WPSOffice_Level2"/>
      <w:r>
        <w:rPr>
          <w:rFonts w:hint="eastAsia" w:ascii="仿宋_GB2312" w:hAnsi="仿宋_GB2312" w:eastAsia="仿宋_GB2312" w:cs="仿宋_GB2312"/>
          <w:b/>
          <w:bCs/>
          <w:sz w:val="32"/>
          <w:szCs w:val="32"/>
        </w:rPr>
        <w:t>服务需求响应表</w:t>
      </w:r>
      <w:bookmarkEnd w:id="92"/>
      <w:bookmarkEnd w:id="93"/>
    </w:p>
    <w:tbl>
      <w:tblPr>
        <w:tblStyle w:val="1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2452"/>
        <w:gridCol w:w="1118"/>
        <w:gridCol w:w="1166"/>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89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包号/序号：</w:t>
            </w:r>
          </w:p>
          <w:p>
            <w:pPr>
              <w:tabs>
                <w:tab w:val="left" w:pos="0"/>
              </w:tabs>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30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招标文件要求</w:t>
            </w:r>
          </w:p>
          <w:p>
            <w:pPr>
              <w:ind w:hanging="1"/>
              <w:rPr>
                <w:rFonts w:ascii="仿宋_GB2312" w:hAnsi="仿宋_GB2312" w:eastAsia="仿宋_GB2312" w:cs="仿宋_GB2312"/>
                <w:b/>
                <w:szCs w:val="21"/>
              </w:rPr>
            </w:pPr>
            <w:r>
              <w:rPr>
                <w:rFonts w:hint="eastAsia" w:ascii="仿宋_GB2312" w:hAnsi="仿宋_GB2312" w:eastAsia="仿宋_GB2312" w:cs="仿宋_GB2312"/>
                <w:b/>
                <w:sz w:val="18"/>
                <w:szCs w:val="18"/>
              </w:rPr>
              <w:t>重要提示：实质性要求及重要指标用★标注（“★”必须标注在序号前），★标注项不得负偏离，如果负偏离，则投标文件无效。</w:t>
            </w:r>
          </w:p>
        </w:tc>
        <w:tc>
          <w:tcPr>
            <w:tcW w:w="24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投标文件</w:t>
            </w:r>
          </w:p>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响应内容</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偏离程度</w:t>
            </w: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偏离说明</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按服务需求填写</w:t>
            </w:r>
          </w:p>
        </w:tc>
        <w:tc>
          <w:tcPr>
            <w:tcW w:w="2452"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center"/>
              <w:rPr>
                <w:rFonts w:ascii="仿宋_GB2312" w:hAnsi="仿宋_GB2312" w:eastAsia="仿宋_GB2312" w:cs="仿宋_GB2312"/>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452"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left"/>
              <w:rPr>
                <w:rFonts w:ascii="仿宋_GB2312" w:hAnsi="仿宋_GB2312" w:eastAsia="仿宋_GB2312" w:cs="仿宋_GB2312"/>
                <w:kern w:val="0"/>
                <w:szCs w:val="21"/>
              </w:rPr>
            </w:pPr>
            <w:r>
              <w:rPr>
                <w:rFonts w:hint="eastAsia" w:ascii="仿宋_GB2312" w:hAnsi="仿宋_GB2312" w:eastAsia="仿宋_GB2312" w:cs="仿宋_GB2312"/>
                <w:szCs w:val="21"/>
              </w:rPr>
              <w:t>采购单位未提供需求而投标人认为需说明及补充的内容在此填列</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r>
    </w:tbl>
    <w:p>
      <w:pPr>
        <w:adjustRightInd w:val="0"/>
        <w:snapToGrid w:val="0"/>
        <w:spacing w:line="360" w:lineRule="auto"/>
        <w:ind w:right="105" w:rightChars="50"/>
        <w:jc w:val="left"/>
        <w:rPr>
          <w:rFonts w:ascii="仿宋_GB2312" w:hAnsi="仿宋_GB2312" w:eastAsia="仿宋_GB2312" w:cs="仿宋_GB2312"/>
          <w:b/>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1．“投标文件响应内容”一栏由投标人按照招标文件要求填写并进行逐项响应。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3．“偏离说明”一栏由投标人对偏离的情况做详细说明。</w:t>
      </w: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b w:val="0"/>
          <w:szCs w:val="28"/>
        </w:rPr>
        <w:br w:type="page"/>
      </w:r>
      <w:r>
        <w:rPr>
          <w:rFonts w:hint="eastAsia" w:ascii="仿宋_GB2312" w:hAnsi="仿宋_GB2312" w:eastAsia="仿宋_GB2312" w:cs="仿宋_GB2312"/>
          <w:szCs w:val="28"/>
        </w:rPr>
        <w:t>格式14</w:t>
      </w:r>
    </w:p>
    <w:p>
      <w:pPr>
        <w:adjustRightInd w:val="0"/>
        <w:snapToGrid w:val="0"/>
        <w:ind w:right="105" w:rightChars="50"/>
        <w:jc w:val="center"/>
        <w:rPr>
          <w:rFonts w:ascii="仿宋_GB2312" w:hAnsi="仿宋_GB2312" w:eastAsia="仿宋_GB2312" w:cs="仿宋_GB2312"/>
          <w:b/>
          <w:bCs/>
          <w:sz w:val="32"/>
          <w:szCs w:val="32"/>
        </w:rPr>
      </w:pPr>
      <w:bookmarkStart w:id="94" w:name="_Toc4431_WPSOffice_Level2"/>
      <w:bookmarkStart w:id="95" w:name="_Toc8488_WPSOffice_Level2"/>
      <w:r>
        <w:rPr>
          <w:rFonts w:hint="eastAsia" w:ascii="仿宋_GB2312" w:hAnsi="仿宋_GB2312" w:eastAsia="仿宋_GB2312" w:cs="仿宋_GB2312"/>
          <w:b/>
          <w:bCs/>
          <w:sz w:val="32"/>
          <w:szCs w:val="32"/>
        </w:rPr>
        <w:t>商务条款偏离表</w:t>
      </w:r>
      <w:bookmarkEnd w:id="94"/>
      <w:bookmarkEnd w:id="95"/>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包号： </w:t>
      </w:r>
    </w:p>
    <w:tbl>
      <w:tblPr>
        <w:tblStyle w:val="14"/>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3758"/>
        <w:gridCol w:w="2359"/>
        <w:gridCol w:w="1003"/>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47" w:type="dxa"/>
            <w:vAlign w:val="center"/>
          </w:tcPr>
          <w:p>
            <w:pPr>
              <w:adjustRightInd w:val="0"/>
              <w:snapToGrid w:val="0"/>
              <w:ind w:right="-48" w:rightChars="-23"/>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758" w:type="dxa"/>
            <w:vAlign w:val="center"/>
          </w:tcPr>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招标文件的商务条款</w:t>
            </w:r>
          </w:p>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b/>
                <w:sz w:val="18"/>
                <w:szCs w:val="18"/>
              </w:rPr>
              <w:t>实质性要求及重要指标用★标注，★标注项不得负偏离，如果负偏离，则投标文件无效。</w:t>
            </w:r>
            <w:r>
              <w:rPr>
                <w:rFonts w:hint="eastAsia" w:ascii="仿宋_GB2312" w:hAnsi="仿宋_GB2312" w:eastAsia="仿宋_GB2312" w:cs="仿宋_GB2312"/>
                <w:szCs w:val="21"/>
              </w:rPr>
              <w:t>）</w:t>
            </w:r>
          </w:p>
        </w:tc>
        <w:tc>
          <w:tcPr>
            <w:tcW w:w="2359" w:type="dxa"/>
            <w:vAlign w:val="center"/>
          </w:tcPr>
          <w:p>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投标文件响应内容</w:t>
            </w:r>
          </w:p>
        </w:tc>
        <w:tc>
          <w:tcPr>
            <w:tcW w:w="1003" w:type="dxa"/>
            <w:vAlign w:val="center"/>
          </w:tcPr>
          <w:p>
            <w:pPr>
              <w:adjustRightInd w:val="0"/>
              <w:snapToGrid w:val="0"/>
              <w:ind w:left="-58"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偏离程度</w:t>
            </w:r>
          </w:p>
        </w:tc>
        <w:tc>
          <w:tcPr>
            <w:tcW w:w="893" w:type="dxa"/>
            <w:vAlign w:val="center"/>
          </w:tcPr>
          <w:p>
            <w:pPr>
              <w:adjustRightInd w:val="0"/>
              <w:snapToGrid w:val="0"/>
              <w:ind w:left="-58"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履约期限：</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履约地点：</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付款方式及条件：</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验收标准：</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验收程序：</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验收报告：</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组织验收主体：本项目的履约验收工作由采购人依法组织实施。</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质量保证期：（  ）年</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保修期内上门免费服务，终身维修，提供配件：（    ）年</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热线支持：</w:t>
            </w:r>
          </w:p>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现场支持：（    ）小时内响应；（     ）小时内到达</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售后服务网络：</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维修技术人员及设备方面的保证措施及收费标准的要求：</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备品备件供应及优惠价格要求：</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培训人员现场培训（操作、维护等）：</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系统扩展、升级服务要求：</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359" w:type="dxa"/>
            <w:vAlign w:val="center"/>
          </w:tcPr>
          <w:p>
            <w:pPr>
              <w:adjustRightInd w:val="0"/>
              <w:snapToGrid w:val="0"/>
              <w:ind w:left="-37" w:leftChars="-18"/>
              <w:jc w:val="left"/>
              <w:rPr>
                <w:rFonts w:ascii="仿宋_GB2312" w:hAnsi="仿宋_GB2312" w:eastAsia="仿宋_GB2312" w:cs="仿宋_GB2312"/>
                <w:szCs w:val="21"/>
              </w:rPr>
            </w:pPr>
            <w:r>
              <w:rPr>
                <w:rFonts w:hint="eastAsia" w:ascii="仿宋_GB2312" w:hAnsi="仿宋_GB2312" w:eastAsia="仿宋_GB2312" w:cs="仿宋_GB2312"/>
                <w:szCs w:val="21"/>
              </w:rPr>
              <w:t>采购单位未提供需求而投标人认为需说明及补充的内容在此填列</w:t>
            </w: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1．“投标文件响应内容”一栏由投标人按照招标文件要求填写，进行响应。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3．“偏离说明”一栏由投标人对偏离的情况做详细说明。</w:t>
      </w:r>
    </w:p>
    <w:p>
      <w:pPr>
        <w:adjustRightInd w:val="0"/>
        <w:snapToGrid w:val="0"/>
        <w:spacing w:line="360" w:lineRule="auto"/>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格式15</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96" w:name="_Toc9410_WPSOffice_Level2"/>
      <w:bookmarkStart w:id="97" w:name="_Toc20929_WPSOffice_Level2"/>
      <w:r>
        <w:rPr>
          <w:rFonts w:hint="eastAsia" w:ascii="仿宋_GB2312" w:hAnsi="仿宋_GB2312" w:eastAsia="仿宋_GB2312" w:cs="仿宋_GB2312"/>
          <w:b/>
          <w:bCs/>
          <w:sz w:val="32"/>
          <w:szCs w:val="32"/>
        </w:rPr>
        <w:t>投标人关联单位的说明</w:t>
      </w:r>
      <w:bookmarkEnd w:id="96"/>
      <w:bookmarkEnd w:id="97"/>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说明：投标人应当如实披露与本单位存在下列关联关系的单位名称：</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bookmarkStart w:id="98" w:name="_Toc31070_WPSOffice_Level2"/>
      <w:bookmarkStart w:id="99" w:name="_Toc2074_WPSOffice_Level2"/>
      <w:r>
        <w:rPr>
          <w:rFonts w:hint="eastAsia" w:ascii="仿宋_GB2312" w:hAnsi="仿宋_GB2312" w:eastAsia="仿宋_GB2312" w:cs="仿宋_GB2312"/>
          <w:szCs w:val="21"/>
        </w:rPr>
        <w:t>（1）与投标人单位法定代表人（或非法人组织负责人）为同一人的其他单位；</w:t>
      </w:r>
      <w:bookmarkEnd w:id="98"/>
      <w:bookmarkEnd w:id="99"/>
    </w:p>
    <w:p>
      <w:pPr>
        <w:adjustRightInd w:val="0"/>
        <w:snapToGrid w:val="0"/>
        <w:spacing w:line="360" w:lineRule="auto"/>
        <w:ind w:right="105" w:rightChars="50" w:firstLine="476" w:firstLineChars="227"/>
        <w:jc w:val="left"/>
        <w:rPr>
          <w:rFonts w:ascii="仿宋_GB2312" w:hAnsi="仿宋_GB2312" w:eastAsia="仿宋_GB2312" w:cs="仿宋_GB2312"/>
          <w:szCs w:val="21"/>
        </w:rPr>
      </w:pPr>
      <w:bookmarkStart w:id="100" w:name="_Toc27053_WPSOffice_Level2"/>
      <w:bookmarkStart w:id="101" w:name="_Toc889_WPSOffice_Level2"/>
      <w:r>
        <w:rPr>
          <w:rFonts w:hint="eastAsia" w:ascii="仿宋_GB2312" w:hAnsi="仿宋_GB2312" w:eastAsia="仿宋_GB2312" w:cs="仿宋_GB2312"/>
          <w:szCs w:val="21"/>
        </w:rPr>
        <w:t>（2）与投标人存在直接控股、管理关系的其他单位。</w:t>
      </w:r>
      <w:bookmarkEnd w:id="100"/>
      <w:bookmarkEnd w:id="101"/>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注：若无此情形，写“无”即可</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adjustRightInd w:val="0"/>
        <w:snapToGrid w:val="0"/>
        <w:spacing w:line="48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bookmarkStart w:id="102" w:name="_Hlk73969800"/>
      <w:r>
        <w:rPr>
          <w:rFonts w:hint="eastAsia" w:ascii="仿宋_GB2312" w:hAnsi="仿宋_GB2312" w:eastAsia="仿宋_GB2312" w:cs="仿宋_GB2312"/>
          <w:szCs w:val="28"/>
        </w:rPr>
        <w:t>格式16</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103" w:name="_Toc19164_WPSOffice_Level2"/>
      <w:bookmarkStart w:id="104" w:name="_Toc4541_WPSOffice_Level2"/>
      <w:r>
        <w:rPr>
          <w:rFonts w:hint="eastAsia" w:ascii="仿宋_GB2312" w:hAnsi="仿宋_GB2312" w:eastAsia="仿宋_GB2312" w:cs="仿宋_GB2312"/>
          <w:b/>
          <w:bCs/>
          <w:sz w:val="32"/>
          <w:szCs w:val="32"/>
        </w:rPr>
        <w:t>中小企业声明函</w:t>
      </w:r>
      <w:bookmarkEnd w:id="103"/>
      <w:bookmarkEnd w:id="104"/>
      <w:r>
        <w:rPr>
          <w:rFonts w:hint="eastAsia" w:ascii="仿宋_GB2312" w:hAnsi="仿宋_GB2312" w:eastAsia="仿宋_GB2312" w:cs="仿宋_GB2312"/>
          <w:b/>
          <w:bCs/>
          <w:sz w:val="32"/>
          <w:szCs w:val="32"/>
        </w:rPr>
        <w:t>（工程、服务）</w:t>
      </w:r>
    </w:p>
    <w:p>
      <w:pPr>
        <w:adjustRightInd w:val="0"/>
        <w:snapToGrid w:val="0"/>
        <w:spacing w:line="480" w:lineRule="auto"/>
        <w:ind w:right="105" w:rightChars="50"/>
        <w:jc w:val="left"/>
        <w:rPr>
          <w:rFonts w:ascii="仿宋_GB2312" w:hAnsi="仿宋_GB2312" w:eastAsia="仿宋_GB2312" w:cs="仿宋_GB2312"/>
          <w:kern w:val="0"/>
          <w:szCs w:val="21"/>
        </w:rPr>
      </w:pP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本公司（联合体）郑重声明，根据《政府采购促进中小企业发展管理办法》（财库</w:t>
      </w:r>
      <w:r>
        <w:rPr>
          <w:rFonts w:hint="eastAsia" w:ascii="微软雅黑" w:hAnsi="微软雅黑" w:eastAsia="微软雅黑" w:cs="微软雅黑"/>
          <w:kern w:val="0"/>
          <w:szCs w:val="21"/>
        </w:rPr>
        <w:t>﹝</w:t>
      </w:r>
      <w:r>
        <w:rPr>
          <w:rFonts w:hint="eastAsia" w:ascii="仿宋_GB2312" w:hAnsi="仿宋_GB2312" w:eastAsia="仿宋_GB2312" w:cs="仿宋_GB2312"/>
          <w:kern w:val="0"/>
          <w:szCs w:val="21"/>
        </w:rPr>
        <w:t>2020</w:t>
      </w:r>
      <w:r>
        <w:rPr>
          <w:rFonts w:hint="eastAsia" w:ascii="微软雅黑" w:hAnsi="微软雅黑" w:eastAsia="微软雅黑" w:cs="微软雅黑"/>
          <w:kern w:val="0"/>
          <w:szCs w:val="21"/>
        </w:rPr>
        <w:t>﹞</w:t>
      </w:r>
      <w:r>
        <w:rPr>
          <w:rFonts w:hint="eastAsia" w:ascii="仿宋_GB2312" w:hAnsi="仿宋_GB2312" w:eastAsia="仿宋_GB2312" w:cs="仿宋_GB2312"/>
          <w:kern w:val="0"/>
          <w:szCs w:val="21"/>
        </w:rPr>
        <w:t>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1.（标的名称），属于（采购文件中明确的所属行业）；承建（承接）企业为（企业名称），从业人员     人，营业收入为万元，资产总额为      万元1，属于（中型企业、小型企业、微型企业）；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r>
        <w:rPr>
          <w:rFonts w:ascii="仿宋_GB2312" w:hAnsi="仿宋_GB2312" w:eastAsia="仿宋_GB2312" w:cs="仿宋_GB2312"/>
          <w:kern w:val="0"/>
          <w:szCs w:val="21"/>
        </w:rPr>
        <w:t xml:space="preserve">  </w:t>
      </w:r>
      <w:r>
        <w:rPr>
          <w:rFonts w:hint="eastAsia" w:ascii="仿宋_GB2312" w:hAnsi="仿宋_GB2312" w:eastAsia="仿宋_GB2312" w:cs="仿宋_GB2312"/>
          <w:kern w:val="0"/>
          <w:szCs w:val="21"/>
        </w:rPr>
        <w:t xml:space="preserve"> 2.（标的名称） ，属于（采购文件中明确的所属行业）；承建（承接）企业为（企业名称），从业人员      人，营业收入为         万元，资产总额为    万元，属于（中型企业、小型企业、微型企业）； </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ascii="仿宋_GB2312" w:hAnsi="仿宋_GB2312" w:eastAsia="仿宋_GB2312" w:cs="仿宋_GB2312"/>
          <w:kern w:val="0"/>
          <w:szCs w:val="21"/>
        </w:rPr>
        <w:t xml:space="preserve">……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以上企业，不属于大企业的分支机构，不存在控股股东为大企业的情形，也不存在与大企业的负责人为同一人的情形。</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本企业对上述声明内容的真实性负责。如有虚假，将依 法承担相应责任。</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p>
    <w:p>
      <w:pPr>
        <w:adjustRightInd w:val="0"/>
        <w:snapToGrid w:val="0"/>
        <w:spacing w:line="480" w:lineRule="auto"/>
        <w:ind w:right="105" w:rightChars="50"/>
        <w:jc w:val="righ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企业名称（盖章）：  </w:t>
      </w:r>
    </w:p>
    <w:p>
      <w:pPr>
        <w:adjustRightInd w:val="0"/>
        <w:snapToGrid w:val="0"/>
        <w:spacing w:line="480" w:lineRule="auto"/>
        <w:ind w:right="105" w:rightChars="50"/>
        <w:jc w:val="righ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日 期：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kern w:val="0"/>
          <w:szCs w:val="21"/>
        </w:rPr>
        <w:t>1从业人员、营业收入、资产总额填报上一年度数据，无上一年度数据的新成立企业可不填报。</w:t>
      </w:r>
    </w:p>
    <w:bookmarkEnd w:id="102"/>
    <w:p>
      <w:pPr>
        <w:adjustRightInd w:val="0"/>
        <w:snapToGrid w:val="0"/>
        <w:spacing w:line="480" w:lineRule="auto"/>
        <w:ind w:right="105" w:rightChars="50"/>
        <w:jc w:val="left"/>
        <w:rPr>
          <w:rFonts w:ascii="仿宋_GB2312" w:hAnsi="仿宋_GB2312" w:eastAsia="仿宋_GB2312" w:cs="仿宋_GB2312"/>
          <w:szCs w:val="21"/>
          <w:u w:val="single"/>
        </w:rPr>
      </w:pPr>
    </w:p>
    <w:p>
      <w:pPr>
        <w:adjustRightInd w:val="0"/>
        <w:snapToGrid w:val="0"/>
        <w:spacing w:line="480" w:lineRule="auto"/>
        <w:ind w:right="105" w:rightChars="50"/>
        <w:jc w:val="left"/>
        <w:rPr>
          <w:rFonts w:ascii="仿宋_GB2312" w:hAnsi="仿宋_GB2312" w:eastAsia="仿宋_GB2312" w:cs="仿宋_GB2312"/>
          <w:szCs w:val="21"/>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格式17</w:t>
      </w:r>
    </w:p>
    <w:p>
      <w:pPr>
        <w:adjustRightInd w:val="0"/>
        <w:snapToGrid w:val="0"/>
        <w:spacing w:before="319" w:beforeLines="100" w:line="360" w:lineRule="auto"/>
        <w:ind w:right="105" w:rightChars="50"/>
        <w:jc w:val="center"/>
        <w:rPr>
          <w:rFonts w:ascii="仿宋_GB2312" w:hAnsi="仿宋_GB2312" w:eastAsia="仿宋_GB2312" w:cs="仿宋_GB2312"/>
          <w:b/>
          <w:bCs/>
          <w:sz w:val="32"/>
          <w:szCs w:val="32"/>
        </w:rPr>
      </w:pPr>
      <w:bookmarkStart w:id="105" w:name="_Toc25502_WPSOffice_Level2"/>
      <w:bookmarkStart w:id="106" w:name="_Toc21675_WPSOffice_Level2"/>
      <w:r>
        <w:rPr>
          <w:rFonts w:hint="eastAsia" w:ascii="仿宋_GB2312" w:hAnsi="仿宋_GB2312" w:eastAsia="仿宋_GB2312" w:cs="仿宋_GB2312"/>
          <w:b/>
          <w:bCs/>
          <w:sz w:val="32"/>
          <w:szCs w:val="32"/>
        </w:rPr>
        <w:t>制造商企业（单位）类型声明函</w:t>
      </w:r>
      <w:bookmarkEnd w:id="105"/>
      <w:bookmarkEnd w:id="106"/>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本企业（单位）作为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项目的</w:t>
      </w:r>
      <w:r>
        <w:rPr>
          <w:rFonts w:hint="eastAsia" w:ascii="仿宋_GB2312" w:hAnsi="仿宋_GB2312" w:eastAsia="仿宋_GB2312" w:cs="仿宋_GB2312"/>
          <w:b/>
          <w:bCs/>
          <w:szCs w:val="21"/>
        </w:rPr>
        <w:t>伴随货物</w:t>
      </w:r>
      <w:r>
        <w:rPr>
          <w:rFonts w:hint="eastAsia" w:ascii="仿宋_GB2312" w:hAnsi="仿宋_GB2312" w:eastAsia="仿宋_GB2312" w:cs="仿宋_GB2312"/>
          <w:szCs w:val="21"/>
        </w:rPr>
        <w:t>制造商，参加政府采购活动。根据《政府采购促进中小企业发展管理办法》（财库﹝2020﹞46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（请填写：中型、小型、微型）企业。</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（请填写：是、不是）监狱企业。后附省级以上监狱管理局、戒毒管理局（含新疆生产建设兵团）出具的属于监狱企业的证明文件。</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（请填写：是、不是）残疾人福利性单位。</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本次投标提供的伴随货物（详见下表）是本企业（单位）制造的。</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tbl>
      <w:tblPr>
        <w:tblStyle w:val="14"/>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  名</w:t>
            </w:r>
          </w:p>
        </w:tc>
        <w:tc>
          <w:tcPr>
            <w:tcW w:w="1587" w:type="dxa"/>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1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w:t>
            </w:r>
          </w:p>
          <w:p>
            <w:pPr>
              <w:jc w:val="center"/>
              <w:rPr>
                <w:rFonts w:ascii="仿宋_GB2312" w:hAnsi="仿宋_GB2312" w:eastAsia="仿宋_GB2312" w:cs="仿宋_GB2312"/>
                <w:szCs w:val="21"/>
              </w:rPr>
            </w:pPr>
            <w:r>
              <w:rPr>
                <w:rFonts w:hint="eastAsia" w:ascii="仿宋_GB2312" w:hAnsi="仿宋_GB2312" w:eastAsia="仿宋_GB2312" w:cs="仿宋_GB2312"/>
                <w:szCs w:val="21"/>
              </w:rPr>
              <w:t>型号</w:t>
            </w:r>
          </w:p>
        </w:tc>
        <w:tc>
          <w:tcPr>
            <w:tcW w:w="1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w:t>
            </w:r>
          </w:p>
          <w:p>
            <w:pPr>
              <w:jc w:val="center"/>
              <w:rPr>
                <w:rFonts w:ascii="仿宋_GB2312" w:hAnsi="仿宋_GB2312" w:eastAsia="仿宋_GB2312" w:cs="仿宋_GB2312"/>
                <w:szCs w:val="21"/>
              </w:rPr>
            </w:pPr>
            <w:r>
              <w:rPr>
                <w:rFonts w:hint="eastAsia" w:ascii="仿宋_GB2312" w:hAnsi="仿宋_GB2312" w:eastAsia="仿宋_GB2312" w:cs="仿宋_GB2312"/>
                <w:szCs w:val="21"/>
              </w:rPr>
              <w:t>厂家</w:t>
            </w:r>
          </w:p>
        </w:tc>
        <w:tc>
          <w:tcPr>
            <w:tcW w:w="134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320" w:type="dxa"/>
            <w:gridSpan w:val="6"/>
            <w:vAlign w:val="center"/>
          </w:tcPr>
          <w:p>
            <w:pPr>
              <w:ind w:firstLine="420" w:firstLineChars="200"/>
              <w:jc w:val="left"/>
              <w:rPr>
                <w:rFonts w:ascii="仿宋_GB2312" w:hAnsi="仿宋_GB2312" w:eastAsia="仿宋_GB2312" w:cs="仿宋_GB2312"/>
                <w:szCs w:val="21"/>
              </w:rPr>
            </w:pPr>
            <w:r>
              <w:rPr>
                <w:rFonts w:hint="eastAsia" w:ascii="仿宋_GB2312" w:hAnsi="仿宋_GB2312" w:eastAsia="仿宋_GB2312" w:cs="仿宋_GB2312"/>
                <w:b/>
                <w:szCs w:val="21"/>
                <w:lang w:val="zh-CN"/>
              </w:rPr>
              <w:t>投标文件中所提供的以上产品为本企业生产的产品，</w:t>
            </w:r>
            <w:r>
              <w:rPr>
                <w:rFonts w:hint="eastAsia" w:ascii="仿宋_GB2312" w:hAnsi="仿宋_GB2312" w:eastAsia="仿宋_GB2312" w:cs="仿宋_GB2312"/>
                <w:b/>
                <w:szCs w:val="21"/>
              </w:rPr>
              <w:t>如有虚假</w:t>
            </w:r>
            <w:r>
              <w:rPr>
                <w:rFonts w:hint="eastAsia" w:ascii="仿宋_GB2312" w:hAnsi="仿宋_GB2312" w:eastAsia="仿宋_GB2312" w:cs="仿宋_GB2312"/>
                <w:b/>
                <w:szCs w:val="21"/>
                <w:lang w:val="zh-CN"/>
              </w:rPr>
              <w:t>，我公司承担由此产生的一切后果</w:t>
            </w:r>
            <w:r>
              <w:rPr>
                <w:rFonts w:hint="eastAsia" w:ascii="仿宋_GB2312" w:hAnsi="仿宋_GB2312" w:eastAsia="仿宋_GB2312" w:cs="仿宋_GB2312"/>
                <w:szCs w:val="21"/>
                <w:lang w:val="zh-CN"/>
              </w:rPr>
              <w:t>。</w:t>
            </w:r>
          </w:p>
        </w:tc>
      </w:tr>
    </w:tbl>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注：投标人所投产品为其它企业生产时须提供此声明函，仅作为价格扣除条件。</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制造商名称（加盖单位公章）：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napToGrid w:val="0"/>
        <w:spacing w:line="480" w:lineRule="auto"/>
        <w:rPr>
          <w:rFonts w:ascii="仿宋_GB2312" w:hAnsi="仿宋_GB2312" w:eastAsia="仿宋_GB2312" w:cs="仿宋_GB2312"/>
          <w:szCs w:val="28"/>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格式18</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107" w:name="_Toc29880_WPSOffice_Level2"/>
      <w:bookmarkStart w:id="108" w:name="_Toc13566_WPSOffice_Level2"/>
      <w:r>
        <w:rPr>
          <w:rFonts w:hint="eastAsia" w:ascii="仿宋_GB2312" w:hAnsi="仿宋_GB2312" w:eastAsia="仿宋_GB2312" w:cs="仿宋_GB2312"/>
          <w:b/>
          <w:bCs/>
          <w:sz w:val="32"/>
          <w:szCs w:val="32"/>
        </w:rPr>
        <w:t>残疾人福利性单位声明函</w:t>
      </w:r>
      <w:bookmarkEnd w:id="107"/>
      <w:bookmarkEnd w:id="108"/>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本单位郑重声明，根据《财政部 民政部 中国残疾人联合会关于促进残疾人就业政府采购政策的通知》（财库〔2017〕141 号）的规定，本单位为符合条件的残疾人福利性单位，且本单位参加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注：供应商为非残疾人福利性单位的，无需填写此声明函。</w:t>
      </w:r>
    </w:p>
    <w:p>
      <w:pPr>
        <w:adjustRightInd w:val="0"/>
        <w:snapToGrid w:val="0"/>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widowControl/>
        <w:jc w:val="left"/>
        <w:rPr>
          <w:rFonts w:ascii="仿宋_GB2312" w:hAnsi="仿宋_GB2312" w:eastAsia="仿宋_GB2312" w:cs="仿宋_GB2312"/>
          <w:b/>
          <w:kern w:val="44"/>
          <w:sz w:val="44"/>
        </w:rPr>
      </w:pPr>
      <w:r>
        <w:rPr>
          <w:rFonts w:hint="eastAsia" w:ascii="仿宋_GB2312" w:hAnsi="仿宋_GB2312" w:eastAsia="仿宋_GB2312" w:cs="仿宋_GB2312"/>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格式19</w:t>
      </w:r>
    </w:p>
    <w:p>
      <w:pPr>
        <w:adjustRightInd w:val="0"/>
        <w:snapToGrid w:val="0"/>
        <w:spacing w:before="319" w:beforeLines="100" w:after="319" w:afterLines="100"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聘用建档立卡贫困人员物业公司声明函</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本单位郑重声明，根据财政部 国务院扶贫办《关于运用政府采购政策支持脱贫攻坚的通知》（财库〔2019〕27 号）的规定，本单位为符合条件的单位，且本单位参加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项目采购活动，由本单位提供物业服务，其中聘用建档立卡贫困人员达到公司员工（含服务外包用工）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b/>
          <w:bCs/>
          <w:sz w:val="32"/>
          <w:szCs w:val="32"/>
        </w:rPr>
      </w:pPr>
      <w:r>
        <w:rPr>
          <w:rFonts w:hint="eastAsia" w:ascii="仿宋_GB2312" w:hAnsi="仿宋_GB2312" w:eastAsia="仿宋_GB2312" w:cs="仿宋_GB2312"/>
          <w:szCs w:val="21"/>
        </w:rPr>
        <w:t>附：物业公司注册所在县扶贫部门出具的聘用建档立卡贫困人员具体数量的证明</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注：供应商为非聘用建档立卡贫困人员物业公司的，无需填写此声明函。</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p>
    <w:p>
      <w:pPr>
        <w:adjustRightInd w:val="0"/>
        <w:snapToGrid w:val="0"/>
        <w:spacing w:line="480" w:lineRule="auto"/>
        <w:ind w:right="105" w:rightChars="50"/>
        <w:jc w:val="left"/>
        <w:rPr>
          <w:rFonts w:ascii="仿宋_GB2312" w:hAnsi="仿宋_GB2312" w:eastAsia="仿宋_GB2312" w:cs="仿宋_GB2312"/>
          <w:szCs w:val="21"/>
          <w:u w:val="single"/>
        </w:rPr>
      </w:pPr>
    </w:p>
    <w:p>
      <w:pPr>
        <w:adjustRightInd w:val="0"/>
        <w:snapToGrid w:val="0"/>
        <w:spacing w:line="480" w:lineRule="auto"/>
        <w:ind w:right="105" w:rightChars="50"/>
        <w:jc w:val="left"/>
        <w:rPr>
          <w:rFonts w:ascii="仿宋_GB2312" w:hAnsi="仿宋_GB2312" w:eastAsia="仿宋_GB2312" w:cs="仿宋_GB2312"/>
          <w:szCs w:val="21"/>
          <w:u w:val="single"/>
        </w:rPr>
      </w:pPr>
    </w:p>
    <w:p>
      <w:pPr>
        <w:pStyle w:val="3"/>
        <w:snapToGrid w:val="0"/>
        <w:spacing w:before="319" w:beforeLines="100" w:after="319" w:afterLines="100" w:line="360" w:lineRule="auto"/>
        <w:rPr>
          <w:rFonts w:ascii="仿宋_GB2312" w:hAnsi="仿宋_GB2312" w:eastAsia="仿宋_GB2312" w:cs="仿宋_GB2312"/>
          <w:szCs w:val="21"/>
        </w:rPr>
      </w:pPr>
      <w:bookmarkStart w:id="109" w:name="_Toc2821_WPSOffice_Level1"/>
      <w:r>
        <w:rPr>
          <w:rFonts w:hint="eastAsia" w:ascii="仿宋_GB2312" w:hAnsi="仿宋_GB2312" w:eastAsia="仿宋_GB2312" w:cs="仿宋_GB2312"/>
        </w:rPr>
        <w:br w:type="page"/>
      </w:r>
      <w:bookmarkStart w:id="110" w:name="_Toc4498_WPSOffice_Level1"/>
      <w:bookmarkStart w:id="111" w:name="_Toc30110"/>
      <w:bookmarkStart w:id="112" w:name="_Toc11327"/>
      <w:r>
        <w:rPr>
          <w:rFonts w:hint="eastAsia" w:ascii="仿宋_GB2312" w:hAnsi="仿宋_GB2312" w:eastAsia="仿宋_GB2312" w:cs="仿宋_GB2312"/>
        </w:rPr>
        <w:t>第三章 服务需求</w:t>
      </w:r>
      <w:bookmarkEnd w:id="110"/>
      <w:bookmarkEnd w:id="111"/>
      <w:bookmarkEnd w:id="112"/>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采购人应对服务提出详细的内容、标准及相关要求。</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542"/>
        <w:gridCol w:w="1492"/>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77" w:type="dxa"/>
            <w:vAlign w:val="center"/>
          </w:tcPr>
          <w:p>
            <w:pPr>
              <w:ind w:left="0" w:leftChars="0" w:firstLine="0" w:firstLineChars="0"/>
              <w:jc w:val="center"/>
              <w:rPr>
                <w:rFonts w:hint="eastAsia"/>
                <w:lang w:eastAsia="zh-CN"/>
              </w:rPr>
            </w:pPr>
            <w:r>
              <w:rPr>
                <w:rFonts w:hint="eastAsia"/>
                <w:lang w:eastAsia="zh-CN"/>
              </w:rPr>
              <w:t>项目名称</w:t>
            </w:r>
          </w:p>
        </w:tc>
        <w:tc>
          <w:tcPr>
            <w:tcW w:w="3545" w:type="dxa"/>
            <w:vAlign w:val="center"/>
          </w:tcPr>
          <w:p>
            <w:pPr>
              <w:ind w:left="0" w:leftChars="0" w:firstLine="0" w:firstLineChars="0"/>
              <w:jc w:val="center"/>
              <w:rPr>
                <w:rFonts w:hint="eastAsia"/>
                <w:lang w:eastAsia="zh-CN"/>
              </w:rPr>
            </w:pPr>
            <w:r>
              <w:rPr>
                <w:rFonts w:hint="eastAsia"/>
                <w:lang w:eastAsia="zh-CN"/>
              </w:rPr>
              <w:t>项目内容</w:t>
            </w:r>
          </w:p>
        </w:tc>
        <w:tc>
          <w:tcPr>
            <w:tcW w:w="1493" w:type="dxa"/>
            <w:vAlign w:val="center"/>
          </w:tcPr>
          <w:p>
            <w:pPr>
              <w:ind w:left="0" w:leftChars="0" w:firstLine="0" w:firstLineChars="0"/>
              <w:jc w:val="center"/>
              <w:rPr>
                <w:rFonts w:hint="eastAsia"/>
                <w:lang w:eastAsia="zh-CN"/>
              </w:rPr>
            </w:pPr>
            <w:r>
              <w:rPr>
                <w:rFonts w:hint="eastAsia"/>
                <w:lang w:eastAsia="zh-CN"/>
              </w:rPr>
              <w:t>预算金额(元)</w:t>
            </w:r>
          </w:p>
        </w:tc>
        <w:tc>
          <w:tcPr>
            <w:tcW w:w="1504" w:type="dxa"/>
            <w:vAlign w:val="center"/>
          </w:tcPr>
          <w:p>
            <w:pPr>
              <w:ind w:left="0" w:leftChars="0" w:firstLine="0" w:firstLineChars="0"/>
              <w:jc w:val="center"/>
              <w:rPr>
                <w:rFonts w:hint="eastAsia"/>
                <w:lang w:eastAsia="zh-CN"/>
              </w:rPr>
            </w:pPr>
            <w:r>
              <w:rPr>
                <w:rFonts w:hint="eastAsia"/>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1977" w:type="dxa"/>
            <w:vAlign w:val="center"/>
          </w:tcPr>
          <w:p>
            <w:pPr>
              <w:ind w:left="0" w:leftChars="0" w:firstLine="0" w:firstLineChars="0"/>
              <w:jc w:val="center"/>
              <w:rPr>
                <w:rFonts w:hint="eastAsia"/>
                <w:lang w:eastAsia="zh-CN"/>
              </w:rPr>
            </w:pPr>
            <w:r>
              <w:rPr>
                <w:rFonts w:hint="eastAsia"/>
                <w:lang w:eastAsia="zh-CN"/>
              </w:rPr>
              <w:t>奎屯市公安局食堂食材采购四</w:t>
            </w:r>
            <w:bookmarkStart w:id="128" w:name="_GoBack"/>
            <w:bookmarkEnd w:id="128"/>
            <w:r>
              <w:rPr>
                <w:rFonts w:hint="eastAsia"/>
                <w:lang w:eastAsia="zh-CN"/>
              </w:rPr>
              <w:t>标段</w:t>
            </w:r>
          </w:p>
        </w:tc>
        <w:tc>
          <w:tcPr>
            <w:tcW w:w="3545" w:type="dxa"/>
            <w:vAlign w:val="center"/>
          </w:tcPr>
          <w:p>
            <w:pPr>
              <w:jc w:val="center"/>
              <w:rPr>
                <w:rFonts w:hint="default"/>
                <w:lang w:val="en-US" w:eastAsia="zh-CN"/>
              </w:rPr>
            </w:pPr>
          </w:p>
          <w:p>
            <w:pPr>
              <w:jc w:val="center"/>
              <w:rPr>
                <w:rFonts w:hint="default"/>
                <w:lang w:val="en-US" w:eastAsia="zh-CN"/>
              </w:rPr>
            </w:pPr>
          </w:p>
          <w:p>
            <w:pPr>
              <w:ind w:left="0" w:leftChars="0" w:firstLine="0" w:firstLineChars="0"/>
              <w:jc w:val="center"/>
              <w:rPr>
                <w:rFonts w:hint="eastAsia"/>
                <w:lang w:val="en-US" w:eastAsia="zh-CN"/>
              </w:rPr>
            </w:pPr>
            <w:r>
              <w:rPr>
                <w:rFonts w:hint="eastAsia"/>
                <w:lang w:eastAsia="zh-CN"/>
              </w:rPr>
              <w:t>米面油/肉类/蔬菜等食材采购</w:t>
            </w:r>
          </w:p>
          <w:p>
            <w:pPr>
              <w:jc w:val="center"/>
              <w:rPr>
                <w:rFonts w:hint="eastAsia"/>
                <w:lang w:val="en-US" w:eastAsia="zh-CN"/>
              </w:rPr>
            </w:pPr>
          </w:p>
          <w:p>
            <w:pPr>
              <w:jc w:val="center"/>
              <w:rPr>
                <w:rFonts w:hint="eastAsia"/>
                <w:lang w:eastAsia="zh-CN"/>
              </w:rPr>
            </w:pP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522" w:type="dxa"/>
            <w:gridSpan w:val="2"/>
            <w:vAlign w:val="center"/>
          </w:tcPr>
          <w:p>
            <w:pPr>
              <w:ind w:left="0" w:leftChars="0" w:firstLine="0" w:firstLineChars="0"/>
              <w:jc w:val="center"/>
              <w:rPr>
                <w:rFonts w:hint="eastAsia"/>
                <w:lang w:eastAsia="zh-CN"/>
              </w:rPr>
            </w:pPr>
            <w:r>
              <w:rPr>
                <w:rFonts w:hint="eastAsia"/>
                <w:lang w:eastAsia="zh-CN"/>
              </w:rPr>
              <w:t>预算合计(元)/最高限价合计(元)</w:t>
            </w: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bl>
    <w:p>
      <w:pPr>
        <w:rPr>
          <w:rFonts w:hint="eastAsia" w:ascii="宋体" w:hAnsi="宋体" w:eastAsia="宋体" w:cs="宋体"/>
          <w:sz w:val="21"/>
          <w:szCs w:val="21"/>
          <w:lang w:val="en-US" w:eastAsia="zh-CN"/>
        </w:rPr>
      </w:pPr>
    </w:p>
    <w:p>
      <w:pPr>
        <w:rPr>
          <w:rFonts w:hint="eastAsia"/>
          <w:b/>
          <w:bCs/>
          <w:lang w:eastAsia="zh-CN"/>
        </w:rPr>
      </w:pPr>
      <w:r>
        <w:rPr>
          <w:rFonts w:hint="eastAsia"/>
          <w:b/>
          <w:bCs/>
          <w:lang w:eastAsia="zh-CN"/>
        </w:rPr>
        <w:t>一、商务要求</w:t>
      </w:r>
    </w:p>
    <w:p>
      <w:pPr>
        <w:rPr>
          <w:rFonts w:hint="eastAsia"/>
          <w:lang w:eastAsia="zh-CN"/>
        </w:rPr>
      </w:pPr>
      <w:r>
        <w:rPr>
          <w:rFonts w:hint="eastAsia"/>
          <w:lang w:eastAsia="zh-CN"/>
        </w:rPr>
        <w:t>1、报价要求：</w:t>
      </w:r>
    </w:p>
    <w:p>
      <w:pPr>
        <w:rPr>
          <w:rFonts w:hint="eastAsia"/>
          <w:lang w:eastAsia="zh-CN"/>
        </w:rPr>
      </w:pPr>
      <w:r>
        <w:rPr>
          <w:rFonts w:hint="eastAsia"/>
          <w:lang w:eastAsia="zh-CN"/>
        </w:rPr>
        <w:t xml:space="preserve">本项目采用投标报价应包含所有产品、运输、税费、人员等价格。 </w:t>
      </w:r>
    </w:p>
    <w:p>
      <w:pPr>
        <w:rPr>
          <w:rFonts w:hint="eastAsia"/>
          <w:lang w:eastAsia="zh-CN"/>
        </w:rPr>
      </w:pPr>
      <w:r>
        <w:rPr>
          <w:rFonts w:hint="eastAsia"/>
          <w:lang w:eastAsia="zh-CN"/>
        </w:rPr>
        <w:t>2、价格要求</w:t>
      </w:r>
    </w:p>
    <w:p>
      <w:pPr>
        <w:rPr>
          <w:rFonts w:hint="eastAsia"/>
          <w:lang w:eastAsia="zh-CN"/>
        </w:rPr>
      </w:pPr>
      <w:r>
        <w:rPr>
          <w:rFonts w:hint="eastAsia"/>
          <w:lang w:eastAsia="zh-CN"/>
        </w:rPr>
        <w:t>1)、中标人在合同期限内，中标人按本公司每天挂牌的价格进行价格结算，采购人有权随时抽查中标人的供货清单价格，发现中标人有弄虚作假行为的，采购人有权取消其中标资格，终止合同。</w:t>
      </w:r>
    </w:p>
    <w:p>
      <w:pPr>
        <w:rPr>
          <w:rFonts w:hint="eastAsia"/>
          <w:lang w:eastAsia="zh-CN"/>
        </w:rPr>
      </w:pPr>
      <w:r>
        <w:rPr>
          <w:rFonts w:hint="eastAsia"/>
          <w:lang w:val="en-US" w:eastAsia="zh-CN"/>
        </w:rPr>
        <w:t>2）</w:t>
      </w:r>
      <w:r>
        <w:rPr>
          <w:rFonts w:hint="eastAsia"/>
          <w:lang w:eastAsia="zh-CN"/>
        </w:rPr>
        <w:t>、中标人提供的货物价格不得高于市场价格。</w:t>
      </w:r>
    </w:p>
    <w:p>
      <w:pPr>
        <w:rPr>
          <w:rFonts w:hint="eastAsia"/>
          <w:lang w:eastAsia="zh-CN"/>
        </w:rPr>
      </w:pPr>
      <w:r>
        <w:rPr>
          <w:rFonts w:hint="eastAsia"/>
          <w:lang w:eastAsia="zh-CN"/>
        </w:rPr>
        <w:t>3)、中标人必须负责中标货物的运输、搬运等工作，所产生的费用由中标人负责。</w:t>
      </w:r>
    </w:p>
    <w:p>
      <w:pPr>
        <w:rPr>
          <w:rFonts w:hint="eastAsia"/>
          <w:lang w:eastAsia="zh-CN"/>
        </w:rPr>
      </w:pPr>
      <w:r>
        <w:rPr>
          <w:rFonts w:hint="eastAsia"/>
          <w:lang w:eastAsia="zh-CN"/>
        </w:rPr>
        <w:t>4)、中标人不得擅自变更投标货品(含商标、名称、产地、包装、规格和重量等)，严格按采购人要求供应，否则，采购人有权拒收。如因市场流通问题确实需要变更的，应事先书面申请，并经采购人同意后方可改变。</w:t>
      </w:r>
    </w:p>
    <w:p>
      <w:pPr>
        <w:rPr>
          <w:rFonts w:hint="eastAsia"/>
          <w:b/>
          <w:bCs/>
          <w:lang w:eastAsia="zh-CN"/>
        </w:rPr>
      </w:pPr>
      <w:r>
        <w:rPr>
          <w:rFonts w:hint="eastAsia"/>
          <w:b/>
          <w:bCs/>
          <w:lang w:eastAsia="zh-CN"/>
        </w:rPr>
        <w:t>二、技术要求</w:t>
      </w:r>
    </w:p>
    <w:p>
      <w:pPr>
        <w:rPr>
          <w:rFonts w:hint="eastAsia"/>
          <w:lang w:eastAsia="zh-CN"/>
        </w:rPr>
      </w:pPr>
      <w:r>
        <w:rPr>
          <w:rFonts w:hint="eastAsia"/>
          <w:lang w:eastAsia="zh-CN"/>
        </w:rPr>
        <w:t>1、中标供应商须在本项目服务期内向采购人供应：禽畜鱼肉类、瓜菜水果类、粮油副食类，及其他食材、清洁用品、厨房日用品等。</w:t>
      </w:r>
    </w:p>
    <w:p>
      <w:pPr>
        <w:rPr>
          <w:rFonts w:hint="eastAsia"/>
          <w:lang w:eastAsia="zh-CN"/>
        </w:rPr>
      </w:pPr>
      <w:r>
        <w:rPr>
          <w:rFonts w:hint="eastAsia"/>
          <w:lang w:eastAsia="zh-CN"/>
        </w:rPr>
        <w:t>2、实际供货数量以采购人每次提供的订单为准。</w:t>
      </w:r>
    </w:p>
    <w:p>
      <w:pPr>
        <w:rPr>
          <w:rFonts w:hint="eastAsia"/>
          <w:lang w:eastAsia="zh-CN"/>
        </w:rPr>
      </w:pPr>
      <w:r>
        <w:rPr>
          <w:rFonts w:hint="eastAsia"/>
          <w:lang w:eastAsia="zh-CN"/>
        </w:rPr>
        <w:t>3、中标人不得将中标项目转让或分包给他人，否则采购人有权单方面终止合同，由此产生的一切经济损失由中标人自行承担。</w:t>
      </w:r>
    </w:p>
    <w:p>
      <w:pPr>
        <w:rPr>
          <w:rFonts w:hint="eastAsia"/>
          <w:lang w:eastAsia="zh-CN"/>
        </w:rPr>
      </w:pPr>
      <w:r>
        <w:rPr>
          <w:rFonts w:hint="eastAsia"/>
          <w:lang w:eastAsia="zh-CN"/>
        </w:rPr>
        <w:t>4、采购人提前一天以电话(含微信、传真)或邮箱方式向中标人下订单，订单内容包括名称、规格、数量、送货时间、加工要求等。</w:t>
      </w:r>
    </w:p>
    <w:p>
      <w:pPr>
        <w:rPr>
          <w:rFonts w:hint="eastAsia"/>
          <w:lang w:eastAsia="zh-CN"/>
        </w:rPr>
      </w:pPr>
      <w:r>
        <w:rPr>
          <w:rFonts w:hint="eastAsia"/>
          <w:lang w:eastAsia="zh-CN"/>
        </w:rPr>
        <w:t>5、中标人须在接到采购人订单之日的第二天，在</w:t>
      </w:r>
      <w:r>
        <w:rPr>
          <w:rFonts w:hint="eastAsia"/>
          <w:lang w:val="en-US" w:eastAsia="zh-CN"/>
        </w:rPr>
        <w:t>10</w:t>
      </w:r>
      <w:r>
        <w:rPr>
          <w:rFonts w:hint="eastAsia"/>
          <w:lang w:eastAsia="zh-CN"/>
        </w:rPr>
        <w:t>：</w:t>
      </w:r>
      <w:r>
        <w:rPr>
          <w:rFonts w:hint="eastAsia"/>
          <w:lang w:val="en-US" w:eastAsia="zh-CN"/>
        </w:rPr>
        <w:t>0</w:t>
      </w:r>
      <w:r>
        <w:rPr>
          <w:rFonts w:hint="eastAsia"/>
          <w:lang w:eastAsia="zh-CN"/>
        </w:rPr>
        <w:t>0前，将采购人所订购的货物送至采购人指定地点。</w:t>
      </w:r>
    </w:p>
    <w:p>
      <w:pPr>
        <w:rPr>
          <w:rFonts w:hint="eastAsia"/>
          <w:lang w:eastAsia="zh-CN"/>
        </w:rPr>
      </w:pPr>
      <w:r>
        <w:rPr>
          <w:rFonts w:hint="eastAsia"/>
          <w:lang w:eastAsia="zh-CN"/>
        </w:rPr>
        <w:t>6、肉类果蔬类须使用冷藏车运输，所供应的货品必须安全卫生、量足、质量合格，并提供有完善的售后服务。</w:t>
      </w:r>
    </w:p>
    <w:p>
      <w:pPr>
        <w:rPr>
          <w:rFonts w:hint="eastAsia"/>
          <w:lang w:eastAsia="zh-CN"/>
        </w:rPr>
      </w:pPr>
      <w:r>
        <w:rPr>
          <w:rFonts w:hint="eastAsia"/>
          <w:lang w:eastAsia="zh-CN"/>
        </w:rPr>
        <w:t>7、中标人应当根据采购人实际情况，按与采购人的约定，在规定的时间内将预定的货物数量送到指定地点。除客观不可抗力外，中标人不得推迟送货。如确需延迟送货的，中标人应在得知情况的同时告知采购人并征得采购人同意，投标人须承诺如中标后将准时送货到采购人指定地点，(投标时提供承诺函)。</w:t>
      </w:r>
    </w:p>
    <w:p>
      <w:pPr>
        <w:rPr>
          <w:rFonts w:hint="eastAsia"/>
          <w:lang w:eastAsia="zh-CN"/>
        </w:rPr>
      </w:pPr>
      <w:r>
        <w:rPr>
          <w:rFonts w:hint="eastAsia"/>
          <w:lang w:eastAsia="zh-CN"/>
        </w:rPr>
        <w:t>8、中标人应根据采购人实际要求运送货物甚至进行免费简单加工(活禽类要经宰杀和清洗，蔬菜类要达到净菜上市标准)。</w:t>
      </w:r>
    </w:p>
    <w:p>
      <w:pPr>
        <w:rPr>
          <w:rFonts w:hint="eastAsia"/>
          <w:lang w:eastAsia="zh-CN"/>
        </w:rPr>
      </w:pPr>
      <w:r>
        <w:rPr>
          <w:rFonts w:hint="eastAsia"/>
          <w:lang w:eastAsia="zh-CN"/>
        </w:rPr>
        <w:t>9、每次送货，中标人须委派一名专门负责人，负责货物的运输、过秤，并协助采购人验收货品，货品的品种和重量以采购人验收的结果为准。</w:t>
      </w:r>
    </w:p>
    <w:p>
      <w:pPr>
        <w:rPr>
          <w:rFonts w:hint="eastAsia"/>
          <w:lang w:eastAsia="zh-CN"/>
        </w:rPr>
      </w:pPr>
      <w:r>
        <w:rPr>
          <w:rFonts w:hint="eastAsia"/>
          <w:lang w:eastAsia="zh-CN"/>
        </w:rPr>
        <w:t>10、中标人须严格按照采购人的指令配送商品的数量，不得随意增减数量，否则，采购人有权拒收。如因市场流通问题确实需要变更的，应事先书面申请，并经采购人同意后方可改变。</w:t>
      </w:r>
    </w:p>
    <w:p>
      <w:pPr>
        <w:rPr>
          <w:rFonts w:hint="eastAsia"/>
          <w:lang w:eastAsia="zh-CN"/>
        </w:rPr>
      </w:pPr>
      <w:r>
        <w:rPr>
          <w:rFonts w:hint="eastAsia"/>
          <w:lang w:eastAsia="zh-CN"/>
        </w:rPr>
        <w:t>11、采购人发现采购货物不能正常使用的，中标人应无条件退换。中标人未能履行招标文件和合同所定事项，或供应不合格的、假冒伪劣、以次充好的商品，采购人退货后将记录在案，并对中标人予以处罚，中标人要承担因此产生的一切损失和费用。</w:t>
      </w:r>
    </w:p>
    <w:p>
      <w:pPr>
        <w:rPr>
          <w:rFonts w:hint="eastAsia"/>
          <w:lang w:eastAsia="zh-CN"/>
        </w:rPr>
      </w:pPr>
      <w:r>
        <w:rPr>
          <w:rFonts w:hint="eastAsia"/>
          <w:lang w:eastAsia="zh-CN"/>
        </w:rPr>
        <w:t>12、中标人的送货单必须详细注明商品的品牌、型号、单价、数量、送货单不得涂改。标记不清的，采购人将拒绝签收。结算期末中标人还应提供送货清单供采购人结算。</w:t>
      </w:r>
    </w:p>
    <w:p>
      <w:pPr>
        <w:rPr>
          <w:rFonts w:hint="eastAsia"/>
          <w:lang w:eastAsia="zh-CN"/>
        </w:rPr>
      </w:pPr>
      <w:r>
        <w:rPr>
          <w:rFonts w:hint="eastAsia"/>
          <w:lang w:eastAsia="zh-CN"/>
        </w:rPr>
        <w:t>13、中标人指定的送货专员必须穿着便于辨认的工衣和配戴胸卡，送货专员在采购人单位活动必须严格遵守采购人单位各项规章制度，不得做出有损采购人形象和利益的事情。</w:t>
      </w:r>
    </w:p>
    <w:p>
      <w:pPr>
        <w:rPr>
          <w:rFonts w:hint="eastAsia"/>
          <w:lang w:eastAsia="zh-CN"/>
        </w:rPr>
      </w:pPr>
      <w:r>
        <w:rPr>
          <w:rFonts w:hint="eastAsia"/>
          <w:lang w:eastAsia="zh-CN"/>
        </w:rPr>
        <w:t>14、中标人不得泄露采购人的商业秘密。泄密造成采购人损失的，中标人将承担由此产生的一切损失和法律责任。</w:t>
      </w:r>
    </w:p>
    <w:p>
      <w:pPr>
        <w:rPr>
          <w:rFonts w:hint="eastAsia"/>
          <w:lang w:eastAsia="zh-CN"/>
        </w:rPr>
      </w:pPr>
      <w:r>
        <w:rPr>
          <w:rFonts w:hint="eastAsia"/>
          <w:lang w:eastAsia="zh-CN"/>
        </w:rPr>
        <w:t>15、中标人应严格遵守《食品卫生法》和《动物检疫法》等相关规定，一经发现供应以下食品，除全部退货外，将取消供货单位的供货资格，供货单位并承担由此造成的经济责任和法律责任。</w:t>
      </w:r>
    </w:p>
    <w:p>
      <w:pPr>
        <w:rPr>
          <w:rFonts w:hint="eastAsia"/>
          <w:lang w:eastAsia="zh-CN"/>
        </w:rPr>
      </w:pPr>
      <w:r>
        <w:rPr>
          <w:rFonts w:hint="eastAsia"/>
          <w:lang w:eastAsia="zh-CN"/>
        </w:rPr>
        <w:t>①腐败变质、油脂酸败、霉变、生虫、污秽不洁、混有异物或者其他感官性状异常，对人体健康有害的。</w:t>
      </w:r>
    </w:p>
    <w:p>
      <w:pPr>
        <w:rPr>
          <w:rFonts w:hint="eastAsia"/>
          <w:lang w:eastAsia="zh-CN"/>
        </w:rPr>
      </w:pPr>
      <w:r>
        <w:rPr>
          <w:rFonts w:hint="eastAsia"/>
          <w:lang w:eastAsia="zh-CN"/>
        </w:rPr>
        <w:t>②含有毒、有害物质或者被有害物质污染，对人体健康有害的。</w:t>
      </w:r>
    </w:p>
    <w:p>
      <w:pPr>
        <w:rPr>
          <w:rFonts w:hint="eastAsia"/>
          <w:lang w:eastAsia="zh-CN"/>
        </w:rPr>
      </w:pPr>
      <w:r>
        <w:rPr>
          <w:rFonts w:hint="eastAsia"/>
          <w:lang w:eastAsia="zh-CN"/>
        </w:rPr>
        <w:t>③含有致病性寄生虫、微生物或者微生物含量超过国家限定标准的。</w:t>
      </w:r>
    </w:p>
    <w:p>
      <w:pPr>
        <w:rPr>
          <w:rFonts w:hint="eastAsia"/>
          <w:lang w:eastAsia="zh-CN"/>
        </w:rPr>
      </w:pPr>
      <w:r>
        <w:rPr>
          <w:rFonts w:hint="eastAsia"/>
          <w:lang w:eastAsia="zh-CN"/>
        </w:rPr>
        <w:t>④未经动物检疫部门检疫、检验或者检疫、检验不合格的肉类及其制品。</w:t>
      </w:r>
    </w:p>
    <w:p>
      <w:pPr>
        <w:rPr>
          <w:rFonts w:hint="eastAsia"/>
          <w:lang w:eastAsia="zh-CN"/>
        </w:rPr>
      </w:pPr>
      <w:r>
        <w:rPr>
          <w:rFonts w:hint="eastAsia"/>
          <w:lang w:eastAsia="zh-CN"/>
        </w:rPr>
        <w:t>⑤病死、毒死或者死因不明的禽、蓄、兽、水产动物等及其制品。</w:t>
      </w:r>
    </w:p>
    <w:p>
      <w:pPr>
        <w:rPr>
          <w:rFonts w:hint="eastAsia"/>
          <w:lang w:eastAsia="zh-CN"/>
        </w:rPr>
      </w:pPr>
      <w:r>
        <w:rPr>
          <w:rFonts w:hint="eastAsia"/>
          <w:lang w:eastAsia="zh-CN"/>
        </w:rPr>
        <w:t>⑥掺假、掺杂、伪造，影响营养、卫生的。</w:t>
      </w:r>
    </w:p>
    <w:p>
      <w:pPr>
        <w:rPr>
          <w:rFonts w:hint="eastAsia"/>
          <w:lang w:eastAsia="zh-CN"/>
        </w:rPr>
      </w:pPr>
      <w:r>
        <w:rPr>
          <w:rFonts w:hint="eastAsia"/>
          <w:lang w:eastAsia="zh-CN"/>
        </w:rPr>
        <w:t>⑦用非食品原料加工的，加入非食品用化学物质或者将非食品当作食品的。</w:t>
      </w:r>
    </w:p>
    <w:p>
      <w:pPr>
        <w:rPr>
          <w:rFonts w:hint="eastAsia"/>
          <w:lang w:eastAsia="zh-CN"/>
        </w:rPr>
      </w:pPr>
      <w:r>
        <w:rPr>
          <w:rFonts w:hint="eastAsia"/>
          <w:lang w:eastAsia="zh-CN"/>
        </w:rPr>
        <w:t>⑧超过保质期限的。</w:t>
      </w:r>
    </w:p>
    <w:p>
      <w:pPr>
        <w:rPr>
          <w:rFonts w:hint="eastAsia"/>
          <w:lang w:eastAsia="zh-CN"/>
        </w:rPr>
      </w:pPr>
      <w:r>
        <w:rPr>
          <w:rFonts w:hint="eastAsia"/>
          <w:lang w:eastAsia="zh-CN"/>
        </w:rPr>
        <w:t>16、其它：</w:t>
      </w:r>
    </w:p>
    <w:p>
      <w:pPr>
        <w:rPr>
          <w:rFonts w:hint="eastAsia"/>
          <w:lang w:eastAsia="zh-CN"/>
        </w:rPr>
      </w:pPr>
      <w:r>
        <w:rPr>
          <w:rFonts w:hint="eastAsia"/>
          <w:lang w:eastAsia="zh-CN"/>
        </w:rPr>
        <w:t>1)、采购人与中标人在投标及履行合同过程中，必须遵守《中华人民共和国反不正当竞争法》《中华人民共和国消费者权益保障法》、《中华人民共和国经济合同法》及相关的国家法律、法规。</w:t>
      </w:r>
    </w:p>
    <w:p>
      <w:pPr>
        <w:rPr>
          <w:rFonts w:hint="eastAsia"/>
          <w:lang w:eastAsia="zh-CN"/>
        </w:rPr>
      </w:pPr>
      <w:r>
        <w:rPr>
          <w:rFonts w:hint="eastAsia"/>
          <w:lang w:eastAsia="zh-CN"/>
        </w:rPr>
        <w:t>2)、项目结案要求：项目结束后中标人须向采购人提供台账、项目决算表、项目总结报告等相关数据资料。</w:t>
      </w:r>
    </w:p>
    <w:p>
      <w:pPr>
        <w:rPr>
          <w:rFonts w:hint="eastAsia"/>
          <w:b/>
          <w:bCs/>
          <w:lang w:eastAsia="zh-CN"/>
        </w:rPr>
      </w:pPr>
      <w:r>
        <w:rPr>
          <w:rFonts w:hint="eastAsia"/>
          <w:b/>
          <w:bCs/>
          <w:lang w:eastAsia="zh-CN"/>
        </w:rPr>
        <w:t>三、质量要求</w:t>
      </w:r>
    </w:p>
    <w:p>
      <w:pPr>
        <w:rPr>
          <w:rFonts w:hint="eastAsia"/>
          <w:lang w:eastAsia="zh-CN"/>
        </w:rPr>
      </w:pPr>
      <w:r>
        <w:rPr>
          <w:rFonts w:hint="eastAsia"/>
          <w:lang w:eastAsia="zh-CN"/>
        </w:rPr>
        <w:t>1.预包装食品：证件齐全、标示完整、感官无异常，有1年内合格的产品检验报告。</w:t>
      </w:r>
    </w:p>
    <w:p>
      <w:pPr>
        <w:rPr>
          <w:rFonts w:hint="eastAsia"/>
          <w:lang w:eastAsia="zh-CN"/>
        </w:rPr>
      </w:pPr>
      <w:r>
        <w:rPr>
          <w:rFonts w:hint="eastAsia"/>
          <w:lang w:eastAsia="zh-CN"/>
        </w:rPr>
        <w:t>2.肉类：猪肉、牛羊肉、禽类两证齐全，感官无异常；鱼类提供活鱼或符合要求的新鲜度。</w:t>
      </w:r>
    </w:p>
    <w:p>
      <w:pPr>
        <w:rPr>
          <w:rFonts w:hint="eastAsia"/>
          <w:lang w:eastAsia="zh-CN"/>
        </w:rPr>
      </w:pPr>
      <w:r>
        <w:rPr>
          <w:rFonts w:hint="eastAsia"/>
          <w:lang w:eastAsia="zh-CN"/>
        </w:rPr>
        <w:t>3.蔬菜瓜果：属无公害蔬菜水果、应当无毒、无害，具有相应的色、香、味等感官性状并保证优良的色泽和新鲜度。</w:t>
      </w:r>
    </w:p>
    <w:p>
      <w:pPr>
        <w:rPr>
          <w:rFonts w:hint="eastAsia"/>
          <w:lang w:eastAsia="zh-CN"/>
        </w:rPr>
      </w:pPr>
      <w:r>
        <w:rPr>
          <w:rFonts w:hint="eastAsia"/>
          <w:lang w:eastAsia="zh-CN"/>
        </w:rPr>
        <w:t>4.冷冻类、蛋、油米、副食品、干货类：保证优良的等级和外观，无虫咬、无变色变味。</w:t>
      </w:r>
    </w:p>
    <w:p>
      <w:pPr>
        <w:rPr>
          <w:rFonts w:hint="eastAsia"/>
          <w:lang w:eastAsia="zh-CN"/>
        </w:rPr>
      </w:pPr>
      <w:r>
        <w:rPr>
          <w:rFonts w:hint="eastAsia"/>
          <w:lang w:val="en-US" w:eastAsia="zh-CN"/>
        </w:rPr>
        <w:t>5.</w:t>
      </w:r>
      <w:r>
        <w:rPr>
          <w:rFonts w:hint="eastAsia"/>
          <w:lang w:eastAsia="zh-CN"/>
        </w:rPr>
        <w:t>所有食材质量必须符合《中华人民共和国食品安全法》相关规定要求。</w:t>
      </w:r>
    </w:p>
    <w:p>
      <w:pPr>
        <w:rPr>
          <w:rFonts w:hint="eastAsia"/>
          <w:lang w:eastAsia="zh-CN"/>
        </w:rPr>
      </w:pPr>
      <w:r>
        <w:rPr>
          <w:rFonts w:hint="eastAsia"/>
          <w:lang w:eastAsia="zh-CN"/>
        </w:rPr>
        <w:t>6.有使用有效期的货物，其剩余有效期不得少于标注有效期的80%。</w:t>
      </w:r>
    </w:p>
    <w:p>
      <w:pPr>
        <w:rPr>
          <w:rFonts w:hint="eastAsia"/>
          <w:lang w:eastAsia="zh-CN"/>
        </w:rPr>
      </w:pPr>
      <w:r>
        <w:rPr>
          <w:rFonts w:hint="eastAsia"/>
          <w:lang w:eastAsia="zh-CN"/>
        </w:rPr>
        <w:t>7.供应商所供货物有外包装的，其外包装必须完整清洁(无损、无污、无皱)，其中油粮产品每件包装必须有《农产品包装和标识管理办法》规定的标识，标明品名、产地、生产者或销售者名称、生产日期等。每批次的粮油产品须提供厂家自检与第三方的检验报告。商品的外包装必须有简体中文标识。不得配送来源不当的商品，采购人有权拒收包装不整齐、已拆封的商品。所提供的食用油、酱油等食材商品，不含有转基因的成分。散装食材(蔬菜、肉类)的包装必须使用无毒、无害、无色(或白色)的胶质包装。</w:t>
      </w:r>
    </w:p>
    <w:p>
      <w:pPr>
        <w:rPr>
          <w:rFonts w:hint="eastAsia"/>
          <w:lang w:eastAsia="zh-CN"/>
        </w:rPr>
      </w:pPr>
      <w:r>
        <w:rPr>
          <w:rFonts w:hint="eastAsia"/>
          <w:lang w:eastAsia="zh-CN"/>
        </w:rPr>
        <w:t>8.供应商提供假冒伪劣、过期、变质、有毒食品的，货物出现损坏(包括表面损坏)，出现水渍、串味、受潮等导致货物改变的，采购人有权要求无条件退货或换货，情节严重的追究责任、没收履约保证金、或终止合同。</w:t>
      </w:r>
    </w:p>
    <w:p>
      <w:pPr>
        <w:rPr>
          <w:rFonts w:hint="eastAsia"/>
          <w:lang w:eastAsia="zh-CN"/>
        </w:rPr>
      </w:pPr>
      <w:r>
        <w:rPr>
          <w:rFonts w:hint="eastAsia"/>
          <w:lang w:eastAsia="zh-CN"/>
        </w:rPr>
        <w:t>9.若因供应商提供货物的问题造成食品安全问题或事故，并经国家质检机构鉴定为供应商责任的，供应商除须负担全数医药费外，还须承担相应的民事及刑事法律责任及放弃先诉抗辩权；采购人没收履约保证金外，取消中标供应商供货资格、解除供货合同，将视情节轻重主张经济赔偿和违约金。</w:t>
      </w:r>
    </w:p>
    <w:p>
      <w:pPr>
        <w:rPr>
          <w:rFonts w:hint="eastAsia"/>
          <w:b/>
          <w:bCs/>
          <w:lang w:eastAsia="zh-CN"/>
        </w:rPr>
      </w:pPr>
      <w:r>
        <w:rPr>
          <w:rFonts w:hint="eastAsia"/>
          <w:b/>
          <w:bCs/>
          <w:lang w:eastAsia="zh-CN"/>
        </w:rPr>
        <w:t>四、配送服务要求</w:t>
      </w:r>
    </w:p>
    <w:p>
      <w:pPr>
        <w:rPr>
          <w:rFonts w:hint="eastAsia"/>
          <w:lang w:eastAsia="zh-CN"/>
        </w:rPr>
      </w:pPr>
      <w:r>
        <w:rPr>
          <w:rFonts w:hint="eastAsia"/>
          <w:lang w:eastAsia="zh-CN"/>
        </w:rPr>
        <w:t>1.具备严格的质量管理体系和完备的配送流程，供应商送货车辆须实行1小时配送圈运作。</w:t>
      </w:r>
    </w:p>
    <w:p>
      <w:pPr>
        <w:rPr>
          <w:rFonts w:hint="eastAsia"/>
          <w:lang w:eastAsia="zh-CN"/>
        </w:rPr>
      </w:pPr>
      <w:r>
        <w:rPr>
          <w:rFonts w:hint="eastAsia"/>
          <w:lang w:eastAsia="zh-CN"/>
        </w:rPr>
        <w:t>2.具备冷、鲜及冻品食材的相关储藏和配送设备。</w:t>
      </w:r>
    </w:p>
    <w:p>
      <w:pPr>
        <w:rPr>
          <w:rFonts w:hint="eastAsia"/>
          <w:lang w:eastAsia="zh-CN"/>
        </w:rPr>
      </w:pPr>
      <w:r>
        <w:rPr>
          <w:rFonts w:hint="eastAsia"/>
          <w:lang w:eastAsia="zh-CN"/>
        </w:rPr>
        <w:t>3.供应商供货商品若与订单不符，须立即更正，补送或更换的商品必须在1小时内送达。对不符合质量要求或验收标准的商品，当场清退，数量不足或部分退换货的，中标供应商必须在1小时内将补送或更换的商品送达。</w:t>
      </w:r>
    </w:p>
    <w:p>
      <w:pPr>
        <w:rPr>
          <w:rFonts w:hint="eastAsia"/>
          <w:lang w:eastAsia="zh-CN"/>
        </w:rPr>
      </w:pPr>
      <w:r>
        <w:rPr>
          <w:rFonts w:hint="eastAsia"/>
          <w:lang w:eastAsia="zh-CN"/>
        </w:rPr>
        <w:t>4.近三年内无违法经营及食品安全事故等不良记录。</w:t>
      </w:r>
    </w:p>
    <w:p>
      <w:pPr>
        <w:rPr>
          <w:rFonts w:hint="eastAsia"/>
          <w:lang w:eastAsia="zh-CN"/>
        </w:rPr>
      </w:pPr>
      <w:r>
        <w:rPr>
          <w:rFonts w:hint="eastAsia"/>
          <w:lang w:eastAsia="zh-CN"/>
        </w:rPr>
        <w:t>5不合格的货物将被无条件退货，由此而产生的费用将由中选供应商负责。</w:t>
      </w:r>
    </w:p>
    <w:p>
      <w:pPr>
        <w:rPr>
          <w:rFonts w:hint="eastAsia"/>
          <w:b/>
          <w:bCs/>
          <w:lang w:eastAsia="zh-CN"/>
        </w:rPr>
      </w:pPr>
      <w:r>
        <w:rPr>
          <w:rFonts w:hint="eastAsia"/>
          <w:b/>
          <w:bCs/>
          <w:lang w:eastAsia="zh-CN"/>
        </w:rPr>
        <w:t>五、验收标准</w:t>
      </w:r>
    </w:p>
    <w:p>
      <w:pPr>
        <w:rPr>
          <w:rFonts w:hint="eastAsia"/>
          <w:lang w:eastAsia="zh-CN"/>
        </w:rPr>
      </w:pPr>
      <w:r>
        <w:rPr>
          <w:rFonts w:hint="eastAsia"/>
          <w:lang w:eastAsia="zh-CN"/>
        </w:rPr>
        <w:t>1.肉类(含生鲜、冻品、鱼类、熟食等)</w:t>
      </w:r>
    </w:p>
    <w:p>
      <w:pPr>
        <w:rPr>
          <w:rFonts w:hint="eastAsia"/>
          <w:lang w:eastAsia="zh-CN"/>
        </w:rPr>
      </w:pPr>
      <w:r>
        <w:rPr>
          <w:rFonts w:hint="eastAsia"/>
          <w:lang w:eastAsia="zh-CN"/>
        </w:rPr>
        <w:t>①中标供应商所供货物须保持较好的外观和质量等级，符合国家食品部门的有关标准。鲜肉保证来源于正规肉联厂，严禁私宰肉，每批肉类必须提供检验检疫证明、检验合格证、分割销售凭据等，必须有生畜屠宰厂(场)进行预包装或在包装物上标注可溯源的标签、标识等相关资料，随货一同交付。冻食品类产品，投标人须清晰地列出产品品牌、型号、包装类型、包装方式、包装净重量、含冰量等相关参数，包装箱上须有食品生产许可证编号。</w:t>
      </w:r>
    </w:p>
    <w:p>
      <w:pPr>
        <w:rPr>
          <w:rFonts w:hint="eastAsia"/>
          <w:lang w:eastAsia="zh-CN"/>
        </w:rPr>
      </w:pPr>
      <w:r>
        <w:rPr>
          <w:rFonts w:hint="eastAsia"/>
          <w:lang w:eastAsia="zh-CN"/>
        </w:rPr>
        <w:t>②鲜肉确保每日新鲜，肌肉红色均匀，有光泽，脂肪洁白。外表微干或微湿润，放血状况良好，肉边整齐，无破碎肉，无黏液渗出或很干的表皮，无点状、虫状等小颗粒灰白色寄生虫。弹性良好，压后凹陷立即恢复。具有鲜肉正常气味，无泥污、血污、肉边整齐、无碎肉、无碎骨，无注水。</w:t>
      </w:r>
    </w:p>
    <w:p>
      <w:pPr>
        <w:rPr>
          <w:rFonts w:hint="eastAsia"/>
          <w:lang w:eastAsia="zh-CN"/>
        </w:rPr>
      </w:pPr>
      <w:r>
        <w:rPr>
          <w:rFonts w:hint="eastAsia"/>
          <w:lang w:eastAsia="zh-CN"/>
        </w:rPr>
        <w:t>冷冻肉要求肉体冻实而坚硬，无化冻现象，肉质紧密而有弹性，色泽均匀，不粘手，交货时干净、新鲜、无异味，冷冻鱼类要求鱼眼睛清亮，角膜透明，鳞片上覆有冻结的透明黏液层，皮肤天然色泽明显。</w:t>
      </w:r>
    </w:p>
    <w:p>
      <w:pPr>
        <w:rPr>
          <w:rFonts w:hint="eastAsia"/>
          <w:lang w:eastAsia="zh-CN"/>
        </w:rPr>
      </w:pPr>
      <w:r>
        <w:rPr>
          <w:rFonts w:hint="eastAsia"/>
          <w:lang w:eastAsia="zh-CN"/>
        </w:rPr>
        <w:t>③冷冻禽类食品解冻后净重量不少于90%，冷冻肉类食品解冻后净重量不少于92%，冷冻水产类食品解冻后净重量不少于85%，解冻时间为4小时以内(室温20℃)所有冷冻食品要求清晰列出产品品牌、规格、类型、包装方式、包装净重、含冰量等相关参数。</w:t>
      </w:r>
    </w:p>
    <w:p>
      <w:pPr>
        <w:rPr>
          <w:rFonts w:hint="eastAsia"/>
          <w:lang w:eastAsia="zh-CN"/>
        </w:rPr>
      </w:pPr>
      <w:r>
        <w:rPr>
          <w:rFonts w:hint="eastAsia"/>
          <w:lang w:eastAsia="zh-CN"/>
        </w:rPr>
        <w:t>④家禽类交货时提供本批次产品的出厂检验合格证明，随车同行，提供《产品合格证》；肉制品须出具半年内有效的《卫生检疫报告》及《产品合格证》；水产品须出具贮存地的出入库检疫证明。</w:t>
      </w:r>
    </w:p>
    <w:p>
      <w:pPr>
        <w:rPr>
          <w:rFonts w:hint="eastAsia"/>
          <w:lang w:eastAsia="zh-CN"/>
        </w:rPr>
      </w:pPr>
      <w:r>
        <w:rPr>
          <w:rFonts w:hint="eastAsia"/>
          <w:lang w:eastAsia="zh-CN"/>
        </w:rPr>
        <w:t>2.粮油类</w:t>
      </w:r>
    </w:p>
    <w:p>
      <w:pPr>
        <w:rPr>
          <w:rFonts w:hint="eastAsia"/>
          <w:lang w:eastAsia="zh-CN"/>
        </w:rPr>
      </w:pPr>
      <w:r>
        <w:rPr>
          <w:rFonts w:hint="eastAsia"/>
          <w:lang w:eastAsia="zh-CN"/>
        </w:rPr>
        <w:t>①大米具有固有的色泽和气味，无异味或霉变，米粒无经过打蜡处理，无虫蛀结块挂丝或杂质异物；油、面、豆类货物须符合卫生，不得有腐烂、变质、油脂酸败、霉变、生虫、污秽不结、混有异物或者其他感官性状异常，并可能对人体健康有害的物质。散装粉、面需提供生产厂家营业执照、卫生许可证、国家机关发出的产品检验合格证书。</w:t>
      </w:r>
    </w:p>
    <w:p>
      <w:pPr>
        <w:rPr>
          <w:rFonts w:hint="eastAsia"/>
          <w:lang w:eastAsia="zh-CN"/>
        </w:rPr>
      </w:pPr>
      <w:r>
        <w:rPr>
          <w:rFonts w:hint="eastAsia"/>
          <w:lang w:eastAsia="zh-CN"/>
        </w:rPr>
        <w:t>②米、油：要提供国家机关发出的产品检验合格证书。包装食品：包装箱完整，同时包装箱要印有注册商标、生产厂家名称丶厂址、出厂日期、产品合格证、保质期限、产品成份、厂家电话号码。散装豆类：提供生产厂家营业执照、卫生许可证、国家机关发出的产品检验合格证书。供应方所提供产品质量须要符合行业标准要求，不得有掺假、变质、变味、过期等现象出现，严禁伪劣、假冒、无证不合格物品进入仓库。</w:t>
      </w:r>
    </w:p>
    <w:p>
      <w:pPr>
        <w:rPr>
          <w:rFonts w:hint="eastAsia"/>
          <w:lang w:eastAsia="zh-CN"/>
        </w:rPr>
      </w:pPr>
      <w:r>
        <w:rPr>
          <w:rFonts w:hint="eastAsia"/>
          <w:lang w:eastAsia="zh-CN"/>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numPr>
          <w:ilvl w:val="0"/>
          <w:numId w:val="6"/>
        </w:numPr>
        <w:rPr>
          <w:rFonts w:hint="eastAsia"/>
          <w:lang w:eastAsia="zh-CN"/>
        </w:rPr>
      </w:pPr>
      <w:r>
        <w:rPr>
          <w:rFonts w:hint="eastAsia"/>
          <w:lang w:eastAsia="zh-CN"/>
        </w:rPr>
        <w:t>蔬菜瓜果类</w:t>
      </w:r>
    </w:p>
    <w:p>
      <w:pPr>
        <w:numPr>
          <w:ilvl w:val="0"/>
          <w:numId w:val="0"/>
        </w:numPr>
        <w:ind w:firstLine="420" w:firstLineChars="200"/>
        <w:rPr>
          <w:rFonts w:hint="eastAsia"/>
          <w:lang w:eastAsia="zh-CN"/>
        </w:rPr>
      </w:pPr>
      <w:r>
        <w:rPr>
          <w:rFonts w:hint="eastAsia"/>
          <w:lang w:eastAsia="zh-CN"/>
        </w:rPr>
        <w:t>①所有蔬菜瓜果均来自蔬菜瓜果生产基地。所有蔬菜瓜果须有无农药残留等检测报告。农药残留符合《食品安全国家标准食品中农药最大残留限值》(GB2763-2014)的规定。所有蔬菜瓜果在交付采购人前须经过前期处理，可食用率达到95%以上。</w:t>
      </w:r>
      <w:r>
        <w:rPr>
          <w:rFonts w:hint="eastAsia"/>
          <w:lang w:eastAsia="zh-CN"/>
        </w:rPr>
        <w:br w:type="textWrapping"/>
      </w:r>
      <w:r>
        <w:rPr>
          <w:rFonts w:hint="eastAsia"/>
          <w:lang w:eastAsia="zh-CN"/>
        </w:rPr>
        <w:t>从蔬菜色泽看，各种蔬菜都应具有本品种固有的颜色，大多数有发亮的光泽，以此显示蔬菜的成熟度及鲜嫩程度从蔬菜气味看，多数蔬菜具有清馨、甘辛香、甜酸香等气味，可凭嗅觉识别不同品种的质量，不允许有腐烂变质的亚硝酸盐味和其他异常气味。</w:t>
      </w:r>
    </w:p>
    <w:p>
      <w:pPr>
        <w:rPr>
          <w:rFonts w:hint="eastAsia"/>
          <w:lang w:eastAsia="zh-CN"/>
        </w:rPr>
      </w:pPr>
      <w:r>
        <w:rPr>
          <w:rFonts w:hint="eastAsia"/>
          <w:lang w:eastAsia="zh-CN"/>
        </w:rPr>
        <w:t>从蔬菜滋味看，因品种不同而各异，多数蔬菜滋味甘淡、甜酸、清爽鲜美，少数具有辛酸、苦涩等特殊风味以刺激食欲，如失去本品种原有的滋味即为异常。</w:t>
      </w:r>
      <w:r>
        <w:rPr>
          <w:rFonts w:hint="eastAsia"/>
          <w:lang w:eastAsia="zh-CN"/>
        </w:rPr>
        <w:br w:type="textWrapping"/>
      </w:r>
      <w:r>
        <w:rPr>
          <w:rFonts w:hint="eastAsia"/>
          <w:lang w:eastAsia="zh-CN"/>
        </w:rPr>
        <w:t>从蔬菜形态看，应尽量避免由于客观因素而造成的各种非正常、不新鲜的蔬菜，例如萎蔫、枯塌、损伤、病变、虫害侵蚀等引起的形态异常等。</w:t>
      </w:r>
    </w:p>
    <w:p>
      <w:pPr>
        <w:rPr>
          <w:rFonts w:hint="eastAsia"/>
          <w:lang w:eastAsia="zh-CN"/>
        </w:rPr>
      </w:pPr>
      <w:r>
        <w:rPr>
          <w:rFonts w:hint="eastAsia"/>
          <w:lang w:eastAsia="zh-CN"/>
        </w:rPr>
        <w:t>②叶菜类：菜心、生菜、麦菜、苋菜、大白菜、小白菜、通心菜、菠菜、椰菜、芥菜、春菜、上海青等绿叶菜类，属同一品种规格，菜叶鲜嫩形态好，色泽正常，茎基部削平，无枯黄叶、病叶、泥土、明显机械伤和病虫害伤，无烧心焦边、腐烂等现象，无抽苔(菜心除外)，无异味，结球叶菜要结球适度，椰菜应新鲜洁白，不带叶麸，无畸形花。</w:t>
      </w:r>
    </w:p>
    <w:p>
      <w:pPr>
        <w:rPr>
          <w:rFonts w:hint="eastAsia"/>
          <w:lang w:eastAsia="zh-CN"/>
        </w:rPr>
      </w:pPr>
      <w:r>
        <w:rPr>
          <w:rFonts w:hint="eastAsia"/>
          <w:lang w:eastAsia="zh-CN"/>
        </w:rPr>
        <w:t>瓜果类：冬瓜、节瓜、黄瓜、丝瓜、苦瓜、莴笋、南瓜等。属同一品种规格，色泽一致，无疤点，无断裂，无腐烂、异味、明显机械伤，不带泥土。</w:t>
      </w:r>
    </w:p>
    <w:p>
      <w:pPr>
        <w:rPr>
          <w:rFonts w:hint="eastAsia"/>
          <w:lang w:eastAsia="zh-CN"/>
        </w:rPr>
      </w:pPr>
      <w:r>
        <w:rPr>
          <w:rFonts w:hint="eastAsia"/>
          <w:lang w:eastAsia="zh-CN"/>
        </w:rPr>
        <w:t>根菜类：白萝卜、胡萝卜、沙葛等。属同一品种规格，皮细光滑，肉质脆嫩致密新鲜，无干心、脱水、腐烂、裂痕、糠心、异味，不带泥沙，不带茎叶和须根。</w:t>
      </w:r>
    </w:p>
    <w:p>
      <w:pPr>
        <w:rPr>
          <w:rFonts w:hint="eastAsia"/>
          <w:lang w:eastAsia="zh-CN"/>
        </w:rPr>
      </w:pPr>
      <w:r>
        <w:rPr>
          <w:rFonts w:hint="eastAsia"/>
          <w:lang w:eastAsia="zh-CN"/>
        </w:rPr>
        <w:t>薯类：马铃薯(土豆)、红薯、香芋等。属同一品种规格，色泽一致，不带泥沙，不带须根，不干瘪，无腐烂、异味、明显机械伤、病虫害斑，马铃薯无发芽，皮不变绿。</w:t>
      </w:r>
    </w:p>
    <w:p>
      <w:pPr>
        <w:rPr>
          <w:rFonts w:hint="eastAsia"/>
          <w:lang w:eastAsia="zh-CN"/>
        </w:rPr>
      </w:pPr>
      <w:r>
        <w:rPr>
          <w:rFonts w:hint="eastAsia"/>
          <w:lang w:eastAsia="zh-CN"/>
        </w:rPr>
        <w:t>茄果类：茄子、圆椒、尖椒、西红柿(番茄)、玉米等。属同一品种规格，果实整洁，成熟度适中，无裂果及空洞现象，茄果不能有裂蒂及果皮变硬现象，无腐烂、异味，无明显机械伤。</w:t>
      </w:r>
    </w:p>
    <w:p>
      <w:pPr>
        <w:rPr>
          <w:rFonts w:hint="eastAsia"/>
          <w:lang w:eastAsia="zh-CN"/>
        </w:rPr>
      </w:pPr>
      <w:r>
        <w:rPr>
          <w:rFonts w:hint="eastAsia"/>
          <w:lang w:eastAsia="zh-CN"/>
        </w:rPr>
        <w:t>葱蒜类：蒜头、洋葱、生葱、生姜、韭菜等。属同一品种规格，允许葱、青蒜类保留干净须根，葱、蒜、韭菜不带老叶，蒜头、洋葱去根去枯叶，可食部分新鲜幼嫩，无腐烂、异味。</w:t>
      </w:r>
    </w:p>
    <w:p>
      <w:pPr>
        <w:rPr>
          <w:rFonts w:hint="eastAsia"/>
          <w:lang w:eastAsia="zh-CN"/>
        </w:rPr>
      </w:pPr>
      <w:r>
        <w:rPr>
          <w:rFonts w:hint="eastAsia"/>
          <w:lang w:eastAsia="zh-CN"/>
        </w:rPr>
        <w:t>水生菜类：莲藕等。属同一品种规格，肉质嫩，成熟度适中，无腐烂、异味，无明显机械伤，不带泥土和杂质，不干瘪，不黑心。</w:t>
      </w:r>
      <w:r>
        <w:rPr>
          <w:rFonts w:hint="eastAsia"/>
          <w:lang w:eastAsia="zh-CN"/>
        </w:rPr>
        <w:br w:type="textWrapping"/>
      </w:r>
      <w:r>
        <w:rPr>
          <w:rFonts w:hint="eastAsia"/>
          <w:lang w:eastAsia="zh-CN"/>
        </w:rPr>
        <w:t>芽苗类：黄豆芽、绿豆芽、蒜苗等。芽苗幼嫩，不带豆壳杂质，新鲜，不浸水，无腐烂、异味。</w:t>
      </w:r>
    </w:p>
    <w:p>
      <w:pPr>
        <w:rPr>
          <w:rFonts w:hint="eastAsia"/>
          <w:lang w:eastAsia="zh-CN"/>
        </w:rPr>
      </w:pPr>
      <w:r>
        <w:rPr>
          <w:rFonts w:hint="eastAsia"/>
          <w:lang w:eastAsia="zh-CN"/>
        </w:rPr>
        <w:t>③投标人需承诺所供蔬菜符合上述质量要求及农药残留不超过国家限量标准，若不符合，愿意接受退货处理并承担违约责任。</w:t>
      </w:r>
    </w:p>
    <w:p>
      <w:pPr>
        <w:rPr>
          <w:rFonts w:hint="eastAsia"/>
          <w:lang w:eastAsia="zh-CN"/>
        </w:rPr>
      </w:pPr>
      <w:r>
        <w:rPr>
          <w:rFonts w:hint="eastAsia"/>
          <w:lang w:eastAsia="zh-CN"/>
        </w:rPr>
        <w:t>④包装要求：容器(框、箱、袋)要求清洁、干燥、牢固、透气，无污染、无异味。每件包装必须按《农产品包装和标识管理办法》规定，在包装上或附加标识标明货物品种、种植地。</w:t>
      </w:r>
    </w:p>
    <w:p>
      <w:pPr>
        <w:rPr>
          <w:rFonts w:hint="eastAsia"/>
          <w:lang w:eastAsia="zh-CN"/>
        </w:rPr>
      </w:pPr>
      <w:r>
        <w:rPr>
          <w:rFonts w:hint="eastAsia"/>
          <w:lang w:eastAsia="zh-CN"/>
        </w:rPr>
        <w:t>4.其他农副产品类及副食品</w:t>
      </w:r>
    </w:p>
    <w:p>
      <w:pPr>
        <w:rPr>
          <w:rFonts w:hint="eastAsia"/>
          <w:lang w:eastAsia="zh-CN"/>
        </w:rPr>
      </w:pPr>
      <w:r>
        <w:rPr>
          <w:rFonts w:hint="eastAsia"/>
          <w:lang w:eastAsia="zh-CN"/>
        </w:rPr>
        <w:t>①供货商品均为合格产品，符合食物标准，均在保质期内，严禁使用过期食物。</w:t>
      </w:r>
      <w:r>
        <w:rPr>
          <w:rFonts w:hint="eastAsia"/>
          <w:lang w:eastAsia="zh-CN"/>
        </w:rPr>
        <w:br w:type="textWrapping"/>
      </w:r>
      <w:r>
        <w:rPr>
          <w:rFonts w:hint="eastAsia"/>
          <w:lang w:eastAsia="zh-CN"/>
        </w:rPr>
        <w:t>食品制造过程中不得使用劣质原料，不得添加有毒物质；不得超量使用食品添加剂，不得滥用非食品加工用化学添加剂，加工食品过程中不得使用劣质原料；抗生素、激素和其他有害物质不得残留于禽、畜、水产品体内；必须符合食品卫生要求，禁止供应有毒、有害、腐烂变质、超过保质期限酸败、霉变、混有异物或其他感官性状异常的食品。</w:t>
      </w:r>
    </w:p>
    <w:p>
      <w:pPr>
        <w:rPr>
          <w:rFonts w:hint="eastAsia"/>
          <w:b/>
          <w:bCs/>
          <w:lang w:eastAsia="zh-CN"/>
        </w:rPr>
      </w:pPr>
      <w:r>
        <w:rPr>
          <w:rFonts w:hint="eastAsia"/>
          <w:lang w:eastAsia="zh-CN"/>
        </w:rPr>
        <w:t>②所有食品均为正规厂家生产，包装完整，所有产品食品须有生产许可证编号，标明食品名称、规格、生产商、产地、生产日期、保质期等。</w:t>
      </w:r>
      <w:r>
        <w:rPr>
          <w:rFonts w:hint="eastAsia"/>
          <w:lang w:eastAsia="zh-CN"/>
        </w:rPr>
        <w:br w:type="textWrapping"/>
      </w:r>
      <w:r>
        <w:rPr>
          <w:rFonts w:hint="eastAsia"/>
          <w:b/>
          <w:bCs/>
          <w:lang w:eastAsia="zh-CN"/>
        </w:rPr>
        <w:t>六、付款方式</w:t>
      </w:r>
    </w:p>
    <w:p>
      <w:pPr>
        <w:rPr>
          <w:rFonts w:hint="eastAsia"/>
          <w:lang w:eastAsia="zh-CN"/>
        </w:rPr>
      </w:pPr>
      <w:r>
        <w:rPr>
          <w:rFonts w:hint="eastAsia"/>
          <w:lang w:eastAsia="zh-CN"/>
        </w:rPr>
        <w:t>1、中标人货款按季度进行结算。在办理付款手续之前双方须对供应货物的品种、数量、单价、金额等进行统计，并核实无误。</w:t>
      </w:r>
    </w:p>
    <w:p>
      <w:pPr>
        <w:rPr>
          <w:rFonts w:hint="eastAsia"/>
          <w:lang w:eastAsia="zh-CN"/>
        </w:rPr>
      </w:pPr>
      <w:r>
        <w:rPr>
          <w:rFonts w:hint="eastAsia"/>
          <w:lang w:eastAsia="zh-CN"/>
        </w:rPr>
        <w:t>2、采购人收到中标人收货凭证和有效等额发票后，15个工作日内办理支付手续；(具体付款时间以政府财政支付为准)。</w:t>
      </w:r>
    </w:p>
    <w:p>
      <w:pPr>
        <w:rPr>
          <w:rFonts w:hint="default"/>
          <w:lang w:val="en-US" w:eastAsia="zh-CN"/>
        </w:rPr>
      </w:pPr>
      <w:r>
        <w:rPr>
          <w:rFonts w:hint="eastAsia"/>
          <w:lang w:eastAsia="zh-CN"/>
        </w:rPr>
        <w:t>3、中标人凭以下有效文件与采购人结算</w:t>
      </w:r>
      <w:r>
        <w:rPr>
          <w:rFonts w:hint="eastAsia"/>
          <w:lang w:val="en-US" w:eastAsia="zh-CN"/>
        </w:rPr>
        <w:t>:</w:t>
      </w:r>
    </w:p>
    <w:p>
      <w:pPr>
        <w:rPr>
          <w:rFonts w:hint="eastAsia"/>
          <w:lang w:eastAsia="zh-CN"/>
        </w:rPr>
      </w:pPr>
      <w:r>
        <w:rPr>
          <w:rFonts w:hint="eastAsia"/>
          <w:lang w:eastAsia="zh-CN"/>
        </w:rPr>
        <w:t>1)、中标人开具的正式发票。</w:t>
      </w:r>
    </w:p>
    <w:p>
      <w:pPr>
        <w:rPr>
          <w:rFonts w:hint="eastAsia" w:ascii="宋体" w:hAnsi="宋体" w:eastAsia="宋体" w:cs="宋体"/>
          <w:sz w:val="21"/>
          <w:szCs w:val="21"/>
          <w:lang w:val="en-US" w:eastAsia="zh-CN"/>
        </w:rPr>
      </w:pPr>
      <w:r>
        <w:rPr>
          <w:rFonts w:hint="eastAsia"/>
          <w:b/>
          <w:bCs/>
          <w:lang w:val="en-US" w:eastAsia="zh-CN"/>
        </w:rPr>
        <w:t>2</w:t>
      </w:r>
      <w:r>
        <w:rPr>
          <w:rFonts w:hint="eastAsia"/>
          <w:b/>
          <w:bCs/>
          <w:lang w:eastAsia="zh-CN"/>
        </w:rPr>
        <w:t>）、</w:t>
      </w:r>
      <w:r>
        <w:rPr>
          <w:rFonts w:hint="eastAsia"/>
          <w:lang w:eastAsia="zh-CN"/>
        </w:rPr>
        <w:t>货物收货清单(加盖采购人公章)。</w:t>
      </w:r>
    </w:p>
    <w:p>
      <w:pPr>
        <w:rPr>
          <w:rFonts w:hint="eastAsia"/>
          <w:lang w:val="en-US" w:eastAsia="zh-CN"/>
        </w:rPr>
      </w:pPr>
    </w:p>
    <w:p>
      <w:pPr>
        <w:numPr>
          <w:ilvl w:val="0"/>
          <w:numId w:val="0"/>
        </w:numPr>
        <w:spacing w:line="360" w:lineRule="auto"/>
        <w:rPr>
          <w:rFonts w:hint="eastAsia" w:ascii="仿宋_GB2312" w:hAnsi="仿宋_GB2312" w:eastAsia="仿宋_GB2312" w:cs="仿宋_GB2312"/>
          <w:szCs w:val="21"/>
        </w:rPr>
      </w:pPr>
    </w:p>
    <w:p>
      <w:pPr>
        <w:numPr>
          <w:ilvl w:val="0"/>
          <w:numId w:val="0"/>
        </w:numPr>
        <w:spacing w:line="360" w:lineRule="auto"/>
        <w:ind w:firstLine="840" w:firstLineChars="400"/>
        <w:rPr>
          <w:rFonts w:ascii="仿宋_GB2312" w:hAnsi="仿宋_GB2312" w:eastAsia="仿宋_GB2312" w:cs="仿宋_GB2312"/>
        </w:rPr>
      </w:pPr>
    </w:p>
    <w:p>
      <w:pPr>
        <w:pStyle w:val="3"/>
        <w:snapToGrid w:val="0"/>
        <w:spacing w:before="0" w:after="0" w:line="240" w:lineRule="auto"/>
        <w:jc w:val="center"/>
        <w:rPr>
          <w:rFonts w:ascii="仿宋_GB2312" w:hAnsi="仿宋_GB2312" w:eastAsia="仿宋_GB2312" w:cs="仿宋_GB2312"/>
        </w:rPr>
      </w:pPr>
      <w:bookmarkStart w:id="113" w:name="_Toc8241"/>
      <w:bookmarkStart w:id="114" w:name="_Toc8062"/>
      <w:r>
        <w:rPr>
          <w:rFonts w:ascii="仿宋_GB2312" w:hAnsi="仿宋_GB2312" w:eastAsia="仿宋_GB2312" w:cs="仿宋_GB2312"/>
        </w:rPr>
        <w:br w:type="page"/>
      </w:r>
      <w:r>
        <w:rPr>
          <w:rFonts w:hint="eastAsia" w:ascii="仿宋_GB2312" w:hAnsi="仿宋_GB2312" w:eastAsia="仿宋_GB2312" w:cs="仿宋_GB2312"/>
        </w:rPr>
        <w:t>第四章 评标方法</w:t>
      </w:r>
      <w:bookmarkEnd w:id="109"/>
      <w:bookmarkEnd w:id="113"/>
      <w:bookmarkEnd w:id="114"/>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Cs/>
          <w:kern w:val="0"/>
          <w:szCs w:val="21"/>
        </w:rPr>
        <w:t>本项目将按照招标文件第一章投标人须知中“六 开标及评标”、“七 确定中标”及本章的规定评标。</w:t>
      </w:r>
    </w:p>
    <w:p>
      <w:pPr>
        <w:adjustRightInd w:val="0"/>
        <w:snapToGrid w:val="0"/>
        <w:spacing w:line="360" w:lineRule="auto"/>
        <w:ind w:firstLine="420" w:firstLineChars="200"/>
        <w:rPr>
          <w:rFonts w:ascii="仿宋_GB2312" w:hAnsi="仿宋_GB2312" w:eastAsia="仿宋_GB2312" w:cs="仿宋_GB2312"/>
          <w:b/>
          <w:kern w:val="0"/>
          <w:szCs w:val="21"/>
        </w:rPr>
      </w:pPr>
      <w:bookmarkStart w:id="115" w:name="_Toc22313_WPSOffice_Level2"/>
      <w:r>
        <w:rPr>
          <w:rFonts w:hint="eastAsia" w:ascii="仿宋_GB2312" w:hAnsi="仿宋_GB2312" w:eastAsia="仿宋_GB2312" w:cs="仿宋_GB2312"/>
          <w:b/>
          <w:kern w:val="0"/>
          <w:szCs w:val="21"/>
        </w:rPr>
        <w:t>一、评标方法</w:t>
      </w:r>
      <w:bookmarkEnd w:id="115"/>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本项目采用</w:t>
      </w:r>
      <w:r>
        <w:rPr>
          <w:rFonts w:hint="eastAsia" w:ascii="仿宋_GB2312" w:hAnsi="仿宋_GB2312" w:eastAsia="仿宋_GB2312" w:cs="仿宋_GB2312"/>
          <w:kern w:val="0"/>
          <w:szCs w:val="21"/>
          <w:u w:val="single"/>
        </w:rPr>
        <w:t>最低评标价法/综合评分法</w:t>
      </w:r>
      <w:r>
        <w:rPr>
          <w:rFonts w:hint="eastAsia" w:ascii="仿宋_GB2312" w:hAnsi="仿宋_GB2312" w:eastAsia="仿宋_GB2312" w:cs="仿宋_GB2312"/>
          <w:kern w:val="0"/>
          <w:szCs w:val="21"/>
        </w:rPr>
        <w:t>进行评标。</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bookmarkStart w:id="116" w:name="_Toc21368_WPSOffice_Level2"/>
      <w:r>
        <w:rPr>
          <w:rFonts w:hint="eastAsia" w:ascii="仿宋_GB2312" w:hAnsi="仿宋_GB2312" w:eastAsia="仿宋_GB2312" w:cs="仿宋_GB2312"/>
          <w:b/>
          <w:kern w:val="0"/>
          <w:szCs w:val="21"/>
        </w:rPr>
        <w:t>二、评标原则及程序</w:t>
      </w:r>
      <w:bookmarkEnd w:id="116"/>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（一）评标原则</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（二）评标程序</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★1、资格审查</w:t>
      </w:r>
    </w:p>
    <w:p>
      <w:pPr>
        <w:adjustRightInd w:val="0"/>
        <w:snapToGrid w:val="0"/>
        <w:spacing w:line="360" w:lineRule="auto"/>
        <w:ind w:firstLine="420" w:firstLineChars="200"/>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1.1详见投标人须知22条。资格审查表详见本章附件1。</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w:t>
      </w:r>
      <w:r>
        <w:rPr>
          <w:rFonts w:hint="eastAsia" w:ascii="仿宋_GB2312" w:hAnsi="仿宋_GB2312" w:eastAsia="仿宋_GB2312" w:cs="仿宋_GB2312"/>
          <w:b/>
          <w:bCs/>
          <w:kern w:val="0"/>
          <w:szCs w:val="21"/>
        </w:rPr>
        <w:t>2、符合性审查</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2.1详见投标人须知23条。符合性审查表详见本章附件2。</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3、样品及演示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3.1</w:t>
      </w:r>
      <w:r>
        <w:rPr>
          <w:rFonts w:hint="eastAsia" w:ascii="仿宋_GB2312" w:hAnsi="仿宋_GB2312" w:eastAsia="仿宋_GB2312" w:cs="仿宋_GB2312"/>
          <w:kern w:val="0"/>
          <w:szCs w:val="21"/>
        </w:rPr>
        <w:t>投标人须知表11.3条</w:t>
      </w:r>
      <w:r>
        <w:rPr>
          <w:rFonts w:hint="eastAsia" w:ascii="仿宋_GB2312" w:hAnsi="仿宋_GB2312" w:eastAsia="仿宋_GB2312" w:cs="仿宋_GB2312"/>
          <w:szCs w:val="21"/>
        </w:rPr>
        <w:t>中要求投标人提供样品或演示的，按照</w:t>
      </w:r>
      <w:r>
        <w:rPr>
          <w:rFonts w:hint="eastAsia" w:ascii="仿宋_GB2312" w:hAnsi="仿宋_GB2312" w:eastAsia="仿宋_GB2312" w:cs="仿宋_GB2312"/>
          <w:kern w:val="0"/>
          <w:szCs w:val="21"/>
        </w:rPr>
        <w:t>投标人须知表25.1条</w:t>
      </w:r>
      <w:r>
        <w:rPr>
          <w:rFonts w:hint="eastAsia" w:ascii="仿宋_GB2312" w:hAnsi="仿宋_GB2312" w:eastAsia="仿宋_GB2312" w:cs="仿宋_GB2312"/>
          <w:szCs w:val="21"/>
        </w:rPr>
        <w:t>中确定的评审方法以及评审标准进行评审。(样品或演示属于符合性审查的，按照</w:t>
      </w:r>
      <w:r>
        <w:rPr>
          <w:rFonts w:hint="eastAsia" w:ascii="仿宋_GB2312" w:hAnsi="仿宋_GB2312" w:eastAsia="仿宋_GB2312" w:cs="仿宋_GB2312"/>
          <w:kern w:val="0"/>
          <w:szCs w:val="21"/>
        </w:rPr>
        <w:t>投标人须知23条</w:t>
      </w:r>
      <w:r>
        <w:rPr>
          <w:rFonts w:hint="eastAsia" w:ascii="仿宋_GB2312" w:hAnsi="仿宋_GB2312" w:eastAsia="仿宋_GB2312" w:cs="仿宋_GB2312"/>
          <w:szCs w:val="21"/>
        </w:rPr>
        <w:t>规定执行）</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★4</w:t>
      </w:r>
      <w:r>
        <w:rPr>
          <w:rFonts w:hint="eastAsia" w:ascii="仿宋_GB2312" w:hAnsi="仿宋_GB2312" w:eastAsia="仿宋_GB2312" w:cs="仿宋_GB2312"/>
          <w:b/>
          <w:bCs/>
          <w:kern w:val="0"/>
          <w:szCs w:val="21"/>
        </w:rPr>
        <w:t>、比较及评价</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5.1评标委员会对通过符合性审查的投标文件进行比较和评价。</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5.2在评标期间，对投标文件的澄清按投标人须知24条内容执行。</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5.3评标委员会认为投标人的报价明显低于其他通过符合性审查的投标人报价，有可能影响服务质量或者不能诚信履约的，评标委员会应当要求其在评标现场合理的时间（</w:t>
      </w:r>
      <w:r>
        <w:rPr>
          <w:rFonts w:hint="eastAsia" w:ascii="仿宋_GB2312" w:hAnsi="仿宋_GB2312" w:eastAsia="仿宋_GB2312" w:cs="仿宋_GB2312"/>
          <w:kern w:val="0"/>
          <w:szCs w:val="21"/>
        </w:rPr>
        <w:t>接到通知后</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小时</w:t>
      </w:r>
      <w:r>
        <w:rPr>
          <w:rFonts w:hint="eastAsia" w:ascii="仿宋_GB2312" w:hAnsi="仿宋_GB2312" w:eastAsia="仿宋_GB2312" w:cs="仿宋_GB2312"/>
          <w:szCs w:val="21"/>
        </w:rPr>
        <w:t>）内提供书面说明，并提交相关证明材料，</w:t>
      </w:r>
      <w:r>
        <w:rPr>
          <w:rFonts w:hint="eastAsia" w:ascii="仿宋_GB2312" w:hAnsi="仿宋_GB2312" w:eastAsia="仿宋_GB2312" w:cs="仿宋_GB2312"/>
          <w:kern w:val="0"/>
          <w:szCs w:val="21"/>
        </w:rPr>
        <w:t>投标人不能证明其报价合理性的，评标委员会应当将</w:t>
      </w:r>
      <w:r>
        <w:rPr>
          <w:rFonts w:hint="eastAsia" w:ascii="仿宋_GB2312" w:hAnsi="仿宋_GB2312" w:eastAsia="仿宋_GB2312" w:cs="仿宋_GB2312"/>
          <w:szCs w:val="21"/>
        </w:rPr>
        <w:t>其投标作为</w:t>
      </w:r>
      <w:r>
        <w:rPr>
          <w:rFonts w:hint="eastAsia" w:ascii="仿宋_GB2312" w:hAnsi="仿宋_GB2312" w:eastAsia="仿宋_GB2312" w:cs="仿宋_GB2312"/>
          <w:b/>
          <w:bCs/>
          <w:szCs w:val="21"/>
        </w:rPr>
        <w:t>无效投标处理</w:t>
      </w:r>
      <w:r>
        <w:rPr>
          <w:rFonts w:hint="eastAsia" w:ascii="仿宋_GB2312" w:hAnsi="仿宋_GB2312" w:eastAsia="仿宋_GB2312" w:cs="仿宋_GB2312"/>
          <w:szCs w:val="21"/>
        </w:rPr>
        <w:t>。</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投标人的书面说明材料包含服务本身成本、人工费用、运输、税收等，以及报价不会影响服务质量或诚信履约能力的说明等。</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投标人的书面说明应当签字确认或者加盖公章，否则无效。书面说明的签字确认，由其法定代表人（非法人单位负责人或自然人本人）或者其授权代表签字确认。</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拒绝或者变相拒绝提供有效书面说明；</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书面说明不能证明其报价合理性的；</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未在规定时间内递交有效书面说明书的。</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★5</w:t>
      </w:r>
      <w:r>
        <w:rPr>
          <w:rFonts w:hint="eastAsia" w:ascii="仿宋_GB2312" w:hAnsi="仿宋_GB2312" w:eastAsia="仿宋_GB2312" w:cs="仿宋_GB2312"/>
          <w:b/>
          <w:bCs/>
          <w:kern w:val="0"/>
          <w:szCs w:val="21"/>
        </w:rPr>
        <w:t>、需落实的政府采购政策性规定：</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5.1对于中小微企业的相关规定</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5.1.1对于非专门面向中小企业的项目，在满足价格扣除条件且在投标文件中按要求提交了《中小企业声明函》、《制造商企业（单位）类型声明函》</w:t>
      </w:r>
      <w:r>
        <w:rPr>
          <w:rFonts w:hint="eastAsia" w:ascii="仿宋_GB2312" w:hAnsi="仿宋_GB2312" w:eastAsia="仿宋_GB2312" w:cs="仿宋_GB2312"/>
          <w:kern w:val="0"/>
          <w:szCs w:val="21"/>
        </w:rPr>
        <w:t>（采购人采购的服务有伴随货物时，投标人所投货物为其它企业生产时须提供此声明函，仅作为价格扣除条件）的，</w:t>
      </w:r>
      <w:r>
        <w:rPr>
          <w:rFonts w:hint="eastAsia" w:ascii="仿宋_GB2312" w:hAnsi="仿宋_GB2312" w:eastAsia="仿宋_GB2312" w:cs="仿宋_GB2312"/>
          <w:szCs w:val="21"/>
        </w:rPr>
        <w:t>对投标报价给予价格扣除，用扣除后的价格参与评审。投标报价扣除比例如下：</w:t>
      </w:r>
    </w:p>
    <w:p>
      <w:pPr>
        <w:adjustRightInd w:val="0"/>
        <w:snapToGrid w:val="0"/>
        <w:spacing w:line="360" w:lineRule="auto"/>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（1）非联合体投标</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小型和微型企业相应产品、服务投标报价的</w:t>
      </w:r>
      <w:r>
        <w:rPr>
          <w:rFonts w:hint="eastAsia" w:ascii="仿宋_GB2312" w:hAnsi="仿宋_GB2312" w:eastAsia="仿宋_GB2312" w:cs="仿宋_GB2312"/>
          <w:kern w:val="0"/>
          <w:szCs w:val="21"/>
          <w:u w:val="single"/>
        </w:rPr>
        <w:t xml:space="preserve">   10%   </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10-20%）</w:t>
      </w:r>
    </w:p>
    <w:p>
      <w:pPr>
        <w:adjustRightInd w:val="0"/>
        <w:snapToGrid w:val="0"/>
        <w:spacing w:line="360" w:lineRule="auto"/>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（2）联合体投标</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Fonts w:hint="eastAsia" w:ascii="仿宋_GB2312" w:hAnsi="仿宋_GB2312" w:eastAsia="仿宋_GB2312" w:cs="仿宋_GB2312"/>
          <w:kern w:val="0"/>
          <w:szCs w:val="21"/>
          <w:u w:val="single"/>
        </w:rPr>
        <w:t xml:space="preserve">  /    </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2-3%）。</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5.1.2监狱企业视同小型、微型企业，在满足价格扣除条件且在投标文件中按要求提交了省级以上监狱管理局、戒毒管理局（含新疆生产建设兵团）出具的属于监狱企业的证明文件的，对其投标报价按本章5.1.1条款的比例予以扣除，</w:t>
      </w:r>
      <w:r>
        <w:rPr>
          <w:rFonts w:hint="eastAsia" w:ascii="仿宋_GB2312" w:hAnsi="仿宋_GB2312" w:eastAsia="仿宋_GB2312" w:cs="仿宋_GB2312"/>
          <w:kern w:val="0"/>
          <w:szCs w:val="21"/>
        </w:rPr>
        <w:t>用扣除后的价格参与评审</w:t>
      </w:r>
      <w:r>
        <w:rPr>
          <w:rFonts w:hint="eastAsia" w:ascii="仿宋_GB2312" w:hAnsi="仿宋_GB2312" w:eastAsia="仿宋_GB2312" w:cs="仿宋_GB2312"/>
          <w:szCs w:val="21"/>
        </w:rPr>
        <w:t>。</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b/>
          <w:kern w:val="0"/>
          <w:szCs w:val="21"/>
        </w:rPr>
        <w:t>5.1.3</w:t>
      </w:r>
      <w:r>
        <w:rPr>
          <w:rFonts w:hint="eastAsia" w:ascii="仿宋_GB2312" w:hAnsi="仿宋_GB2312" w:eastAsia="仿宋_GB2312" w:cs="仿宋_GB2312"/>
          <w:szCs w:val="21"/>
        </w:rPr>
        <w:t>残疾人福利性单位视同小型、微型企业，在满足价格扣除条件且在</w:t>
      </w:r>
      <w:r>
        <w:rPr>
          <w:rFonts w:hint="eastAsia" w:ascii="仿宋_GB2312" w:hAnsi="仿宋_GB2312" w:eastAsia="仿宋_GB2312" w:cs="仿宋_GB2312"/>
          <w:kern w:val="0"/>
          <w:szCs w:val="21"/>
        </w:rPr>
        <w:t>投标文件中提供了《残疾人福利性单位声明函》的，</w:t>
      </w:r>
      <w:r>
        <w:rPr>
          <w:rFonts w:hint="eastAsia" w:ascii="仿宋_GB2312" w:hAnsi="仿宋_GB2312" w:eastAsia="仿宋_GB2312" w:cs="仿宋_GB2312"/>
          <w:szCs w:val="21"/>
        </w:rPr>
        <w:t>对其投标报价按本章5.1.1条款的比例予以扣除</w:t>
      </w:r>
      <w:r>
        <w:rPr>
          <w:rFonts w:hint="eastAsia" w:ascii="仿宋_GB2312" w:hAnsi="仿宋_GB2312" w:eastAsia="仿宋_GB2312" w:cs="仿宋_GB2312"/>
          <w:kern w:val="0"/>
          <w:szCs w:val="21"/>
        </w:rPr>
        <w:t>，用扣除后的价格参与评审。</w:t>
      </w:r>
    </w:p>
    <w:p>
      <w:pPr>
        <w:adjustRightInd w:val="0"/>
        <w:snapToGrid w:val="0"/>
        <w:spacing w:line="360" w:lineRule="auto"/>
        <w:ind w:firstLine="420" w:firstLineChars="200"/>
        <w:rPr>
          <w:rFonts w:ascii="仿宋_GB2312" w:hAnsi="仿宋_GB2312" w:eastAsia="仿宋_GB2312" w:cs="仿宋_GB2312"/>
          <w:b/>
          <w:szCs w:val="21"/>
        </w:rPr>
      </w:pPr>
      <w:r>
        <w:rPr>
          <w:rFonts w:hint="eastAsia" w:ascii="仿宋_GB2312" w:hAnsi="仿宋_GB2312" w:eastAsia="仿宋_GB2312" w:cs="仿宋_GB2312"/>
          <w:b/>
          <w:szCs w:val="21"/>
        </w:rPr>
        <w:t>5.1.4残疾人福利性单位属于小型、微型企业的，不重复享受政策。</w:t>
      </w:r>
    </w:p>
    <w:p>
      <w:pPr>
        <w:adjustRightInd w:val="0"/>
        <w:spacing w:line="360" w:lineRule="auto"/>
        <w:ind w:firstLine="420" w:firstLineChars="200"/>
        <w:jc w:val="left"/>
        <w:rPr>
          <w:rFonts w:ascii="仿宋_GB2312" w:hAnsi="仿宋_GB2312" w:eastAsia="仿宋_GB2312" w:cs="仿宋_GB2312"/>
          <w:b/>
          <w:bCs/>
          <w:szCs w:val="21"/>
        </w:rPr>
      </w:pPr>
      <w:r>
        <w:rPr>
          <w:rFonts w:hint="eastAsia" w:ascii="仿宋_GB2312" w:hAnsi="仿宋_GB2312" w:eastAsia="仿宋_GB2312" w:cs="仿宋_GB2312"/>
          <w:b/>
          <w:bCs/>
          <w:szCs w:val="21"/>
        </w:rPr>
        <w:t>5.2对于节能产品、环境标志产品的相关规定</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招标人招标的服务有伴随货物的，如伴随的货物属于节能产品或环境标志产品，依据品目清单和认证证书实施政府优先采购。供应商应能够提供国家确定的认证机构出具的、处于有效期之内的节能产品、环境标志产品认证证书，方可对获得证书的产品优先推荐。</w:t>
      </w:r>
    </w:p>
    <w:p>
      <w:pPr>
        <w:adjustRightInd w:val="0"/>
        <w:snapToGrid w:val="0"/>
        <w:spacing w:line="360" w:lineRule="auto"/>
        <w:ind w:firstLine="630" w:firstLineChars="300"/>
        <w:jc w:val="left"/>
        <w:rPr>
          <w:rFonts w:ascii="仿宋_GB2312" w:hAnsi="仿宋_GB2312" w:eastAsia="仿宋_GB2312" w:cs="仿宋_GB2312"/>
          <w:szCs w:val="21"/>
        </w:rPr>
      </w:pPr>
      <w:r>
        <w:rPr>
          <w:rFonts w:hint="eastAsia" w:ascii="仿宋_GB2312" w:hAnsi="仿宋_GB2312" w:eastAsia="仿宋_GB2312" w:cs="仿宋_GB2312"/>
          <w:kern w:val="0"/>
          <w:szCs w:val="21"/>
        </w:rPr>
        <w:t>采用最低评标价法的，</w:t>
      </w:r>
      <w:r>
        <w:rPr>
          <w:rFonts w:hint="eastAsia" w:ascii="仿宋_GB2312" w:hAnsi="仿宋_GB2312" w:eastAsia="仿宋_GB2312" w:cs="仿宋_GB2312"/>
          <w:szCs w:val="21"/>
        </w:rPr>
        <w:t>对</w:t>
      </w:r>
      <w:r>
        <w:rPr>
          <w:rFonts w:hint="eastAsia" w:ascii="仿宋_GB2312" w:hAnsi="仿宋_GB2312" w:eastAsia="仿宋_GB2312" w:cs="仿宋_GB2312"/>
          <w:kern w:val="0"/>
          <w:szCs w:val="21"/>
        </w:rPr>
        <w:t>清单中投标产品的报价</w:t>
      </w:r>
      <w:r>
        <w:rPr>
          <w:rFonts w:hint="eastAsia" w:ascii="仿宋_GB2312" w:hAnsi="仿宋_GB2312" w:eastAsia="仿宋_GB2312" w:cs="仿宋_GB2312"/>
          <w:szCs w:val="21"/>
        </w:rPr>
        <w:t>给予价格扣除，用扣除后的价格参与评审。报价扣除比例为</w:t>
      </w:r>
      <w:r>
        <w:rPr>
          <w:rFonts w:hint="eastAsia" w:ascii="仿宋_GB2312" w:hAnsi="仿宋_GB2312" w:eastAsia="仿宋_GB2312" w:cs="仿宋_GB2312"/>
          <w:kern w:val="0"/>
          <w:szCs w:val="21"/>
        </w:rPr>
        <w:t>清单中产品报价的</w:t>
      </w:r>
      <w:r>
        <w:rPr>
          <w:rFonts w:hint="eastAsia" w:ascii="仿宋_GB2312" w:hAnsi="仿宋_GB2312" w:eastAsia="仿宋_GB2312" w:cs="仿宋_GB2312"/>
          <w:szCs w:val="21"/>
          <w:u w:val="single"/>
        </w:rPr>
        <w:t xml:space="preserve">    /   </w:t>
      </w:r>
      <w:r>
        <w:rPr>
          <w:rFonts w:hint="eastAsia" w:ascii="仿宋_GB2312" w:hAnsi="仿宋_GB2312" w:eastAsia="仿宋_GB2312" w:cs="仿宋_GB2312"/>
          <w:szCs w:val="21"/>
        </w:rPr>
        <w:t xml:space="preserve"> %。</w:t>
      </w:r>
    </w:p>
    <w:p>
      <w:pPr>
        <w:adjustRightInd w:val="0"/>
        <w:snapToGrid w:val="0"/>
        <w:spacing w:line="360" w:lineRule="auto"/>
        <w:ind w:firstLine="630" w:firstLineChars="300"/>
        <w:jc w:val="left"/>
        <w:rPr>
          <w:rFonts w:ascii="仿宋_GB2312" w:hAnsi="仿宋_GB2312" w:eastAsia="仿宋_GB2312" w:cs="仿宋_GB2312"/>
          <w:szCs w:val="21"/>
        </w:rPr>
      </w:pPr>
      <w:r>
        <w:rPr>
          <w:rFonts w:hint="eastAsia" w:ascii="仿宋_GB2312" w:hAnsi="仿宋_GB2312" w:eastAsia="仿宋_GB2312" w:cs="仿宋_GB2312"/>
          <w:kern w:val="0"/>
          <w:szCs w:val="21"/>
        </w:rPr>
        <w:t>采用综合评分法评标的项目，对清单中产品给予相应的加分。（详见评分细则）</w:t>
      </w:r>
    </w:p>
    <w:p>
      <w:pPr>
        <w:adjustRightIn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（2）投标人应同时提供品目清单网络截图，并以明确标注所报产品信息和位置的方式，用以方便评审。</w:t>
      </w:r>
    </w:p>
    <w:p>
      <w:pPr>
        <w:adjustRightIn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（3）认证机构和获证产品信息发布媒体：详见中国政府采购网（www.ccgp.gov.cn）建立的与认证结果信息发布平台的链接。</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5.3对于聘用建档立卡贫困人员物业公司的相关规定</w:t>
      </w:r>
    </w:p>
    <w:p>
      <w:pPr>
        <w:adjustRightIn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在满足价格扣除条件且在投标文件中按要求提交了《聘用建档立卡贫困人员物业公司声明函》的供应商，对最后报价给予价格扣除，用扣除后的价格参与评审。扣除比例为最后</w:t>
      </w:r>
      <w:r>
        <w:rPr>
          <w:rFonts w:hint="eastAsia" w:ascii="仿宋_GB2312" w:hAnsi="仿宋_GB2312" w:eastAsia="仿宋_GB2312" w:cs="仿宋_GB2312"/>
          <w:kern w:val="0"/>
          <w:szCs w:val="21"/>
        </w:rPr>
        <w:t>报价的</w:t>
      </w:r>
      <w:r>
        <w:rPr>
          <w:rFonts w:hint="eastAsia" w:ascii="仿宋_GB2312" w:hAnsi="仿宋_GB2312" w:eastAsia="仿宋_GB2312" w:cs="仿宋_GB2312"/>
          <w:szCs w:val="21"/>
          <w:u w:val="single"/>
        </w:rPr>
        <w:t xml:space="preserve">    /   </w:t>
      </w:r>
      <w:r>
        <w:rPr>
          <w:rFonts w:hint="eastAsia" w:ascii="仿宋_GB2312" w:hAnsi="仿宋_GB2312" w:eastAsia="仿宋_GB2312" w:cs="仿宋_GB2312"/>
          <w:szCs w:val="21"/>
        </w:rPr>
        <w:t xml:space="preserve"> %。</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★6</w:t>
      </w:r>
      <w:r>
        <w:rPr>
          <w:rFonts w:hint="eastAsia" w:ascii="仿宋_GB2312" w:hAnsi="仿宋_GB2312" w:eastAsia="仿宋_GB2312" w:cs="仿宋_GB2312"/>
          <w:b/>
          <w:bCs/>
          <w:kern w:val="0"/>
          <w:szCs w:val="21"/>
        </w:rPr>
        <w:t>、投标无效情况详见投标人须知。</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★7</w:t>
      </w:r>
      <w:r>
        <w:rPr>
          <w:rFonts w:hint="eastAsia" w:ascii="仿宋_GB2312" w:hAnsi="仿宋_GB2312" w:eastAsia="仿宋_GB2312" w:cs="仿宋_GB2312"/>
          <w:b/>
          <w:bCs/>
          <w:kern w:val="0"/>
          <w:szCs w:val="21"/>
        </w:rPr>
        <w:t>、推荐中标候选人的原则</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详见第一章投标人须知第29条，具体处理办法如下：</w:t>
      </w:r>
    </w:p>
    <w:p>
      <w:pPr>
        <w:numPr>
          <w:ilvl w:val="0"/>
          <w:numId w:val="8"/>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采用最低评标价法的：</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扣除后的投标报价相同时，按投标报价由低至高排序；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按前款不能区分的，按技术指标优劣排序；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其他情况，由评标委员会投票处理。</w:t>
      </w:r>
    </w:p>
    <w:p>
      <w:pPr>
        <w:numPr>
          <w:ilvl w:val="0"/>
          <w:numId w:val="8"/>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采用综合评分法的：</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得分相同的，按扣除后的投标报价由低到高顺序排序；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按前款不能区分的，按投标报价由低至高顺序排序；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按前款不能区分的，按技术指标优劣排序；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其他情况，由评标委员会投票处理。</w:t>
      </w:r>
    </w:p>
    <w:p>
      <w:pPr>
        <w:adjustRightInd w:val="0"/>
        <w:snapToGrid w:val="0"/>
        <w:spacing w:line="360" w:lineRule="auto"/>
        <w:ind w:firstLine="420" w:firstLineChars="200"/>
        <w:rPr>
          <w:rFonts w:ascii="仿宋_GB2312" w:hAnsi="仿宋_GB2312" w:eastAsia="仿宋_GB2312" w:cs="仿宋_GB2312"/>
          <w:b/>
          <w:kern w:val="0"/>
          <w:szCs w:val="21"/>
        </w:rPr>
      </w:pPr>
      <w:bookmarkStart w:id="117" w:name="_Toc30297_WPSOffice_Level2"/>
      <w:r>
        <w:rPr>
          <w:rFonts w:hint="eastAsia" w:ascii="仿宋_GB2312" w:hAnsi="仿宋_GB2312" w:eastAsia="仿宋_GB2312" w:cs="仿宋_GB2312"/>
          <w:b/>
          <w:szCs w:val="21"/>
        </w:rPr>
        <w:t>三、</w:t>
      </w:r>
      <w:r>
        <w:rPr>
          <w:rFonts w:hint="eastAsia" w:ascii="仿宋_GB2312" w:hAnsi="仿宋_GB2312" w:eastAsia="仿宋_GB2312" w:cs="仿宋_GB2312"/>
          <w:b/>
          <w:kern w:val="0"/>
          <w:szCs w:val="21"/>
        </w:rPr>
        <w:t>确定中标人</w:t>
      </w:r>
      <w:bookmarkEnd w:id="117"/>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评标委员会根据全体评标委员会成员签字的原始评标记录和评标结果编写评标报告，并向采购人提交书面评标报告。</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采购人按照评标报告确定的中标候选人名单按顺序确定中标人，或由采购人委托评标委员会按照第一章投标人须知第31条规定的方式确定中标人。</w:t>
      </w:r>
    </w:p>
    <w:p>
      <w:pPr>
        <w:widowControl/>
        <w:jc w:val="left"/>
        <w:rPr>
          <w:rFonts w:ascii="仿宋_GB2312" w:hAnsi="仿宋_GB2312" w:eastAsia="仿宋_GB2312" w:cs="仿宋_GB2312"/>
          <w:kern w:val="0"/>
          <w:sz w:val="24"/>
        </w:rPr>
      </w:pPr>
      <w:r>
        <w:rPr>
          <w:rFonts w:hint="eastAsia" w:ascii="仿宋_GB2312" w:hAnsi="仿宋_GB2312" w:eastAsia="仿宋_GB2312" w:cs="仿宋_GB2312"/>
        </w:rPr>
        <w:br w:type="page"/>
      </w:r>
    </w:p>
    <w:p>
      <w:pPr>
        <w:pStyle w:val="4"/>
        <w:adjustRightInd w:val="0"/>
        <w:snapToGrid w:val="0"/>
        <w:spacing w:before="0" w:after="0" w:line="240" w:lineRule="auto"/>
        <w:jc w:val="left"/>
        <w:rPr>
          <w:rFonts w:ascii="仿宋_GB2312" w:hAnsi="仿宋_GB2312" w:eastAsia="仿宋_GB2312" w:cs="仿宋_GB2312"/>
          <w:szCs w:val="28"/>
        </w:rPr>
      </w:pPr>
      <w:bookmarkStart w:id="118" w:name="_Toc32318_WPSOffice_Level2"/>
      <w:r>
        <w:rPr>
          <w:rFonts w:hint="eastAsia" w:ascii="仿宋_GB2312" w:hAnsi="仿宋_GB2312" w:eastAsia="仿宋_GB2312" w:cs="仿宋_GB2312"/>
          <w:szCs w:val="28"/>
        </w:rPr>
        <w:t xml:space="preserve">附件1                   </w:t>
      </w:r>
      <w:bookmarkEnd w:id="118"/>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资格审查表</w:t>
      </w:r>
    </w:p>
    <w:tbl>
      <w:tblPr>
        <w:tblStyle w:val="14"/>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3959"/>
        <w:gridCol w:w="2003"/>
        <w:gridCol w:w="923"/>
        <w:gridCol w:w="80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6" w:type="dxa"/>
            <w:vMerge w:val="restart"/>
            <w:vAlign w:val="center"/>
          </w:tcPr>
          <w:p>
            <w:pPr>
              <w:ind w:left="-96" w:leftChars="-46" w:right="-86" w:rightChars="-41"/>
              <w:jc w:val="center"/>
              <w:rPr>
                <w:rFonts w:ascii="仿宋_GB2312" w:hAnsi="仿宋_GB2312" w:eastAsia="仿宋_GB2312" w:cs="仿宋_GB2312"/>
              </w:rPr>
            </w:pPr>
            <w:r>
              <w:rPr>
                <w:rFonts w:hint="eastAsia" w:ascii="仿宋_GB2312" w:hAnsi="仿宋_GB2312" w:eastAsia="仿宋_GB2312" w:cs="仿宋_GB2312"/>
              </w:rPr>
              <w:t>序号</w:t>
            </w:r>
          </w:p>
        </w:tc>
        <w:tc>
          <w:tcPr>
            <w:tcW w:w="3959" w:type="dxa"/>
            <w:vMerge w:val="restart"/>
            <w:vAlign w:val="center"/>
          </w:tcPr>
          <w:p>
            <w:pPr>
              <w:pStyle w:val="4"/>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审查项目</w:t>
            </w:r>
          </w:p>
        </w:tc>
        <w:tc>
          <w:tcPr>
            <w:tcW w:w="2003" w:type="dxa"/>
            <w:vMerge w:val="restart"/>
            <w:vAlign w:val="center"/>
          </w:tcPr>
          <w:p>
            <w:pPr>
              <w:pStyle w:val="4"/>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审查标准</w:t>
            </w:r>
          </w:p>
        </w:tc>
        <w:tc>
          <w:tcPr>
            <w:tcW w:w="2668" w:type="dxa"/>
            <w:gridSpan w:val="3"/>
            <w:vAlign w:val="center"/>
          </w:tcPr>
          <w:p>
            <w:pPr>
              <w:pStyle w:val="4"/>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46" w:type="dxa"/>
            <w:vMerge w:val="continue"/>
            <w:vAlign w:val="center"/>
          </w:tcPr>
          <w:p>
            <w:pPr>
              <w:pStyle w:val="4"/>
              <w:adjustRightInd w:val="0"/>
              <w:snapToGrid w:val="0"/>
              <w:spacing w:before="0" w:after="0" w:line="240" w:lineRule="auto"/>
              <w:rPr>
                <w:rFonts w:ascii="仿宋_GB2312" w:hAnsi="仿宋_GB2312" w:eastAsia="仿宋_GB2312" w:cs="仿宋_GB2312"/>
              </w:rPr>
            </w:pPr>
          </w:p>
        </w:tc>
        <w:tc>
          <w:tcPr>
            <w:tcW w:w="3959" w:type="dxa"/>
            <w:vMerge w:val="continue"/>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2003" w:type="dxa"/>
            <w:vMerge w:val="continue"/>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23"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1</w:t>
            </w:r>
          </w:p>
        </w:tc>
        <w:tc>
          <w:tcPr>
            <w:tcW w:w="3959"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rPr>
              <w:t>营业执照或事业单位法人证书或执业许可证等证明文件或自然人的身份证明</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2</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组织机构代码证</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3</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税务登记证</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szCs w:val="21"/>
              </w:rPr>
              <w:t>4</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szCs w:val="21"/>
              </w:rPr>
              <w:t>法定代表人（或非法人组织负责人）身份证明书</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5</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法定代表人（或非法人组织</w:t>
            </w:r>
            <w:r>
              <w:rPr>
                <w:rFonts w:hint="eastAsia" w:ascii="仿宋_GB2312" w:hAnsi="仿宋_GB2312" w:eastAsia="仿宋_GB2312" w:cs="仿宋_GB2312"/>
                <w:szCs w:val="21"/>
              </w:rPr>
              <w:t>负责人）</w:t>
            </w:r>
            <w:r>
              <w:rPr>
                <w:rFonts w:hint="eastAsia" w:ascii="仿宋_GB2312" w:hAnsi="仿宋_GB2312" w:eastAsia="仿宋_GB2312" w:cs="仿宋_GB2312"/>
              </w:rPr>
              <w:t>授权委托书</w:t>
            </w:r>
            <w:r>
              <w:rPr>
                <w:rFonts w:hint="eastAsia" w:ascii="仿宋_GB2312" w:hAnsi="仿宋_GB2312" w:eastAsia="仿宋_GB2312" w:cs="仿宋_GB2312"/>
                <w:szCs w:val="21"/>
              </w:rPr>
              <w:t>（授权委托人参加投标的须提供）</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6</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具有良好的商业信誉和健全的财务会计制度的承诺函</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1.信息完整</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3959" w:type="dxa"/>
            <w:vAlign w:val="center"/>
          </w:tcPr>
          <w:p>
            <w:pPr>
              <w:adjustRightInd w:val="0"/>
              <w:snapToGrid w:val="0"/>
              <w:jc w:val="left"/>
              <w:rPr>
                <w:rFonts w:ascii="仿宋_GB2312" w:hAnsi="仿宋_GB2312" w:eastAsia="仿宋_GB2312" w:cs="仿宋_GB2312"/>
                <w:b/>
                <w:szCs w:val="21"/>
              </w:rPr>
            </w:pPr>
            <w:r>
              <w:rPr>
                <w:rFonts w:hint="eastAsia" w:ascii="仿宋" w:hAnsi="仿宋" w:cs="仿宋"/>
                <w:szCs w:val="21"/>
                <w:lang w:val="en-US" w:eastAsia="zh-CN"/>
              </w:rPr>
              <w:t>投标人须提供本单位营业执照所在地税务机关出具“提交首次响应文件时间”前3个月的税收证明原件；若供应商成立不满3个月，则提供自成立以来的税收证明原件</w:t>
            </w:r>
            <w:r>
              <w:rPr>
                <w:rFonts w:hint="eastAsia" w:ascii="仿宋_GB2312" w:hAnsi="仿宋_GB2312" w:eastAsia="仿宋_GB2312" w:cs="仿宋_GB2312"/>
                <w:szCs w:val="21"/>
              </w:rPr>
              <w:t>（注：依法不需要缴纳社会保障资金的投标人，应提供相关证明材料，包括相关法规要求原文及加盖公章的情况说明）</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3959" w:type="dxa"/>
            <w:vAlign w:val="center"/>
          </w:tcPr>
          <w:p>
            <w:pPr>
              <w:adjustRightInd w:val="0"/>
              <w:snapToGrid w:val="0"/>
              <w:jc w:val="left"/>
              <w:rPr>
                <w:rFonts w:ascii="仿宋_GB2312" w:hAnsi="仿宋_GB2312" w:eastAsia="仿宋_GB2312" w:cs="仿宋_GB2312"/>
                <w:b/>
                <w:szCs w:val="21"/>
              </w:rPr>
            </w:pPr>
            <w:r>
              <w:rPr>
                <w:rFonts w:hint="eastAsia" w:ascii="仿宋" w:hAnsi="仿宋" w:cs="仿宋"/>
                <w:szCs w:val="21"/>
                <w:lang w:val="en-US" w:eastAsia="zh-CN"/>
              </w:rPr>
              <w:t>投标人须提供投标人所在地社会保险经办机构出具的“提交首次响应文件时间”前3个月内单位实缴社会保险费用证明原件，若供应商成立不满3个月，则提供自成立以来的单位实缴社会保险费用证明原件</w:t>
            </w:r>
            <w:r>
              <w:rPr>
                <w:rFonts w:hint="eastAsia" w:ascii="仿宋_GB2312" w:hAnsi="仿宋_GB2312" w:eastAsia="仿宋_GB2312" w:cs="仿宋_GB2312"/>
                <w:szCs w:val="21"/>
              </w:rPr>
              <w:t>（注：依法免税的投标人，应提供相关证明材料，包括相关法规要求原文及加盖单位公章的情况说明）</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rPr>
              <w:t>具备履行合同所必需的设备和专业技术能力声明函</w:t>
            </w:r>
          </w:p>
        </w:tc>
        <w:tc>
          <w:tcPr>
            <w:tcW w:w="2003" w:type="dxa"/>
            <w:vAlign w:val="center"/>
          </w:tcPr>
          <w:p>
            <w:pPr>
              <w:pStyle w:val="4"/>
              <w:adjustRightInd w:val="0"/>
              <w:snapToGrid w:val="0"/>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10</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szCs w:val="21"/>
              </w:rPr>
              <w:t>参加政府采购活动前3年内在经营活动中没有重大违法记录的书面声明</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12</w:t>
            </w:r>
          </w:p>
        </w:tc>
        <w:tc>
          <w:tcPr>
            <w:tcW w:w="3959"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szCs w:val="21"/>
              </w:rPr>
              <w:t>其它资格证明文件（如适用，按投标人须知表1.3.4要求描述）</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rPr>
              <w:t>信用记录（</w:t>
            </w:r>
            <w:r>
              <w:rPr>
                <w:rFonts w:hint="eastAsia" w:ascii="仿宋_GB2312" w:hAnsi="仿宋_GB2312" w:eastAsia="仿宋_GB2312" w:cs="仿宋_GB2312"/>
                <w:szCs w:val="21"/>
              </w:rPr>
              <w:t>采购人或采购代理机构将按照招标文件规定的审查期间内进行查询</w:t>
            </w:r>
            <w:r>
              <w:rPr>
                <w:rFonts w:hint="eastAsia" w:ascii="仿宋_GB2312" w:hAnsi="仿宋_GB2312" w:eastAsia="仿宋_GB2312" w:cs="仿宋_GB2312"/>
              </w:rPr>
              <w:t>）</w:t>
            </w:r>
          </w:p>
          <w:p>
            <w:pPr>
              <w:snapToGrid w:val="0"/>
              <w:jc w:val="left"/>
              <w:rPr>
                <w:rFonts w:ascii="仿宋_GB2312" w:hAnsi="仿宋_GB2312" w:eastAsia="仿宋_GB2312" w:cs="仿宋_GB2312"/>
              </w:rPr>
            </w:pPr>
            <w:r>
              <w:rPr>
                <w:rFonts w:hint="eastAsia" w:ascii="仿宋_GB2312" w:hAnsi="仿宋_GB2312" w:eastAsia="仿宋_GB2312" w:cs="仿宋_GB2312"/>
              </w:rPr>
              <w:t>联合体各方均需查询（如适用）</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无投标须知22.2.1所述的不良记录</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szCs w:val="21"/>
                <w:lang w:val="en-US" w:eastAsia="zh-CN"/>
              </w:rPr>
              <w:t>中小企业声明函</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ascii="仿宋_GB2312" w:hAnsi="仿宋_GB2312" w:eastAsia="仿宋_GB2312" w:cs="仿宋_GB2312"/>
              </w:rPr>
            </w:pPr>
          </w:p>
        </w:tc>
        <w:tc>
          <w:tcPr>
            <w:tcW w:w="3959"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结论</w:t>
            </w:r>
          </w:p>
        </w:tc>
        <w:tc>
          <w:tcPr>
            <w:tcW w:w="2003" w:type="dxa"/>
          </w:tcPr>
          <w:p>
            <w:pPr>
              <w:pStyle w:val="4"/>
              <w:adjustRightInd w:val="0"/>
              <w:snapToGrid w:val="0"/>
              <w:spacing w:before="0" w:after="0" w:line="240" w:lineRule="auto"/>
              <w:rPr>
                <w:rFonts w:ascii="仿宋_GB2312" w:hAnsi="仿宋_GB2312" w:eastAsia="仿宋_GB2312" w:cs="仿宋_GB2312"/>
                <w:sz w:val="21"/>
                <w:szCs w:val="21"/>
              </w:rPr>
            </w:pP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bl>
    <w:p>
      <w:pPr>
        <w:snapToGrid w:val="0"/>
        <w:rPr>
          <w:rFonts w:ascii="仿宋_GB2312" w:hAnsi="仿宋_GB2312" w:eastAsia="仿宋_GB2312" w:cs="仿宋_GB2312"/>
        </w:rPr>
      </w:pPr>
      <w:r>
        <w:rPr>
          <w:rFonts w:hint="eastAsia" w:ascii="仿宋_GB2312" w:hAnsi="仿宋_GB2312" w:eastAsia="仿宋_GB2312" w:cs="仿宋_GB2312"/>
        </w:rPr>
        <w:t>填表说明：1、每项内容审查合格，在表中填写“√”；不合格填写“×”</w:t>
      </w:r>
    </w:p>
    <w:p>
      <w:pPr>
        <w:snapToGrid w:val="0"/>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rPr>
          <w:rFonts w:ascii="仿宋_GB2312" w:hAnsi="仿宋_GB2312" w:eastAsia="仿宋_GB2312" w:cs="仿宋_GB2312"/>
        </w:rPr>
      </w:pPr>
    </w:p>
    <w:p>
      <w:pPr>
        <w:pStyle w:val="12"/>
        <w:widowControl w:val="0"/>
        <w:snapToGrid w:val="0"/>
        <w:spacing w:before="0" w:beforeAutospacing="0" w:after="0" w:afterAutospacing="0" w:line="480" w:lineRule="auto"/>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审查人签字：</w:t>
      </w:r>
    </w:p>
    <w:p>
      <w:pPr>
        <w:pStyle w:val="12"/>
        <w:widowControl w:val="0"/>
        <w:snapToGrid w:val="0"/>
        <w:spacing w:before="0" w:beforeAutospacing="0" w:after="0" w:afterAutospacing="0" w:line="480" w:lineRule="auto"/>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日      期：</w:t>
      </w:r>
    </w:p>
    <w:p>
      <w:pPr>
        <w:pStyle w:val="4"/>
        <w:adjustRightInd w:val="0"/>
        <w:snapToGrid w:val="0"/>
        <w:spacing w:before="0" w:after="0" w:line="240" w:lineRule="auto"/>
        <w:jc w:val="left"/>
        <w:rPr>
          <w:rFonts w:ascii="仿宋_GB2312" w:hAnsi="仿宋_GB2312" w:eastAsia="仿宋_GB2312" w:cs="仿宋_GB2312"/>
          <w:szCs w:val="28"/>
        </w:rPr>
      </w:pPr>
      <w:bookmarkStart w:id="119" w:name="_Toc11558_WPSOffice_Level2"/>
    </w:p>
    <w:p>
      <w:pPr>
        <w:pStyle w:val="4"/>
        <w:adjustRightInd w:val="0"/>
        <w:snapToGrid w:val="0"/>
        <w:spacing w:before="0" w:after="0" w:line="240" w:lineRule="auto"/>
        <w:jc w:val="left"/>
        <w:rPr>
          <w:rFonts w:ascii="仿宋_GB2312" w:hAnsi="仿宋_GB2312" w:eastAsia="仿宋_GB2312" w:cs="仿宋_GB2312"/>
          <w:szCs w:val="28"/>
        </w:rPr>
      </w:pPr>
    </w:p>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 xml:space="preserve">附件2                  </w:t>
      </w:r>
      <w:bookmarkEnd w:id="119"/>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符合性审查表</w:t>
      </w:r>
    </w:p>
    <w:tbl>
      <w:tblPr>
        <w:tblStyle w:val="14"/>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76"/>
        <w:gridCol w:w="3015"/>
        <w:gridCol w:w="1050"/>
        <w:gridCol w:w="102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1"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序号</w:t>
            </w:r>
          </w:p>
        </w:tc>
        <w:tc>
          <w:tcPr>
            <w:tcW w:w="2376"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审查项目</w:t>
            </w:r>
          </w:p>
        </w:tc>
        <w:tc>
          <w:tcPr>
            <w:tcW w:w="3015"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审查标准</w:t>
            </w:r>
          </w:p>
        </w:tc>
        <w:tc>
          <w:tcPr>
            <w:tcW w:w="3014" w:type="dxa"/>
            <w:gridSpan w:val="3"/>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1" w:type="dxa"/>
            <w:vMerge w:val="continue"/>
            <w:vAlign w:val="center"/>
          </w:tcPr>
          <w:p>
            <w:pPr>
              <w:pStyle w:val="4"/>
              <w:adjustRightInd w:val="0"/>
              <w:snapToGrid w:val="0"/>
              <w:spacing w:before="0" w:after="0" w:line="240" w:lineRule="auto"/>
              <w:rPr>
                <w:rFonts w:ascii="仿宋_GB2312" w:hAnsi="仿宋_GB2312" w:eastAsia="仿宋_GB2312" w:cs="仿宋_GB2312"/>
              </w:rPr>
            </w:pPr>
          </w:p>
        </w:tc>
        <w:tc>
          <w:tcPr>
            <w:tcW w:w="2376" w:type="dxa"/>
            <w:vMerge w:val="continue"/>
            <w:vAlign w:val="center"/>
          </w:tcPr>
          <w:p>
            <w:pPr>
              <w:pStyle w:val="4"/>
              <w:adjustRightInd w:val="0"/>
              <w:snapToGrid w:val="0"/>
              <w:spacing w:before="0" w:after="0" w:line="240" w:lineRule="auto"/>
              <w:jc w:val="both"/>
              <w:rPr>
                <w:rFonts w:ascii="仿宋_GB2312" w:hAnsi="仿宋_GB2312" w:eastAsia="仿宋_GB2312" w:cs="仿宋_GB2312"/>
                <w:sz w:val="21"/>
                <w:szCs w:val="21"/>
              </w:rPr>
            </w:pPr>
          </w:p>
        </w:tc>
        <w:tc>
          <w:tcPr>
            <w:tcW w:w="3015" w:type="dxa"/>
            <w:vMerge w:val="continue"/>
            <w:vAlign w:val="center"/>
          </w:tcPr>
          <w:p>
            <w:pPr>
              <w:pStyle w:val="4"/>
              <w:adjustRightInd w:val="0"/>
              <w:snapToGrid w:val="0"/>
              <w:spacing w:before="0" w:after="0" w:line="240" w:lineRule="auto"/>
              <w:jc w:val="both"/>
              <w:rPr>
                <w:rFonts w:ascii="仿宋_GB2312" w:hAnsi="仿宋_GB2312" w:eastAsia="仿宋_GB2312" w:cs="仿宋_GB2312"/>
                <w:sz w:val="21"/>
                <w:szCs w:val="21"/>
              </w:rPr>
            </w:pP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 w:val="20"/>
                <w:szCs w:val="21"/>
              </w:rPr>
              <w:t>1</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投标函</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szCs w:val="21"/>
              </w:rPr>
              <w:t>2</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 w:val="20"/>
                <w:szCs w:val="21"/>
              </w:rPr>
              <w:t>递交投标保证金证明</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3</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开标一览表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4</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服务价格明细表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5</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服务需求响应表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1.按给定格式及填表要求填写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6</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商务条款偏离表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1.按给定格式及填表要求填写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7</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投标人关联单位说明</w:t>
            </w:r>
          </w:p>
        </w:tc>
        <w:tc>
          <w:tcPr>
            <w:tcW w:w="3015"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无投标须知1.5所述情形</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8</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其他符合性证明材料</w:t>
            </w:r>
          </w:p>
        </w:tc>
        <w:tc>
          <w:tcPr>
            <w:tcW w:w="3015"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响应招标文件实质性要求</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1"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9</w:t>
            </w: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投标报价</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2.无投标须知26.2所述情形</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71"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10</w:t>
            </w: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样品或演示（如适用）</w:t>
            </w:r>
          </w:p>
        </w:tc>
        <w:tc>
          <w:tcPr>
            <w:tcW w:w="3015"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符合投标须知表11.3及25.1所述全部要求</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1" w:type="dxa"/>
            <w:vAlign w:val="center"/>
          </w:tcPr>
          <w:p>
            <w:pPr>
              <w:snapToGrid w:val="0"/>
              <w:jc w:val="center"/>
              <w:rPr>
                <w:rFonts w:ascii="仿宋_GB2312" w:hAnsi="仿宋_GB2312" w:eastAsia="仿宋_GB2312" w:cs="仿宋_GB2312"/>
              </w:rPr>
            </w:pP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结论</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sz w:val="21"/>
                <w:szCs w:val="21"/>
              </w:rPr>
            </w:pP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bl>
    <w:p>
      <w:pPr>
        <w:rPr>
          <w:rFonts w:ascii="仿宋_GB2312" w:hAnsi="仿宋_GB2312" w:eastAsia="仿宋_GB2312" w:cs="仿宋_GB2312"/>
        </w:rPr>
      </w:pPr>
      <w:bookmarkStart w:id="120" w:name="_Toc17433_WPSOffice_Level2"/>
      <w:r>
        <w:rPr>
          <w:rFonts w:hint="eastAsia" w:ascii="仿宋_GB2312" w:hAnsi="仿宋_GB2312" w:eastAsia="仿宋_GB2312" w:cs="仿宋_GB2312"/>
        </w:rPr>
        <w:t>注：填表说明：1、每项内容审查合格，在表中填写“√”；不合格填写“×”</w:t>
      </w:r>
    </w:p>
    <w:p>
      <w:pPr>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pStyle w:val="12"/>
        <w:widowControl w:val="0"/>
        <w:snapToGrid w:val="0"/>
        <w:spacing w:before="0" w:beforeAutospacing="0" w:after="0" w:afterAutospacing="0"/>
        <w:ind w:left="5903" w:hanging="5880" w:hangingChars="2800"/>
        <w:rPr>
          <w:rFonts w:ascii="仿宋_GB2312" w:hAnsi="仿宋_GB2312" w:eastAsia="仿宋_GB2312" w:cs="仿宋_GB2312"/>
          <w:b/>
          <w:sz w:val="21"/>
          <w:szCs w:val="21"/>
        </w:rPr>
      </w:pPr>
    </w:p>
    <w:p>
      <w:pPr>
        <w:pStyle w:val="12"/>
        <w:widowControl w:val="0"/>
        <w:snapToGrid w:val="0"/>
        <w:spacing w:before="0" w:beforeAutospacing="0" w:after="0" w:afterAutospacing="0"/>
        <w:ind w:left="5903" w:hanging="5880" w:hangingChars="2800"/>
        <w:rPr>
          <w:rFonts w:ascii="仿宋_GB2312" w:hAnsi="仿宋_GB2312" w:eastAsia="仿宋_GB2312" w:cs="仿宋_GB2312"/>
          <w:b/>
          <w:sz w:val="21"/>
          <w:szCs w:val="21"/>
        </w:rPr>
      </w:pPr>
    </w:p>
    <w:p>
      <w:pPr>
        <w:pStyle w:val="12"/>
        <w:widowControl w:val="0"/>
        <w:snapToGrid w:val="0"/>
        <w:spacing w:before="0" w:beforeAutospacing="0" w:after="0" w:afterAutospacing="0"/>
        <w:ind w:left="5903" w:hanging="5880" w:hangingChars="2800"/>
        <w:rPr>
          <w:rFonts w:ascii="仿宋_GB2312" w:hAnsi="仿宋_GB2312" w:eastAsia="仿宋_GB2312" w:cs="仿宋_GB2312"/>
          <w:b/>
          <w:sz w:val="21"/>
          <w:szCs w:val="21"/>
        </w:rPr>
      </w:pPr>
    </w:p>
    <w:p>
      <w:pPr>
        <w:pStyle w:val="12"/>
        <w:widowControl w:val="0"/>
        <w:snapToGrid w:val="0"/>
        <w:spacing w:before="0" w:beforeAutospacing="0" w:after="0" w:afterAutospacing="0" w:line="480" w:lineRule="auto"/>
        <w:ind w:left="5880" w:hanging="5880" w:hangingChars="280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审查人签字： </w:t>
      </w:r>
    </w:p>
    <w:p>
      <w:pPr>
        <w:pStyle w:val="12"/>
        <w:widowControl w:val="0"/>
        <w:snapToGrid w:val="0"/>
        <w:spacing w:before="0" w:beforeAutospacing="0" w:after="0" w:afterAutospacing="0" w:line="480" w:lineRule="auto"/>
        <w:ind w:left="5880" w:hanging="5880" w:hangingChars="2800"/>
        <w:rPr>
          <w:rFonts w:ascii="仿宋_GB2312" w:hAnsi="仿宋_GB2312" w:eastAsia="仿宋_GB2312" w:cs="仿宋_GB2312"/>
          <w:sz w:val="21"/>
          <w:szCs w:val="21"/>
        </w:rPr>
      </w:pPr>
      <w:r>
        <w:rPr>
          <w:rFonts w:hint="eastAsia" w:ascii="仿宋_GB2312" w:hAnsi="仿宋_GB2312" w:eastAsia="仿宋_GB2312" w:cs="仿宋_GB2312"/>
          <w:sz w:val="21"/>
          <w:szCs w:val="21"/>
        </w:rPr>
        <w:t>日      期：</w:t>
      </w:r>
    </w:p>
    <w:p>
      <w:pPr>
        <w:widowControl/>
        <w:jc w:val="left"/>
        <w:rPr>
          <w:rFonts w:ascii="仿宋_GB2312" w:hAnsi="仿宋_GB2312" w:eastAsia="仿宋_GB2312" w:cs="仿宋_GB2312"/>
          <w:b/>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 w:val="32"/>
          <w:szCs w:val="32"/>
        </w:rPr>
      </w:pPr>
      <w:r>
        <w:rPr>
          <w:rFonts w:hint="eastAsia" w:ascii="仿宋_GB2312" w:hAnsi="仿宋_GB2312" w:eastAsia="仿宋_GB2312" w:cs="仿宋_GB2312"/>
          <w:szCs w:val="28"/>
        </w:rPr>
        <w:t xml:space="preserve">附件3                   </w:t>
      </w:r>
      <w:r>
        <w:rPr>
          <w:rFonts w:hint="eastAsia" w:ascii="仿宋_GB2312" w:hAnsi="仿宋_GB2312" w:eastAsia="仿宋_GB2312" w:cs="仿宋_GB2312"/>
          <w:sz w:val="32"/>
          <w:szCs w:val="32"/>
        </w:rPr>
        <w:t xml:space="preserve"> </w:t>
      </w:r>
      <w:bookmarkEnd w:id="120"/>
    </w:p>
    <w:p>
      <w:pPr>
        <w:spacing w:line="560" w:lineRule="exact"/>
        <w:jc w:val="center"/>
        <w:rPr>
          <w:rFonts w:ascii="方正小标宋简体" w:hAnsi="方正小标宋简体" w:eastAsia="方正小标宋简体" w:cs="方正小标宋简体"/>
          <w:sz w:val="44"/>
          <w:szCs w:val="44"/>
        </w:rPr>
      </w:pPr>
      <w:bookmarkStart w:id="121" w:name="_Toc25922_WPSOffice_Level1"/>
      <w:r>
        <w:rPr>
          <w:rFonts w:hint="eastAsia" w:ascii="方正小标宋简体" w:hAnsi="方正小标宋简体" w:eastAsia="方正小标宋简体" w:cs="方正小标宋简体"/>
          <w:sz w:val="44"/>
          <w:szCs w:val="44"/>
        </w:rPr>
        <w:t>评分细则</w:t>
      </w:r>
    </w:p>
    <w:p>
      <w:pPr>
        <w:spacing w:line="360" w:lineRule="exact"/>
        <w:ind w:firstLine="480" w:firstLineChars="200"/>
        <w:rPr>
          <w:rFonts w:ascii="宋体" w:hAnsi="宋体"/>
          <w:b/>
          <w:sz w:val="24"/>
        </w:rPr>
      </w:pPr>
    </w:p>
    <w:p>
      <w:pPr>
        <w:spacing w:line="360" w:lineRule="exact"/>
        <w:ind w:firstLine="480" w:firstLineChars="200"/>
        <w:rPr>
          <w:rFonts w:ascii="仿宋_GB2312" w:hAnsi="Arial" w:eastAsia="仿宋_GB2312"/>
          <w:sz w:val="24"/>
        </w:rPr>
      </w:pPr>
      <w:r>
        <w:rPr>
          <w:rFonts w:hint="eastAsia" w:ascii="仿宋_GB2312" w:hAnsi="Arial" w:eastAsia="仿宋_GB2312"/>
          <w:sz w:val="24"/>
        </w:rPr>
        <w:t>（1） 评标委员会根据招标文件，在对投标人投标文件综合评审的基础上分包进行评估打分。打分采取百分制，其中商务、技术部分为</w:t>
      </w:r>
      <w:r>
        <w:rPr>
          <w:rFonts w:hint="eastAsia" w:ascii="仿宋_GB2312" w:hAnsi="Arial" w:eastAsia="仿宋_GB2312"/>
          <w:sz w:val="24"/>
          <w:lang w:val="en-US" w:eastAsia="zh-CN"/>
        </w:rPr>
        <w:t>9</w:t>
      </w:r>
      <w:r>
        <w:rPr>
          <w:rFonts w:hint="eastAsia" w:ascii="仿宋_GB2312" w:hAnsi="Arial" w:eastAsia="仿宋_GB2312"/>
          <w:sz w:val="24"/>
        </w:rPr>
        <w:t>0分，报价</w:t>
      </w:r>
      <w:r>
        <w:rPr>
          <w:rFonts w:hint="eastAsia" w:ascii="仿宋_GB2312" w:hAnsi="Arial" w:eastAsia="仿宋_GB2312"/>
          <w:sz w:val="24"/>
          <w:lang w:val="en-US" w:eastAsia="zh-CN"/>
        </w:rPr>
        <w:t>10</w:t>
      </w:r>
      <w:r>
        <w:rPr>
          <w:rFonts w:hint="eastAsia" w:ascii="仿宋_GB2312" w:hAnsi="Arial" w:eastAsia="仿宋_GB2312"/>
          <w:sz w:val="24"/>
        </w:rPr>
        <w:t>分。</w:t>
      </w:r>
    </w:p>
    <w:p>
      <w:pPr>
        <w:spacing w:line="360" w:lineRule="exact"/>
        <w:ind w:firstLine="480" w:firstLineChars="200"/>
        <w:rPr>
          <w:rFonts w:ascii="仿宋_GB2312" w:hAnsi="Arial" w:eastAsia="仿宋_GB2312"/>
          <w:sz w:val="24"/>
        </w:rPr>
      </w:pPr>
      <w:r>
        <w:rPr>
          <w:rFonts w:hint="eastAsia" w:ascii="仿宋_GB2312" w:hAnsi="Arial" w:eastAsia="仿宋_GB2312"/>
          <w:sz w:val="24"/>
        </w:rPr>
        <w:t>（2） 评分项目、分值及评分办法如下：</w:t>
      </w:r>
    </w:p>
    <w:p>
      <w:pPr>
        <w:spacing w:line="360" w:lineRule="exact"/>
        <w:ind w:firstLine="470" w:firstLineChars="196"/>
        <w:rPr>
          <w:rFonts w:ascii="宋体" w:hAnsi="宋体"/>
          <w:b/>
          <w:sz w:val="24"/>
        </w:rPr>
      </w:pPr>
      <w:r>
        <w:rPr>
          <w:rFonts w:hint="eastAsia" w:ascii="宋体" w:hAnsi="宋体"/>
          <w:b/>
          <w:sz w:val="24"/>
          <w:lang w:val="en-US" w:eastAsia="zh-CN"/>
        </w:rPr>
        <w:t>1.</w:t>
      </w:r>
      <w:r>
        <w:rPr>
          <w:rFonts w:hint="eastAsia" w:ascii="宋体" w:hAnsi="宋体"/>
          <w:b/>
          <w:sz w:val="24"/>
        </w:rPr>
        <w:t>商务、技术部分（</w:t>
      </w:r>
      <w:r>
        <w:rPr>
          <w:rFonts w:hint="eastAsia" w:ascii="宋体" w:hAnsi="宋体"/>
          <w:b/>
          <w:sz w:val="24"/>
          <w:lang w:val="en-US" w:eastAsia="zh-CN"/>
        </w:rPr>
        <w:t>90</w:t>
      </w:r>
      <w:r>
        <w:rPr>
          <w:rFonts w:hint="eastAsia" w:ascii="宋体" w:hAnsi="宋体"/>
          <w:b/>
          <w:sz w:val="24"/>
        </w:rPr>
        <w:t>分）</w:t>
      </w:r>
    </w:p>
    <w:tbl>
      <w:tblPr>
        <w:tblStyle w:val="14"/>
        <w:tblpPr w:leftFromText="180" w:rightFromText="180" w:vertAnchor="text" w:horzAnchor="page" w:tblpX="1464" w:tblpY="21"/>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8"/>
        <w:gridCol w:w="2247"/>
        <w:gridCol w:w="49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8" w:hRule="atLeast"/>
        </w:trPr>
        <w:tc>
          <w:tcPr>
            <w:tcW w:w="1362" w:type="dxa"/>
          </w:tcPr>
          <w:p>
            <w:pPr>
              <w:rPr>
                <w:rFonts w:hint="eastAsia"/>
                <w:lang w:eastAsia="zh-CN"/>
              </w:rPr>
            </w:pPr>
            <w:r>
              <w:rPr>
                <w:rFonts w:hint="eastAsia"/>
                <w:lang w:eastAsia="zh-CN"/>
              </w:rPr>
              <w:t>评审</w:t>
            </w:r>
          </w:p>
          <w:p>
            <w:pPr>
              <w:rPr>
                <w:rFonts w:hint="eastAsia"/>
                <w:lang w:eastAsia="zh-CN"/>
              </w:rPr>
            </w:pPr>
            <w:r>
              <w:rPr>
                <w:rFonts w:hint="eastAsia"/>
                <w:lang w:eastAsia="zh-CN"/>
              </w:rPr>
              <w:t>因素</w:t>
            </w:r>
          </w:p>
        </w:tc>
        <w:tc>
          <w:tcPr>
            <w:tcW w:w="7370" w:type="dxa"/>
            <w:gridSpan w:val="2"/>
          </w:tcPr>
          <w:p>
            <w:pPr>
              <w:jc w:val="center"/>
              <w:rPr>
                <w:rFonts w:hint="eastAsia"/>
                <w:lang w:eastAsia="zh-CN"/>
              </w:rPr>
            </w:pPr>
            <w:r>
              <w:rPr>
                <w:rFonts w:hint="eastAsia"/>
                <w:lang w:eastAsia="zh-CN"/>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restart"/>
            <w:vAlign w:val="center"/>
          </w:tcPr>
          <w:p>
            <w:pPr>
              <w:ind w:left="0" w:leftChars="0" w:firstLine="0" w:firstLineChars="0"/>
              <w:jc w:val="both"/>
              <w:rPr>
                <w:rFonts w:hint="eastAsia"/>
                <w:lang w:eastAsia="zh-CN"/>
              </w:rPr>
            </w:pPr>
            <w:r>
              <w:rPr>
                <w:rFonts w:hint="eastAsia"/>
                <w:lang w:eastAsia="zh-CN"/>
              </w:rPr>
              <w:t>技术部分（40分）</w:t>
            </w:r>
          </w:p>
        </w:tc>
        <w:tc>
          <w:tcPr>
            <w:tcW w:w="2303" w:type="dxa"/>
            <w:vAlign w:val="center"/>
          </w:tcPr>
          <w:p>
            <w:pPr>
              <w:ind w:left="0" w:leftChars="0" w:firstLine="0" w:firstLineChars="0"/>
              <w:jc w:val="center"/>
              <w:rPr>
                <w:rFonts w:hint="eastAsia"/>
                <w:lang w:eastAsia="zh-CN"/>
              </w:rPr>
            </w:pPr>
          </w:p>
          <w:p>
            <w:pPr>
              <w:ind w:left="0" w:leftChars="0" w:firstLine="0" w:firstLineChars="0"/>
              <w:jc w:val="center"/>
              <w:rPr>
                <w:rFonts w:hint="eastAsia"/>
                <w:lang w:eastAsia="zh-CN"/>
              </w:rPr>
            </w:pPr>
          </w:p>
          <w:p>
            <w:pPr>
              <w:ind w:left="0" w:leftChars="0" w:firstLine="0" w:firstLineChars="0"/>
              <w:jc w:val="center"/>
              <w:rPr>
                <w:rFonts w:hint="eastAsia"/>
                <w:lang w:eastAsia="zh-CN"/>
              </w:rPr>
            </w:pPr>
            <w:r>
              <w:rPr>
                <w:rFonts w:hint="eastAsia"/>
                <w:lang w:eastAsia="zh-CN"/>
              </w:rPr>
              <w:t>项目实施方案</w:t>
            </w:r>
            <w:r>
              <w:rPr>
                <w:rFonts w:hint="eastAsia"/>
                <w:lang w:val="en-US" w:eastAsia="zh-CN"/>
              </w:rPr>
              <w:t xml:space="preserve">   </w:t>
            </w:r>
            <w:r>
              <w:rPr>
                <w:rFonts w:hint="eastAsia"/>
                <w:lang w:eastAsia="zh-CN"/>
              </w:rPr>
              <w:t>(</w:t>
            </w:r>
            <w:r>
              <w:rPr>
                <w:rFonts w:hint="eastAsia"/>
                <w:lang w:val="en-US" w:eastAsia="zh-CN"/>
              </w:rPr>
              <w:t>20</w:t>
            </w:r>
            <w:r>
              <w:rPr>
                <w:rFonts w:hint="eastAsia"/>
                <w:lang w:eastAsia="zh-CN"/>
              </w:rPr>
              <w:t>分)</w:t>
            </w:r>
            <w:r>
              <w:rPr>
                <w:rFonts w:hint="eastAsia"/>
                <w:lang w:eastAsia="zh-CN"/>
              </w:rPr>
              <w:br w:type="textWrapping"/>
            </w:r>
          </w:p>
        </w:tc>
        <w:tc>
          <w:tcPr>
            <w:tcW w:w="5067" w:type="dxa"/>
          </w:tcPr>
          <w:p>
            <w:pPr>
              <w:rPr>
                <w:rFonts w:hint="eastAsia"/>
                <w:lang w:eastAsia="zh-CN"/>
              </w:rPr>
            </w:pPr>
            <w:r>
              <w:rPr>
                <w:rFonts w:hint="eastAsia"/>
                <w:lang w:eastAsia="zh-CN"/>
              </w:rPr>
              <w:t>①食材配送方案(</w:t>
            </w:r>
            <w:r>
              <w:rPr>
                <w:rFonts w:hint="eastAsia"/>
                <w:lang w:val="en-US" w:eastAsia="zh-CN"/>
              </w:rPr>
              <w:t>10</w:t>
            </w:r>
            <w:r>
              <w:rPr>
                <w:rFonts w:hint="eastAsia"/>
                <w:lang w:eastAsia="zh-CN"/>
              </w:rPr>
              <w:t>分)</w:t>
            </w:r>
            <w:r>
              <w:rPr>
                <w:rFonts w:hint="eastAsia"/>
                <w:lang w:eastAsia="zh-CN"/>
              </w:rPr>
              <w:br w:type="textWrapping"/>
            </w:r>
            <w:r>
              <w:rPr>
                <w:rFonts w:hint="eastAsia"/>
                <w:lang w:eastAsia="zh-CN"/>
              </w:rPr>
              <w:t>由评标委员会根据投标人的供货区做的食材配送方案等内容集体讨论，确定各投标人所属档次，再独立打分。</w:t>
            </w:r>
            <w:r>
              <w:rPr>
                <w:rFonts w:hint="eastAsia"/>
                <w:lang w:eastAsia="zh-CN"/>
              </w:rPr>
              <w:br w:type="textWrapping"/>
            </w:r>
            <w:r>
              <w:rPr>
                <w:rFonts w:hint="eastAsia"/>
                <w:lang w:eastAsia="zh-CN"/>
              </w:rPr>
              <w:t>一档(0.1-</w:t>
            </w:r>
            <w:r>
              <w:rPr>
                <w:rFonts w:hint="eastAsia"/>
                <w:lang w:val="en-US" w:eastAsia="zh-CN"/>
              </w:rPr>
              <w:t>3</w:t>
            </w:r>
            <w:r>
              <w:rPr>
                <w:rFonts w:hint="eastAsia"/>
                <w:lang w:eastAsia="zh-CN"/>
              </w:rPr>
              <w:t>分)食材配送方案考虑欠缺，针对性和可行性差；</w:t>
            </w:r>
          </w:p>
          <w:p>
            <w:pPr>
              <w:ind w:left="0" w:leftChars="0" w:firstLine="0" w:firstLineChars="0"/>
              <w:rPr>
                <w:rFonts w:hint="eastAsia"/>
                <w:lang w:eastAsia="zh-CN"/>
              </w:rPr>
            </w:pPr>
            <w:r>
              <w:rPr>
                <w:rFonts w:hint="eastAsia"/>
                <w:lang w:eastAsia="zh-CN"/>
              </w:rPr>
              <w:t>二档(</w:t>
            </w:r>
            <w:r>
              <w:rPr>
                <w:rFonts w:hint="eastAsia"/>
                <w:lang w:val="en-US" w:eastAsia="zh-CN"/>
              </w:rPr>
              <w:t>3</w:t>
            </w:r>
            <w:r>
              <w:rPr>
                <w:rFonts w:hint="eastAsia"/>
                <w:lang w:eastAsia="zh-CN"/>
              </w:rPr>
              <w:t>.1-</w:t>
            </w:r>
            <w:r>
              <w:rPr>
                <w:rFonts w:hint="eastAsia"/>
                <w:lang w:val="en-US" w:eastAsia="zh-CN"/>
              </w:rPr>
              <w:t>6</w:t>
            </w:r>
            <w:r>
              <w:rPr>
                <w:rFonts w:hint="eastAsia"/>
                <w:lang w:eastAsia="zh-CN"/>
              </w:rPr>
              <w:t>分)食材配送方案具有针对性和可行性，考虑一般，针对性和可行性一般；</w:t>
            </w:r>
            <w:r>
              <w:rPr>
                <w:rFonts w:hint="eastAsia"/>
                <w:lang w:eastAsia="zh-CN"/>
              </w:rPr>
              <w:br w:type="textWrapping"/>
            </w:r>
            <w:r>
              <w:rPr>
                <w:rFonts w:hint="eastAsia"/>
                <w:lang w:eastAsia="zh-CN"/>
              </w:rPr>
              <w:t>三档(</w:t>
            </w:r>
            <w:r>
              <w:rPr>
                <w:rFonts w:hint="eastAsia"/>
                <w:lang w:val="en-US" w:eastAsia="zh-CN"/>
              </w:rPr>
              <w:t>6</w:t>
            </w:r>
            <w:r>
              <w:rPr>
                <w:rFonts w:hint="eastAsia"/>
                <w:lang w:eastAsia="zh-CN"/>
              </w:rPr>
              <w:t>.1-</w:t>
            </w:r>
            <w:r>
              <w:rPr>
                <w:rFonts w:hint="eastAsia"/>
                <w:lang w:val="en-US" w:eastAsia="zh-CN"/>
              </w:rPr>
              <w:t>10</w:t>
            </w:r>
            <w:r>
              <w:rPr>
                <w:rFonts w:hint="eastAsia"/>
                <w:lang w:eastAsia="zh-CN"/>
              </w:rPr>
              <w:t>分)食材配送方案切合招标人单位特点，符合招标人需求，考虑全面，具有很强针对性和可行性。</w:t>
            </w:r>
            <w:r>
              <w:rPr>
                <w:rFonts w:hint="eastAsia"/>
                <w:lang w:eastAsia="zh-CN"/>
              </w:rPr>
              <w:br w:type="textWrapping"/>
            </w:r>
            <w:r>
              <w:rPr>
                <w:rFonts w:hint="eastAsia"/>
                <w:lang w:eastAsia="zh-CN"/>
              </w:rPr>
              <w:t>②配送食材安全、质量保障机制以及问题货品的处理方案(</w:t>
            </w:r>
            <w:r>
              <w:rPr>
                <w:rFonts w:hint="eastAsia"/>
                <w:lang w:val="en-US" w:eastAsia="zh-CN"/>
              </w:rPr>
              <w:t>10</w:t>
            </w:r>
            <w:r>
              <w:rPr>
                <w:rFonts w:hint="eastAsia"/>
                <w:lang w:eastAsia="zh-CN"/>
              </w:rPr>
              <w:t>分)由评委会根据投标人的项目实施方案等内容集体讨论，确定各投标人所档次，再独立打分。</w:t>
            </w:r>
            <w:r>
              <w:rPr>
                <w:rFonts w:hint="eastAsia"/>
                <w:lang w:eastAsia="zh-CN"/>
              </w:rPr>
              <w:br w:type="textWrapping"/>
            </w:r>
            <w:r>
              <w:rPr>
                <w:rFonts w:hint="eastAsia"/>
                <w:lang w:eastAsia="zh-CN"/>
              </w:rPr>
              <w:t>一档(0.1-</w:t>
            </w:r>
            <w:r>
              <w:rPr>
                <w:rFonts w:hint="eastAsia"/>
                <w:lang w:val="en-US" w:eastAsia="zh-CN"/>
              </w:rPr>
              <w:t>3</w:t>
            </w:r>
            <w:r>
              <w:rPr>
                <w:rFonts w:hint="eastAsia"/>
                <w:lang w:eastAsia="zh-CN"/>
              </w:rPr>
              <w:t>分)配送食材安全、质量保障机制以及问题货品的处理方案一股，基本满足要求，描述简单，具体实施步骤和要求描述较简单。</w:t>
            </w:r>
            <w:r>
              <w:rPr>
                <w:rFonts w:hint="eastAsia"/>
                <w:lang w:eastAsia="zh-CN"/>
              </w:rPr>
              <w:br w:type="textWrapping"/>
            </w:r>
            <w:r>
              <w:rPr>
                <w:rFonts w:hint="eastAsia"/>
                <w:lang w:eastAsia="zh-CN"/>
              </w:rPr>
              <w:t xml:space="preserve"> 二档(</w:t>
            </w:r>
            <w:r>
              <w:rPr>
                <w:rFonts w:hint="eastAsia"/>
                <w:lang w:val="en-US" w:eastAsia="zh-CN"/>
              </w:rPr>
              <w:t>3</w:t>
            </w:r>
            <w:r>
              <w:rPr>
                <w:rFonts w:hint="eastAsia"/>
                <w:lang w:eastAsia="zh-CN"/>
              </w:rPr>
              <w:t>.1-</w:t>
            </w:r>
            <w:r>
              <w:rPr>
                <w:rFonts w:hint="eastAsia"/>
                <w:lang w:val="en-US" w:eastAsia="zh-CN"/>
              </w:rPr>
              <w:t>6</w:t>
            </w:r>
            <w:r>
              <w:rPr>
                <w:rFonts w:hint="eastAsia"/>
                <w:lang w:eastAsia="zh-CN"/>
              </w:rPr>
              <w:t>分)配送食材安全、质量保障机制以及问题货品的处理方案良好，符合要求、描述较详细，具体实施步骤和要求描述比较详细；三档(</w:t>
            </w:r>
            <w:r>
              <w:rPr>
                <w:rFonts w:hint="eastAsia"/>
                <w:lang w:val="en-US" w:eastAsia="zh-CN"/>
              </w:rPr>
              <w:t>6</w:t>
            </w:r>
            <w:r>
              <w:rPr>
                <w:rFonts w:hint="eastAsia"/>
                <w:lang w:eastAsia="zh-CN"/>
              </w:rPr>
              <w:t>.1-</w:t>
            </w:r>
            <w:r>
              <w:rPr>
                <w:rFonts w:hint="eastAsia"/>
                <w:lang w:val="en-US" w:eastAsia="zh-CN"/>
              </w:rPr>
              <w:t>10</w:t>
            </w:r>
            <w:r>
              <w:rPr>
                <w:rFonts w:hint="eastAsia"/>
                <w:lang w:eastAsia="zh-CN"/>
              </w:rPr>
              <w:t>分)配送食材安全、质量保障机制以及问题货品的处理方案优秀，符合要求、描述细致，具体实施步骤和要求描述全面，可行性强。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管理制度(</w:t>
            </w:r>
            <w:r>
              <w:rPr>
                <w:rFonts w:hint="eastAsia"/>
                <w:lang w:val="en-US" w:eastAsia="zh-CN"/>
              </w:rPr>
              <w:t>10</w:t>
            </w:r>
            <w:r>
              <w:rPr>
                <w:rFonts w:hint="eastAsia"/>
                <w:lang w:eastAsia="zh-CN"/>
              </w:rPr>
              <w:t>分)</w:t>
            </w:r>
          </w:p>
        </w:tc>
        <w:tc>
          <w:tcPr>
            <w:tcW w:w="5067" w:type="dxa"/>
          </w:tcPr>
          <w:p>
            <w:pPr>
              <w:rPr>
                <w:rFonts w:hint="eastAsia"/>
                <w:lang w:eastAsia="zh-CN"/>
              </w:rPr>
            </w:pPr>
            <w:r>
              <w:rPr>
                <w:rFonts w:hint="eastAsia"/>
                <w:lang w:eastAsia="zh-CN"/>
              </w:rPr>
              <w:t>根据投标人提供的各项管理制度，包括但不限于采购管理、仓储管理、配送管理等制度的完善性、可行性、实用性等方面由评委会根据投标人的管理制度等内容集体讨论，确定各投标人所属档次，再独立打分。</w:t>
            </w:r>
            <w:r>
              <w:rPr>
                <w:rFonts w:hint="eastAsia"/>
                <w:lang w:eastAsia="zh-CN"/>
              </w:rPr>
              <w:br w:type="textWrapping"/>
            </w:r>
            <w:r>
              <w:rPr>
                <w:rFonts w:hint="eastAsia"/>
                <w:lang w:eastAsia="zh-CN"/>
              </w:rPr>
              <w:t>一档(0.1-3分)：经评审小组综合比较评定，管理制度方案一般；</w:t>
            </w:r>
          </w:p>
          <w:p>
            <w:pPr>
              <w:ind w:left="0" w:leftChars="0" w:firstLine="0" w:firstLineChars="0"/>
              <w:rPr>
                <w:rFonts w:hint="eastAsia"/>
                <w:lang w:eastAsia="zh-CN"/>
              </w:rPr>
            </w:pPr>
            <w:r>
              <w:rPr>
                <w:rFonts w:hint="eastAsia"/>
                <w:lang w:eastAsia="zh-CN"/>
              </w:rPr>
              <w:t>二档(3.1-6分)：经评审小组综合比较评定，管理制度方案良好；</w:t>
            </w:r>
          </w:p>
          <w:p>
            <w:pPr>
              <w:ind w:left="0" w:leftChars="0" w:firstLine="0" w:firstLineChars="0"/>
              <w:rPr>
                <w:rFonts w:hint="eastAsia"/>
                <w:lang w:eastAsia="zh-CN"/>
              </w:rPr>
            </w:pPr>
            <w:r>
              <w:rPr>
                <w:rFonts w:hint="eastAsia"/>
                <w:lang w:eastAsia="zh-CN"/>
              </w:rPr>
              <w:t>三档(6.1-10分)：经评审小组综合比较评定，管理制度方案优秀。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食品安全检测能力及措施(</w:t>
            </w:r>
            <w:r>
              <w:rPr>
                <w:rFonts w:hint="eastAsia"/>
                <w:lang w:val="en-US" w:eastAsia="zh-CN"/>
              </w:rPr>
              <w:t>10</w:t>
            </w:r>
            <w:r>
              <w:rPr>
                <w:rFonts w:hint="eastAsia"/>
                <w:lang w:eastAsia="zh-CN"/>
              </w:rPr>
              <w:t>分)</w:t>
            </w:r>
            <w:r>
              <w:rPr>
                <w:rFonts w:hint="eastAsia"/>
                <w:lang w:eastAsia="zh-CN"/>
              </w:rPr>
              <w:br w:type="textWrapping"/>
            </w:r>
          </w:p>
        </w:tc>
        <w:tc>
          <w:tcPr>
            <w:tcW w:w="5067" w:type="dxa"/>
            <w:vAlign w:val="top"/>
          </w:tcPr>
          <w:p>
            <w:pPr>
              <w:ind w:left="0" w:leftChars="0" w:firstLine="0" w:firstLineChars="0"/>
              <w:rPr>
                <w:rFonts w:hint="eastAsia"/>
                <w:lang w:eastAsia="zh-CN"/>
              </w:rPr>
            </w:pPr>
            <w:r>
              <w:rPr>
                <w:rFonts w:hint="eastAsia"/>
                <w:lang w:eastAsia="zh-CN"/>
              </w:rPr>
              <w:t>(一)配送企业食品安全检测能力要求(</w:t>
            </w:r>
            <w:r>
              <w:rPr>
                <w:rFonts w:hint="eastAsia"/>
                <w:lang w:val="en-US" w:eastAsia="zh-CN"/>
              </w:rPr>
              <w:t>6</w:t>
            </w:r>
            <w:r>
              <w:rPr>
                <w:rFonts w:hint="eastAsia"/>
                <w:lang w:eastAsia="zh-CN"/>
              </w:rPr>
              <w:t>分)</w:t>
            </w:r>
            <w:r>
              <w:rPr>
                <w:rFonts w:hint="eastAsia"/>
                <w:lang w:eastAsia="zh-CN"/>
              </w:rPr>
              <w:br w:type="textWrapping"/>
            </w:r>
            <w:r>
              <w:rPr>
                <w:rFonts w:hint="eastAsia"/>
                <w:lang w:eastAsia="zh-CN"/>
              </w:rPr>
              <w:t>(1)配送企业设有标准化食品检测室并配备食品安全检测设备设施及试剂，能按要求对供应的生鲜肉类、蔬菜等食材食品关键性安全指标进行快速检测的得</w:t>
            </w:r>
            <w:r>
              <w:rPr>
                <w:rFonts w:hint="eastAsia"/>
                <w:lang w:val="en-US" w:eastAsia="zh-CN"/>
              </w:rPr>
              <w:t>3</w:t>
            </w:r>
            <w:r>
              <w:rPr>
                <w:rFonts w:hint="eastAsia"/>
                <w:lang w:eastAsia="zh-CN"/>
              </w:rPr>
              <w:t>分；</w:t>
            </w:r>
          </w:p>
          <w:p>
            <w:pPr>
              <w:ind w:left="0" w:leftChars="0" w:firstLine="0" w:firstLineChars="0"/>
              <w:rPr>
                <w:rFonts w:hint="eastAsia"/>
                <w:lang w:eastAsia="zh-CN"/>
              </w:rPr>
            </w:pPr>
            <w:r>
              <w:rPr>
                <w:rFonts w:hint="eastAsia"/>
                <w:lang w:eastAsia="zh-CN"/>
              </w:rPr>
              <w:t>(2)配送的米、面、油、调味品等预包装食品每年至少两次及以上送检到有资质的第三方检测机构并出具有产品检测合格报告的得</w:t>
            </w:r>
            <w:r>
              <w:rPr>
                <w:rFonts w:hint="eastAsia"/>
                <w:lang w:val="en-US" w:eastAsia="zh-CN"/>
              </w:rPr>
              <w:t>3</w:t>
            </w:r>
            <w:r>
              <w:rPr>
                <w:rFonts w:hint="eastAsia"/>
                <w:lang w:eastAsia="zh-CN"/>
              </w:rPr>
              <w:t>分。</w:t>
            </w:r>
            <w:r>
              <w:rPr>
                <w:rFonts w:hint="eastAsia"/>
                <w:lang w:eastAsia="zh-CN"/>
              </w:rPr>
              <w:br w:type="textWrapping"/>
            </w:r>
            <w:r>
              <w:rPr>
                <w:rFonts w:hint="eastAsia"/>
                <w:lang w:eastAsia="zh-CN"/>
              </w:rPr>
              <w:t>(二)能将检测信息即时上传给相关部门(采购方或食药监管部门)的得</w:t>
            </w:r>
            <w:r>
              <w:rPr>
                <w:rFonts w:hint="eastAsia"/>
                <w:lang w:val="en-US" w:eastAsia="zh-CN"/>
              </w:rPr>
              <w:t>2</w:t>
            </w:r>
            <w:r>
              <w:rPr>
                <w:rFonts w:hint="eastAsia"/>
                <w:lang w:eastAsia="zh-CN"/>
              </w:rPr>
              <w:t>分。</w:t>
            </w:r>
            <w:r>
              <w:rPr>
                <w:rFonts w:hint="eastAsia"/>
                <w:lang w:eastAsia="zh-CN"/>
              </w:rPr>
              <w:br w:type="textWrapping"/>
            </w:r>
            <w:r>
              <w:rPr>
                <w:rFonts w:hint="eastAsia"/>
                <w:lang w:eastAsia="zh-CN"/>
              </w:rPr>
              <w:t>(三)配备有兼职检测人员的得</w:t>
            </w:r>
            <w:r>
              <w:rPr>
                <w:rFonts w:hint="eastAsia"/>
                <w:lang w:val="en-US" w:eastAsia="zh-CN"/>
              </w:rPr>
              <w:t>1</w:t>
            </w:r>
            <w:r>
              <w:rPr>
                <w:rFonts w:hint="eastAsia"/>
                <w:lang w:eastAsia="zh-CN"/>
              </w:rPr>
              <w:t>分，有专职检测人员的得</w:t>
            </w:r>
            <w:r>
              <w:rPr>
                <w:rFonts w:hint="eastAsia"/>
                <w:lang w:val="en-US" w:eastAsia="zh-CN"/>
              </w:rPr>
              <w:t>2</w:t>
            </w:r>
            <w:r>
              <w:rPr>
                <w:rFonts w:hint="eastAsia"/>
                <w:lang w:eastAsia="zh-CN"/>
              </w:rPr>
              <w:t>分(提供质检员相关资质证明材料)。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restart"/>
            <w:vAlign w:val="center"/>
          </w:tcPr>
          <w:p>
            <w:pPr>
              <w:ind w:left="0" w:leftChars="0" w:firstLine="0" w:firstLineChars="0"/>
              <w:jc w:val="center"/>
              <w:rPr>
                <w:rFonts w:hint="eastAsia"/>
                <w:lang w:eastAsia="zh-CN"/>
              </w:rPr>
            </w:pPr>
            <w:r>
              <w:rPr>
                <w:rFonts w:hint="eastAsia"/>
                <w:lang w:eastAsia="zh-CN"/>
              </w:rPr>
              <w:t>商务部分（50分）</w:t>
            </w:r>
          </w:p>
        </w:tc>
        <w:tc>
          <w:tcPr>
            <w:tcW w:w="2303" w:type="dxa"/>
            <w:vAlign w:val="center"/>
          </w:tcPr>
          <w:p>
            <w:pPr>
              <w:ind w:left="0" w:leftChars="0" w:firstLine="0" w:firstLineChars="0"/>
              <w:jc w:val="center"/>
              <w:rPr>
                <w:rFonts w:hint="eastAsia"/>
                <w:lang w:eastAsia="zh-CN"/>
              </w:rPr>
            </w:pPr>
            <w:r>
              <w:rPr>
                <w:rFonts w:hint="eastAsia"/>
                <w:lang w:eastAsia="zh-CN"/>
              </w:rPr>
              <w:t>投标人食品仓储能力(10分)</w:t>
            </w:r>
          </w:p>
        </w:tc>
        <w:tc>
          <w:tcPr>
            <w:tcW w:w="5067" w:type="dxa"/>
          </w:tcPr>
          <w:p>
            <w:pPr>
              <w:ind w:left="0" w:leftChars="0" w:firstLine="0" w:firstLineChars="0"/>
              <w:rPr>
                <w:rFonts w:hint="eastAsia"/>
                <w:lang w:eastAsia="zh-CN"/>
              </w:rPr>
            </w:pPr>
            <w:r>
              <w:rPr>
                <w:rFonts w:hint="eastAsia"/>
                <w:lang w:eastAsia="zh-CN"/>
              </w:rPr>
              <w:t>(一)0&lt;㎡食品仓库面积&lt;100㎡的得2分；</w:t>
            </w:r>
            <w:r>
              <w:rPr>
                <w:rFonts w:hint="eastAsia"/>
                <w:lang w:eastAsia="zh-CN"/>
              </w:rPr>
              <w:br w:type="textWrapping"/>
            </w:r>
            <w:r>
              <w:rPr>
                <w:rFonts w:hint="eastAsia"/>
                <w:lang w:eastAsia="zh-CN"/>
              </w:rPr>
              <w:t>(二)100㎡食品仓库面积&lt;500㎡的得4分；</w:t>
            </w:r>
            <w:r>
              <w:rPr>
                <w:rFonts w:hint="eastAsia"/>
                <w:lang w:eastAsia="zh-CN"/>
              </w:rPr>
              <w:br w:type="textWrapping"/>
            </w:r>
            <w:r>
              <w:rPr>
                <w:rFonts w:hint="eastAsia"/>
                <w:lang w:eastAsia="zh-CN"/>
              </w:rPr>
              <w:t>(三)500㎡食品仓库面积&lt;1500㎡的得6分；</w:t>
            </w:r>
            <w:r>
              <w:rPr>
                <w:rFonts w:hint="eastAsia"/>
                <w:lang w:eastAsia="zh-CN"/>
              </w:rPr>
              <w:br w:type="textWrapping"/>
            </w:r>
            <w:r>
              <w:rPr>
                <w:rFonts w:hint="eastAsia"/>
                <w:lang w:eastAsia="zh-CN"/>
              </w:rPr>
              <w:t>(四) 1500㎡食品仓库面积&lt;2000㎡的得8分；</w:t>
            </w:r>
            <w:r>
              <w:rPr>
                <w:rFonts w:hint="eastAsia"/>
                <w:lang w:eastAsia="zh-CN"/>
              </w:rPr>
              <w:br w:type="textWrapping"/>
            </w:r>
            <w:r>
              <w:rPr>
                <w:rFonts w:hint="eastAsia"/>
                <w:lang w:eastAsia="zh-CN"/>
              </w:rPr>
              <w:t>(五)200</w:t>
            </w:r>
            <w:r>
              <w:rPr>
                <w:rFonts w:hint="eastAsia"/>
                <w:lang w:val="en-US" w:eastAsia="zh-CN"/>
              </w:rPr>
              <w:t>0</w:t>
            </w:r>
            <w:r>
              <w:rPr>
                <w:rFonts w:hint="eastAsia"/>
                <w:lang w:eastAsia="zh-CN"/>
              </w:rPr>
              <w:t>㎡食品仓库面积得10分。</w:t>
            </w:r>
            <w:r>
              <w:rPr>
                <w:rFonts w:hint="eastAsia"/>
                <w:lang w:eastAsia="zh-CN"/>
              </w:rPr>
              <w:br w:type="textWrapping"/>
            </w:r>
            <w:r>
              <w:rPr>
                <w:rFonts w:hint="eastAsia"/>
                <w:lang w:eastAsia="zh-CN"/>
              </w:rPr>
              <w:t>注：食品仓库必须是食品专用仓库，不能与其他非食品物品共同使用.投标文件须有效的仓库租赁证明材料(如租赁合同复印件、仓库图片等，加盖投标人公章，原件备查)，不提供或不符合要求的该项不得分。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同类项目经验</w:t>
            </w:r>
          </w:p>
          <w:p>
            <w:pPr>
              <w:ind w:left="0" w:leftChars="0" w:firstLine="0" w:firstLineChars="0"/>
              <w:jc w:val="center"/>
              <w:rPr>
                <w:rFonts w:hint="eastAsia"/>
                <w:lang w:eastAsia="zh-CN"/>
              </w:rPr>
            </w:pPr>
            <w:r>
              <w:rPr>
                <w:rFonts w:hint="eastAsia"/>
                <w:lang w:eastAsia="zh-CN"/>
              </w:rPr>
              <w:t>(10.0分)</w:t>
            </w:r>
          </w:p>
        </w:tc>
        <w:tc>
          <w:tcPr>
            <w:tcW w:w="5067" w:type="dxa"/>
          </w:tcPr>
          <w:p>
            <w:pPr>
              <w:rPr>
                <w:rFonts w:hint="eastAsia"/>
                <w:lang w:eastAsia="zh-CN"/>
              </w:rPr>
            </w:pPr>
            <w:r>
              <w:rPr>
                <w:rFonts w:hint="eastAsia"/>
                <w:lang w:eastAsia="zh-CN"/>
              </w:rPr>
              <w:t>(1)投标人通过 I509001质量保证体系认证的得2分；</w:t>
            </w:r>
            <w:r>
              <w:rPr>
                <w:rFonts w:hint="eastAsia"/>
                <w:lang w:eastAsia="zh-CN"/>
              </w:rPr>
              <w:br w:type="textWrapping"/>
            </w:r>
            <w:r>
              <w:rPr>
                <w:rFonts w:hint="eastAsia"/>
                <w:lang w:eastAsia="zh-CN"/>
              </w:rPr>
              <w:t>(2)投标人通过 ISO22000质量保证体系认证的得2分；</w:t>
            </w:r>
            <w:r>
              <w:rPr>
                <w:rFonts w:hint="eastAsia"/>
                <w:lang w:eastAsia="zh-CN"/>
              </w:rPr>
              <w:br w:type="textWrapping"/>
            </w:r>
            <w:r>
              <w:rPr>
                <w:rFonts w:hint="eastAsia"/>
                <w:lang w:eastAsia="zh-CN"/>
              </w:rPr>
              <w:t>(3)投标人购买不少于200万元保额的食品安全责任险得2分。</w:t>
            </w:r>
            <w:r>
              <w:rPr>
                <w:rFonts w:hint="eastAsia"/>
                <w:lang w:eastAsia="zh-CN"/>
              </w:rPr>
              <w:br w:type="textWrapping"/>
            </w:r>
            <w:r>
              <w:rPr>
                <w:rFonts w:hint="eastAsia"/>
                <w:lang w:eastAsia="zh-CN"/>
              </w:rPr>
              <w:t>注：提供保单复印件并加盖公章，不提供的不得分。</w:t>
            </w:r>
            <w:r>
              <w:rPr>
                <w:rFonts w:hint="eastAsia"/>
                <w:lang w:eastAsia="zh-CN"/>
              </w:rPr>
              <w:br w:type="textWrapping"/>
            </w:r>
            <w:r>
              <w:rPr>
                <w:rFonts w:hint="eastAsia"/>
                <w:lang w:eastAsia="zh-CN"/>
              </w:rPr>
              <w:t>(4)2014年1月1日以来，投标人完成同类项目单项合同金额1000万元以上的，每项得2分。</w:t>
            </w:r>
            <w:r>
              <w:rPr>
                <w:rFonts w:hint="eastAsia"/>
                <w:lang w:eastAsia="zh-CN"/>
              </w:rPr>
              <w:br w:type="textWrapping"/>
            </w:r>
            <w:r>
              <w:rPr>
                <w:rFonts w:hint="eastAsia"/>
                <w:lang w:eastAsia="zh-CN"/>
              </w:rPr>
              <w:t>(5)目前至少有三家以上企事业单位配送服务案例的得2分，(提供中标文件或者供货合同证明，否则不得分)</w:t>
            </w:r>
            <w:r>
              <w:rPr>
                <w:rFonts w:hint="eastAsia"/>
                <w:lang w:eastAsia="zh-CN"/>
              </w:rPr>
              <w:br w:type="textWrapping"/>
            </w:r>
            <w:r>
              <w:rPr>
                <w:rFonts w:hint="eastAsia"/>
                <w:lang w:eastAsia="zh-CN"/>
              </w:rPr>
              <w:t xml:space="preserve"> 注：以上要求提供投标人相关证明材料的均须提供复印件并加盖投标人公章，业绩以投标人提供的中标/成交通知书或合同复印件并加盖投标人公章为准，原件备查，不提供的不得分。</w:t>
            </w:r>
            <w:r>
              <w:rPr>
                <w:rFonts w:hint="eastAsia"/>
                <w:lang w:eastAsia="zh-CN"/>
              </w:rPr>
              <w:br w:type="textWrapping"/>
            </w:r>
            <w:r>
              <w:rPr>
                <w:rFonts w:hint="eastAsia"/>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冷库冷藏能力及规模(5分)</w:t>
            </w:r>
          </w:p>
        </w:tc>
        <w:tc>
          <w:tcPr>
            <w:tcW w:w="5067" w:type="dxa"/>
          </w:tcPr>
          <w:p>
            <w:pPr>
              <w:rPr>
                <w:rFonts w:hint="eastAsia"/>
                <w:lang w:eastAsia="zh-CN"/>
              </w:rPr>
            </w:pPr>
            <w:r>
              <w:rPr>
                <w:rFonts w:hint="eastAsia"/>
                <w:lang w:eastAsia="zh-CN"/>
              </w:rPr>
              <w:t>(一)0㎡食品冷库容量&lt;20㎡的得1分；</w:t>
            </w:r>
            <w:r>
              <w:rPr>
                <w:rFonts w:hint="eastAsia"/>
                <w:lang w:eastAsia="zh-CN"/>
              </w:rPr>
              <w:br w:type="textWrapping"/>
            </w:r>
            <w:r>
              <w:rPr>
                <w:rFonts w:hint="eastAsia"/>
                <w:lang w:eastAsia="zh-CN"/>
              </w:rPr>
              <w:t>(二)20㎡食品冷库容量&lt;100 ㎡的得2分；</w:t>
            </w:r>
            <w:r>
              <w:rPr>
                <w:rFonts w:hint="eastAsia"/>
                <w:lang w:eastAsia="zh-CN"/>
              </w:rPr>
              <w:br w:type="textWrapping"/>
            </w:r>
            <w:r>
              <w:rPr>
                <w:rFonts w:hint="eastAsia"/>
                <w:lang w:eastAsia="zh-CN"/>
              </w:rPr>
              <w:t>(三)100㎡食品冷库容量&lt;500 m²的得3分；</w:t>
            </w:r>
            <w:r>
              <w:rPr>
                <w:rFonts w:hint="eastAsia"/>
                <w:lang w:eastAsia="zh-CN"/>
              </w:rPr>
              <w:br w:type="textWrapping"/>
            </w:r>
            <w:r>
              <w:rPr>
                <w:rFonts w:hint="eastAsia"/>
                <w:lang w:eastAsia="zh-CN"/>
              </w:rPr>
              <w:t>(四)500㎡食品冷库容量&lt;1000 ㎡的得4分：</w:t>
            </w:r>
            <w:r>
              <w:rPr>
                <w:rFonts w:hint="eastAsia"/>
                <w:lang w:eastAsia="zh-CN"/>
              </w:rPr>
              <w:br w:type="textWrapping"/>
            </w:r>
            <w:r>
              <w:rPr>
                <w:rFonts w:hint="eastAsia"/>
                <w:lang w:eastAsia="zh-CN"/>
              </w:rPr>
              <w:t>(五)食品冷库容量≥1000㎡的得5分。</w:t>
            </w:r>
            <w:r>
              <w:rPr>
                <w:rFonts w:hint="eastAsia"/>
                <w:lang w:eastAsia="zh-CN"/>
              </w:rPr>
              <w:br w:type="textWrapping"/>
            </w:r>
            <w:r>
              <w:rPr>
                <w:rFonts w:hint="eastAsia"/>
                <w:lang w:eastAsia="zh-CN"/>
              </w:rPr>
              <w:t>注：食品冷库必须是食品专用且独立，不能与其他企业共用，也不能与其他非食品物品共同使用，如是大米、食用油、调味品等不需要冷藏冷冻的食品，此项可以为合理缺项，不参与打分，投标文件须附冷库持有有效证明材料(租赁协议复印件、冷库图片等，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配送能力(5分)</w:t>
            </w:r>
          </w:p>
        </w:tc>
        <w:tc>
          <w:tcPr>
            <w:tcW w:w="5067" w:type="dxa"/>
          </w:tcPr>
          <w:p>
            <w:pPr>
              <w:ind w:left="0" w:leftChars="0" w:firstLine="0" w:firstLineChars="0"/>
              <w:rPr>
                <w:rFonts w:hint="eastAsia"/>
                <w:lang w:eastAsia="zh-CN"/>
              </w:rPr>
            </w:pPr>
            <w:r>
              <w:rPr>
                <w:rFonts w:hint="eastAsia"/>
                <w:lang w:eastAsia="zh-CN"/>
              </w:rPr>
              <w:t>(一)1辆≤配送车辆数量≤4辆的得1分；</w:t>
            </w:r>
            <w:r>
              <w:rPr>
                <w:rFonts w:hint="eastAsia"/>
                <w:lang w:eastAsia="zh-CN"/>
              </w:rPr>
              <w:br w:type="textWrapping"/>
            </w:r>
            <w:r>
              <w:rPr>
                <w:rFonts w:hint="eastAsia"/>
                <w:lang w:eastAsia="zh-CN"/>
              </w:rPr>
              <w:t>(二)5辆≤配送车辆数量≤10辆的2分；</w:t>
            </w:r>
            <w:r>
              <w:rPr>
                <w:rFonts w:hint="eastAsia"/>
                <w:lang w:eastAsia="zh-CN"/>
              </w:rPr>
              <w:br w:type="textWrapping"/>
            </w:r>
            <w:r>
              <w:rPr>
                <w:rFonts w:hint="eastAsia"/>
                <w:lang w:eastAsia="zh-CN"/>
              </w:rPr>
              <w:t>(三)11辆≤配送车辆数量≤20辆的得3分；</w:t>
            </w:r>
            <w:r>
              <w:rPr>
                <w:rFonts w:hint="eastAsia"/>
                <w:lang w:eastAsia="zh-CN"/>
              </w:rPr>
              <w:br w:type="textWrapping"/>
            </w:r>
            <w:r>
              <w:rPr>
                <w:rFonts w:hint="eastAsia"/>
                <w:lang w:eastAsia="zh-CN"/>
              </w:rPr>
              <w:t>(四)配送车辆数量&gt;20的得5分。</w:t>
            </w:r>
            <w:r>
              <w:rPr>
                <w:rFonts w:hint="eastAsia"/>
                <w:lang w:eastAsia="zh-CN"/>
              </w:rPr>
              <w:br w:type="textWrapping"/>
            </w:r>
            <w:r>
              <w:rPr>
                <w:rFonts w:hint="eastAsia"/>
                <w:lang w:eastAsia="zh-CN"/>
              </w:rPr>
              <w:t>注：生鲜冷冻类食品运输必须使用冷藏运输车辆，投标文件须时车辆持有有效证明材料，否则视为该车辆非投标人拟派本项目固定使用车辆，不计入数量计算。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9" w:hRule="atLeast"/>
        </w:trPr>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加工场所(仓库)综合评分(</w:t>
            </w:r>
            <w:r>
              <w:rPr>
                <w:rFonts w:hint="eastAsia"/>
                <w:lang w:val="en-US" w:eastAsia="zh-CN"/>
              </w:rPr>
              <w:t>20</w:t>
            </w:r>
            <w:r>
              <w:rPr>
                <w:rFonts w:hint="eastAsia"/>
                <w:lang w:eastAsia="zh-CN"/>
              </w:rPr>
              <w:t>分)</w:t>
            </w:r>
            <w:r>
              <w:rPr>
                <w:rFonts w:hint="eastAsia"/>
                <w:lang w:eastAsia="zh-CN"/>
              </w:rPr>
              <w:br w:type="textWrapping"/>
            </w:r>
          </w:p>
        </w:tc>
        <w:tc>
          <w:tcPr>
            <w:tcW w:w="5067" w:type="dxa"/>
          </w:tcPr>
          <w:p>
            <w:pPr>
              <w:ind w:left="0" w:leftChars="0" w:firstLine="0" w:firstLineChars="0"/>
              <w:rPr>
                <w:rFonts w:hint="eastAsia"/>
                <w:lang w:eastAsia="zh-CN"/>
              </w:rPr>
            </w:pPr>
            <w:r>
              <w:rPr>
                <w:rFonts w:hint="eastAsia"/>
                <w:lang w:eastAsia="zh-CN"/>
              </w:rPr>
              <w:t>(一)加工场所(仓库)不设在易受到污染的区域，距离粪坑、污水池、暴露垃圾场(站)、早厕等污染源25米，得</w:t>
            </w:r>
            <w:r>
              <w:rPr>
                <w:rFonts w:hint="eastAsia"/>
                <w:lang w:val="en-US" w:eastAsia="zh-CN"/>
              </w:rPr>
              <w:t>2</w:t>
            </w:r>
            <w:r>
              <w:rPr>
                <w:rFonts w:hint="eastAsia"/>
                <w:lang w:eastAsia="zh-CN"/>
              </w:rPr>
              <w:t>分；</w:t>
            </w:r>
            <w:r>
              <w:rPr>
                <w:rFonts w:hint="eastAsia"/>
                <w:lang w:eastAsia="zh-CN"/>
              </w:rPr>
              <w:br w:type="textWrapping"/>
            </w:r>
            <w:r>
              <w:rPr>
                <w:rFonts w:hint="eastAsia"/>
                <w:lang w:eastAsia="zh-CN"/>
              </w:rPr>
              <w:t>(二)食品原料出入口设有高60cm以上不锈钢材质的防鼠板，得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(三)加工场所(仓库)内防绳、防尘、防虫、清洗消毒设施齐全，得</w:t>
            </w:r>
            <w:r>
              <w:rPr>
                <w:rFonts w:hint="eastAsia"/>
                <w:lang w:val="en-US" w:eastAsia="zh-CN"/>
              </w:rPr>
              <w:t>2</w:t>
            </w:r>
            <w:r>
              <w:rPr>
                <w:rFonts w:hint="eastAsia"/>
                <w:lang w:eastAsia="zh-CN"/>
              </w:rPr>
              <w:t>分，一项不齐全或不能正常使用不得分；</w:t>
            </w:r>
            <w:r>
              <w:rPr>
                <w:rFonts w:hint="eastAsia"/>
                <w:lang w:eastAsia="zh-CN"/>
              </w:rPr>
              <w:br w:type="textWrapping"/>
            </w:r>
            <w:r>
              <w:rPr>
                <w:rFonts w:hint="eastAsia"/>
                <w:lang w:eastAsia="zh-CN"/>
              </w:rPr>
              <w:t>(四)加工场所(仓库)内设备布部门合理、干净整洁、通风良好，得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（五）食品货架排列整洁，食品离地离墙10cm存放，得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(六)各区域能有效运用"色标"进行规范管理，得2分；</w:t>
            </w:r>
            <w:r>
              <w:rPr>
                <w:rFonts w:hint="eastAsia"/>
                <w:lang w:eastAsia="zh-CN"/>
              </w:rPr>
              <w:br w:type="textWrapping"/>
            </w:r>
            <w:r>
              <w:rPr>
                <w:rFonts w:hint="eastAsia"/>
                <w:lang w:eastAsia="zh-CN"/>
              </w:rPr>
              <w:t>(七)与食品原料接触的设施设备和工用具干净清洁，得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(八)每一类食品原料做到索证索票(包括营业执照、食品生产(经营)许可证的得</w:t>
            </w:r>
            <w:r>
              <w:rPr>
                <w:rFonts w:hint="eastAsia"/>
                <w:lang w:val="en-US" w:eastAsia="zh-CN"/>
              </w:rPr>
              <w:t>3</w:t>
            </w:r>
            <w:r>
              <w:rPr>
                <w:rFonts w:hint="eastAsia"/>
                <w:lang w:eastAsia="zh-CN"/>
              </w:rPr>
              <w:t>分，能提供厂家半年内第三方检测机构出具的《产品质量检测报告》并有电子台账并将台账资料留存半年以上的得</w:t>
            </w:r>
            <w:r>
              <w:rPr>
                <w:rFonts w:hint="eastAsia"/>
                <w:lang w:val="en-US" w:eastAsia="zh-CN"/>
              </w:rPr>
              <w:t>3</w:t>
            </w:r>
            <w:r>
              <w:rPr>
                <w:rFonts w:hint="eastAsia"/>
                <w:lang w:eastAsia="zh-CN"/>
              </w:rPr>
              <w:t>分；</w:t>
            </w:r>
            <w:r>
              <w:rPr>
                <w:rFonts w:hint="eastAsia"/>
                <w:lang w:eastAsia="zh-CN"/>
              </w:rPr>
              <w:br w:type="textWrapping"/>
            </w:r>
            <w:r>
              <w:rPr>
                <w:rFonts w:hint="eastAsia"/>
                <w:lang w:eastAsia="zh-CN"/>
              </w:rPr>
              <w:t>(九)蔬菜、肉类、米面、调味品、食用油来源清楚，和农村合作社、定点宰场、大型生产基地(工厂)、大型农贸批发市场等签订采购协议的得2分。</w:t>
            </w:r>
          </w:p>
        </w:tc>
      </w:tr>
    </w:tbl>
    <w:p>
      <w:pPr>
        <w:widowControl/>
        <w:shd w:val="clear" w:color="auto" w:fill="FFFFFF"/>
        <w:spacing w:line="240" w:lineRule="exact"/>
        <w:jc w:val="left"/>
        <w:rPr>
          <w:rFonts w:hint="eastAsia" w:ascii="仿宋_GB2312" w:hAnsi="仿宋_GB2312" w:eastAsia="仿宋_GB2312" w:cs="仿宋_GB2312"/>
          <w:kern w:val="0"/>
          <w:szCs w:val="21"/>
          <w:lang w:val="en-US" w:eastAsia="zh-CN"/>
        </w:rPr>
      </w:pPr>
    </w:p>
    <w:p>
      <w:pPr>
        <w:widowControl/>
        <w:shd w:val="clear" w:color="auto" w:fill="FFFFFF"/>
        <w:spacing w:line="240" w:lineRule="exact"/>
        <w:jc w:val="left"/>
        <w:rPr>
          <w:rFonts w:hint="eastAsia" w:ascii="仿宋_GB2312" w:hAnsi="仿宋_GB2312" w:eastAsia="仿宋_GB2312" w:cs="仿宋_GB2312"/>
          <w:kern w:val="0"/>
          <w:szCs w:val="21"/>
        </w:rPr>
      </w:pPr>
    </w:p>
    <w:p>
      <w:pPr>
        <w:numPr>
          <w:ilvl w:val="0"/>
          <w:numId w:val="9"/>
        </w:numPr>
        <w:spacing w:line="360" w:lineRule="exact"/>
        <w:ind w:firstLine="472" w:firstLineChars="200"/>
        <w:rPr>
          <w:rFonts w:ascii="仿宋_GB2312" w:hAnsi="Arial" w:eastAsia="仿宋_GB2312"/>
          <w:spacing w:val="-2"/>
          <w:sz w:val="24"/>
        </w:rPr>
      </w:pPr>
      <w:r>
        <w:rPr>
          <w:rFonts w:hint="eastAsia" w:ascii="仿宋_GB2312" w:hAnsi="Arial" w:eastAsia="仿宋_GB2312"/>
          <w:spacing w:val="-2"/>
          <w:sz w:val="24"/>
        </w:rPr>
        <w:t>最终报价</w:t>
      </w:r>
      <w:r>
        <w:rPr>
          <w:rFonts w:hint="eastAsia" w:ascii="仿宋_GB2312" w:hAnsi="Arial" w:eastAsia="仿宋_GB2312"/>
          <w:spacing w:val="-2"/>
          <w:sz w:val="24"/>
          <w:lang w:val="en-US" w:eastAsia="zh-CN"/>
        </w:rPr>
        <w:t>1</w:t>
      </w:r>
      <w:r>
        <w:rPr>
          <w:rFonts w:hint="eastAsia" w:ascii="仿宋_GB2312" w:hAnsi="Arial" w:eastAsia="仿宋_GB2312"/>
          <w:spacing w:val="-2"/>
          <w:sz w:val="24"/>
        </w:rPr>
        <w:t>0分。（此分值根据投标人投标报价计算结果）</w:t>
      </w:r>
      <w:r>
        <w:rPr>
          <w:rFonts w:hint="eastAsia" w:ascii="仿宋_GB2312" w:hAnsi="Arial" w:eastAsia="仿宋_GB2312"/>
          <w:spacing w:val="-2"/>
          <w:sz w:val="24"/>
        </w:rPr>
        <w:br w:type="textWrapping"/>
      </w:r>
      <w:r>
        <w:rPr>
          <w:rFonts w:hint="eastAsia" w:ascii="仿宋_GB2312" w:hAnsi="Arial" w:eastAsia="仿宋_GB2312"/>
          <w:spacing w:val="-2"/>
          <w:sz w:val="24"/>
        </w:rPr>
        <w:t xml:space="preserve">    (2)报价得分计算方法：此分值根据各投标人的投标报价采用低价优先法计算而得，即满足招标文件要求且投标价格最低的合理投标报价为评标基准价，其价格分为满分。其他投标人的价格分统一按照下列公式计算:投标报价得分=（单价最低价/投标报价）×价格权值×100，采购人对同类采购项目采用综合评分法的，原则上不得改变评审因素和评分标准。</w:t>
      </w:r>
    </w:p>
    <w:p>
      <w:r>
        <w:rPr>
          <w:rFonts w:hint="eastAsia" w:ascii="仿宋_GB2312" w:eastAsia="仿宋_GB2312"/>
          <w:b/>
          <w:color w:val="FF0000"/>
          <w:sz w:val="24"/>
        </w:rPr>
        <w:t>（3）如投标商投标报价超出本项目采购预算单价及预算总价价格，则取消资格。</w:t>
      </w:r>
    </w:p>
    <w:p>
      <w:pPr>
        <w:widowControl/>
        <w:shd w:val="clear" w:color="auto" w:fill="FFFFFF"/>
        <w:spacing w:line="240" w:lineRule="exact"/>
        <w:jc w:val="left"/>
        <w:rPr>
          <w:rFonts w:hint="eastAsia" w:ascii="仿宋_GB2312" w:hAnsi="仿宋_GB2312" w:eastAsia="仿宋_GB2312" w:cs="仿宋_GB2312"/>
          <w:kern w:val="0"/>
          <w:szCs w:val="21"/>
        </w:rPr>
      </w:pPr>
    </w:p>
    <w:p>
      <w:pPr>
        <w:spacing w:line="360" w:lineRule="exact"/>
        <w:rPr>
          <w:rFonts w:ascii="仿宋_GB2312" w:hAnsi="Arial" w:eastAsia="仿宋_GB2312"/>
          <w:sz w:val="24"/>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pStyle w:val="3"/>
        <w:snapToGrid w:val="0"/>
        <w:spacing w:before="319" w:beforeLines="100" w:after="319" w:afterLines="100" w:line="360" w:lineRule="auto"/>
        <w:jc w:val="both"/>
        <w:rPr>
          <w:rFonts w:ascii="仿宋_GB2312" w:hAnsi="仿宋_GB2312" w:eastAsia="仿宋_GB2312" w:cs="仿宋_GB2312"/>
        </w:rPr>
      </w:pPr>
      <w:bookmarkStart w:id="122" w:name="_Toc24606"/>
      <w:bookmarkStart w:id="123" w:name="_Toc22690"/>
    </w:p>
    <w:p>
      <w:pPr>
        <w:pStyle w:val="3"/>
        <w:snapToGrid w:val="0"/>
        <w:spacing w:before="319" w:beforeLines="100" w:after="319" w:afterLines="100" w:line="360" w:lineRule="auto"/>
        <w:rPr>
          <w:rFonts w:ascii="仿宋_GB2312" w:hAnsi="仿宋_GB2312" w:eastAsia="仿宋_GB2312" w:cs="仿宋_GB2312"/>
        </w:rPr>
      </w:pPr>
      <w:r>
        <w:rPr>
          <w:rFonts w:hint="eastAsia" w:ascii="仿宋_GB2312" w:hAnsi="仿宋_GB2312" w:eastAsia="仿宋_GB2312" w:cs="仿宋_GB2312"/>
        </w:rPr>
        <w:t>第五章 政府采购合同条款</w:t>
      </w:r>
      <w:bookmarkEnd w:id="121"/>
      <w:r>
        <w:rPr>
          <w:rFonts w:hint="eastAsia" w:ascii="仿宋_GB2312" w:hAnsi="仿宋_GB2312" w:eastAsia="仿宋_GB2312" w:cs="仿宋_GB2312"/>
        </w:rPr>
        <w:t>及格式</w:t>
      </w:r>
      <w:bookmarkEnd w:id="122"/>
      <w:bookmarkEnd w:id="123"/>
    </w:p>
    <w:p>
      <w:pPr>
        <w:rPr>
          <w:rFonts w:ascii="仿宋_GB2312" w:hAnsi="仿宋_GB2312" w:eastAsia="仿宋_GB2312" w:cs="仿宋_GB2312"/>
          <w:szCs w:val="28"/>
        </w:rPr>
      </w:pPr>
      <w:bookmarkStart w:id="124" w:name="_Toc23704_WPSOffice_Level1"/>
      <w:r>
        <w:rPr>
          <w:rFonts w:hint="eastAsia" w:ascii="仿宋_GB2312" w:hAnsi="仿宋_GB2312" w:eastAsia="仿宋_GB2312" w:cs="仿宋_GB2312"/>
          <w:szCs w:val="28"/>
        </w:rPr>
        <w:t>合同条款</w:t>
      </w:r>
      <w:bookmarkEnd w:id="124"/>
    </w:p>
    <w:p>
      <w:pPr>
        <w:spacing w:before="319" w:beforeLines="100" w:after="319" w:afterLines="100" w:line="360" w:lineRule="auto"/>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10"/>
        </w:numPr>
        <w:spacing w:line="360" w:lineRule="auto"/>
        <w:rPr>
          <w:rFonts w:ascii="仿宋_GB2312" w:hAnsi="宋体" w:eastAsia="仿宋_GB2312"/>
          <w:b/>
          <w:szCs w:val="21"/>
        </w:rPr>
      </w:pPr>
      <w:r>
        <w:rPr>
          <w:rFonts w:hint="eastAsia" w:ascii="仿宋_GB2312" w:hAnsi="宋体" w:eastAsia="仿宋_GB2312"/>
          <w:b/>
          <w:szCs w:val="21"/>
        </w:rPr>
        <w:t>术语定义</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本政府采购合同下列术语应解释为：</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w:t>
      </w:r>
      <w:r>
        <w:rPr>
          <w:rFonts w:hint="eastAsia" w:ascii="仿宋_GB2312" w:hAnsi="宋体" w:eastAsia="仿宋_GB2312"/>
          <w:szCs w:val="21"/>
        </w:rPr>
        <w:t>“政府采购合同”指供需双方依照政府采购程序、按照招标文件、投标文件确定的事项所达成的协议，包括附件、附录和上述文件所提到的构成政府采购合同的所有文件。</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2 </w:t>
      </w:r>
      <w:r>
        <w:rPr>
          <w:rFonts w:hint="eastAsia" w:ascii="仿宋_GB2312" w:hAnsi="宋体" w:eastAsia="仿宋_GB2312"/>
          <w:szCs w:val="21"/>
        </w:rPr>
        <w:t>“政府采购合同价”指根据合同约定供方在正确地完全履行政府采购合同义务后需方应支付给供方的价格。</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3 </w:t>
      </w:r>
      <w:r>
        <w:rPr>
          <w:rFonts w:hint="eastAsia" w:ascii="仿宋_GB2312" w:hAnsi="宋体" w:eastAsia="仿宋_GB2312"/>
          <w:szCs w:val="21"/>
        </w:rPr>
        <w:t>“服务”指政府采购合同服务清单（同投标文件中开标一览表及其附表，下同）所约定的服务内容。</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5 </w:t>
      </w:r>
      <w:r>
        <w:rPr>
          <w:rFonts w:hint="eastAsia" w:ascii="仿宋_GB2312" w:hAnsi="宋体" w:eastAsia="仿宋_GB2312"/>
          <w:szCs w:val="21"/>
        </w:rPr>
        <w:t>“需方”指项目基本内容及要求中所述取得产品和服务的采购单位。</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6 </w:t>
      </w:r>
      <w:r>
        <w:rPr>
          <w:rFonts w:hint="eastAsia" w:ascii="仿宋_GB2312" w:hAnsi="宋体" w:eastAsia="仿宋_GB2312"/>
          <w:szCs w:val="21"/>
        </w:rPr>
        <w:t>“供方”指项目基本内容及要求中所述提供产品和服务的中标供应商。</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7 </w:t>
      </w:r>
      <w:r>
        <w:rPr>
          <w:rFonts w:hint="eastAsia" w:ascii="仿宋_GB2312" w:hAnsi="宋体" w:eastAsia="仿宋_GB2312"/>
          <w:szCs w:val="21"/>
        </w:rPr>
        <w:t>“检验”指需方按照政府采购合同约定的标准对供方所提供服务进行的检测和查验。</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8 </w:t>
      </w:r>
      <w:r>
        <w:rPr>
          <w:rFonts w:hint="eastAsia" w:ascii="仿宋_GB2312" w:hAnsi="宋体" w:eastAsia="仿宋_GB2312"/>
          <w:szCs w:val="21"/>
        </w:rPr>
        <w:t>“验收书”指采购单位或</w:t>
      </w:r>
      <w:r>
        <w:rPr>
          <w:rFonts w:hint="eastAsia" w:ascii="仿宋_GB2312" w:hAnsi="宋体" w:eastAsia="仿宋_GB2312" w:cs="Lucida Sans Unicode"/>
          <w:szCs w:val="21"/>
        </w:rPr>
        <w:t>采购代理机构</w:t>
      </w:r>
      <w:r>
        <w:rPr>
          <w:rFonts w:hint="eastAsia" w:ascii="仿宋_GB2312" w:hAnsi="宋体" w:eastAsia="仿宋_GB2312"/>
          <w:szCs w:val="21"/>
        </w:rPr>
        <w:t>根据合同履约验收意见书形成反映采购单位和组织验收机构意见的文件。</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1.9“天”指日历天数（如无特别说明）。</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10</w:t>
      </w:r>
      <w:r>
        <w:rPr>
          <w:rFonts w:hint="eastAsia" w:ascii="仿宋_GB2312" w:hAnsi="宋体" w:eastAsia="仿宋_GB2312"/>
          <w:szCs w:val="21"/>
        </w:rPr>
        <w:t>“第三人”是指本政府采购合同双方以外的任何中国境内外的自然人、法人或其它经济组织。</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11</w:t>
      </w:r>
      <w:r>
        <w:rPr>
          <w:rFonts w:hint="eastAsia" w:ascii="仿宋_GB2312" w:hAnsi="宋体" w:eastAsia="仿宋_GB2312"/>
          <w:szCs w:val="21"/>
        </w:rPr>
        <w:t>“法律、法规”是指由中国各级政府及有关部门制定的法律、行政法规、地方性法规、规章及其它规范性文件的有关规定。</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12</w:t>
      </w:r>
      <w:r>
        <w:rPr>
          <w:rFonts w:hint="eastAsia" w:ascii="仿宋_GB2312" w:hAnsi="宋体" w:eastAsia="仿宋_GB2312"/>
          <w:szCs w:val="21"/>
        </w:rPr>
        <w:t>“招标文件”指采购人或</w:t>
      </w:r>
      <w:r>
        <w:rPr>
          <w:rFonts w:hint="eastAsia" w:ascii="仿宋_GB2312" w:hAnsi="宋体" w:eastAsia="仿宋_GB2312" w:cs="Lucida Sans Unicode"/>
          <w:szCs w:val="21"/>
        </w:rPr>
        <w:t>采购代理机构</w:t>
      </w:r>
      <w:r>
        <w:rPr>
          <w:rFonts w:hint="eastAsia" w:ascii="仿宋_GB2312" w:hAnsi="宋体" w:eastAsia="仿宋_GB2312"/>
          <w:szCs w:val="21"/>
        </w:rPr>
        <w:t>发布的招标文件。</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13</w:t>
      </w:r>
      <w:r>
        <w:rPr>
          <w:rFonts w:hint="eastAsia" w:ascii="仿宋_GB2312" w:hAnsi="宋体" w:eastAsia="仿宋_GB2312"/>
          <w:szCs w:val="21"/>
        </w:rPr>
        <w:t>“投标文件”指供方按照</w:t>
      </w:r>
      <w:r>
        <w:rPr>
          <w:rFonts w:hint="eastAsia" w:ascii="仿宋_GB2312" w:hAnsi="宋体" w:eastAsia="仿宋_GB2312" w:cs="Lucida Sans Unicode"/>
          <w:szCs w:val="21"/>
        </w:rPr>
        <w:t>采购代理机构</w:t>
      </w:r>
      <w:r>
        <w:rPr>
          <w:rFonts w:hint="eastAsia" w:ascii="仿宋_GB2312" w:hAnsi="宋体" w:eastAsia="仿宋_GB2312"/>
          <w:szCs w:val="21"/>
        </w:rPr>
        <w:t>招标文件的要求编制和递交，并最终被评标委员会接受的投标文件。</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2.技术规范与服务内容</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2.1投标服务的技术规范应与招标文件规定的技术规范（如果有的话）相一致。若无相应说明，则以国家有关部门最新颁布的相应标准及规范为准。</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2.2 投标服务的服务内容应与招标文件规定服务内容及投标文件中的项目要求及投标响应表一致。</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3.知识产权</w:t>
      </w:r>
    </w:p>
    <w:p>
      <w:pPr>
        <w:spacing w:line="360" w:lineRule="auto"/>
        <w:ind w:firstLine="411" w:firstLineChars="196"/>
        <w:jc w:val="left"/>
        <w:rPr>
          <w:rFonts w:ascii="仿宋_GB2312" w:hAnsi="宋体" w:eastAsia="仿宋_GB2312"/>
          <w:szCs w:val="21"/>
        </w:rPr>
      </w:pPr>
      <w:r>
        <w:rPr>
          <w:rFonts w:hint="eastAsia" w:ascii="仿宋_GB2312" w:hAnsi="宋体" w:eastAsia="仿宋_GB2312"/>
          <w:szCs w:val="21"/>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pPr>
        <w:spacing w:line="360" w:lineRule="auto"/>
        <w:ind w:firstLine="411" w:firstLineChars="196"/>
        <w:jc w:val="left"/>
        <w:rPr>
          <w:rFonts w:ascii="仿宋_GB2312" w:hAnsi="宋体" w:eastAsia="仿宋_GB2312"/>
          <w:szCs w:val="21"/>
        </w:rPr>
      </w:pPr>
      <w:r>
        <w:rPr>
          <w:rFonts w:hint="eastAsia" w:ascii="仿宋_GB2312" w:hAnsi="宋体" w:eastAsia="仿宋_GB2312"/>
          <w:szCs w:val="21"/>
        </w:rPr>
        <w:t>3.2供方应保证所供服务符合国家的有关规定。</w:t>
      </w:r>
    </w:p>
    <w:p>
      <w:pPr>
        <w:tabs>
          <w:tab w:val="left" w:pos="360"/>
        </w:tabs>
        <w:spacing w:line="360" w:lineRule="auto"/>
        <w:ind w:firstLine="417" w:firstLineChars="199"/>
        <w:rPr>
          <w:rFonts w:ascii="仿宋_GB2312" w:hAnsi="宋体" w:eastAsia="仿宋_GB2312"/>
          <w:szCs w:val="21"/>
        </w:rPr>
      </w:pPr>
      <w:r>
        <w:rPr>
          <w:rFonts w:hint="eastAsia" w:ascii="仿宋_GB2312" w:hAnsi="宋体" w:eastAsia="仿宋_GB2312"/>
          <w:szCs w:val="21"/>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4.完成方式</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供方按照合同约定的时间、地点完成服务。</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5.付款</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5.1政府采购合同以人民币付款。</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5.2在供方按照政府采购合同的规定履行服务后，需方按照合同约定的方式和条件付款。</w:t>
      </w:r>
    </w:p>
    <w:p>
      <w:pPr>
        <w:spacing w:line="360" w:lineRule="auto"/>
        <w:ind w:firstLine="420" w:firstLineChars="200"/>
        <w:rPr>
          <w:rFonts w:ascii="仿宋_GB2312" w:hAnsi="宋体" w:eastAsia="仿宋_GB2312"/>
          <w:b/>
          <w:szCs w:val="21"/>
        </w:rPr>
      </w:pPr>
      <w:r>
        <w:rPr>
          <w:rFonts w:hint="eastAsia" w:ascii="仿宋_GB2312" w:hAnsi="宋体" w:eastAsia="仿宋_GB2312"/>
          <w:b/>
          <w:szCs w:val="21"/>
        </w:rPr>
        <w:t>6.服务质量</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6.1供方应保证政府采购合同项下所供服务是由供方提供的，并完全符合强制性的国家技术质量规范和政府采购合同规定的质量、性能和技术规范等要求。</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6.2供方提供的服务质量应满足行业一般标准，符合合同约定。</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6.3需方有权对供方的服务质量进行监督，发现服务存在不符合合同标准的情形的，可以要求供方改正服务方式、替换服务人员等补救方式，供方应按需方要求改正，并赔偿需方实际损失。</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pPr>
        <w:spacing w:line="360" w:lineRule="auto"/>
        <w:ind w:firstLine="411" w:firstLineChars="196"/>
        <w:rPr>
          <w:rFonts w:ascii="仿宋_GB2312" w:hAnsi="宋体" w:eastAsia="仿宋_GB2312"/>
          <w:b/>
          <w:szCs w:val="21"/>
        </w:rPr>
      </w:pPr>
      <w:r>
        <w:rPr>
          <w:rFonts w:hint="eastAsia" w:ascii="仿宋_GB2312" w:hAnsi="宋体" w:eastAsia="仿宋_GB2312"/>
          <w:b/>
          <w:szCs w:val="21"/>
        </w:rPr>
        <w:t>7.技术服务和保修责任</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7.1本条适用于</w:t>
      </w:r>
      <w:r>
        <w:rPr>
          <w:rFonts w:hint="eastAsia" w:ascii="仿宋_GB2312" w:hAnsi="宋体" w:eastAsia="仿宋_GB2312" w:cs="Arial"/>
          <w:szCs w:val="21"/>
        </w:rPr>
        <w:t>委托开发等最终以产品形式交付需方使用的服务。</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7.2供方对交付的产品的保修期，以招标文件中的规定为准，如果投标文件中的承诺优于招标文件规定，则以投标文件为准。</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7.3供方应按如下内容提供售后服务：</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7.3.1产品经过试运行期，所有性能指标达到技术规范书的要求时，可按招标文件、投标文件内容进行初验。在试运行期间，由于产品质量等造成某些指标达不到要求，供方须更换或进行修复，试运行期重新计算。</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7.3.3保修期间供方要保修除消耗品以外的所有产品。如果系统、设备等发生故障，供方要调查故障原因并修复直至满足最终验收指标和性能的要求，或者修理、更换整个或部分有缺陷的材料。</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7.3.4保修期内，供方提供电话、电子邮件、Web、现场服务等方式的技术支持，对用户的现场服务要求，供方必须按投标文件做出的承诺进行响应。</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7.3.5保修期内，供方应对出现故障无法修复的产品或无法正常运行的系统，提供替代产品以保证系统的正常工作。</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7.3.6保修期内，供方应投标时的承诺提供相关服务。</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8.检验和验收</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8.1完成服务后，需方或采购代理机构（由具体项目决定）应在政府采购合同规定的时间内组织验收，并在“验收书”上签字。“验收书”将作为申请付款文件的一部分。</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8.2</w:t>
      </w:r>
      <w:r>
        <w:rPr>
          <w:rFonts w:hint="eastAsia" w:ascii="仿宋_GB2312" w:hAnsi="宋体" w:eastAsia="仿宋_GB2312" w:cs="Arial"/>
          <w:szCs w:val="21"/>
        </w:rPr>
        <w:t>对于委托开发等最终以产品形式交付需方使用的服务，</w:t>
      </w:r>
      <w:r>
        <w:rPr>
          <w:rFonts w:hint="eastAsia" w:ascii="仿宋_GB2312" w:hAnsi="宋体" w:eastAsia="仿宋_GB2312"/>
          <w:szCs w:val="21"/>
        </w:rPr>
        <w:t>保修期自验收书签署之日起计算。</w:t>
      </w:r>
    </w:p>
    <w:p>
      <w:pPr>
        <w:tabs>
          <w:tab w:val="left" w:pos="360"/>
        </w:tabs>
        <w:spacing w:line="360" w:lineRule="auto"/>
        <w:ind w:firstLine="457" w:firstLineChars="218"/>
        <w:rPr>
          <w:rFonts w:ascii="仿宋_GB2312" w:hAnsi="宋体" w:eastAsia="仿宋_GB2312"/>
          <w:b/>
          <w:szCs w:val="21"/>
        </w:rPr>
      </w:pPr>
      <w:r>
        <w:rPr>
          <w:rFonts w:hint="eastAsia" w:ascii="仿宋_GB2312" w:hAnsi="宋体" w:eastAsia="仿宋_GB2312"/>
          <w:b/>
          <w:szCs w:val="21"/>
        </w:rPr>
        <w:t>9.违约责任</w:t>
      </w:r>
    </w:p>
    <w:p>
      <w:pPr>
        <w:spacing w:line="360" w:lineRule="auto"/>
        <w:ind w:firstLine="457" w:firstLineChars="218"/>
        <w:rPr>
          <w:rFonts w:ascii="仿宋_GB2312" w:hAnsi="宋体" w:eastAsia="仿宋_GB2312" w:cs="Arial"/>
          <w:szCs w:val="21"/>
        </w:rPr>
      </w:pPr>
      <w:r>
        <w:rPr>
          <w:rFonts w:hint="eastAsia" w:ascii="仿宋_GB2312" w:hAnsi="宋体" w:eastAsia="仿宋_GB2312" w:cs="Arial"/>
          <w:szCs w:val="21"/>
        </w:rPr>
        <w:t>9.1如果供方未按照政府采购合同规定的要求提供服务；或供方未能履行政府采购合同规定的任何其它义务时，需方有权向供方发出违约通知书，供方应按照需方选择的下列一种或多种方式承担赔偿责任：</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9.1.1在需方同意延长的期限内提供服务并承担由此给需方造成的一切损失；</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9.1.2在需方规定的时间内，用符合政府采购合同规定的服务以达到政府采购合同规定的要求，供方应承担由此发生的一切费用和风险。此时，相关服务的期限也应相应延长；</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9.1.3需方有权部分或全部解除政府采购合同并要求供方赔偿由此造成的损失。此时需方可采取必要的补救措施，相关费用由供方承担。</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9.3延期服务的违约责任</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8.4以上各项交付的违约金并不影响违约方履行政府采购合同的各项义务。</w:t>
      </w:r>
    </w:p>
    <w:p>
      <w:pPr>
        <w:spacing w:line="360" w:lineRule="auto"/>
        <w:ind w:left="420"/>
        <w:rPr>
          <w:rFonts w:ascii="仿宋_GB2312" w:hAnsi="宋体" w:eastAsia="仿宋_GB2312" w:cs="Arial"/>
          <w:b/>
          <w:szCs w:val="21"/>
        </w:rPr>
      </w:pPr>
      <w:r>
        <w:rPr>
          <w:rFonts w:hint="eastAsia" w:ascii="仿宋_GB2312" w:hAnsi="宋体" w:eastAsia="仿宋_GB2312" w:cs="Arial"/>
          <w:b/>
          <w:szCs w:val="21"/>
        </w:rPr>
        <w:t>10.不可抗力</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10.2本条所述的“不可抗力”系指那些双方无法控制，不可预见的事件，但不包括双方的违约或疏忽。这些事件包括但不限于：战争、严重火灾、洪水、台风、地震。</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11.争端的解决</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11.1需方和供方应通过友好协商，解决在执行本政府采购合同过程中所发生的或与本政府采购合同有关的一切争端。</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11.2如果协商不成，双方中的任何一方可向需方所在地的人民法院提起诉讼。</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11.3因政府采购合同部分履行引发诉讼的，在诉讼期间，除正在进行诉讼的部分外，本政府采购合同的其它部分应继续执行。</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12.违约终止政府采购合同</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12.1在需方因供方违约而按政府采购合同约定采取的任何补救措施不起作用的情况下，需方可在下列情况下向供方发出书面通知，提出终止部分或全部政府采购合同。</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12.1.1如果供方未能在政府采购合同规定的限期或需方同意延长的限期内提供部分或全部服务；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12.1.2如果供方未能履行政府采购合同规定的其它任何义务。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12.1.3未经需方事先书面同意，供方部分转让和分包或全部转让和分包其应履行的政府采购合同义务。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13.政府采购法对政府采购合同变更终止的规定</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szCs w:val="21"/>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14.政府采购合同转让和分包</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除招标文件规定,并经需方事先书面同意外，供方不得部分转让和分包或全部转让和分包其应履行的政府采购合同义务。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b/>
          <w:szCs w:val="21"/>
        </w:rPr>
        <w:t>15.适用法律：</w:t>
      </w:r>
      <w:r>
        <w:rPr>
          <w:rFonts w:hint="eastAsia" w:ascii="仿宋_GB2312" w:hAnsi="宋体" w:eastAsia="仿宋_GB2312" w:cs="Arial"/>
          <w:szCs w:val="21"/>
        </w:rPr>
        <w:t>本政府采购合同按照中华人民共和国的现行法律进行解释。</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16.政府采购合同生效</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16.1本政府采购合同在供需双方法定代表人或其授权代理人签字和加盖公章后生效。</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16.2本政府采购合同一式五份，需方执二份，供方、</w:t>
      </w:r>
      <w:r>
        <w:rPr>
          <w:rFonts w:hint="eastAsia" w:ascii="仿宋_GB2312" w:hAnsi="宋体" w:eastAsia="仿宋_GB2312" w:cs="Lucida Sans Unicode"/>
          <w:szCs w:val="21"/>
        </w:rPr>
        <w:t>采购代理机构</w:t>
      </w:r>
      <w:r>
        <w:rPr>
          <w:rFonts w:hint="eastAsia" w:ascii="仿宋_GB2312" w:hAnsi="宋体" w:eastAsia="仿宋_GB2312" w:cs="Arial"/>
          <w:szCs w:val="21"/>
        </w:rPr>
        <w:t xml:space="preserve">、财政部门各执一份。 </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17.政府采购合同附件</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下列文件构成本政府采购合同不可分割的组成部分，与本政府采购合同具有同等法律效力：</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17.1</w:t>
      </w:r>
      <w:r>
        <w:rPr>
          <w:rFonts w:hint="eastAsia" w:ascii="仿宋_GB2312" w:hAnsi="宋体" w:eastAsia="仿宋_GB2312"/>
          <w:szCs w:val="21"/>
        </w:rPr>
        <w:t>招标文件；</w:t>
      </w:r>
    </w:p>
    <w:p>
      <w:pPr>
        <w:spacing w:line="360" w:lineRule="auto"/>
        <w:ind w:firstLine="420" w:firstLineChars="200"/>
        <w:jc w:val="left"/>
        <w:rPr>
          <w:rFonts w:ascii="仿宋_GB2312" w:hAnsi="宋体" w:eastAsia="仿宋_GB2312" w:cs="Arial"/>
          <w:szCs w:val="21"/>
        </w:rPr>
      </w:pPr>
      <w:r>
        <w:rPr>
          <w:rFonts w:hint="eastAsia" w:ascii="仿宋_GB2312" w:hAnsi="宋体" w:eastAsia="仿宋_GB2312" w:cs="Arial"/>
          <w:szCs w:val="21"/>
        </w:rPr>
        <w:t>17.2招标文件的更正公告、变更公告；</w:t>
      </w:r>
    </w:p>
    <w:p>
      <w:pPr>
        <w:spacing w:line="360" w:lineRule="auto"/>
        <w:ind w:firstLine="420" w:firstLineChars="200"/>
        <w:jc w:val="left"/>
        <w:rPr>
          <w:rFonts w:ascii="仿宋_GB2312" w:hAnsi="宋体" w:eastAsia="仿宋_GB2312" w:cs="Arial"/>
          <w:szCs w:val="21"/>
        </w:rPr>
      </w:pPr>
      <w:r>
        <w:rPr>
          <w:rFonts w:hint="eastAsia" w:ascii="仿宋_GB2312" w:hAnsi="宋体" w:eastAsia="仿宋_GB2312" w:cs="Arial"/>
          <w:szCs w:val="21"/>
        </w:rPr>
        <w:t xml:space="preserve">17.3中标供应商提交的投标文件；        </w:t>
      </w:r>
    </w:p>
    <w:p>
      <w:pPr>
        <w:spacing w:line="360" w:lineRule="auto"/>
        <w:ind w:firstLine="420" w:firstLineChars="200"/>
        <w:jc w:val="left"/>
        <w:rPr>
          <w:rFonts w:ascii="仿宋_GB2312" w:hAnsi="宋体" w:eastAsia="仿宋_GB2312"/>
          <w:szCs w:val="21"/>
        </w:rPr>
      </w:pPr>
      <w:r>
        <w:rPr>
          <w:rFonts w:hint="eastAsia" w:ascii="仿宋_GB2312" w:hAnsi="宋体" w:eastAsia="仿宋_GB2312" w:cs="Arial"/>
          <w:szCs w:val="21"/>
        </w:rPr>
        <w:t>17.4</w:t>
      </w:r>
      <w:r>
        <w:rPr>
          <w:rFonts w:hint="eastAsia" w:ascii="仿宋_GB2312" w:hAnsi="宋体" w:eastAsia="仿宋_GB2312"/>
          <w:szCs w:val="21"/>
        </w:rPr>
        <w:t>政府采购合同条款；</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17.5中标通知书；</w:t>
      </w:r>
    </w:p>
    <w:p>
      <w:pPr>
        <w:spacing w:line="360" w:lineRule="auto"/>
        <w:ind w:firstLine="420" w:firstLineChars="200"/>
        <w:jc w:val="left"/>
        <w:rPr>
          <w:rFonts w:ascii="仿宋_GB2312" w:hAnsi="宋体" w:eastAsia="仿宋_GB2312"/>
          <w:szCs w:val="21"/>
        </w:rPr>
      </w:pPr>
      <w:r>
        <w:rPr>
          <w:rFonts w:hint="eastAsia" w:ascii="仿宋_GB2312" w:hAnsi="宋体" w:eastAsia="仿宋_GB2312" w:cs="Arial"/>
          <w:szCs w:val="21"/>
        </w:rPr>
        <w:t>17.6政府采购合同的其它附件。</w:t>
      </w:r>
    </w:p>
    <w:p>
      <w:pPr>
        <w:ind w:firstLine="470" w:firstLineChars="196"/>
        <w:rPr>
          <w:rFonts w:ascii="仿宋_GB2312" w:hAnsi="宋体" w:eastAsia="仿宋_GB2312"/>
          <w:sz w:val="24"/>
        </w:rPr>
      </w:pPr>
    </w:p>
    <w:p>
      <w:pPr>
        <w:ind w:firstLine="470" w:firstLineChars="196"/>
        <w:rPr>
          <w:rFonts w:ascii="仿宋_GB2312" w:hAnsi="宋体" w:eastAsia="仿宋_GB2312"/>
          <w:sz w:val="24"/>
        </w:rPr>
      </w:pPr>
    </w:p>
    <w:p>
      <w:pPr>
        <w:rPr>
          <w:rFonts w:ascii="仿宋_GB2312" w:hAnsi="宋体" w:eastAsia="仿宋_GB2312"/>
          <w:sz w:val="24"/>
        </w:rPr>
      </w:pPr>
      <w:r>
        <w:rPr>
          <w:rFonts w:ascii="仿宋_GB2312" w:hAnsi="宋体" w:eastAsia="仿宋_GB2312"/>
          <w:sz w:val="24"/>
        </w:rPr>
        <w:br w:type="page"/>
      </w:r>
    </w:p>
    <w:p>
      <w:pPr>
        <w:pStyle w:val="4"/>
        <w:adjustRightInd w:val="0"/>
        <w:snapToGrid w:val="0"/>
        <w:spacing w:line="240" w:lineRule="auto"/>
        <w:jc w:val="left"/>
        <w:rPr>
          <w:rFonts w:ascii="仿宋_GB2312" w:hAnsi="宋体" w:eastAsia="仿宋_GB2312"/>
          <w:sz w:val="21"/>
          <w:szCs w:val="21"/>
        </w:rPr>
      </w:pPr>
      <w:bookmarkStart w:id="125" w:name="_Toc372_WPSOffice_Level1"/>
      <w:bookmarkStart w:id="126" w:name="_Toc3044_WPSOffice_Level1"/>
      <w:bookmarkStart w:id="127" w:name="_Toc7342_WPSOffice_Level1"/>
      <w:r>
        <w:rPr>
          <w:rFonts w:hint="eastAsia" w:ascii="仿宋_GB2312" w:hAnsi="仿宋_GB2312" w:eastAsia="仿宋_GB2312" w:cs="仿宋_GB2312"/>
          <w:szCs w:val="28"/>
        </w:rPr>
        <w:t>合同格式</w:t>
      </w:r>
      <w:bookmarkEnd w:id="125"/>
      <w:bookmarkEnd w:id="126"/>
      <w:bookmarkEnd w:id="127"/>
    </w:p>
    <w:p>
      <w:pPr>
        <w:spacing w:before="319" w:beforeLines="100" w:after="319" w:afterLines="100" w:line="360" w:lineRule="auto"/>
        <w:jc w:val="center"/>
        <w:rPr>
          <w:rFonts w:ascii="宋体"/>
          <w:b/>
          <w:sz w:val="36"/>
          <w:szCs w:val="36"/>
        </w:rPr>
      </w:pPr>
      <w:r>
        <w:rPr>
          <w:rFonts w:hint="eastAsia" w:ascii="宋体" w:hAnsi="宋体"/>
          <w:b/>
          <w:sz w:val="36"/>
          <w:szCs w:val="36"/>
        </w:rPr>
        <w:t>政府采购合同格式</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政府采购合同编号：</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签订地点：</w:t>
      </w:r>
    </w:p>
    <w:p>
      <w:pPr>
        <w:spacing w:line="360" w:lineRule="auto"/>
        <w:ind w:firstLine="640"/>
        <w:jc w:val="left"/>
        <w:rPr>
          <w:rFonts w:ascii="仿宋_GB2312" w:hAnsi="宋体" w:eastAsia="仿宋_GB2312"/>
          <w:szCs w:val="21"/>
        </w:rPr>
      </w:pPr>
      <w:r>
        <w:rPr>
          <w:rFonts w:hint="eastAsia" w:ascii="仿宋_GB2312" w:hAnsi="宋体" w:eastAsia="仿宋_GB2312"/>
          <w:szCs w:val="21"/>
          <w:u w:val="single"/>
        </w:rPr>
        <w:t xml:space="preserve">    (需方名称</w:t>
      </w:r>
      <w:r>
        <w:rPr>
          <w:rFonts w:hint="eastAsia" w:ascii="仿宋_GB2312" w:hAnsi="宋体" w:eastAsia="仿宋_GB2312"/>
          <w:szCs w:val="21"/>
        </w:rPr>
        <w:t>)</w:t>
      </w:r>
      <w:r>
        <w:rPr>
          <w:rFonts w:hint="eastAsia" w:ascii="仿宋_GB2312" w:hAnsi="宋体" w:eastAsia="仿宋_GB2312"/>
          <w:szCs w:val="21"/>
          <w:u w:val="single"/>
        </w:rPr>
        <w:t xml:space="preserve">            </w:t>
      </w:r>
      <w:r>
        <w:rPr>
          <w:rFonts w:hint="eastAsia" w:ascii="仿宋_GB2312" w:hAnsi="宋体" w:eastAsia="仿宋_GB2312"/>
          <w:szCs w:val="21"/>
        </w:rPr>
        <w:t xml:space="preserve"> （以下简称需方）和</w:t>
      </w:r>
      <w:r>
        <w:rPr>
          <w:rFonts w:hint="eastAsia" w:ascii="仿宋_GB2312" w:hAnsi="宋体" w:eastAsia="仿宋_GB2312"/>
          <w:szCs w:val="21"/>
          <w:u w:val="single"/>
        </w:rPr>
        <w:t xml:space="preserve">   (供方名称)    </w:t>
      </w:r>
      <w:r>
        <w:rPr>
          <w:rFonts w:hint="eastAsia" w:ascii="仿宋_GB2312" w:hAnsi="宋体" w:eastAsia="仿宋_GB2312"/>
          <w:szCs w:val="21"/>
        </w:rPr>
        <w:t xml:space="preserve"> （以下简称供方）根据《中华人民共和国合同法》和有关法律法规，遵循平等、自愿、公平和诚实信用原则，同意按照下面的条款和条件订立本政府采购合同，共同信守。</w:t>
      </w:r>
    </w:p>
    <w:p>
      <w:pPr>
        <w:spacing w:line="360" w:lineRule="auto"/>
        <w:jc w:val="left"/>
        <w:rPr>
          <w:rFonts w:ascii="黑体" w:hAnsi="宋体" w:eastAsia="黑体"/>
          <w:b/>
          <w:szCs w:val="21"/>
        </w:rPr>
      </w:pPr>
      <w:r>
        <w:rPr>
          <w:rFonts w:hint="eastAsia" w:ascii="黑体" w:hAnsi="宋体" w:eastAsia="黑体"/>
          <w:b/>
          <w:szCs w:val="21"/>
        </w:rPr>
        <w:t>　　一、政府采购合同文件</w:t>
      </w:r>
    </w:p>
    <w:p>
      <w:pPr>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本政府采购合同所附下列文件是构成本政府采购合同不可分割的部分：</w:t>
      </w:r>
    </w:p>
    <w:p>
      <w:pPr>
        <w:spacing w:line="360" w:lineRule="auto"/>
        <w:ind w:firstLine="420" w:firstLineChars="200"/>
        <w:jc w:val="left"/>
        <w:rPr>
          <w:rFonts w:ascii="仿宋_GB2312" w:hAnsi="宋体" w:eastAsia="仿宋_GB2312"/>
          <w:szCs w:val="21"/>
        </w:rPr>
      </w:pPr>
      <w:r>
        <w:rPr>
          <w:rFonts w:hint="eastAsia" w:ascii="黑体" w:hAnsi="宋体" w:eastAsia="黑体"/>
          <w:szCs w:val="21"/>
        </w:rPr>
        <w:t>1.</w:t>
      </w:r>
      <w:r>
        <w:rPr>
          <w:rFonts w:hint="eastAsia" w:ascii="仿宋_GB2312" w:hAnsi="宋体" w:eastAsia="仿宋_GB2312"/>
          <w:szCs w:val="21"/>
        </w:rPr>
        <w:t>招标文件（招标文件编号</w:t>
      </w:r>
      <w:r>
        <w:rPr>
          <w:rFonts w:hint="eastAsia" w:ascii="仿宋_GB2312" w:hAnsi="宋体" w:eastAsia="仿宋_GB2312"/>
          <w:szCs w:val="21"/>
          <w:u w:val="single"/>
        </w:rPr>
        <w:t xml:space="preserve">           </w:t>
      </w:r>
      <w:r>
        <w:rPr>
          <w:rFonts w:hint="eastAsia" w:ascii="仿宋_GB2312" w:hAnsi="宋体" w:eastAsia="仿宋_GB2312"/>
          <w:szCs w:val="21"/>
        </w:rPr>
        <w:t>）；</w:t>
      </w:r>
    </w:p>
    <w:p>
      <w:pPr>
        <w:spacing w:line="360" w:lineRule="auto"/>
        <w:ind w:firstLine="420" w:firstLineChars="200"/>
        <w:jc w:val="left"/>
        <w:rPr>
          <w:rFonts w:ascii="仿宋_GB2312" w:hAnsi="宋体" w:eastAsia="仿宋_GB2312" w:cs="Arial"/>
          <w:szCs w:val="21"/>
        </w:rPr>
      </w:pPr>
      <w:r>
        <w:rPr>
          <w:rFonts w:hint="eastAsia" w:ascii="黑体" w:hAnsi="宋体" w:eastAsia="黑体"/>
          <w:szCs w:val="21"/>
        </w:rPr>
        <w:t>2.</w:t>
      </w:r>
      <w:r>
        <w:rPr>
          <w:rFonts w:hint="eastAsia" w:ascii="仿宋_GB2312" w:hAnsi="宋体" w:eastAsia="仿宋_GB2312" w:cs="Arial"/>
          <w:szCs w:val="21"/>
        </w:rPr>
        <w:t>招标文件的更正公告、变更公告；</w:t>
      </w:r>
    </w:p>
    <w:p>
      <w:pPr>
        <w:spacing w:line="360" w:lineRule="auto"/>
        <w:ind w:firstLine="420" w:firstLineChars="200"/>
        <w:jc w:val="left"/>
        <w:rPr>
          <w:rFonts w:ascii="仿宋_GB2312" w:hAnsi="宋体" w:eastAsia="仿宋_GB2312"/>
          <w:szCs w:val="21"/>
        </w:rPr>
      </w:pPr>
      <w:r>
        <w:rPr>
          <w:rFonts w:hint="eastAsia" w:ascii="黑体" w:hAnsi="宋体" w:eastAsia="黑体"/>
          <w:szCs w:val="21"/>
        </w:rPr>
        <w:t>3.</w:t>
      </w:r>
      <w:r>
        <w:rPr>
          <w:rFonts w:hint="eastAsia" w:ascii="仿宋_GB2312" w:hAnsi="宋体" w:eastAsia="仿宋_GB2312"/>
          <w:szCs w:val="21"/>
        </w:rPr>
        <w:t>中标供应商提交的投标文件；</w:t>
      </w:r>
    </w:p>
    <w:p>
      <w:pPr>
        <w:spacing w:line="360" w:lineRule="auto"/>
        <w:ind w:firstLine="420" w:firstLineChars="200"/>
        <w:jc w:val="left"/>
        <w:rPr>
          <w:rFonts w:ascii="仿宋_GB2312" w:hAnsi="宋体" w:eastAsia="仿宋_GB2312"/>
          <w:szCs w:val="21"/>
        </w:rPr>
      </w:pPr>
      <w:r>
        <w:rPr>
          <w:rFonts w:hint="eastAsia" w:ascii="黑体" w:hAnsi="宋体" w:eastAsia="黑体"/>
          <w:szCs w:val="21"/>
        </w:rPr>
        <w:t>4.</w:t>
      </w:r>
      <w:r>
        <w:rPr>
          <w:rFonts w:hint="eastAsia" w:ascii="仿宋_GB2312" w:hAnsi="宋体" w:eastAsia="仿宋_GB2312"/>
          <w:szCs w:val="21"/>
        </w:rPr>
        <w:t>政府采购合同条款；</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5</w:t>
      </w:r>
      <w:r>
        <w:rPr>
          <w:rFonts w:hint="eastAsia" w:ascii="黑体" w:hAnsi="宋体" w:eastAsia="黑体"/>
          <w:szCs w:val="21"/>
        </w:rPr>
        <w:t>.</w:t>
      </w:r>
      <w:r>
        <w:rPr>
          <w:rFonts w:hint="eastAsia" w:ascii="仿宋_GB2312" w:hAnsi="宋体" w:eastAsia="仿宋_GB2312"/>
          <w:szCs w:val="21"/>
        </w:rPr>
        <w:t>中标通知书；</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6</w:t>
      </w:r>
      <w:r>
        <w:rPr>
          <w:rFonts w:hint="eastAsia" w:ascii="黑体" w:hAnsi="宋体" w:eastAsia="黑体"/>
          <w:szCs w:val="21"/>
        </w:rPr>
        <w:t>.</w:t>
      </w:r>
      <w:r>
        <w:rPr>
          <w:rFonts w:hint="eastAsia" w:ascii="仿宋_GB2312" w:hAnsi="宋体" w:eastAsia="仿宋_GB2312" w:cs="Arial"/>
          <w:szCs w:val="21"/>
        </w:rPr>
        <w:t>政府采购合同的其它附件。</w:t>
      </w:r>
    </w:p>
    <w:p>
      <w:pPr>
        <w:spacing w:line="360" w:lineRule="auto"/>
        <w:jc w:val="left"/>
        <w:rPr>
          <w:rFonts w:ascii="黑体" w:hAnsi="宋体" w:eastAsia="黑体"/>
          <w:b/>
          <w:szCs w:val="21"/>
        </w:rPr>
      </w:pPr>
      <w:r>
        <w:rPr>
          <w:rFonts w:hint="eastAsia" w:ascii="黑体" w:hAnsi="宋体" w:eastAsia="黑体"/>
          <w:b/>
          <w:szCs w:val="21"/>
        </w:rPr>
        <w:t>　　二、政府采购合同范围和条件</w:t>
      </w:r>
    </w:p>
    <w:p>
      <w:pPr>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本政府采购合同的范围和条件与上述政府采购合同文件的规定相一致。</w:t>
      </w:r>
    </w:p>
    <w:p>
      <w:pPr>
        <w:spacing w:line="360" w:lineRule="auto"/>
        <w:jc w:val="left"/>
        <w:rPr>
          <w:rFonts w:ascii="黑体" w:hAnsi="宋体" w:eastAsia="黑体"/>
          <w:b/>
          <w:szCs w:val="21"/>
        </w:rPr>
      </w:pPr>
      <w:r>
        <w:rPr>
          <w:rFonts w:hint="eastAsia" w:ascii="黑体" w:hAnsi="宋体" w:eastAsia="黑体"/>
          <w:b/>
          <w:szCs w:val="21"/>
        </w:rPr>
        <w:t>　　三、政府采购合同标的</w:t>
      </w:r>
    </w:p>
    <w:p>
      <w:pPr>
        <w:spacing w:line="360" w:lineRule="auto"/>
        <w:jc w:val="left"/>
        <w:rPr>
          <w:rFonts w:ascii="仿宋_GB2312" w:hAnsi="宋体" w:eastAsia="仿宋_GB2312"/>
          <w:szCs w:val="21"/>
        </w:rPr>
      </w:pPr>
      <w:r>
        <w:rPr>
          <w:rFonts w:hint="eastAsia" w:ascii="仿宋_GB2312" w:hAnsi="宋体" w:eastAsia="仿宋_GB2312"/>
          <w:szCs w:val="21"/>
        </w:rPr>
        <w:t xml:space="preserve">    </w:t>
      </w:r>
      <w:r>
        <w:rPr>
          <w:rFonts w:hint="eastAsia" w:ascii="仿宋_GB2312" w:hAnsi="仿宋_GB2312" w:eastAsia="仿宋_GB2312" w:cs="仿宋_GB2312"/>
          <w:szCs w:val="21"/>
        </w:rPr>
        <w:t>本政府采购合同的标的为招标文件中所列相关服务。</w:t>
      </w:r>
      <w:r>
        <w:rPr>
          <w:rFonts w:hint="eastAsia" w:ascii="仿宋_GB2312" w:hAnsi="宋体" w:eastAsia="仿宋_GB2312"/>
          <w:szCs w:val="21"/>
        </w:rPr>
        <w:t>。</w:t>
      </w:r>
    </w:p>
    <w:p>
      <w:pPr>
        <w:spacing w:line="360" w:lineRule="auto"/>
        <w:jc w:val="left"/>
        <w:rPr>
          <w:rFonts w:ascii="黑体" w:hAnsi="宋体" w:eastAsia="黑体"/>
          <w:b/>
          <w:szCs w:val="21"/>
        </w:rPr>
      </w:pPr>
      <w:r>
        <w:rPr>
          <w:rFonts w:hint="eastAsia" w:ascii="黑体" w:hAnsi="宋体" w:eastAsia="黑体"/>
          <w:b/>
          <w:szCs w:val="21"/>
        </w:rPr>
        <w:t>　　四、政府采购合同金额</w:t>
      </w:r>
    </w:p>
    <w:p>
      <w:pPr>
        <w:spacing w:line="360" w:lineRule="auto"/>
        <w:jc w:val="left"/>
        <w:rPr>
          <w:rFonts w:ascii="仿宋_GB2312" w:hAnsi="宋体" w:eastAsia="仿宋_GB2312"/>
          <w:szCs w:val="21"/>
        </w:rPr>
      </w:pPr>
      <w:r>
        <w:rPr>
          <w:rFonts w:hint="eastAsia" w:ascii="仿宋_GB2312" w:hAnsi="宋体" w:eastAsia="仿宋_GB2312"/>
          <w:szCs w:val="21"/>
        </w:rPr>
        <w:t xml:space="preserve">    根据上述政府采购合同文件要求，政府采购合同的总金额为人民币</w:t>
      </w:r>
      <w:r>
        <w:rPr>
          <w:rFonts w:hint="eastAsia" w:ascii="仿宋_GB2312" w:hAnsi="宋体" w:eastAsia="仿宋_GB2312"/>
          <w:szCs w:val="21"/>
          <w:u w:val="single"/>
        </w:rPr>
        <w:t xml:space="preserve">  （大写）                </w:t>
      </w:r>
      <w:r>
        <w:rPr>
          <w:rFonts w:hint="eastAsia" w:ascii="仿宋_GB2312" w:hAnsi="宋体" w:eastAsia="仿宋_GB2312"/>
          <w:szCs w:val="21"/>
        </w:rPr>
        <w:t xml:space="preserve"> 元。</w:t>
      </w:r>
    </w:p>
    <w:p>
      <w:pPr>
        <w:spacing w:line="360" w:lineRule="auto"/>
        <w:jc w:val="left"/>
        <w:rPr>
          <w:rFonts w:ascii="黑体" w:hAnsi="宋体" w:eastAsia="黑体"/>
          <w:b/>
          <w:szCs w:val="21"/>
        </w:rPr>
      </w:pPr>
      <w:r>
        <w:rPr>
          <w:rFonts w:hint="eastAsia" w:ascii="黑体" w:hAnsi="宋体" w:eastAsia="黑体"/>
          <w:b/>
          <w:szCs w:val="21"/>
        </w:rPr>
        <w:t>　  五、付款方式及条件</w:t>
      </w:r>
    </w:p>
    <w:p>
      <w:pPr>
        <w:spacing w:line="360" w:lineRule="auto"/>
        <w:jc w:val="left"/>
        <w:rPr>
          <w:rFonts w:ascii="黑体" w:hAnsi="宋体" w:eastAsia="黑体"/>
          <w:b/>
          <w:szCs w:val="21"/>
        </w:rPr>
      </w:pPr>
    </w:p>
    <w:p>
      <w:pPr>
        <w:spacing w:line="360" w:lineRule="auto"/>
        <w:jc w:val="left"/>
        <w:rPr>
          <w:rFonts w:ascii="仿宋_GB2312" w:hAnsi="宋体" w:eastAsia="仿宋_GB2312"/>
          <w:szCs w:val="21"/>
        </w:rPr>
      </w:pPr>
      <w:r>
        <w:rPr>
          <w:rFonts w:hint="eastAsia" w:ascii="黑体" w:hAnsi="宋体" w:eastAsia="黑体"/>
          <w:b/>
          <w:szCs w:val="21"/>
        </w:rPr>
        <w:t>　　六、服务时间和服务地点</w:t>
      </w:r>
      <w:r>
        <w:rPr>
          <w:rFonts w:hint="eastAsia" w:ascii="仿宋_GB2312" w:hAnsi="宋体" w:eastAsia="仿宋_GB2312"/>
          <w:szCs w:val="21"/>
        </w:rPr>
        <w:t xml:space="preserve">   </w:t>
      </w:r>
    </w:p>
    <w:p>
      <w:pPr>
        <w:spacing w:line="360" w:lineRule="auto"/>
        <w:jc w:val="left"/>
        <w:rPr>
          <w:rFonts w:ascii="仿宋_GB2312" w:hAnsi="宋体" w:eastAsia="仿宋_GB2312"/>
          <w:szCs w:val="21"/>
          <w:u w:val="single"/>
        </w:rPr>
      </w:pPr>
      <w:r>
        <w:rPr>
          <w:rFonts w:hint="eastAsia" w:ascii="仿宋_GB2312" w:hAnsi="宋体" w:eastAsia="仿宋_GB2312"/>
          <w:szCs w:val="21"/>
        </w:rPr>
        <w:t xml:space="preserve">    1.服务时间：</w:t>
      </w:r>
      <w:r>
        <w:rPr>
          <w:rFonts w:hint="eastAsia" w:ascii="仿宋_GB2312" w:hAnsi="宋体" w:eastAsia="仿宋_GB2312"/>
          <w:szCs w:val="21"/>
          <w:u w:val="single"/>
        </w:rPr>
        <w:t xml:space="preserve">        </w:t>
      </w:r>
    </w:p>
    <w:p>
      <w:pPr>
        <w:spacing w:line="360" w:lineRule="auto"/>
        <w:jc w:val="left"/>
        <w:rPr>
          <w:rFonts w:ascii="仿宋_GB2312" w:hAnsi="宋体" w:eastAsia="仿宋_GB2312"/>
          <w:szCs w:val="21"/>
          <w:u w:val="single"/>
        </w:rPr>
      </w:pPr>
      <w:r>
        <w:rPr>
          <w:rFonts w:hint="eastAsia" w:ascii="仿宋_GB2312" w:hAnsi="宋体" w:eastAsia="仿宋_GB2312"/>
          <w:szCs w:val="21"/>
        </w:rPr>
        <w:t xml:space="preserve">    2.服务地点：</w:t>
      </w:r>
      <w:r>
        <w:rPr>
          <w:rFonts w:hint="eastAsia" w:ascii="仿宋_GB2312" w:hAnsi="宋体" w:eastAsia="仿宋_GB2312"/>
          <w:szCs w:val="21"/>
          <w:u w:val="single"/>
        </w:rPr>
        <w:t xml:space="preserve">        </w:t>
      </w:r>
    </w:p>
    <w:p>
      <w:pPr>
        <w:spacing w:line="360" w:lineRule="auto"/>
        <w:jc w:val="left"/>
        <w:rPr>
          <w:rFonts w:ascii="黑体" w:hAnsi="宋体" w:eastAsia="黑体"/>
          <w:b/>
          <w:szCs w:val="21"/>
        </w:rPr>
      </w:pPr>
      <w:r>
        <w:rPr>
          <w:rFonts w:hint="eastAsia" w:ascii="黑体" w:hAnsi="宋体" w:eastAsia="黑体"/>
          <w:b/>
          <w:szCs w:val="21"/>
        </w:rPr>
        <w:t>　　七、验收要求</w:t>
      </w:r>
    </w:p>
    <w:p>
      <w:pPr>
        <w:spacing w:line="360" w:lineRule="auto"/>
        <w:jc w:val="left"/>
        <w:rPr>
          <w:rFonts w:ascii="仿宋_GB2312" w:hAnsi="宋体" w:eastAsia="仿宋_GB2312"/>
          <w:szCs w:val="21"/>
          <w:u w:val="single"/>
        </w:rPr>
      </w:pPr>
      <w:r>
        <w:rPr>
          <w:rFonts w:hint="eastAsia" w:ascii="黑体" w:hAnsi="宋体" w:eastAsia="黑体"/>
          <w:b/>
          <w:szCs w:val="21"/>
        </w:rPr>
        <w:t xml:space="preserve">    </w:t>
      </w:r>
      <w:r>
        <w:rPr>
          <w:rFonts w:hint="eastAsia" w:ascii="仿宋_GB2312" w:hAnsi="宋体" w:eastAsia="仿宋_GB2312"/>
          <w:szCs w:val="21"/>
        </w:rPr>
        <w:t>供方完全履行合同义务后，需方或需方的最终用户按照上述政府采购合同文件列明的标准进行验收，验收不合格的，供方需按照第八条的约定承担相应违约责任。</w:t>
      </w:r>
    </w:p>
    <w:p>
      <w:pPr>
        <w:spacing w:line="360" w:lineRule="auto"/>
        <w:jc w:val="left"/>
        <w:rPr>
          <w:rFonts w:ascii="黑体" w:hAnsi="宋体" w:eastAsia="黑体"/>
          <w:b/>
          <w:szCs w:val="21"/>
        </w:rPr>
      </w:pPr>
      <w:r>
        <w:rPr>
          <w:rFonts w:hint="eastAsia" w:ascii="黑体" w:hAnsi="宋体" w:eastAsia="黑体"/>
          <w:b/>
          <w:szCs w:val="21"/>
        </w:rPr>
        <w:t xml:space="preserve">    八、违约责任</w:t>
      </w:r>
    </w:p>
    <w:p>
      <w:pPr>
        <w:spacing w:line="360" w:lineRule="auto"/>
        <w:jc w:val="left"/>
        <w:rPr>
          <w:rFonts w:ascii="仿宋_GB2312" w:hAnsi="宋体" w:eastAsia="仿宋_GB2312"/>
          <w:szCs w:val="21"/>
        </w:rPr>
      </w:pPr>
      <w:r>
        <w:rPr>
          <w:rFonts w:hint="eastAsia" w:ascii="仿宋_GB2312" w:hAnsi="宋体" w:eastAsia="仿宋_GB2312"/>
          <w:szCs w:val="21"/>
        </w:rPr>
        <w:t xml:space="preserve">    1.供方逾期提供服务的，每逾期一天向需方支付合同金额</w:t>
      </w:r>
      <w:r>
        <w:rPr>
          <w:rFonts w:hint="eastAsia" w:ascii="仿宋_GB2312" w:hAnsi="宋体" w:eastAsia="仿宋_GB2312"/>
          <w:szCs w:val="21"/>
          <w:u w:val="single"/>
        </w:rPr>
        <w:t xml:space="preserve">  </w:t>
      </w:r>
      <w:r>
        <w:rPr>
          <w:rFonts w:hint="eastAsia" w:ascii="仿宋_GB2312" w:hAnsi="宋体" w:eastAsia="仿宋_GB2312"/>
          <w:szCs w:val="21"/>
        </w:rPr>
        <w:t>%的违约金，逾期</w:t>
      </w:r>
      <w:r>
        <w:rPr>
          <w:rFonts w:hint="eastAsia" w:ascii="仿宋_GB2312" w:hAnsi="宋体" w:eastAsia="仿宋_GB2312"/>
          <w:szCs w:val="21"/>
          <w:u w:val="single"/>
        </w:rPr>
        <w:t xml:space="preserve">  </w:t>
      </w:r>
      <w:r>
        <w:rPr>
          <w:rFonts w:hint="eastAsia" w:ascii="仿宋_GB2312" w:hAnsi="宋体" w:eastAsia="仿宋_GB2312"/>
          <w:szCs w:val="21"/>
        </w:rPr>
        <w:t>日的，需方有权单方面解除本协议。</w:t>
      </w:r>
    </w:p>
    <w:p>
      <w:pPr>
        <w:spacing w:line="360" w:lineRule="auto"/>
        <w:jc w:val="left"/>
        <w:rPr>
          <w:rFonts w:ascii="仿宋_GB2312" w:hAnsi="宋体" w:eastAsia="仿宋_GB2312"/>
          <w:szCs w:val="21"/>
        </w:rPr>
      </w:pPr>
      <w:r>
        <w:rPr>
          <w:rFonts w:hint="eastAsia" w:ascii="仿宋_GB2312" w:hAnsi="宋体" w:eastAsia="仿宋_GB2312"/>
          <w:szCs w:val="21"/>
        </w:rPr>
        <w:t xml:space="preserve">    2.供方提供的服务不符合约定的，需方有权向供方书面提出整改意见，供方需无条件整改至符合约定，自需方向供方提出书面意见之日起</w:t>
      </w:r>
      <w:r>
        <w:rPr>
          <w:rFonts w:hint="eastAsia" w:ascii="仿宋_GB2312" w:hAnsi="宋体" w:eastAsia="仿宋_GB2312"/>
          <w:szCs w:val="21"/>
          <w:u w:val="single"/>
        </w:rPr>
        <w:t xml:space="preserve">  </w:t>
      </w:r>
      <w:r>
        <w:rPr>
          <w:rFonts w:hint="eastAsia" w:ascii="仿宋_GB2312" w:hAnsi="宋体" w:eastAsia="仿宋_GB2312"/>
          <w:szCs w:val="21"/>
        </w:rPr>
        <w:t>日内，供方仍未整改或整改后服务仍不符合约定的，需方有权单方面解除本协议。</w:t>
      </w:r>
    </w:p>
    <w:p>
      <w:pPr>
        <w:spacing w:line="360" w:lineRule="auto"/>
        <w:jc w:val="left"/>
        <w:rPr>
          <w:rFonts w:ascii="仿宋_GB2312" w:hAnsi="宋体" w:eastAsia="仿宋_GB2312"/>
          <w:szCs w:val="21"/>
        </w:rPr>
      </w:pPr>
      <w:r>
        <w:rPr>
          <w:rFonts w:hint="eastAsia" w:ascii="仿宋_GB2312" w:hAnsi="宋体" w:eastAsia="仿宋_GB2312"/>
          <w:szCs w:val="21"/>
        </w:rPr>
        <w:t xml:space="preserve">    3.需方逾期付款的，每逾期一天向供方支付逾期金额</w:t>
      </w:r>
      <w:r>
        <w:rPr>
          <w:rFonts w:hint="eastAsia" w:ascii="仿宋_GB2312" w:hAnsi="宋体" w:eastAsia="仿宋_GB2312"/>
          <w:szCs w:val="21"/>
          <w:u w:val="single"/>
        </w:rPr>
        <w:t xml:space="preserve">  </w:t>
      </w:r>
      <w:r>
        <w:rPr>
          <w:rFonts w:hint="eastAsia" w:ascii="仿宋_GB2312" w:hAnsi="宋体" w:eastAsia="仿宋_GB2312"/>
          <w:szCs w:val="21"/>
        </w:rPr>
        <w:t>%的违约金，逾期</w:t>
      </w:r>
      <w:r>
        <w:rPr>
          <w:rFonts w:hint="eastAsia" w:ascii="仿宋_GB2312" w:hAnsi="宋体" w:eastAsia="仿宋_GB2312"/>
          <w:szCs w:val="21"/>
          <w:u w:val="single"/>
        </w:rPr>
        <w:t xml:space="preserve">  </w:t>
      </w:r>
      <w:r>
        <w:rPr>
          <w:rFonts w:hint="eastAsia" w:ascii="仿宋_GB2312" w:hAnsi="宋体" w:eastAsia="仿宋_GB2312"/>
          <w:szCs w:val="21"/>
        </w:rPr>
        <w:t>日的，供方有权单方面解除本协议。</w:t>
      </w:r>
    </w:p>
    <w:p>
      <w:pPr>
        <w:spacing w:line="360" w:lineRule="auto"/>
        <w:jc w:val="left"/>
        <w:rPr>
          <w:rFonts w:ascii="黑体" w:hAnsi="宋体" w:eastAsia="黑体"/>
          <w:b/>
          <w:szCs w:val="21"/>
        </w:rPr>
      </w:pPr>
      <w:r>
        <w:rPr>
          <w:rFonts w:hint="eastAsia" w:ascii="黑体" w:hAnsi="宋体" w:eastAsia="黑体"/>
          <w:b/>
          <w:szCs w:val="21"/>
        </w:rPr>
        <w:t xml:space="preserve">    九、争议解决</w:t>
      </w:r>
    </w:p>
    <w:p>
      <w:pPr>
        <w:spacing w:line="360" w:lineRule="auto"/>
        <w:jc w:val="left"/>
        <w:rPr>
          <w:rFonts w:ascii="仿宋_GB2312" w:hAnsi="宋体" w:eastAsia="仿宋_GB2312"/>
          <w:szCs w:val="21"/>
        </w:rPr>
      </w:pPr>
      <w:r>
        <w:rPr>
          <w:rFonts w:hint="eastAsia" w:ascii="仿宋_GB2312" w:hAnsi="宋体" w:eastAsia="仿宋_GB2312"/>
          <w:szCs w:val="21"/>
        </w:rPr>
        <w:t xml:space="preserve">    双方因履行本协议而产生的争议，应友好协商解决，协商不成的，任何一方可向需方所在地的人民法院提起诉讼。</w:t>
      </w:r>
    </w:p>
    <w:p>
      <w:pPr>
        <w:spacing w:line="360" w:lineRule="auto"/>
        <w:jc w:val="left"/>
        <w:rPr>
          <w:rFonts w:ascii="黑体" w:hAnsi="宋体" w:eastAsia="黑体"/>
          <w:b/>
          <w:szCs w:val="21"/>
        </w:rPr>
      </w:pPr>
      <w:r>
        <w:rPr>
          <w:rFonts w:hint="eastAsia" w:ascii="黑体" w:hAnsi="宋体" w:eastAsia="黑体"/>
          <w:b/>
          <w:szCs w:val="21"/>
        </w:rPr>
        <w:t xml:space="preserve">    十、合同生效</w:t>
      </w:r>
    </w:p>
    <w:p>
      <w:pPr>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本政府采购合同经双方授权代表签字盖章后生效。</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需方（公章）:                       供方(公章):</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法定代表人或授权代表人(签字):         法定代表人或授权代表人(签字):</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地址：</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地址：</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rPr>
      </w:pPr>
      <w:r>
        <w:rPr>
          <w:rFonts w:hint="eastAsia" w:ascii="仿宋_GB2312" w:hAnsi="Lucida Sans Unicode" w:eastAsia="仿宋_GB2312" w:cs="Lucida Sans Unicode"/>
          <w:szCs w:val="21"/>
        </w:rPr>
        <w:t>联系人：</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联系人：</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电话：</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电话：</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传真：</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传真：</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邮编：</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邮编：</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日期：</w:t>
      </w:r>
      <w:r>
        <w:rPr>
          <w:rFonts w:hint="eastAsia" w:ascii="仿宋_GB2312" w:hAnsi="Lucida Sans Unicode" w:eastAsia="仿宋_GB2312" w:cs="Lucida Sans Unicode"/>
          <w:szCs w:val="21"/>
          <w:u w:val="single"/>
        </w:rPr>
        <w:t xml:space="preserve">      年      月      日</w:t>
      </w:r>
      <w:r>
        <w:rPr>
          <w:rFonts w:hint="eastAsia" w:ascii="仿宋_GB2312" w:hAnsi="Lucida Sans Unicode" w:eastAsia="仿宋_GB2312" w:cs="Lucida Sans Unicode"/>
          <w:szCs w:val="21"/>
        </w:rPr>
        <w:t xml:space="preserve">      日期：</w:t>
      </w:r>
      <w:r>
        <w:rPr>
          <w:rFonts w:hint="eastAsia" w:ascii="仿宋_GB2312" w:hAnsi="Lucida Sans Unicode" w:eastAsia="仿宋_GB2312" w:cs="Lucida Sans Unicode"/>
          <w:szCs w:val="21"/>
          <w:u w:val="single"/>
        </w:rPr>
        <w:t xml:space="preserve">       年      月     日</w:t>
      </w:r>
    </w:p>
    <w:p/>
    <w:p>
      <w:pPr>
        <w:adjustRightInd w:val="0"/>
        <w:snapToGrid w:val="0"/>
        <w:spacing w:line="360" w:lineRule="auto"/>
        <w:rPr>
          <w:rFonts w:ascii="仿宋_GB2312" w:hAnsi="仿宋_GB2312" w:eastAsia="仿宋_GB2312" w:cs="仿宋_GB2312"/>
          <w:szCs w:val="21"/>
          <w:u w:val="single"/>
        </w:rPr>
      </w:pPr>
    </w:p>
    <w:p>
      <w:pPr>
        <w:wordWrap w:val="0"/>
        <w:adjustRightInd w:val="0"/>
        <w:snapToGrid w:val="0"/>
        <w:spacing w:line="360" w:lineRule="auto"/>
        <w:jc w:val="right"/>
        <w:rPr>
          <w:rFonts w:ascii="仿宋_GB2312" w:hAnsi="仿宋_GB2312" w:eastAsia="仿宋_GB2312" w:cs="仿宋_GB2312"/>
          <w:szCs w:val="21"/>
        </w:rPr>
      </w:pPr>
    </w:p>
    <w:p>
      <w:pPr>
        <w:wordWrap w:val="0"/>
        <w:adjustRightInd w:val="0"/>
        <w:snapToGrid w:val="0"/>
        <w:spacing w:line="360" w:lineRule="auto"/>
        <w:jc w:val="right"/>
        <w:rPr>
          <w:rFonts w:ascii="仿宋_GB2312" w:hAnsi="仿宋_GB2312" w:eastAsia="仿宋_GB2312" w:cs="仿宋_GB2312"/>
          <w:szCs w:val="21"/>
        </w:rPr>
      </w:pPr>
    </w:p>
    <w:sectPr>
      <w:pgSz w:w="11906" w:h="16838"/>
      <w:pgMar w:top="1440" w:right="1803" w:bottom="1440" w:left="1803"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12</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2B21B"/>
    <w:multiLevelType w:val="singleLevel"/>
    <w:tmpl w:val="8642B21B"/>
    <w:lvl w:ilvl="0" w:tentative="0">
      <w:start w:val="16"/>
      <w:numFmt w:val="decimal"/>
      <w:lvlText w:val="%1."/>
      <w:lvlJc w:val="left"/>
      <w:pPr>
        <w:tabs>
          <w:tab w:val="left" w:pos="312"/>
        </w:tabs>
      </w:pPr>
    </w:lvl>
  </w:abstractNum>
  <w:abstractNum w:abstractNumId="1">
    <w:nsid w:val="8D7800A4"/>
    <w:multiLevelType w:val="singleLevel"/>
    <w:tmpl w:val="8D7800A4"/>
    <w:lvl w:ilvl="0" w:tentative="0">
      <w:start w:val="1"/>
      <w:numFmt w:val="chineseCounting"/>
      <w:suff w:val="space"/>
      <w:lvlText w:val="第%1章"/>
      <w:lvlJc w:val="left"/>
      <w:rPr>
        <w:rFonts w:hint="eastAsia"/>
      </w:rPr>
    </w:lvl>
  </w:abstractNum>
  <w:abstractNum w:abstractNumId="2">
    <w:nsid w:val="9300BFDD"/>
    <w:multiLevelType w:val="singleLevel"/>
    <w:tmpl w:val="9300BFDD"/>
    <w:lvl w:ilvl="0" w:tentative="0">
      <w:start w:val="3"/>
      <w:numFmt w:val="decimal"/>
      <w:lvlText w:val="%1."/>
      <w:lvlJc w:val="left"/>
      <w:pPr>
        <w:tabs>
          <w:tab w:val="left" w:pos="312"/>
        </w:tabs>
      </w:pPr>
    </w:lvl>
  </w:abstractNum>
  <w:abstractNum w:abstractNumId="3">
    <w:nsid w:val="B9A1E8D1"/>
    <w:multiLevelType w:val="singleLevel"/>
    <w:tmpl w:val="B9A1E8D1"/>
    <w:lvl w:ilvl="0" w:tentative="0">
      <w:start w:val="1"/>
      <w:numFmt w:val="decimal"/>
      <w:suff w:val="nothing"/>
      <w:lvlText w:val="（%1）"/>
      <w:lvlJc w:val="left"/>
    </w:lvl>
  </w:abstractNum>
  <w:abstractNum w:abstractNumId="4">
    <w:nsid w:val="E2420D4D"/>
    <w:multiLevelType w:val="singleLevel"/>
    <w:tmpl w:val="E2420D4D"/>
    <w:lvl w:ilvl="0" w:tentative="0">
      <w:start w:val="4"/>
      <w:numFmt w:val="decimal"/>
      <w:suff w:val="nothing"/>
      <w:lvlText w:val="%1、"/>
      <w:lvlJc w:val="left"/>
      <w:pPr>
        <w:ind w:left="210" w:firstLine="0"/>
      </w:pPr>
    </w:lvl>
  </w:abstractNum>
  <w:abstractNum w:abstractNumId="5">
    <w:nsid w:val="27E8E525"/>
    <w:multiLevelType w:val="singleLevel"/>
    <w:tmpl w:val="27E8E525"/>
    <w:lvl w:ilvl="0" w:tentative="0">
      <w:start w:val="1"/>
      <w:numFmt w:val="decimal"/>
      <w:suff w:val="nothing"/>
      <w:lvlText w:val="（%1）"/>
      <w:lvlJc w:val="left"/>
    </w:lvl>
  </w:abstractNum>
  <w:abstractNum w:abstractNumId="6">
    <w:nsid w:val="420C153B"/>
    <w:multiLevelType w:val="multilevel"/>
    <w:tmpl w:val="420C153B"/>
    <w:lvl w:ilvl="0" w:tentative="0">
      <w:start w:val="1"/>
      <w:numFmt w:val="decimal"/>
      <w:pStyle w:val="2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8">
    <w:nsid w:val="5959DA9D"/>
    <w:multiLevelType w:val="singleLevel"/>
    <w:tmpl w:val="5959DA9D"/>
    <w:lvl w:ilvl="0" w:tentative="0">
      <w:start w:val="1"/>
      <w:numFmt w:val="decimal"/>
      <w:suff w:val="nothing"/>
      <w:lvlText w:val="(%1)"/>
      <w:lvlJc w:val="left"/>
    </w:lvl>
  </w:abstractNum>
  <w:abstractNum w:abstractNumId="9">
    <w:nsid w:val="7B4156D0"/>
    <w:multiLevelType w:val="singleLevel"/>
    <w:tmpl w:val="7B4156D0"/>
    <w:lvl w:ilvl="0" w:tentative="0">
      <w:start w:val="1"/>
      <w:numFmt w:val="decimal"/>
      <w:suff w:val="nothing"/>
      <w:lvlText w:val="（%1）"/>
      <w:lvlJc w:val="left"/>
    </w:lvl>
  </w:abstractNum>
  <w:num w:numId="1">
    <w:abstractNumId w:val="6"/>
  </w:num>
  <w:num w:numId="2">
    <w:abstractNumId w:val="4"/>
  </w:num>
  <w:num w:numId="3">
    <w:abstractNumId w:val="1"/>
  </w:num>
  <w:num w:numId="4">
    <w:abstractNumId w:val="0"/>
  </w:num>
  <w:num w:numId="5">
    <w:abstractNumId w:val="3"/>
  </w:num>
  <w:num w:numId="6">
    <w:abstractNumId w:val="2"/>
  </w:num>
  <w:num w:numId="7">
    <w:abstractNumId w:val="5"/>
  </w:num>
  <w:num w:numId="8">
    <w:abstractNumId w:val="9"/>
  </w:num>
  <w:num w:numId="9">
    <w:abstractNumId w:val="8"/>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YzkyNzM1NjhhMjQyMmQ5OWZlMDc5NTI5ZjA1MDIifQ=="/>
  </w:docVars>
  <w:rsids>
    <w:rsidRoot w:val="35AB3B2B"/>
    <w:rsid w:val="000112BA"/>
    <w:rsid w:val="00012C54"/>
    <w:rsid w:val="0001352F"/>
    <w:rsid w:val="000268C8"/>
    <w:rsid w:val="00031AC7"/>
    <w:rsid w:val="00046429"/>
    <w:rsid w:val="00063356"/>
    <w:rsid w:val="0007057C"/>
    <w:rsid w:val="00084E5A"/>
    <w:rsid w:val="00096E47"/>
    <w:rsid w:val="0009731D"/>
    <w:rsid w:val="000B13E4"/>
    <w:rsid w:val="000C0E37"/>
    <w:rsid w:val="000D1063"/>
    <w:rsid w:val="000E6314"/>
    <w:rsid w:val="000F5EC2"/>
    <w:rsid w:val="000F6EAA"/>
    <w:rsid w:val="001015DF"/>
    <w:rsid w:val="00110B2A"/>
    <w:rsid w:val="00124CB1"/>
    <w:rsid w:val="0013522F"/>
    <w:rsid w:val="0015632D"/>
    <w:rsid w:val="001612AD"/>
    <w:rsid w:val="001706A3"/>
    <w:rsid w:val="00170858"/>
    <w:rsid w:val="0018626B"/>
    <w:rsid w:val="00186430"/>
    <w:rsid w:val="00193BD6"/>
    <w:rsid w:val="001966CB"/>
    <w:rsid w:val="001D014E"/>
    <w:rsid w:val="001D74B3"/>
    <w:rsid w:val="001E311A"/>
    <w:rsid w:val="001E710F"/>
    <w:rsid w:val="001F2569"/>
    <w:rsid w:val="001F33B0"/>
    <w:rsid w:val="00210A2E"/>
    <w:rsid w:val="00211D5F"/>
    <w:rsid w:val="00213645"/>
    <w:rsid w:val="0022058A"/>
    <w:rsid w:val="002267F4"/>
    <w:rsid w:val="00234505"/>
    <w:rsid w:val="0025299C"/>
    <w:rsid w:val="00254496"/>
    <w:rsid w:val="002664FC"/>
    <w:rsid w:val="0026766D"/>
    <w:rsid w:val="002759FF"/>
    <w:rsid w:val="00282DFB"/>
    <w:rsid w:val="002E464C"/>
    <w:rsid w:val="002F1EE1"/>
    <w:rsid w:val="003074CB"/>
    <w:rsid w:val="00331217"/>
    <w:rsid w:val="00334518"/>
    <w:rsid w:val="00341F18"/>
    <w:rsid w:val="00346265"/>
    <w:rsid w:val="003574AB"/>
    <w:rsid w:val="00362F2A"/>
    <w:rsid w:val="00363498"/>
    <w:rsid w:val="003640E2"/>
    <w:rsid w:val="003678C9"/>
    <w:rsid w:val="00382F03"/>
    <w:rsid w:val="0039123C"/>
    <w:rsid w:val="003F5979"/>
    <w:rsid w:val="00403FF0"/>
    <w:rsid w:val="00440750"/>
    <w:rsid w:val="00453668"/>
    <w:rsid w:val="00462999"/>
    <w:rsid w:val="00465F3E"/>
    <w:rsid w:val="0047528E"/>
    <w:rsid w:val="004E3769"/>
    <w:rsid w:val="004F2CBB"/>
    <w:rsid w:val="005063EE"/>
    <w:rsid w:val="005378A0"/>
    <w:rsid w:val="00543C32"/>
    <w:rsid w:val="00543F74"/>
    <w:rsid w:val="005448D6"/>
    <w:rsid w:val="00565436"/>
    <w:rsid w:val="0057540F"/>
    <w:rsid w:val="00580B35"/>
    <w:rsid w:val="00585C7B"/>
    <w:rsid w:val="00592BFE"/>
    <w:rsid w:val="005A112A"/>
    <w:rsid w:val="005B5A1D"/>
    <w:rsid w:val="00620B1E"/>
    <w:rsid w:val="006358C4"/>
    <w:rsid w:val="00640FCC"/>
    <w:rsid w:val="00647AB6"/>
    <w:rsid w:val="00647C31"/>
    <w:rsid w:val="00650E82"/>
    <w:rsid w:val="00664A63"/>
    <w:rsid w:val="00665B62"/>
    <w:rsid w:val="00675EBF"/>
    <w:rsid w:val="00681AA3"/>
    <w:rsid w:val="00684E56"/>
    <w:rsid w:val="00694FB3"/>
    <w:rsid w:val="00696DCE"/>
    <w:rsid w:val="006B7FD6"/>
    <w:rsid w:val="006C44B1"/>
    <w:rsid w:val="006C67A0"/>
    <w:rsid w:val="006E3FA8"/>
    <w:rsid w:val="006E4228"/>
    <w:rsid w:val="007000C6"/>
    <w:rsid w:val="00701BE8"/>
    <w:rsid w:val="00702A69"/>
    <w:rsid w:val="007108AF"/>
    <w:rsid w:val="007179E7"/>
    <w:rsid w:val="007307D9"/>
    <w:rsid w:val="007358B6"/>
    <w:rsid w:val="00740856"/>
    <w:rsid w:val="00772CBE"/>
    <w:rsid w:val="00777049"/>
    <w:rsid w:val="0077749F"/>
    <w:rsid w:val="00786C98"/>
    <w:rsid w:val="007A2A67"/>
    <w:rsid w:val="007C439F"/>
    <w:rsid w:val="007C47D0"/>
    <w:rsid w:val="007D1608"/>
    <w:rsid w:val="007D2BE2"/>
    <w:rsid w:val="007E4F86"/>
    <w:rsid w:val="00816BC1"/>
    <w:rsid w:val="008227F0"/>
    <w:rsid w:val="008348F9"/>
    <w:rsid w:val="00855113"/>
    <w:rsid w:val="008730D3"/>
    <w:rsid w:val="008977EC"/>
    <w:rsid w:val="008A4B74"/>
    <w:rsid w:val="008C16CF"/>
    <w:rsid w:val="008F3176"/>
    <w:rsid w:val="0090354B"/>
    <w:rsid w:val="00922894"/>
    <w:rsid w:val="00952514"/>
    <w:rsid w:val="00996FA8"/>
    <w:rsid w:val="009C3508"/>
    <w:rsid w:val="009C3AA5"/>
    <w:rsid w:val="009C559E"/>
    <w:rsid w:val="009D4893"/>
    <w:rsid w:val="00A11BD5"/>
    <w:rsid w:val="00A1544B"/>
    <w:rsid w:val="00A17D78"/>
    <w:rsid w:val="00A231BF"/>
    <w:rsid w:val="00A338A0"/>
    <w:rsid w:val="00A33BC1"/>
    <w:rsid w:val="00A42E88"/>
    <w:rsid w:val="00A6581E"/>
    <w:rsid w:val="00A87EA9"/>
    <w:rsid w:val="00A963CF"/>
    <w:rsid w:val="00AA6028"/>
    <w:rsid w:val="00AA67B4"/>
    <w:rsid w:val="00AB6187"/>
    <w:rsid w:val="00AC6B76"/>
    <w:rsid w:val="00AF165E"/>
    <w:rsid w:val="00AF263F"/>
    <w:rsid w:val="00AF42CF"/>
    <w:rsid w:val="00AF6F09"/>
    <w:rsid w:val="00B10615"/>
    <w:rsid w:val="00B15A2D"/>
    <w:rsid w:val="00B203C4"/>
    <w:rsid w:val="00B41AFA"/>
    <w:rsid w:val="00B56F43"/>
    <w:rsid w:val="00B57337"/>
    <w:rsid w:val="00B825B8"/>
    <w:rsid w:val="00B85916"/>
    <w:rsid w:val="00B915DB"/>
    <w:rsid w:val="00BA564F"/>
    <w:rsid w:val="00BB7DB0"/>
    <w:rsid w:val="00BC054B"/>
    <w:rsid w:val="00BC12D7"/>
    <w:rsid w:val="00BD7B34"/>
    <w:rsid w:val="00C01B5F"/>
    <w:rsid w:val="00C114CA"/>
    <w:rsid w:val="00C1167D"/>
    <w:rsid w:val="00C1525D"/>
    <w:rsid w:val="00C36FAC"/>
    <w:rsid w:val="00C44A20"/>
    <w:rsid w:val="00C75300"/>
    <w:rsid w:val="00C85603"/>
    <w:rsid w:val="00C90727"/>
    <w:rsid w:val="00CF17C7"/>
    <w:rsid w:val="00D06610"/>
    <w:rsid w:val="00D17298"/>
    <w:rsid w:val="00D2136C"/>
    <w:rsid w:val="00D4010D"/>
    <w:rsid w:val="00D67E77"/>
    <w:rsid w:val="00D942B1"/>
    <w:rsid w:val="00DA6197"/>
    <w:rsid w:val="00DA65A0"/>
    <w:rsid w:val="00DA7474"/>
    <w:rsid w:val="00DB10A5"/>
    <w:rsid w:val="00DB41F3"/>
    <w:rsid w:val="00DC5BC4"/>
    <w:rsid w:val="00DD58A0"/>
    <w:rsid w:val="00DE4330"/>
    <w:rsid w:val="00DE58B1"/>
    <w:rsid w:val="00DF2F6E"/>
    <w:rsid w:val="00E27986"/>
    <w:rsid w:val="00E31360"/>
    <w:rsid w:val="00E34C56"/>
    <w:rsid w:val="00E418E9"/>
    <w:rsid w:val="00E542C7"/>
    <w:rsid w:val="00E55B1C"/>
    <w:rsid w:val="00E67AE6"/>
    <w:rsid w:val="00E77349"/>
    <w:rsid w:val="00E84E0C"/>
    <w:rsid w:val="00E865A7"/>
    <w:rsid w:val="00E90E2F"/>
    <w:rsid w:val="00ED6C37"/>
    <w:rsid w:val="00F20EC2"/>
    <w:rsid w:val="00F21271"/>
    <w:rsid w:val="00F31CE7"/>
    <w:rsid w:val="00F34C9A"/>
    <w:rsid w:val="00F357FC"/>
    <w:rsid w:val="00F77D36"/>
    <w:rsid w:val="00FA3A95"/>
    <w:rsid w:val="00FC6375"/>
    <w:rsid w:val="00FD0881"/>
    <w:rsid w:val="00FD52C9"/>
    <w:rsid w:val="00FE51B6"/>
    <w:rsid w:val="00FF1CBA"/>
    <w:rsid w:val="01007E42"/>
    <w:rsid w:val="01026223"/>
    <w:rsid w:val="01275D20"/>
    <w:rsid w:val="01583385"/>
    <w:rsid w:val="017734C4"/>
    <w:rsid w:val="01864D83"/>
    <w:rsid w:val="019A5532"/>
    <w:rsid w:val="019B685C"/>
    <w:rsid w:val="02044F27"/>
    <w:rsid w:val="0238643A"/>
    <w:rsid w:val="024A2175"/>
    <w:rsid w:val="028D3811"/>
    <w:rsid w:val="029E7AD0"/>
    <w:rsid w:val="02F545EC"/>
    <w:rsid w:val="02FA30D3"/>
    <w:rsid w:val="03090322"/>
    <w:rsid w:val="032759B1"/>
    <w:rsid w:val="03A07AD7"/>
    <w:rsid w:val="03BF5C9E"/>
    <w:rsid w:val="0439713F"/>
    <w:rsid w:val="047A0AE3"/>
    <w:rsid w:val="04AC72EC"/>
    <w:rsid w:val="05190704"/>
    <w:rsid w:val="057B7AFF"/>
    <w:rsid w:val="0580226C"/>
    <w:rsid w:val="05AA531D"/>
    <w:rsid w:val="05CD3179"/>
    <w:rsid w:val="05D067D9"/>
    <w:rsid w:val="063302DF"/>
    <w:rsid w:val="06750C66"/>
    <w:rsid w:val="06C35F8E"/>
    <w:rsid w:val="06DB7470"/>
    <w:rsid w:val="06E51B6B"/>
    <w:rsid w:val="06EF58D3"/>
    <w:rsid w:val="07116147"/>
    <w:rsid w:val="07445F64"/>
    <w:rsid w:val="075E76FE"/>
    <w:rsid w:val="079B0BC0"/>
    <w:rsid w:val="085241F0"/>
    <w:rsid w:val="0855720F"/>
    <w:rsid w:val="085B4F44"/>
    <w:rsid w:val="088D5F5C"/>
    <w:rsid w:val="08C005A2"/>
    <w:rsid w:val="08EB30F4"/>
    <w:rsid w:val="09037F14"/>
    <w:rsid w:val="090833CC"/>
    <w:rsid w:val="091A2992"/>
    <w:rsid w:val="096D5AA7"/>
    <w:rsid w:val="0997077C"/>
    <w:rsid w:val="09B12107"/>
    <w:rsid w:val="09E0143B"/>
    <w:rsid w:val="09FD11BF"/>
    <w:rsid w:val="0A260FC3"/>
    <w:rsid w:val="0A2B6A3F"/>
    <w:rsid w:val="0A540B39"/>
    <w:rsid w:val="0A611299"/>
    <w:rsid w:val="0AB823C4"/>
    <w:rsid w:val="0ACA4546"/>
    <w:rsid w:val="0ADE3B76"/>
    <w:rsid w:val="0B4278E4"/>
    <w:rsid w:val="0BA525D8"/>
    <w:rsid w:val="0BD10048"/>
    <w:rsid w:val="0BD50CE3"/>
    <w:rsid w:val="0C2F6006"/>
    <w:rsid w:val="0C392C1F"/>
    <w:rsid w:val="0C426CB3"/>
    <w:rsid w:val="0C5056AF"/>
    <w:rsid w:val="0C5B37C6"/>
    <w:rsid w:val="0C5B3F21"/>
    <w:rsid w:val="0C602928"/>
    <w:rsid w:val="0C8352C9"/>
    <w:rsid w:val="0C88726E"/>
    <w:rsid w:val="0CCB7B51"/>
    <w:rsid w:val="0CD83AA7"/>
    <w:rsid w:val="0D08638B"/>
    <w:rsid w:val="0D566496"/>
    <w:rsid w:val="0D7C6716"/>
    <w:rsid w:val="0DC134A7"/>
    <w:rsid w:val="0E014932"/>
    <w:rsid w:val="0E155B5A"/>
    <w:rsid w:val="0E4D03C4"/>
    <w:rsid w:val="0E512BF8"/>
    <w:rsid w:val="0EEF4264"/>
    <w:rsid w:val="0EF20E9B"/>
    <w:rsid w:val="0EF46240"/>
    <w:rsid w:val="0EFA5499"/>
    <w:rsid w:val="0F296557"/>
    <w:rsid w:val="0F465E03"/>
    <w:rsid w:val="0F681E22"/>
    <w:rsid w:val="0F6C20F8"/>
    <w:rsid w:val="0F9262E5"/>
    <w:rsid w:val="0FEE60A0"/>
    <w:rsid w:val="100B5B75"/>
    <w:rsid w:val="10390CED"/>
    <w:rsid w:val="108D7FEC"/>
    <w:rsid w:val="10A15F20"/>
    <w:rsid w:val="10C34A85"/>
    <w:rsid w:val="10CF5A23"/>
    <w:rsid w:val="10DD3E24"/>
    <w:rsid w:val="10EB0A61"/>
    <w:rsid w:val="10F96CD3"/>
    <w:rsid w:val="110D477C"/>
    <w:rsid w:val="11230728"/>
    <w:rsid w:val="11301804"/>
    <w:rsid w:val="117E3EBF"/>
    <w:rsid w:val="11967974"/>
    <w:rsid w:val="11A63895"/>
    <w:rsid w:val="11AA0E33"/>
    <w:rsid w:val="11D465DE"/>
    <w:rsid w:val="11DE5C6A"/>
    <w:rsid w:val="11F35E10"/>
    <w:rsid w:val="121E003E"/>
    <w:rsid w:val="123238F4"/>
    <w:rsid w:val="124E6914"/>
    <w:rsid w:val="12545C6B"/>
    <w:rsid w:val="127A62D0"/>
    <w:rsid w:val="12BA51F9"/>
    <w:rsid w:val="12D84CD4"/>
    <w:rsid w:val="12F51579"/>
    <w:rsid w:val="12F64150"/>
    <w:rsid w:val="12FD7CCA"/>
    <w:rsid w:val="13042B7A"/>
    <w:rsid w:val="13086650"/>
    <w:rsid w:val="131909C4"/>
    <w:rsid w:val="13631AD8"/>
    <w:rsid w:val="137139DD"/>
    <w:rsid w:val="13C139AF"/>
    <w:rsid w:val="13E01C4A"/>
    <w:rsid w:val="13F761E0"/>
    <w:rsid w:val="14103A0E"/>
    <w:rsid w:val="14333776"/>
    <w:rsid w:val="143A679C"/>
    <w:rsid w:val="144E16AB"/>
    <w:rsid w:val="144F6715"/>
    <w:rsid w:val="145843FC"/>
    <w:rsid w:val="147A16BB"/>
    <w:rsid w:val="149B6817"/>
    <w:rsid w:val="14AA5797"/>
    <w:rsid w:val="156600AB"/>
    <w:rsid w:val="15667555"/>
    <w:rsid w:val="157E3E54"/>
    <w:rsid w:val="157F26C3"/>
    <w:rsid w:val="15A97268"/>
    <w:rsid w:val="15CF1DD7"/>
    <w:rsid w:val="15E224A7"/>
    <w:rsid w:val="16150220"/>
    <w:rsid w:val="164342FA"/>
    <w:rsid w:val="165770B0"/>
    <w:rsid w:val="16635F8A"/>
    <w:rsid w:val="16A22BEB"/>
    <w:rsid w:val="16CB645F"/>
    <w:rsid w:val="16D743AB"/>
    <w:rsid w:val="16D904DF"/>
    <w:rsid w:val="171149C7"/>
    <w:rsid w:val="171820A2"/>
    <w:rsid w:val="1754181D"/>
    <w:rsid w:val="17571001"/>
    <w:rsid w:val="17707BBF"/>
    <w:rsid w:val="17776970"/>
    <w:rsid w:val="179E6119"/>
    <w:rsid w:val="17BA1FA3"/>
    <w:rsid w:val="17CF624F"/>
    <w:rsid w:val="18106EC5"/>
    <w:rsid w:val="181270D8"/>
    <w:rsid w:val="183A7AB3"/>
    <w:rsid w:val="18402742"/>
    <w:rsid w:val="185C4B83"/>
    <w:rsid w:val="190136C6"/>
    <w:rsid w:val="190C0B53"/>
    <w:rsid w:val="190F07E6"/>
    <w:rsid w:val="195924DA"/>
    <w:rsid w:val="19AD3DF7"/>
    <w:rsid w:val="19B50D0C"/>
    <w:rsid w:val="1A40548D"/>
    <w:rsid w:val="1ACA77FB"/>
    <w:rsid w:val="1ACC5BF8"/>
    <w:rsid w:val="1AD774CB"/>
    <w:rsid w:val="1B1E67F8"/>
    <w:rsid w:val="1B200CF6"/>
    <w:rsid w:val="1B390BDC"/>
    <w:rsid w:val="1B6F3710"/>
    <w:rsid w:val="1B7900EB"/>
    <w:rsid w:val="1B8E7170"/>
    <w:rsid w:val="1BC73E1F"/>
    <w:rsid w:val="1BE0443F"/>
    <w:rsid w:val="1C471722"/>
    <w:rsid w:val="1C5C588F"/>
    <w:rsid w:val="1C970C7C"/>
    <w:rsid w:val="1C983F97"/>
    <w:rsid w:val="1CB1569A"/>
    <w:rsid w:val="1CB313F6"/>
    <w:rsid w:val="1CBE4B4B"/>
    <w:rsid w:val="1CEF0D6A"/>
    <w:rsid w:val="1CF26A5C"/>
    <w:rsid w:val="1CFB6B14"/>
    <w:rsid w:val="1D3C45B0"/>
    <w:rsid w:val="1D4028B0"/>
    <w:rsid w:val="1D8A35A8"/>
    <w:rsid w:val="1DDD1DE6"/>
    <w:rsid w:val="1E00462C"/>
    <w:rsid w:val="1E1C5E73"/>
    <w:rsid w:val="1E282FF3"/>
    <w:rsid w:val="1E2B39B6"/>
    <w:rsid w:val="1E3D5BFF"/>
    <w:rsid w:val="1E3F5B0A"/>
    <w:rsid w:val="1E402DD2"/>
    <w:rsid w:val="1E5B585E"/>
    <w:rsid w:val="1E703E54"/>
    <w:rsid w:val="1E8303B8"/>
    <w:rsid w:val="1EA0459D"/>
    <w:rsid w:val="1EA62DBC"/>
    <w:rsid w:val="1EB21D4C"/>
    <w:rsid w:val="1ECC5D06"/>
    <w:rsid w:val="1ED42809"/>
    <w:rsid w:val="1F384EA1"/>
    <w:rsid w:val="1F6A2CF4"/>
    <w:rsid w:val="1F9F2549"/>
    <w:rsid w:val="1FB42F8C"/>
    <w:rsid w:val="1FC374ED"/>
    <w:rsid w:val="1FCC5382"/>
    <w:rsid w:val="1FF71BD2"/>
    <w:rsid w:val="1FFD6FC8"/>
    <w:rsid w:val="1FFE591E"/>
    <w:rsid w:val="202279CC"/>
    <w:rsid w:val="20441B19"/>
    <w:rsid w:val="20520281"/>
    <w:rsid w:val="20663493"/>
    <w:rsid w:val="2069018D"/>
    <w:rsid w:val="20940B18"/>
    <w:rsid w:val="20A0219D"/>
    <w:rsid w:val="20B87A68"/>
    <w:rsid w:val="20BF45FE"/>
    <w:rsid w:val="20C6666F"/>
    <w:rsid w:val="20C70459"/>
    <w:rsid w:val="20D34E96"/>
    <w:rsid w:val="2102069D"/>
    <w:rsid w:val="21082292"/>
    <w:rsid w:val="213E3E63"/>
    <w:rsid w:val="214C6062"/>
    <w:rsid w:val="2153537F"/>
    <w:rsid w:val="217F6F47"/>
    <w:rsid w:val="217F7DC8"/>
    <w:rsid w:val="21C9221A"/>
    <w:rsid w:val="22160B82"/>
    <w:rsid w:val="223F3F77"/>
    <w:rsid w:val="2297314D"/>
    <w:rsid w:val="229F23A9"/>
    <w:rsid w:val="22A279E3"/>
    <w:rsid w:val="22BA2B41"/>
    <w:rsid w:val="22BF0053"/>
    <w:rsid w:val="22D26F9A"/>
    <w:rsid w:val="230706D2"/>
    <w:rsid w:val="23561695"/>
    <w:rsid w:val="23886FC3"/>
    <w:rsid w:val="23B12896"/>
    <w:rsid w:val="23CB0902"/>
    <w:rsid w:val="23F316BB"/>
    <w:rsid w:val="24763848"/>
    <w:rsid w:val="247C12B5"/>
    <w:rsid w:val="24827E18"/>
    <w:rsid w:val="24880FB1"/>
    <w:rsid w:val="24963225"/>
    <w:rsid w:val="24DF6949"/>
    <w:rsid w:val="2513393D"/>
    <w:rsid w:val="253353F5"/>
    <w:rsid w:val="25377C12"/>
    <w:rsid w:val="25787665"/>
    <w:rsid w:val="25902E9C"/>
    <w:rsid w:val="25B0273C"/>
    <w:rsid w:val="25D45C3E"/>
    <w:rsid w:val="25DD61F7"/>
    <w:rsid w:val="25E81861"/>
    <w:rsid w:val="26034EF6"/>
    <w:rsid w:val="260E6047"/>
    <w:rsid w:val="261875AF"/>
    <w:rsid w:val="26195E0C"/>
    <w:rsid w:val="263D5C2C"/>
    <w:rsid w:val="26AF716B"/>
    <w:rsid w:val="26D4301E"/>
    <w:rsid w:val="26E17A5C"/>
    <w:rsid w:val="27206942"/>
    <w:rsid w:val="273C76A0"/>
    <w:rsid w:val="27437FDF"/>
    <w:rsid w:val="276E7580"/>
    <w:rsid w:val="279E1806"/>
    <w:rsid w:val="279F27E3"/>
    <w:rsid w:val="27AF28A1"/>
    <w:rsid w:val="27D67955"/>
    <w:rsid w:val="281E11E4"/>
    <w:rsid w:val="284D1502"/>
    <w:rsid w:val="28723FA4"/>
    <w:rsid w:val="28B92147"/>
    <w:rsid w:val="28F321E9"/>
    <w:rsid w:val="293624BD"/>
    <w:rsid w:val="294D49C5"/>
    <w:rsid w:val="29BA0A21"/>
    <w:rsid w:val="29BE1781"/>
    <w:rsid w:val="2A19597B"/>
    <w:rsid w:val="2A23324E"/>
    <w:rsid w:val="2A461D15"/>
    <w:rsid w:val="2A6C2D68"/>
    <w:rsid w:val="2A7439F6"/>
    <w:rsid w:val="2ABC1DA2"/>
    <w:rsid w:val="2AFD4EC5"/>
    <w:rsid w:val="2AFF1738"/>
    <w:rsid w:val="2B046437"/>
    <w:rsid w:val="2B1B420B"/>
    <w:rsid w:val="2B1C14AB"/>
    <w:rsid w:val="2B376F2C"/>
    <w:rsid w:val="2B417276"/>
    <w:rsid w:val="2B5A5895"/>
    <w:rsid w:val="2B652539"/>
    <w:rsid w:val="2BCA5B56"/>
    <w:rsid w:val="2C4D60B7"/>
    <w:rsid w:val="2C852F06"/>
    <w:rsid w:val="2C8774D1"/>
    <w:rsid w:val="2C981CCD"/>
    <w:rsid w:val="2C9F53AF"/>
    <w:rsid w:val="2CBA641B"/>
    <w:rsid w:val="2D040C32"/>
    <w:rsid w:val="2D0757A6"/>
    <w:rsid w:val="2D982E0B"/>
    <w:rsid w:val="2DB53B3B"/>
    <w:rsid w:val="2DCC44FF"/>
    <w:rsid w:val="2E072654"/>
    <w:rsid w:val="2E3B239C"/>
    <w:rsid w:val="2E6F38EF"/>
    <w:rsid w:val="2EC24EAE"/>
    <w:rsid w:val="2ECF2473"/>
    <w:rsid w:val="2EEF4340"/>
    <w:rsid w:val="2F9075F6"/>
    <w:rsid w:val="2F9604D9"/>
    <w:rsid w:val="2F9A594D"/>
    <w:rsid w:val="2FD45248"/>
    <w:rsid w:val="2FDD75D7"/>
    <w:rsid w:val="2FF3519E"/>
    <w:rsid w:val="305B3E03"/>
    <w:rsid w:val="307B4A76"/>
    <w:rsid w:val="30AE4FB6"/>
    <w:rsid w:val="31003851"/>
    <w:rsid w:val="311145A1"/>
    <w:rsid w:val="31246057"/>
    <w:rsid w:val="312F1318"/>
    <w:rsid w:val="313279B0"/>
    <w:rsid w:val="31754A73"/>
    <w:rsid w:val="317F3D7D"/>
    <w:rsid w:val="31960D20"/>
    <w:rsid w:val="31A0687C"/>
    <w:rsid w:val="31BB59BE"/>
    <w:rsid w:val="31CD0C24"/>
    <w:rsid w:val="31D84FA3"/>
    <w:rsid w:val="31F0559B"/>
    <w:rsid w:val="31FF60CF"/>
    <w:rsid w:val="32053742"/>
    <w:rsid w:val="32142260"/>
    <w:rsid w:val="322963D4"/>
    <w:rsid w:val="32642296"/>
    <w:rsid w:val="32A01606"/>
    <w:rsid w:val="32C94A9C"/>
    <w:rsid w:val="32E120A3"/>
    <w:rsid w:val="32E5656B"/>
    <w:rsid w:val="33026E10"/>
    <w:rsid w:val="332D454F"/>
    <w:rsid w:val="333C1398"/>
    <w:rsid w:val="334E1463"/>
    <w:rsid w:val="335245FC"/>
    <w:rsid w:val="343926B5"/>
    <w:rsid w:val="344016F8"/>
    <w:rsid w:val="346E1273"/>
    <w:rsid w:val="348E3F5F"/>
    <w:rsid w:val="34A07D70"/>
    <w:rsid w:val="34AB5D51"/>
    <w:rsid w:val="34AE125F"/>
    <w:rsid w:val="34D84426"/>
    <w:rsid w:val="34D85063"/>
    <w:rsid w:val="34DA0634"/>
    <w:rsid w:val="359B5E22"/>
    <w:rsid w:val="359C1AAB"/>
    <w:rsid w:val="35A63D95"/>
    <w:rsid w:val="35AB3B2B"/>
    <w:rsid w:val="35B06007"/>
    <w:rsid w:val="35B11597"/>
    <w:rsid w:val="35F0133B"/>
    <w:rsid w:val="360B3E62"/>
    <w:rsid w:val="364E1FAC"/>
    <w:rsid w:val="366D56AD"/>
    <w:rsid w:val="367F29FE"/>
    <w:rsid w:val="36863A20"/>
    <w:rsid w:val="369736C3"/>
    <w:rsid w:val="36BC0BCE"/>
    <w:rsid w:val="36C26B8E"/>
    <w:rsid w:val="36E41E01"/>
    <w:rsid w:val="36E548BA"/>
    <w:rsid w:val="36F452A3"/>
    <w:rsid w:val="371D006C"/>
    <w:rsid w:val="374455DA"/>
    <w:rsid w:val="3744619F"/>
    <w:rsid w:val="374D3D38"/>
    <w:rsid w:val="37513218"/>
    <w:rsid w:val="37797AAB"/>
    <w:rsid w:val="37965565"/>
    <w:rsid w:val="39525955"/>
    <w:rsid w:val="39535017"/>
    <w:rsid w:val="39681137"/>
    <w:rsid w:val="3971655D"/>
    <w:rsid w:val="39BA1ADC"/>
    <w:rsid w:val="3A575933"/>
    <w:rsid w:val="3A5A62B8"/>
    <w:rsid w:val="3A735F50"/>
    <w:rsid w:val="3A8D08BE"/>
    <w:rsid w:val="3A946615"/>
    <w:rsid w:val="3AE83416"/>
    <w:rsid w:val="3AF42219"/>
    <w:rsid w:val="3B1E1277"/>
    <w:rsid w:val="3B241639"/>
    <w:rsid w:val="3B2729B5"/>
    <w:rsid w:val="3B2958E9"/>
    <w:rsid w:val="3B4342F2"/>
    <w:rsid w:val="3B484618"/>
    <w:rsid w:val="3BAC54A0"/>
    <w:rsid w:val="3BB450D2"/>
    <w:rsid w:val="3BB83A55"/>
    <w:rsid w:val="3BBD42E3"/>
    <w:rsid w:val="3C016259"/>
    <w:rsid w:val="3C074E47"/>
    <w:rsid w:val="3C5C6CAD"/>
    <w:rsid w:val="3C5D5296"/>
    <w:rsid w:val="3C70334F"/>
    <w:rsid w:val="3C712927"/>
    <w:rsid w:val="3C797D13"/>
    <w:rsid w:val="3C806348"/>
    <w:rsid w:val="3C815D51"/>
    <w:rsid w:val="3CD2615F"/>
    <w:rsid w:val="3CEF5D68"/>
    <w:rsid w:val="3D11205B"/>
    <w:rsid w:val="3D364B3C"/>
    <w:rsid w:val="3D3D55B3"/>
    <w:rsid w:val="3D50398D"/>
    <w:rsid w:val="3D5619DA"/>
    <w:rsid w:val="3D5D0F6E"/>
    <w:rsid w:val="3D755874"/>
    <w:rsid w:val="3DAC46D3"/>
    <w:rsid w:val="3DE25DB3"/>
    <w:rsid w:val="3DE6670E"/>
    <w:rsid w:val="3E4B156F"/>
    <w:rsid w:val="3E7A463F"/>
    <w:rsid w:val="3E895566"/>
    <w:rsid w:val="3E925B12"/>
    <w:rsid w:val="3EE1564E"/>
    <w:rsid w:val="3F0128C7"/>
    <w:rsid w:val="3F12480E"/>
    <w:rsid w:val="3F211237"/>
    <w:rsid w:val="3F50722A"/>
    <w:rsid w:val="3F645D9C"/>
    <w:rsid w:val="3F8E1AF4"/>
    <w:rsid w:val="3FA35235"/>
    <w:rsid w:val="3FE62824"/>
    <w:rsid w:val="3FFD4490"/>
    <w:rsid w:val="40186353"/>
    <w:rsid w:val="405A34BE"/>
    <w:rsid w:val="40650AB8"/>
    <w:rsid w:val="40BC4452"/>
    <w:rsid w:val="40D50F73"/>
    <w:rsid w:val="40E765BD"/>
    <w:rsid w:val="410D6E30"/>
    <w:rsid w:val="41412351"/>
    <w:rsid w:val="414E6719"/>
    <w:rsid w:val="416D4D8C"/>
    <w:rsid w:val="417A46D4"/>
    <w:rsid w:val="419345E1"/>
    <w:rsid w:val="41940CDA"/>
    <w:rsid w:val="41AA2509"/>
    <w:rsid w:val="41C61D98"/>
    <w:rsid w:val="41CF0BCF"/>
    <w:rsid w:val="41D427C4"/>
    <w:rsid w:val="41E04248"/>
    <w:rsid w:val="42042CCA"/>
    <w:rsid w:val="422C2364"/>
    <w:rsid w:val="425A3F23"/>
    <w:rsid w:val="42696552"/>
    <w:rsid w:val="42812A86"/>
    <w:rsid w:val="42B56350"/>
    <w:rsid w:val="432C5504"/>
    <w:rsid w:val="43365770"/>
    <w:rsid w:val="433F05BE"/>
    <w:rsid w:val="43482809"/>
    <w:rsid w:val="43727FC7"/>
    <w:rsid w:val="43794BD1"/>
    <w:rsid w:val="43876CC6"/>
    <w:rsid w:val="4402491B"/>
    <w:rsid w:val="447629D7"/>
    <w:rsid w:val="44A703E9"/>
    <w:rsid w:val="44C409AF"/>
    <w:rsid w:val="44CB6471"/>
    <w:rsid w:val="44D70159"/>
    <w:rsid w:val="4504471C"/>
    <w:rsid w:val="45203230"/>
    <w:rsid w:val="452F387D"/>
    <w:rsid w:val="45603002"/>
    <w:rsid w:val="4567448A"/>
    <w:rsid w:val="460008CE"/>
    <w:rsid w:val="46212412"/>
    <w:rsid w:val="46767AA6"/>
    <w:rsid w:val="46A301C2"/>
    <w:rsid w:val="46A6408A"/>
    <w:rsid w:val="46A83331"/>
    <w:rsid w:val="46B215A3"/>
    <w:rsid w:val="46C22DD5"/>
    <w:rsid w:val="46C36755"/>
    <w:rsid w:val="46D027AA"/>
    <w:rsid w:val="46DC5D92"/>
    <w:rsid w:val="46E27E0C"/>
    <w:rsid w:val="470F1058"/>
    <w:rsid w:val="47396823"/>
    <w:rsid w:val="47711558"/>
    <w:rsid w:val="47723768"/>
    <w:rsid w:val="47D9353C"/>
    <w:rsid w:val="47E54F55"/>
    <w:rsid w:val="47EE423B"/>
    <w:rsid w:val="480005CF"/>
    <w:rsid w:val="48A25DD0"/>
    <w:rsid w:val="48C81937"/>
    <w:rsid w:val="48D73DAB"/>
    <w:rsid w:val="48DD2962"/>
    <w:rsid w:val="48E734B9"/>
    <w:rsid w:val="49490BB1"/>
    <w:rsid w:val="494B36B3"/>
    <w:rsid w:val="49692915"/>
    <w:rsid w:val="4A1001FC"/>
    <w:rsid w:val="4A3847B0"/>
    <w:rsid w:val="4A3F772C"/>
    <w:rsid w:val="4A492B02"/>
    <w:rsid w:val="4A525AF7"/>
    <w:rsid w:val="4A584C12"/>
    <w:rsid w:val="4A6603DD"/>
    <w:rsid w:val="4A6E7668"/>
    <w:rsid w:val="4A9876F1"/>
    <w:rsid w:val="4AB4238D"/>
    <w:rsid w:val="4ABC719B"/>
    <w:rsid w:val="4ADA3BA5"/>
    <w:rsid w:val="4B054806"/>
    <w:rsid w:val="4B1413A3"/>
    <w:rsid w:val="4B1C763E"/>
    <w:rsid w:val="4B6C0448"/>
    <w:rsid w:val="4B992729"/>
    <w:rsid w:val="4BC54AFC"/>
    <w:rsid w:val="4BF14E5C"/>
    <w:rsid w:val="4BF6455A"/>
    <w:rsid w:val="4C2A6C7A"/>
    <w:rsid w:val="4C2C72E7"/>
    <w:rsid w:val="4CB2203E"/>
    <w:rsid w:val="4D111717"/>
    <w:rsid w:val="4D2F1ADF"/>
    <w:rsid w:val="4D397E04"/>
    <w:rsid w:val="4D5B3007"/>
    <w:rsid w:val="4D83282D"/>
    <w:rsid w:val="4DB91463"/>
    <w:rsid w:val="4E2C33DD"/>
    <w:rsid w:val="4E3516A9"/>
    <w:rsid w:val="4E663FE6"/>
    <w:rsid w:val="4E982F17"/>
    <w:rsid w:val="4EB85066"/>
    <w:rsid w:val="4EBC4081"/>
    <w:rsid w:val="4ED43E85"/>
    <w:rsid w:val="4EEB7681"/>
    <w:rsid w:val="4F186BF2"/>
    <w:rsid w:val="4F326208"/>
    <w:rsid w:val="4F377CE8"/>
    <w:rsid w:val="4F48599F"/>
    <w:rsid w:val="4F604C84"/>
    <w:rsid w:val="4F687B14"/>
    <w:rsid w:val="4F96706C"/>
    <w:rsid w:val="4FA060F5"/>
    <w:rsid w:val="4FC915F8"/>
    <w:rsid w:val="4FDA6341"/>
    <w:rsid w:val="50421741"/>
    <w:rsid w:val="504E4277"/>
    <w:rsid w:val="506A4669"/>
    <w:rsid w:val="506F3038"/>
    <w:rsid w:val="50BB78A8"/>
    <w:rsid w:val="50F07683"/>
    <w:rsid w:val="51316332"/>
    <w:rsid w:val="5143165E"/>
    <w:rsid w:val="5152292F"/>
    <w:rsid w:val="516C70A1"/>
    <w:rsid w:val="524B2109"/>
    <w:rsid w:val="52725570"/>
    <w:rsid w:val="52D25198"/>
    <w:rsid w:val="52DF7655"/>
    <w:rsid w:val="52F21B43"/>
    <w:rsid w:val="52FC20E7"/>
    <w:rsid w:val="531851FE"/>
    <w:rsid w:val="53315390"/>
    <w:rsid w:val="534B0C47"/>
    <w:rsid w:val="5360776D"/>
    <w:rsid w:val="53682721"/>
    <w:rsid w:val="537261AA"/>
    <w:rsid w:val="537B3490"/>
    <w:rsid w:val="53BF62DB"/>
    <w:rsid w:val="53E411F3"/>
    <w:rsid w:val="53FE0393"/>
    <w:rsid w:val="544534B4"/>
    <w:rsid w:val="544A095C"/>
    <w:rsid w:val="544D59FD"/>
    <w:rsid w:val="550479F9"/>
    <w:rsid w:val="55231B08"/>
    <w:rsid w:val="554054D5"/>
    <w:rsid w:val="5565242B"/>
    <w:rsid w:val="557D432D"/>
    <w:rsid w:val="558B0EF2"/>
    <w:rsid w:val="55A74D06"/>
    <w:rsid w:val="55A75A83"/>
    <w:rsid w:val="55C839DA"/>
    <w:rsid w:val="560C1580"/>
    <w:rsid w:val="56195DC5"/>
    <w:rsid w:val="561D69C4"/>
    <w:rsid w:val="562079EA"/>
    <w:rsid w:val="565A09B0"/>
    <w:rsid w:val="5671771B"/>
    <w:rsid w:val="569F5204"/>
    <w:rsid w:val="56A40F80"/>
    <w:rsid w:val="56E30A23"/>
    <w:rsid w:val="56F805D3"/>
    <w:rsid w:val="56FB6AB2"/>
    <w:rsid w:val="572F2122"/>
    <w:rsid w:val="5732282D"/>
    <w:rsid w:val="57513E3C"/>
    <w:rsid w:val="575E71D1"/>
    <w:rsid w:val="57656AAF"/>
    <w:rsid w:val="57780285"/>
    <w:rsid w:val="57895841"/>
    <w:rsid w:val="57CB7122"/>
    <w:rsid w:val="57D12C5A"/>
    <w:rsid w:val="580F49BF"/>
    <w:rsid w:val="583B5480"/>
    <w:rsid w:val="58C67724"/>
    <w:rsid w:val="58F74373"/>
    <w:rsid w:val="58FB6986"/>
    <w:rsid w:val="59087308"/>
    <w:rsid w:val="592B2BC8"/>
    <w:rsid w:val="5932697F"/>
    <w:rsid w:val="5945570A"/>
    <w:rsid w:val="59843CBF"/>
    <w:rsid w:val="598A1022"/>
    <w:rsid w:val="59B93578"/>
    <w:rsid w:val="59C60319"/>
    <w:rsid w:val="5A040EEC"/>
    <w:rsid w:val="5A713E12"/>
    <w:rsid w:val="5AC015B8"/>
    <w:rsid w:val="5AE2690A"/>
    <w:rsid w:val="5AF16743"/>
    <w:rsid w:val="5B021D04"/>
    <w:rsid w:val="5B365BD0"/>
    <w:rsid w:val="5B5267B9"/>
    <w:rsid w:val="5B5F034D"/>
    <w:rsid w:val="5B64318C"/>
    <w:rsid w:val="5B7A2A80"/>
    <w:rsid w:val="5BC05588"/>
    <w:rsid w:val="5BD42E24"/>
    <w:rsid w:val="5BE21F66"/>
    <w:rsid w:val="5BFB37A6"/>
    <w:rsid w:val="5C157F43"/>
    <w:rsid w:val="5C240C7B"/>
    <w:rsid w:val="5C8D51F6"/>
    <w:rsid w:val="5C9B08F9"/>
    <w:rsid w:val="5CA52AF5"/>
    <w:rsid w:val="5CB963A2"/>
    <w:rsid w:val="5CC41C0D"/>
    <w:rsid w:val="5CCE1A7B"/>
    <w:rsid w:val="5CE42D12"/>
    <w:rsid w:val="5D2915E4"/>
    <w:rsid w:val="5D3B71FE"/>
    <w:rsid w:val="5D3C5423"/>
    <w:rsid w:val="5D5D7AEC"/>
    <w:rsid w:val="5D6A3C9B"/>
    <w:rsid w:val="5DB07B64"/>
    <w:rsid w:val="5DB7265E"/>
    <w:rsid w:val="5DDE2965"/>
    <w:rsid w:val="5DE55D4F"/>
    <w:rsid w:val="5DEA05A2"/>
    <w:rsid w:val="5E0B635A"/>
    <w:rsid w:val="5E874794"/>
    <w:rsid w:val="5EA11D24"/>
    <w:rsid w:val="5EB9169C"/>
    <w:rsid w:val="5ED02091"/>
    <w:rsid w:val="5EF54261"/>
    <w:rsid w:val="5EF66F80"/>
    <w:rsid w:val="5EFD3DCB"/>
    <w:rsid w:val="5EFF4E59"/>
    <w:rsid w:val="5F300E25"/>
    <w:rsid w:val="5F323D85"/>
    <w:rsid w:val="5F401C13"/>
    <w:rsid w:val="5F5919A6"/>
    <w:rsid w:val="5F82440E"/>
    <w:rsid w:val="5F925DFC"/>
    <w:rsid w:val="5F9D6970"/>
    <w:rsid w:val="5FB7111C"/>
    <w:rsid w:val="5FB87095"/>
    <w:rsid w:val="5FE408D5"/>
    <w:rsid w:val="5FE71CC0"/>
    <w:rsid w:val="600A0DD5"/>
    <w:rsid w:val="601A0E99"/>
    <w:rsid w:val="60210B27"/>
    <w:rsid w:val="60675970"/>
    <w:rsid w:val="607F78F5"/>
    <w:rsid w:val="60992FAF"/>
    <w:rsid w:val="60C7316A"/>
    <w:rsid w:val="60CE3883"/>
    <w:rsid w:val="60F316ED"/>
    <w:rsid w:val="610B3038"/>
    <w:rsid w:val="6157463B"/>
    <w:rsid w:val="617E4947"/>
    <w:rsid w:val="618C3680"/>
    <w:rsid w:val="619157A0"/>
    <w:rsid w:val="619A090F"/>
    <w:rsid w:val="61AD7FAC"/>
    <w:rsid w:val="61CD7939"/>
    <w:rsid w:val="62012E19"/>
    <w:rsid w:val="620432C5"/>
    <w:rsid w:val="620A076E"/>
    <w:rsid w:val="620C4DF8"/>
    <w:rsid w:val="62552691"/>
    <w:rsid w:val="627E0359"/>
    <w:rsid w:val="62943E11"/>
    <w:rsid w:val="62AA2731"/>
    <w:rsid w:val="62B40FD5"/>
    <w:rsid w:val="62E65330"/>
    <w:rsid w:val="62FE72D8"/>
    <w:rsid w:val="631D6B30"/>
    <w:rsid w:val="632259C4"/>
    <w:rsid w:val="63263D0D"/>
    <w:rsid w:val="63337CAB"/>
    <w:rsid w:val="634D2D5C"/>
    <w:rsid w:val="6373260F"/>
    <w:rsid w:val="63856413"/>
    <w:rsid w:val="63D201A3"/>
    <w:rsid w:val="63E43042"/>
    <w:rsid w:val="64003D27"/>
    <w:rsid w:val="644763D7"/>
    <w:rsid w:val="646E04C5"/>
    <w:rsid w:val="64757F56"/>
    <w:rsid w:val="64774252"/>
    <w:rsid w:val="64823B69"/>
    <w:rsid w:val="648F1487"/>
    <w:rsid w:val="649548FB"/>
    <w:rsid w:val="64AD388C"/>
    <w:rsid w:val="64B60830"/>
    <w:rsid w:val="64CD45D0"/>
    <w:rsid w:val="64E7038F"/>
    <w:rsid w:val="65767A7B"/>
    <w:rsid w:val="65922283"/>
    <w:rsid w:val="65956809"/>
    <w:rsid w:val="65A45561"/>
    <w:rsid w:val="65CA5B5D"/>
    <w:rsid w:val="660451B0"/>
    <w:rsid w:val="66481318"/>
    <w:rsid w:val="66582833"/>
    <w:rsid w:val="667557A4"/>
    <w:rsid w:val="668E5B14"/>
    <w:rsid w:val="66A11D77"/>
    <w:rsid w:val="66C66E69"/>
    <w:rsid w:val="673D3AD3"/>
    <w:rsid w:val="67554A23"/>
    <w:rsid w:val="67AA791C"/>
    <w:rsid w:val="681253D0"/>
    <w:rsid w:val="68464F3B"/>
    <w:rsid w:val="684A64D9"/>
    <w:rsid w:val="685A6D95"/>
    <w:rsid w:val="68853C42"/>
    <w:rsid w:val="68A32F09"/>
    <w:rsid w:val="68AB5EFC"/>
    <w:rsid w:val="68B94F59"/>
    <w:rsid w:val="68F2680E"/>
    <w:rsid w:val="6924250F"/>
    <w:rsid w:val="69271690"/>
    <w:rsid w:val="693D2E64"/>
    <w:rsid w:val="694C0E55"/>
    <w:rsid w:val="696033A5"/>
    <w:rsid w:val="698E4AF7"/>
    <w:rsid w:val="69A16F46"/>
    <w:rsid w:val="69C55233"/>
    <w:rsid w:val="69EB0D20"/>
    <w:rsid w:val="6A1C474A"/>
    <w:rsid w:val="6A932B4B"/>
    <w:rsid w:val="6AE42A3F"/>
    <w:rsid w:val="6AE866A8"/>
    <w:rsid w:val="6AF619D0"/>
    <w:rsid w:val="6B051D29"/>
    <w:rsid w:val="6B2245BB"/>
    <w:rsid w:val="6B6D718E"/>
    <w:rsid w:val="6B711B7A"/>
    <w:rsid w:val="6B9B2A30"/>
    <w:rsid w:val="6BD43669"/>
    <w:rsid w:val="6BE8725E"/>
    <w:rsid w:val="6C152647"/>
    <w:rsid w:val="6C255D33"/>
    <w:rsid w:val="6C2F6077"/>
    <w:rsid w:val="6C450238"/>
    <w:rsid w:val="6C4D7600"/>
    <w:rsid w:val="6C6608D6"/>
    <w:rsid w:val="6C7D5484"/>
    <w:rsid w:val="6C9852E5"/>
    <w:rsid w:val="6CD338C5"/>
    <w:rsid w:val="6CD858AC"/>
    <w:rsid w:val="6CFA7D7F"/>
    <w:rsid w:val="6D840003"/>
    <w:rsid w:val="6D8D7A35"/>
    <w:rsid w:val="6DC85167"/>
    <w:rsid w:val="6E4002B9"/>
    <w:rsid w:val="6E4F523E"/>
    <w:rsid w:val="6E5729A2"/>
    <w:rsid w:val="6E583A1F"/>
    <w:rsid w:val="6E6218E2"/>
    <w:rsid w:val="6EAA495D"/>
    <w:rsid w:val="6EAB742B"/>
    <w:rsid w:val="6EB0558D"/>
    <w:rsid w:val="6EC6113E"/>
    <w:rsid w:val="6EC97476"/>
    <w:rsid w:val="6EDB35B4"/>
    <w:rsid w:val="6EF22B0C"/>
    <w:rsid w:val="6EFF1080"/>
    <w:rsid w:val="6F170E2C"/>
    <w:rsid w:val="6F1C670B"/>
    <w:rsid w:val="6F45287E"/>
    <w:rsid w:val="6FD821D4"/>
    <w:rsid w:val="70531535"/>
    <w:rsid w:val="7056093E"/>
    <w:rsid w:val="70BF0D6E"/>
    <w:rsid w:val="70E01DD1"/>
    <w:rsid w:val="71146B51"/>
    <w:rsid w:val="71161C74"/>
    <w:rsid w:val="71597165"/>
    <w:rsid w:val="717256AD"/>
    <w:rsid w:val="718544F1"/>
    <w:rsid w:val="71BF79B2"/>
    <w:rsid w:val="71C02FF6"/>
    <w:rsid w:val="71DE2066"/>
    <w:rsid w:val="720A152D"/>
    <w:rsid w:val="721208BB"/>
    <w:rsid w:val="721F1D01"/>
    <w:rsid w:val="7222649A"/>
    <w:rsid w:val="72BF6B71"/>
    <w:rsid w:val="72D11304"/>
    <w:rsid w:val="730C4186"/>
    <w:rsid w:val="733D2985"/>
    <w:rsid w:val="7341102A"/>
    <w:rsid w:val="73451F7C"/>
    <w:rsid w:val="737974C3"/>
    <w:rsid w:val="73A17E6A"/>
    <w:rsid w:val="73A2551B"/>
    <w:rsid w:val="73E16D57"/>
    <w:rsid w:val="73EE0AE6"/>
    <w:rsid w:val="743C60DA"/>
    <w:rsid w:val="7453624B"/>
    <w:rsid w:val="746049BA"/>
    <w:rsid w:val="74874E5A"/>
    <w:rsid w:val="74A227F4"/>
    <w:rsid w:val="74A2568B"/>
    <w:rsid w:val="74C47F76"/>
    <w:rsid w:val="751E7598"/>
    <w:rsid w:val="752455E6"/>
    <w:rsid w:val="754E3DD7"/>
    <w:rsid w:val="7573132B"/>
    <w:rsid w:val="75DC3A8B"/>
    <w:rsid w:val="75F0787C"/>
    <w:rsid w:val="75F47E3F"/>
    <w:rsid w:val="76021882"/>
    <w:rsid w:val="761715C6"/>
    <w:rsid w:val="76382B60"/>
    <w:rsid w:val="766574D1"/>
    <w:rsid w:val="7671688D"/>
    <w:rsid w:val="767C3DB4"/>
    <w:rsid w:val="76AC50BB"/>
    <w:rsid w:val="76DE1045"/>
    <w:rsid w:val="770E2E0E"/>
    <w:rsid w:val="771463D1"/>
    <w:rsid w:val="77335645"/>
    <w:rsid w:val="774A39DA"/>
    <w:rsid w:val="774F6B0D"/>
    <w:rsid w:val="77543EAD"/>
    <w:rsid w:val="775C0566"/>
    <w:rsid w:val="77777CEB"/>
    <w:rsid w:val="779B02BA"/>
    <w:rsid w:val="77CA4292"/>
    <w:rsid w:val="77D64484"/>
    <w:rsid w:val="77E922B4"/>
    <w:rsid w:val="781617CA"/>
    <w:rsid w:val="786258A4"/>
    <w:rsid w:val="78D0463B"/>
    <w:rsid w:val="7906595E"/>
    <w:rsid w:val="792B000D"/>
    <w:rsid w:val="798B1783"/>
    <w:rsid w:val="798B5582"/>
    <w:rsid w:val="799512A8"/>
    <w:rsid w:val="79A447F7"/>
    <w:rsid w:val="79B2108A"/>
    <w:rsid w:val="79D31950"/>
    <w:rsid w:val="7A182237"/>
    <w:rsid w:val="7A417E6A"/>
    <w:rsid w:val="7A464BD2"/>
    <w:rsid w:val="7A805859"/>
    <w:rsid w:val="7A92024C"/>
    <w:rsid w:val="7A98347A"/>
    <w:rsid w:val="7AA222D1"/>
    <w:rsid w:val="7AC822B7"/>
    <w:rsid w:val="7B0B5BD1"/>
    <w:rsid w:val="7BA53398"/>
    <w:rsid w:val="7BC71689"/>
    <w:rsid w:val="7BDC3595"/>
    <w:rsid w:val="7BE20360"/>
    <w:rsid w:val="7BFE0BED"/>
    <w:rsid w:val="7C1A1A2B"/>
    <w:rsid w:val="7C2B005E"/>
    <w:rsid w:val="7C571BAE"/>
    <w:rsid w:val="7C78688F"/>
    <w:rsid w:val="7C867510"/>
    <w:rsid w:val="7CB11006"/>
    <w:rsid w:val="7CF01DBB"/>
    <w:rsid w:val="7CF45E15"/>
    <w:rsid w:val="7CF9571E"/>
    <w:rsid w:val="7D21376C"/>
    <w:rsid w:val="7D8B198E"/>
    <w:rsid w:val="7D934831"/>
    <w:rsid w:val="7DC554D8"/>
    <w:rsid w:val="7DD75B87"/>
    <w:rsid w:val="7DFC7E2B"/>
    <w:rsid w:val="7E122B46"/>
    <w:rsid w:val="7E2676D0"/>
    <w:rsid w:val="7E350722"/>
    <w:rsid w:val="7E4F73AA"/>
    <w:rsid w:val="7E74200D"/>
    <w:rsid w:val="7E7B6F9A"/>
    <w:rsid w:val="7E94440E"/>
    <w:rsid w:val="7EA22277"/>
    <w:rsid w:val="7EC63541"/>
    <w:rsid w:val="7EE93115"/>
    <w:rsid w:val="7EED4B13"/>
    <w:rsid w:val="7F1C1E8D"/>
    <w:rsid w:val="7F412F43"/>
    <w:rsid w:val="7F8B1A78"/>
    <w:rsid w:val="7FA418D8"/>
    <w:rsid w:val="7FA92784"/>
    <w:rsid w:val="7FD27AE1"/>
    <w:rsid w:val="7FDD570F"/>
    <w:rsid w:val="7FE8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Calibri"/>
      <w:kern w:val="2"/>
      <w:sz w:val="21"/>
      <w:szCs w:val="24"/>
      <w:lang w:val="en-US" w:eastAsia="zh-CN" w:bidi="ar-SA"/>
    </w:rPr>
  </w:style>
  <w:style w:type="paragraph" w:styleId="3">
    <w:name w:val="heading 1"/>
    <w:basedOn w:val="1"/>
    <w:next w:val="1"/>
    <w:link w:val="21"/>
    <w:qFormat/>
    <w:uiPriority w:val="0"/>
    <w:pPr>
      <w:keepNext/>
      <w:keepLines/>
      <w:spacing w:before="120" w:after="120"/>
      <w:jc w:val="center"/>
      <w:outlineLvl w:val="0"/>
    </w:pPr>
    <w:rPr>
      <w:b/>
      <w:kern w:val="44"/>
      <w:sz w:val="44"/>
    </w:rPr>
  </w:style>
  <w:style w:type="paragraph" w:styleId="4">
    <w:name w:val="heading 2"/>
    <w:basedOn w:val="1"/>
    <w:next w:val="1"/>
    <w:qFormat/>
    <w:uiPriority w:val="0"/>
    <w:pPr>
      <w:keepNext/>
      <w:keepLines/>
      <w:spacing w:before="140" w:after="140" w:line="413" w:lineRule="auto"/>
      <w:jc w:val="center"/>
      <w:outlineLvl w:val="1"/>
    </w:pPr>
    <w:rPr>
      <w:rFonts w:ascii="Arial" w:hAnsi="Arial"/>
      <w:b/>
      <w:sz w:val="28"/>
    </w:rPr>
  </w:style>
  <w:style w:type="paragraph" w:styleId="2">
    <w:name w:val="heading 3"/>
    <w:basedOn w:val="1"/>
    <w:next w:val="1"/>
    <w:unhideWhenUsed/>
    <w:qFormat/>
    <w:uiPriority w:val="9"/>
    <w:pPr>
      <w:keepNext/>
      <w:keepLines/>
      <w:tabs>
        <w:tab w:val="left" w:pos="3402"/>
      </w:tabs>
      <w:spacing w:beforeLines="100" w:afterLines="100"/>
      <w:ind w:firstLine="0" w:firstLineChars="0"/>
      <w:contextualSpacing/>
      <w:jc w:val="center"/>
      <w:outlineLvl w:val="2"/>
    </w:pPr>
    <w:rPr>
      <w:rFonts w:eastAsia="黑体"/>
      <w:bCs/>
      <w:szCs w:val="32"/>
    </w:rPr>
  </w:style>
  <w:style w:type="paragraph" w:styleId="5">
    <w:name w:val="heading 4"/>
    <w:basedOn w:val="1"/>
    <w:next w:val="1"/>
    <w:qFormat/>
    <w:uiPriority w:val="0"/>
    <w:pPr>
      <w:keepNext/>
      <w:keepLines/>
      <w:outlineLvl w:val="3"/>
    </w:pPr>
    <w:rPr>
      <w:rFonts w:ascii="Arial" w:hAnsi="Arial" w:eastAsia="黑体"/>
      <w:bCs/>
      <w:kern w:val="0"/>
      <w:sz w:val="24"/>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unhideWhenUsed/>
    <w:qFormat/>
    <w:uiPriority w:val="99"/>
    <w:pPr>
      <w:jc w:val="left"/>
    </w:pPr>
  </w:style>
  <w:style w:type="paragraph" w:styleId="7">
    <w:name w:val="Plain Text"/>
    <w:basedOn w:val="1"/>
    <w:qFormat/>
    <w:uiPriority w:val="99"/>
    <w:rPr>
      <w:rFonts w:ascii="宋体" w:hAnsi="Courier New" w:cs="Courier New"/>
      <w:szCs w:val="21"/>
    </w:rPr>
  </w:style>
  <w:style w:type="paragraph" w:styleId="8">
    <w:name w:val="Balloon Text"/>
    <w:basedOn w:val="1"/>
    <w:link w:val="23"/>
    <w:qFormat/>
    <w:uiPriority w:val="0"/>
    <w:rPr>
      <w:sz w:val="18"/>
      <w:szCs w:val="18"/>
    </w:rPr>
  </w:style>
  <w:style w:type="paragraph" w:styleId="9">
    <w:name w:val="footer"/>
    <w:basedOn w:val="1"/>
    <w:link w:val="24"/>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6"/>
    <w:next w:val="6"/>
    <w:link w:val="25"/>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rPr>
  </w:style>
  <w:style w:type="character" w:styleId="18">
    <w:name w:val="Hyperlink"/>
    <w:qFormat/>
    <w:uiPriority w:val="0"/>
    <w:rPr>
      <w:color w:val="0000FF"/>
      <w:u w:val="single"/>
    </w:rPr>
  </w:style>
  <w:style w:type="character" w:styleId="19">
    <w:name w:val="annotation reference"/>
    <w:unhideWhenUsed/>
    <w:qFormat/>
    <w:uiPriority w:val="99"/>
    <w:rPr>
      <w:sz w:val="21"/>
      <w:szCs w:val="21"/>
    </w:rPr>
  </w:style>
  <w:style w:type="paragraph" w:customStyle="1" w:styleId="20">
    <w:name w:val="Heading4"/>
    <w:basedOn w:val="1"/>
    <w:next w:val="1"/>
    <w:qFormat/>
    <w:uiPriority w:val="0"/>
    <w:pPr>
      <w:keepNext/>
      <w:keepLines/>
      <w:spacing w:before="280" w:after="290" w:line="376" w:lineRule="atLeast"/>
      <w:ind w:left="-120"/>
      <w:jc w:val="left"/>
      <w:textAlignment w:val="baseline"/>
    </w:pPr>
    <w:rPr>
      <w:rFonts w:ascii="Arial" w:hAnsi="Arial" w:eastAsia="黑体" w:cs="Times New Roman"/>
      <w:b/>
      <w:bCs/>
      <w:kern w:val="0"/>
      <w:sz w:val="28"/>
      <w:szCs w:val="28"/>
    </w:rPr>
  </w:style>
  <w:style w:type="character" w:customStyle="1" w:styleId="21">
    <w:name w:val="标题 1 Char"/>
    <w:link w:val="3"/>
    <w:qFormat/>
    <w:uiPriority w:val="0"/>
    <w:rPr>
      <w:rFonts w:ascii="Calibri" w:hAnsi="Calibri" w:eastAsia="仿宋" w:cs="Times New Roman"/>
      <w:b/>
      <w:kern w:val="44"/>
      <w:sz w:val="44"/>
      <w:szCs w:val="24"/>
    </w:rPr>
  </w:style>
  <w:style w:type="character" w:customStyle="1" w:styleId="22">
    <w:name w:val="批注文字 Char"/>
    <w:link w:val="6"/>
    <w:qFormat/>
    <w:uiPriority w:val="99"/>
    <w:rPr>
      <w:rFonts w:ascii="Calibri" w:hAnsi="Calibri" w:eastAsia="仿宋" w:cs="Times New Roman"/>
      <w:kern w:val="2"/>
      <w:sz w:val="21"/>
      <w:szCs w:val="24"/>
    </w:rPr>
  </w:style>
  <w:style w:type="character" w:customStyle="1" w:styleId="23">
    <w:name w:val="批注框文本 Char"/>
    <w:link w:val="8"/>
    <w:qFormat/>
    <w:uiPriority w:val="0"/>
    <w:rPr>
      <w:rFonts w:ascii="Calibri" w:hAnsi="Calibri" w:eastAsia="仿宋" w:cs="Times New Roman"/>
      <w:kern w:val="2"/>
      <w:sz w:val="18"/>
      <w:szCs w:val="18"/>
    </w:rPr>
  </w:style>
  <w:style w:type="character" w:customStyle="1" w:styleId="24">
    <w:name w:val="页脚 Char"/>
    <w:link w:val="9"/>
    <w:qFormat/>
    <w:uiPriority w:val="99"/>
    <w:rPr>
      <w:rFonts w:eastAsia="仿宋"/>
      <w:kern w:val="2"/>
      <w:sz w:val="18"/>
      <w:szCs w:val="24"/>
    </w:rPr>
  </w:style>
  <w:style w:type="character" w:customStyle="1" w:styleId="25">
    <w:name w:val="批注主题 Char"/>
    <w:link w:val="13"/>
    <w:qFormat/>
    <w:uiPriority w:val="0"/>
    <w:rPr>
      <w:rFonts w:ascii="Calibri" w:hAnsi="Calibri" w:eastAsia="仿宋" w:cs="Times New Roman"/>
      <w:b/>
      <w:bCs/>
      <w:kern w:val="2"/>
      <w:sz w:val="21"/>
      <w:szCs w:val="24"/>
    </w:rPr>
  </w:style>
  <w:style w:type="paragraph" w:customStyle="1" w:styleId="26">
    <w:name w:val="WPSOffice手动目录 2"/>
    <w:qFormat/>
    <w:uiPriority w:val="0"/>
    <w:pPr>
      <w:ind w:left="200" w:leftChars="200"/>
    </w:pPr>
    <w:rPr>
      <w:rFonts w:ascii="Calibri" w:hAnsi="Calibri" w:eastAsia="宋体" w:cs="Calibri"/>
      <w:lang w:val="en-US" w:eastAsia="zh-CN" w:bidi="ar-SA"/>
    </w:rPr>
  </w:style>
  <w:style w:type="paragraph" w:customStyle="1" w:styleId="27">
    <w:name w:val="样式H"/>
    <w:basedOn w:val="3"/>
    <w:next w:val="1"/>
    <w:qFormat/>
    <w:uiPriority w:val="0"/>
    <w:pPr>
      <w:spacing w:before="100" w:line="500" w:lineRule="exact"/>
    </w:pPr>
  </w:style>
  <w:style w:type="paragraph" w:customStyle="1" w:styleId="28">
    <w:name w:val="样式1"/>
    <w:basedOn w:val="1"/>
    <w:qFormat/>
    <w:uiPriority w:val="0"/>
    <w:pPr>
      <w:numPr>
        <w:ilvl w:val="0"/>
        <w:numId w:val="1"/>
      </w:numPr>
      <w:adjustRightInd w:val="0"/>
      <w:textAlignment w:val="baseline"/>
    </w:pPr>
    <w:rPr>
      <w:rFonts w:ascii="宋体" w:hAnsi="宋体"/>
      <w:kern w:val="0"/>
      <w:szCs w:val="21"/>
    </w:rPr>
  </w:style>
  <w:style w:type="paragraph" w:styleId="29">
    <w:name w:val="List Paragraph"/>
    <w:basedOn w:val="1"/>
    <w:qFormat/>
    <w:uiPriority w:val="34"/>
    <w:pPr>
      <w:ind w:firstLine="420" w:firstLineChars="200"/>
    </w:pPr>
  </w:style>
  <w:style w:type="paragraph" w:customStyle="1" w:styleId="30">
    <w:name w:val="样式N"/>
    <w:basedOn w:val="27"/>
    <w:qFormat/>
    <w:uiPriority w:val="0"/>
    <w:rPr>
      <w:sz w:val="30"/>
    </w:rPr>
  </w:style>
  <w:style w:type="paragraph" w:customStyle="1" w:styleId="31">
    <w:name w:val="列出段落11"/>
    <w:basedOn w:val="1"/>
    <w:qFormat/>
    <w:uiPriority w:val="34"/>
    <w:pPr>
      <w:ind w:firstLine="420" w:firstLineChars="200"/>
    </w:pPr>
    <w:rPr>
      <w:rFonts w:eastAsia="宋体" w:cs="Times New Roman"/>
      <w:szCs w:val="22"/>
      <w:lang w:val="zh-CN"/>
    </w:rPr>
  </w:style>
  <w:style w:type="paragraph" w:customStyle="1" w:styleId="32">
    <w:name w:val="WPSOffice手动目录 1"/>
    <w:qFormat/>
    <w:uiPriority w:val="0"/>
    <w:rPr>
      <w:rFonts w:ascii="Times New Roman" w:hAnsi="Times New Roman" w:eastAsia="宋体" w:cs="Calibri"/>
      <w:lang w:val="en-US" w:eastAsia="zh-CN" w:bidi="ar-SA"/>
    </w:rPr>
  </w:style>
  <w:style w:type="paragraph" w:customStyle="1" w:styleId="33">
    <w:name w:val="WPSOffice手动目录 3"/>
    <w:qFormat/>
    <w:uiPriority w:val="0"/>
    <w:pPr>
      <w:ind w:left="400" w:leftChars="400"/>
    </w:pPr>
    <w:rPr>
      <w:rFonts w:ascii="Calibri" w:hAnsi="Calibri" w:eastAsia="宋体" w:cs="Calibri"/>
      <w:lang w:val="en-US" w:eastAsia="zh-CN" w:bidi="ar-SA"/>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
    <w:name w:val="WPS Plain"/>
    <w:qFormat/>
    <w:uiPriority w:val="0"/>
    <w:rPr>
      <w:rFonts w:ascii="Times New Roman" w:hAnsi="Times New Roman" w:eastAsia="宋体" w:cs="Times New Roman"/>
      <w:lang w:val="en-US" w:eastAsia="zh-CN" w:bidi="ar-SA"/>
    </w:rPr>
  </w:style>
  <w:style w:type="paragraph" w:customStyle="1" w:styleId="36">
    <w:name w:val="正文缩进_0"/>
    <w:basedOn w:val="37"/>
    <w:unhideWhenUsed/>
    <w:qFormat/>
    <w:uiPriority w:val="0"/>
    <w:pPr>
      <w:ind w:firstLine="420" w:firstLineChars="200"/>
    </w:pPr>
  </w:style>
  <w:style w:type="paragraph" w:customStyle="1" w:styleId="3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正文_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xp</Company>
  <Pages>61</Pages>
  <Words>31131</Words>
  <Characters>33077</Characters>
  <Lines>257</Lines>
  <Paragraphs>72</Paragraphs>
  <TotalTime>5</TotalTime>
  <ScaleCrop>false</ScaleCrop>
  <LinksUpToDate>false</LinksUpToDate>
  <CharactersWithSpaces>35946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2018-10-30T16:31:00Z</dcterms:created>
  <dc:creator>meimei</dc:creator>
  <cp:lastModifiedBy>王威尔Ø</cp:lastModifiedBy>
  <cp:lastPrinted>2019-12-27T06:09:00Z</cp:lastPrinted>
  <dcterms:modified xsi:type="dcterms:W3CDTF">2023-09-26T10:15:02Z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21FBC6C5D0904DA08E81D9D011ABA775</vt:lpwstr>
  </property>
</Properties>
</file>