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adjustRightInd w:val="0"/>
        <w:snapToGrid w:val="0"/>
        <w:spacing w:line="360" w:lineRule="auto"/>
        <w:rPr>
          <w:rFonts w:hAnsi="宋体"/>
          <w:b/>
          <w:color w:val="000000" w:themeColor="text1"/>
          <w:sz w:val="44"/>
          <w:szCs w:val="44"/>
          <w14:textFill>
            <w14:solidFill>
              <w14:schemeClr w14:val="tx1"/>
            </w14:solidFill>
          </w14:textFill>
        </w:rPr>
      </w:pPr>
      <w:bookmarkStart w:id="0" w:name="第二部分第六章"/>
    </w:p>
    <w:p>
      <w:pPr>
        <w:pStyle w:val="26"/>
        <w:adjustRightInd w:val="0"/>
        <w:snapToGrid w:val="0"/>
        <w:spacing w:line="360" w:lineRule="auto"/>
        <w:jc w:val="center"/>
        <w:rPr>
          <w:rFonts w:hint="eastAsia" w:hAnsi="宋体" w:eastAsia="宋体"/>
          <w:b/>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kern w:val="0"/>
          <w:sz w:val="44"/>
          <w:szCs w:val="44"/>
          <w:lang w:eastAsia="zh-CN"/>
        </w:rPr>
        <w:t>霍尔果斯市教育局“哺育工程”饮用奶采购项目</w:t>
      </w:r>
    </w:p>
    <w:p>
      <w:pPr>
        <w:pStyle w:val="26"/>
        <w:adjustRightInd w:val="0"/>
        <w:snapToGrid w:val="0"/>
        <w:spacing w:line="360" w:lineRule="auto"/>
        <w:jc w:val="center"/>
        <w:rPr>
          <w:rFonts w:hAnsi="宋体"/>
          <w:b/>
          <w:color w:val="000000" w:themeColor="text1"/>
          <w:sz w:val="62"/>
          <w:szCs w:val="84"/>
          <w14:textFill>
            <w14:solidFill>
              <w14:schemeClr w14:val="tx1"/>
            </w14:solidFill>
          </w14:textFill>
        </w:rPr>
      </w:pPr>
      <w:r>
        <w:rPr>
          <w:rFonts w:hint="eastAsia" w:hAnsi="宋体"/>
          <w:b/>
          <w:color w:val="000000" w:themeColor="text1"/>
          <w:sz w:val="62"/>
          <w:szCs w:val="84"/>
          <w14:textFill>
            <w14:solidFill>
              <w14:schemeClr w14:val="tx1"/>
            </w14:solidFill>
          </w14:textFill>
        </w:rPr>
        <w:t>招 标 文 件</w:t>
      </w:r>
    </w:p>
    <w:p>
      <w:pPr>
        <w:pStyle w:val="26"/>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6"/>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6"/>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rPr>
          <w:rFonts w:hAnsi="宋体"/>
          <w:b/>
          <w:color w:val="000000" w:themeColor="text1"/>
          <w:sz w:val="32"/>
          <w:szCs w:val="32"/>
          <w14:textFill>
            <w14:solidFill>
              <w14:schemeClr w14:val="tx1"/>
            </w14:solidFill>
          </w14:textFill>
        </w:rPr>
      </w:pPr>
    </w:p>
    <w:p>
      <w:pPr>
        <w:pStyle w:val="26"/>
        <w:adjustRightInd w:val="0"/>
        <w:snapToGrid w:val="0"/>
        <w:spacing w:line="360" w:lineRule="auto"/>
        <w:ind w:firstLine="948" w:firstLineChars="295"/>
        <w:rPr>
          <w:rFonts w:hAnsi="宋体"/>
          <w:b/>
          <w:color w:val="000000" w:themeColor="text1"/>
          <w:sz w:val="32"/>
          <w:szCs w:val="32"/>
          <w14:textFill>
            <w14:solidFill>
              <w14:schemeClr w14:val="tx1"/>
            </w14:solidFill>
          </w14:textFill>
        </w:rPr>
      </w:pPr>
    </w:p>
    <w:p>
      <w:pPr>
        <w:pStyle w:val="26"/>
        <w:adjustRightInd w:val="0"/>
        <w:snapToGrid w:val="0"/>
        <w:spacing w:line="360" w:lineRule="auto"/>
        <w:ind w:left="1801" w:leftChars="284" w:hanging="1205" w:hangingChars="400"/>
        <w:rPr>
          <w:rFonts w:hint="eastAsia" w:hAnsi="宋体" w:eastAsia="宋体"/>
          <w:b/>
          <w:color w:val="000000" w:themeColor="text1"/>
          <w:spacing w:val="-16"/>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招标人：</w:t>
      </w:r>
      <w:r>
        <w:rPr>
          <w:rFonts w:hint="eastAsia" w:hAnsi="宋体"/>
          <w:b/>
          <w:color w:val="000000" w:themeColor="text1"/>
          <w:sz w:val="30"/>
          <w:szCs w:val="30"/>
          <w:lang w:eastAsia="zh-CN"/>
          <w14:textFill>
            <w14:solidFill>
              <w14:schemeClr w14:val="tx1"/>
            </w14:solidFill>
          </w14:textFill>
        </w:rPr>
        <w:t>霍尔果斯市教育局</w:t>
      </w:r>
    </w:p>
    <w:p>
      <w:pPr>
        <w:pStyle w:val="26"/>
        <w:adjustRightInd w:val="0"/>
        <w:snapToGrid w:val="0"/>
        <w:spacing w:line="360" w:lineRule="auto"/>
        <w:ind w:firstLine="596" w:firstLineChars="198"/>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采购代理机构: 霍尔果斯经济开发区政府采购中心</w:t>
      </w:r>
    </w:p>
    <w:p>
      <w:pPr>
        <w:pStyle w:val="26"/>
        <w:adjustRightInd w:val="0"/>
        <w:snapToGrid w:val="0"/>
        <w:spacing w:line="360" w:lineRule="auto"/>
        <w:ind w:left="592" w:leftChars="282"/>
        <w:rPr>
          <w:rFonts w:hint="eastAsia" w:hAnsi="宋体" w:eastAsia="宋体"/>
          <w:b/>
          <w:color w:val="000000" w:themeColor="text1"/>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项目编号：</w:t>
      </w:r>
      <w:r>
        <w:rPr>
          <w:rFonts w:hint="eastAsia" w:hAnsi="宋体"/>
          <w:b/>
          <w:color w:val="000000" w:themeColor="text1"/>
          <w:sz w:val="30"/>
          <w:szCs w:val="30"/>
          <w:lang w:eastAsia="zh-CN"/>
          <w14:textFill>
            <w14:solidFill>
              <w14:schemeClr w14:val="tx1"/>
            </w14:solidFill>
          </w14:textFill>
        </w:rPr>
        <w:t>HEGSCG-2023GK-36号</w:t>
      </w:r>
    </w:p>
    <w:p>
      <w:pPr>
        <w:pStyle w:val="26"/>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6"/>
        <w:spacing w:before="120" w:after="120" w:line="360" w:lineRule="auto"/>
        <w:jc w:val="center"/>
        <w:rPr>
          <w:rFonts w:hAnsi="宋体"/>
          <w:b/>
          <w:color w:val="000000" w:themeColor="text1"/>
          <w:spacing w:val="160"/>
          <w:sz w:val="36"/>
          <w:szCs w:val="36"/>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6"/>
        <w:spacing w:before="120" w:after="120" w:line="360" w:lineRule="auto"/>
        <w:jc w:val="center"/>
        <w:rPr>
          <w:rFonts w:hAnsi="宋体"/>
          <w:b/>
          <w:color w:val="000000" w:themeColor="text1"/>
          <w:spacing w:val="160"/>
          <w:sz w:val="36"/>
          <w:szCs w:val="36"/>
          <w14:textFill>
            <w14:solidFill>
              <w14:schemeClr w14:val="tx1"/>
            </w14:solidFill>
          </w14:textFill>
        </w:rPr>
      </w:pPr>
      <w:r>
        <w:rPr>
          <w:rFonts w:hint="eastAsia" w:hAnsi="宋体"/>
          <w:b/>
          <w:color w:val="000000" w:themeColor="text1"/>
          <w:spacing w:val="160"/>
          <w:sz w:val="36"/>
          <w:szCs w:val="36"/>
          <w14:textFill>
            <w14:solidFill>
              <w14:schemeClr w14:val="tx1"/>
            </w14:solidFill>
          </w14:textFill>
        </w:rPr>
        <w:t>目录</w:t>
      </w:r>
    </w:p>
    <w:p>
      <w:pPr>
        <w:pStyle w:val="26"/>
        <w:adjustRightInd w:val="0"/>
        <w:snapToGrid w:val="0"/>
        <w:spacing w:line="360" w:lineRule="auto"/>
        <w:rPr>
          <w:rFonts w:hAnsi="宋体"/>
          <w:b/>
          <w:color w:val="000000" w:themeColor="text1"/>
          <w:szCs w:val="24"/>
          <w14:textFill>
            <w14:solidFill>
              <w14:schemeClr w14:val="tx1"/>
            </w14:solidFill>
          </w14:textFill>
        </w:rPr>
      </w:pPr>
    </w:p>
    <w:tbl>
      <w:tblPr>
        <w:tblStyle w:val="47"/>
        <w:tblW w:w="7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"_Toc474235940" </w:instrText>
            </w:r>
            <w:r>
              <w:fldChar w:fldCharType="separate"/>
            </w:r>
            <w:r>
              <w:rPr>
                <w:rFonts w:hint="eastAsia"/>
                <w:b/>
                <w:bCs/>
              </w:rPr>
              <w:t>第一章</w:t>
            </w:r>
            <w:r>
              <w:rPr>
                <w:rFonts w:hint="eastAsia"/>
                <w:b/>
                <w:bCs/>
              </w:rPr>
              <w:fldChar w:fldCharType="end"/>
            </w:r>
            <w:r>
              <w:rPr>
                <w:rFonts w:hint="eastAsia"/>
                <w:b/>
                <w:bCs/>
              </w:rPr>
              <w:t xml:space="preserve">   </w:t>
            </w:r>
          </w:p>
        </w:tc>
        <w:tc>
          <w:tcPr>
            <w:tcW w:w="3256" w:type="dxa"/>
          </w:tcPr>
          <w:p>
            <w:pPr>
              <w:rPr>
                <w:b/>
                <w:bCs/>
              </w:rPr>
            </w:pPr>
            <w:r>
              <w:rPr>
                <w:rFonts w:hint="eastAsia"/>
                <w:b/>
                <w:bCs/>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"_Toc474235941" </w:instrText>
            </w:r>
            <w:r>
              <w:fldChar w:fldCharType="separate"/>
            </w:r>
            <w:r>
              <w:rPr>
                <w:rFonts w:hint="eastAsia"/>
                <w:b/>
                <w:bCs/>
              </w:rPr>
              <w:t>第二章</w:t>
            </w:r>
            <w:r>
              <w:rPr>
                <w:rFonts w:hint="eastAsia"/>
                <w:b/>
                <w:bCs/>
              </w:rPr>
              <w:fldChar w:fldCharType="end"/>
            </w:r>
          </w:p>
        </w:tc>
        <w:tc>
          <w:tcPr>
            <w:tcW w:w="3256" w:type="dxa"/>
          </w:tcPr>
          <w:p>
            <w:pPr>
              <w:rPr>
                <w:b/>
                <w:bCs/>
              </w:rPr>
            </w:pPr>
            <w:r>
              <w:rPr>
                <w:rFonts w:hint="eastAsia"/>
                <w:b/>
                <w:bCs/>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"_Toc474235942" </w:instrText>
            </w:r>
            <w:r>
              <w:fldChar w:fldCharType="separate"/>
            </w:r>
            <w:r>
              <w:rPr>
                <w:rFonts w:hint="eastAsia"/>
                <w:b/>
                <w:bCs/>
              </w:rPr>
              <w:t>投标须知前附表</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"_Toc474235943" </w:instrText>
            </w:r>
            <w:r>
              <w:fldChar w:fldCharType="separate"/>
            </w:r>
            <w:r>
              <w:rPr>
                <w:rFonts w:hint="eastAsia"/>
                <w:b/>
                <w:bCs/>
              </w:rPr>
              <w:t>投标须知正文</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"_Toc474235944" </w:instrText>
            </w:r>
            <w:r>
              <w:fldChar w:fldCharType="separate"/>
            </w:r>
            <w:r>
              <w:rPr>
                <w:rFonts w:hint="eastAsia"/>
                <w:b/>
                <w:bCs/>
              </w:rPr>
              <w:t>一</w:t>
            </w:r>
            <w:r>
              <w:rPr>
                <w:rFonts w:hint="eastAsia"/>
                <w:b/>
                <w:bCs/>
              </w:rPr>
              <w:fldChar w:fldCharType="end"/>
            </w:r>
          </w:p>
        </w:tc>
        <w:tc>
          <w:tcPr>
            <w:tcW w:w="3256" w:type="dxa"/>
          </w:tcPr>
          <w:p>
            <w:pPr>
              <w:rPr>
                <w:b/>
                <w:bCs/>
              </w:rPr>
            </w:pPr>
            <w:r>
              <w:rPr>
                <w:rFonts w:hint="eastAsia"/>
                <w:b/>
                <w:bCs/>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"_Toc474235945" </w:instrText>
            </w:r>
            <w:r>
              <w:fldChar w:fldCharType="separate"/>
            </w:r>
            <w:r>
              <w:rPr>
                <w:rFonts w:hint="eastAsia"/>
                <w:b/>
                <w:bCs/>
              </w:rPr>
              <w:t>二</w:t>
            </w:r>
            <w:r>
              <w:rPr>
                <w:rFonts w:hint="eastAsia"/>
                <w:b/>
                <w:bCs/>
              </w:rPr>
              <w:fldChar w:fldCharType="end"/>
            </w:r>
          </w:p>
        </w:tc>
        <w:tc>
          <w:tcPr>
            <w:tcW w:w="3256" w:type="dxa"/>
          </w:tcPr>
          <w:p>
            <w:pPr>
              <w:rPr>
                <w:b/>
                <w:bCs/>
              </w:rPr>
            </w:pPr>
            <w:r>
              <w:rPr>
                <w:rFonts w:hint="eastAsia"/>
                <w:b/>
                <w:bCs/>
              </w:rPr>
              <w:t>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"_Toc474235946"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"_Toc474235947"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"_Toc474235948"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开标和评标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"_Toc474235949" </w:instrText>
            </w:r>
            <w:r>
              <w:fldChar w:fldCharType="separate"/>
            </w:r>
            <w:r>
              <w:rPr>
                <w:rFonts w:hint="eastAsia"/>
                <w:b/>
                <w:bCs/>
              </w:rPr>
              <w:t>第三章</w:t>
            </w:r>
            <w:r>
              <w:rPr>
                <w:rFonts w:hint="eastAsia"/>
                <w:b/>
                <w:bCs/>
              </w:rPr>
              <w:fldChar w:fldCharType="end"/>
            </w:r>
          </w:p>
        </w:tc>
        <w:tc>
          <w:tcPr>
            <w:tcW w:w="3256" w:type="dxa"/>
          </w:tcPr>
          <w:p>
            <w:pPr>
              <w:rPr>
                <w:b/>
                <w:bCs/>
              </w:rPr>
            </w:pPr>
            <w:r>
              <w:rPr>
                <w:rFonts w:hint="eastAsia"/>
                <w:b/>
                <w:bCs/>
              </w:rPr>
              <w:t>评标方法及标准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"_Toc474235950" </w:instrText>
            </w:r>
            <w:r>
              <w:fldChar w:fldCharType="separate"/>
            </w:r>
            <w:r>
              <w:rPr>
                <w:rFonts w:hint="eastAsia"/>
                <w:b/>
                <w:bCs/>
              </w:rPr>
              <w:t>第四章</w:t>
            </w:r>
            <w:r>
              <w:rPr>
                <w:rFonts w:hint="eastAsia"/>
                <w:b/>
                <w:bCs/>
              </w:rPr>
              <w:fldChar w:fldCharType="end"/>
            </w:r>
          </w:p>
        </w:tc>
        <w:tc>
          <w:tcPr>
            <w:tcW w:w="3256" w:type="dxa"/>
          </w:tcPr>
          <w:p>
            <w:pPr>
              <w:rPr>
                <w:b/>
                <w:bCs/>
              </w:rPr>
            </w:pPr>
            <w:r>
              <w:rPr>
                <w:rFonts w:hint="eastAsia"/>
                <w:b/>
                <w:bCs/>
              </w:rPr>
              <w:t>政府采购合同格式、验收书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"_Toc474235951"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"_Toc474235952"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"_Toc474235953"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95" w:firstLineChars="1800"/>
              <w:rPr>
                <w:b/>
                <w:bCs/>
              </w:rPr>
            </w:pPr>
            <w:r>
              <w:rPr>
                <w:rFonts w:hint="eastAsia"/>
                <w:b/>
                <w:bCs/>
              </w:rPr>
              <w:t xml:space="preserve">四 </w:t>
            </w:r>
          </w:p>
        </w:tc>
        <w:tc>
          <w:tcPr>
            <w:tcW w:w="3256" w:type="dxa"/>
          </w:tcPr>
          <w:p>
            <w:pPr>
              <w:rPr>
                <w:b/>
                <w:bCs/>
              </w:rPr>
            </w:pPr>
            <w:r>
              <w:rPr>
                <w:rFonts w:hint="eastAsia"/>
                <w:b/>
                <w:bCs/>
              </w:rPr>
              <w:t>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"_Toc474235954" </w:instrText>
            </w:r>
            <w:r>
              <w:fldChar w:fldCharType="separate"/>
            </w:r>
            <w:r>
              <w:rPr>
                <w:rFonts w:hint="eastAsia"/>
                <w:b/>
                <w:bCs/>
              </w:rPr>
              <w:t>第五章</w:t>
            </w:r>
            <w:r>
              <w:rPr>
                <w:rFonts w:hint="eastAsia"/>
                <w:b/>
                <w:bCs/>
              </w:rPr>
              <w:fldChar w:fldCharType="end"/>
            </w:r>
          </w:p>
        </w:tc>
        <w:tc>
          <w:tcPr>
            <w:tcW w:w="3256" w:type="dxa"/>
          </w:tcPr>
          <w:p>
            <w:pPr>
              <w:rPr>
                <w:b/>
                <w:bCs/>
              </w:rPr>
            </w:pPr>
            <w:r>
              <w:rPr>
                <w:rFonts w:hint="eastAsia"/>
                <w:b/>
                <w:bCs/>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"_Toc474235955" </w:instrText>
            </w:r>
            <w:r>
              <w:fldChar w:fldCharType="separate"/>
            </w:r>
            <w:r>
              <w:rPr>
                <w:rFonts w:hint="eastAsia"/>
                <w:b/>
                <w:bCs/>
              </w:rPr>
              <w:t>第六章</w:t>
            </w:r>
            <w:r>
              <w:rPr>
                <w:rFonts w:hint="eastAsia"/>
                <w:b/>
                <w:bCs/>
              </w:rPr>
              <w:fldChar w:fldCharType="end"/>
            </w:r>
          </w:p>
        </w:tc>
        <w:tc>
          <w:tcPr>
            <w:tcW w:w="3256" w:type="dxa"/>
          </w:tcPr>
          <w:p>
            <w:pPr>
              <w:rPr>
                <w:b/>
                <w:bCs/>
              </w:rPr>
            </w:pPr>
            <w:r>
              <w:rPr>
                <w:rFonts w:hint="eastAsia"/>
                <w:b/>
                <w:bCs/>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"_Toc474235956"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"_Toc474235957"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"_Toc474235958"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开标一览表及投标报价明细表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"_Toc474235959"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投标人的资格证明材料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"_Toc474235960"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货物说明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"_Toc474235961" </w:instrText>
            </w:r>
            <w:r>
              <w:fldChar w:fldCharType="separate"/>
            </w:r>
            <w:r>
              <w:rPr>
                <w:rFonts w:hint="eastAsia"/>
                <w:b/>
                <w:bCs/>
              </w:rPr>
              <w:t xml:space="preserve">六 </w:t>
            </w:r>
            <w:r>
              <w:rPr>
                <w:rFonts w:hint="eastAsia"/>
                <w:b/>
                <w:bCs/>
              </w:rPr>
              <w:fldChar w:fldCharType="end"/>
            </w:r>
          </w:p>
        </w:tc>
        <w:tc>
          <w:tcPr>
            <w:tcW w:w="3256" w:type="dxa"/>
          </w:tcPr>
          <w:p>
            <w:pPr>
              <w:rPr>
                <w:b/>
                <w:bCs/>
              </w:rPr>
            </w:pPr>
            <w:r>
              <w:rPr>
                <w:rFonts w:hint="eastAsia"/>
                <w:b/>
                <w:bCs/>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"_Toc474235962" </w:instrText>
            </w:r>
            <w:r>
              <w:fldChar w:fldCharType="separate"/>
            </w:r>
            <w:r>
              <w:rPr>
                <w:rFonts w:hint="eastAsia"/>
                <w:b/>
                <w:bCs/>
              </w:rPr>
              <w:t xml:space="preserve">七 </w:t>
            </w:r>
            <w:r>
              <w:rPr>
                <w:rFonts w:hint="eastAsia"/>
                <w:b/>
                <w:bCs/>
              </w:rPr>
              <w:fldChar w:fldCharType="end"/>
            </w:r>
          </w:p>
        </w:tc>
        <w:tc>
          <w:tcPr>
            <w:tcW w:w="3256" w:type="dxa"/>
          </w:tcPr>
          <w:p>
            <w:pPr>
              <w:rPr>
                <w:b/>
                <w:bCs/>
              </w:rPr>
            </w:pPr>
            <w:r>
              <w:rPr>
                <w:rFonts w:hint="eastAsia"/>
                <w:b/>
                <w:bCs/>
              </w:rPr>
              <w:t>商务响应与偏离表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584" w:firstLineChars="1700"/>
              <w:jc w:val="center"/>
              <w:rPr>
                <w:b/>
                <w:bCs/>
              </w:rPr>
            </w:pPr>
            <w:r>
              <w:rPr>
                <w:rFonts w:hint="eastAsia"/>
                <w:b/>
                <w:bCs/>
              </w:rPr>
              <w:t xml:space="preserve"> </w:t>
            </w:r>
            <w:r>
              <w:fldChar w:fldCharType="begin"/>
            </w:r>
            <w:r>
              <w:instrText xml:space="preserve"> HYPERLINK \l "_Toc474235963" </w:instrText>
            </w:r>
            <w:r>
              <w:fldChar w:fldCharType="separate"/>
            </w:r>
            <w:r>
              <w:rPr>
                <w:rFonts w:hint="eastAsia"/>
                <w:b/>
                <w:bCs/>
              </w:rPr>
              <w:t xml:space="preserve">八 </w:t>
            </w:r>
            <w:r>
              <w:rPr>
                <w:rFonts w:hint="eastAsia"/>
                <w:b/>
                <w:bCs/>
              </w:rPr>
              <w:fldChar w:fldCharType="end"/>
            </w:r>
          </w:p>
        </w:tc>
        <w:tc>
          <w:tcPr>
            <w:tcW w:w="3256" w:type="dxa"/>
          </w:tcPr>
          <w:p>
            <w:pPr>
              <w:rPr>
                <w:b/>
                <w:bCs/>
              </w:rPr>
            </w:pPr>
            <w:r>
              <w:rPr>
                <w:rFonts w:hint="eastAsia"/>
                <w:b/>
                <w:bCs/>
              </w:rPr>
              <w:t>投标人认为需要提供的其它资料</w:t>
            </w:r>
          </w:p>
        </w:tc>
      </w:tr>
    </w:tbl>
    <w:p>
      <w:pPr>
        <w:pStyle w:val="33"/>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33"/>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19219410"/>
      <w:bookmarkStart w:id="2" w:name="_Toc419219645"/>
      <w:bookmarkStart w:id="3" w:name="_Toc420948005"/>
      <w:bookmarkStart w:id="4" w:name="_Toc419219491"/>
    </w:p>
    <w:p>
      <w:pPr>
        <w:spacing w:line="360" w:lineRule="exact"/>
        <w:jc w:val="center"/>
        <w:outlineLvl w:val="0"/>
        <w:rPr>
          <w:rFonts w:ascii="宋体" w:hAnsi="宋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1"/>
      <w:bookmarkEnd w:id="2"/>
      <w:bookmarkEnd w:id="3"/>
      <w:bookmarkEnd w:id="4"/>
      <w:bookmarkEnd w:id="5"/>
      <w:bookmarkStart w:id="6" w:name="OLE_LINK3"/>
      <w:bookmarkStart w:id="7" w:name="OLE_LINK4"/>
      <w:bookmarkStart w:id="8" w:name="OLE_LINK2"/>
      <w:bookmarkStart w:id="9" w:name="OLE_LINK1"/>
    </w:p>
    <w:bookmarkEnd w:id="6"/>
    <w:bookmarkEnd w:id="7"/>
    <w:bookmarkEnd w:id="8"/>
    <w:bookmarkEnd w:id="9"/>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bookmarkStart w:id="10" w:name="_Toc420948006"/>
      <w:bookmarkStart w:id="11" w:name="_Toc474235941"/>
      <w:r>
        <w:rPr>
          <w:rFonts w:hint="eastAsia" w:ascii="宋体" w:hAnsi="宋体" w:cs="Arial"/>
          <w:color w:val="000000" w:themeColor="text1"/>
          <w:kern w:val="0"/>
          <w:szCs w:val="21"/>
          <w:highlight w:val="none"/>
          <w14:textFill>
            <w14:solidFill>
              <w14:schemeClr w14:val="tx1"/>
            </w14:solidFill>
          </w14:textFill>
        </w:rPr>
        <w:t>受</w:t>
      </w:r>
      <w:r>
        <w:rPr>
          <w:rFonts w:hint="eastAsia" w:ascii="宋体" w:hAnsi="宋体" w:cs="Arial"/>
          <w:color w:val="000000" w:themeColor="text1"/>
          <w:kern w:val="0"/>
          <w:szCs w:val="21"/>
          <w:highlight w:val="none"/>
          <w:lang w:eastAsia="zh-CN"/>
          <w14:textFill>
            <w14:solidFill>
              <w14:schemeClr w14:val="tx1"/>
            </w14:solidFill>
          </w14:textFill>
        </w:rPr>
        <w:t>霍尔果斯市教育局</w:t>
      </w:r>
      <w:r>
        <w:rPr>
          <w:rFonts w:hint="eastAsia" w:ascii="宋体" w:hAnsi="宋体" w:cs="Arial"/>
          <w:color w:val="000000" w:themeColor="text1"/>
          <w:kern w:val="0"/>
          <w:szCs w:val="21"/>
          <w:highlight w:val="none"/>
          <w14:textFill>
            <w14:solidFill>
              <w14:schemeClr w14:val="tx1"/>
            </w14:solidFill>
          </w14:textFill>
        </w:rPr>
        <w:t>的委托，霍尔果斯经济开发区政府采购中心对</w:t>
      </w:r>
      <w:r>
        <w:rPr>
          <w:rFonts w:hint="eastAsia" w:ascii="宋体" w:hAnsi="宋体" w:cs="Arial"/>
          <w:color w:val="000000" w:themeColor="text1"/>
          <w:kern w:val="0"/>
          <w:szCs w:val="21"/>
          <w:highlight w:val="none"/>
          <w:lang w:eastAsia="zh-CN"/>
          <w14:textFill>
            <w14:solidFill>
              <w14:schemeClr w14:val="tx1"/>
            </w14:solidFill>
          </w14:textFill>
        </w:rPr>
        <w:t>霍尔果斯市教育局“哺育工程”饮用奶采购项目</w:t>
      </w:r>
      <w:r>
        <w:rPr>
          <w:rFonts w:hint="eastAsia" w:ascii="宋体" w:hAnsi="宋体" w:cs="Arial"/>
          <w:color w:val="000000" w:themeColor="text1"/>
          <w:kern w:val="0"/>
          <w:szCs w:val="21"/>
          <w:highlight w:val="none"/>
          <w14:textFill>
            <w14:solidFill>
              <w14:schemeClr w14:val="tx1"/>
            </w14:solidFill>
          </w14:textFill>
        </w:rPr>
        <w:t>进行公开</w:t>
      </w:r>
      <w:r>
        <w:rPr>
          <w:rFonts w:hint="eastAsia" w:ascii="宋体" w:hAnsi="宋体" w:cs="Arial"/>
          <w:color w:val="000000" w:themeColor="text1"/>
          <w:kern w:val="0"/>
          <w:szCs w:val="21"/>
          <w14:textFill>
            <w14:solidFill>
              <w14:schemeClr w14:val="tx1"/>
            </w14:solidFill>
          </w14:textFill>
        </w:rPr>
        <w:t>招标采购，欢迎符合资格条件的投标人参加投标。</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w:t>
      </w:r>
      <w:r>
        <w:rPr>
          <w:rFonts w:hint="eastAsia" w:ascii="宋体" w:hAnsi="宋体" w:cs="Arial"/>
          <w:color w:val="000000" w:themeColor="text1"/>
          <w:kern w:val="0"/>
          <w:szCs w:val="21"/>
          <w:lang w:eastAsia="zh-CN"/>
          <w14:textFill>
            <w14:solidFill>
              <w14:schemeClr w14:val="tx1"/>
            </w14:solidFill>
          </w14:textFill>
        </w:rPr>
        <w:t>HEGSCG-2023GK-36号</w:t>
      </w:r>
    </w:p>
    <w:p>
      <w:pPr>
        <w:widowControl/>
        <w:spacing w:line="380" w:lineRule="exact"/>
        <w:ind w:firstLine="420" w:firstLineChars="200"/>
        <w:jc w:val="left"/>
        <w:rPr>
          <w:rFonts w:hint="default" w:ascii="宋体" w:hAnsi="宋体" w:eastAsia="宋体" w:cs="Arial"/>
          <w:color w:val="000000" w:themeColor="text1"/>
          <w:kern w:val="0"/>
          <w:szCs w:val="21"/>
          <w:highlight w:val="darkMagenta"/>
          <w:lang w:val="en-US"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2、项目名称：</w:t>
      </w:r>
      <w:r>
        <w:rPr>
          <w:rFonts w:hint="eastAsia" w:ascii="宋体" w:hAnsi="宋体" w:cs="Arial"/>
          <w:color w:val="000000" w:themeColor="text1"/>
          <w:kern w:val="0"/>
          <w:szCs w:val="21"/>
          <w:lang w:eastAsia="zh-CN"/>
          <w14:textFill>
            <w14:solidFill>
              <w14:schemeClr w14:val="tx1"/>
            </w14:solidFill>
          </w14:textFill>
        </w:rPr>
        <w:t>霍尔果斯市教育局“哺育工程”饮用奶采购项目</w:t>
      </w:r>
    </w:p>
    <w:p>
      <w:pPr>
        <w:widowControl/>
        <w:spacing w:line="380" w:lineRule="exact"/>
        <w:ind w:left="420" w:left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color w:val="000000" w:themeColor="text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p>
    <w:tbl>
      <w:tblPr>
        <w:tblStyle w:val="46"/>
        <w:tblW w:w="8843" w:type="dxa"/>
        <w:tblInd w:w="1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5417"/>
        <w:gridCol w:w="690"/>
        <w:gridCol w:w="690"/>
        <w:gridCol w:w="6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843" w:type="dxa"/>
            <w:gridSpan w:val="5"/>
            <w:tcBorders>
              <w:tl2br w:val="nil"/>
              <w:tr2bl w:val="nil"/>
            </w:tcBorders>
            <w:shd w:val="clear" w:color="auto" w:fill="auto"/>
            <w:noWrap/>
            <w:vAlign w:val="center"/>
          </w:tcPr>
          <w:p>
            <w:pPr>
              <w:widowControl/>
              <w:jc w:val="left"/>
              <w:textAlignment w:val="center"/>
              <w:rPr>
                <w:rFonts w:hint="eastAsia" w:ascii="黑体" w:hAnsi="黑体" w:eastAsia="黑体" w:cs="黑体"/>
                <w:color w:val="000000"/>
                <w:kern w:val="0"/>
                <w:sz w:val="20"/>
                <w:szCs w:val="20"/>
                <w:lang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名称</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简要规格描述或项目基本概况</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单位</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数量</w:t>
            </w:r>
          </w:p>
        </w:tc>
        <w:tc>
          <w:tcPr>
            <w:tcW w:w="681"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教育局“哺育工程”饮用奶</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eastAsia="黑体"/>
                <w:color w:val="000000"/>
                <w:kern w:val="0"/>
                <w:sz w:val="20"/>
                <w:szCs w:val="20"/>
                <w:lang w:eastAsia="zh-CN" w:bidi="ar"/>
              </w:rPr>
              <w:t>学龄前儿童及中小学生哺育奶采购，</w:t>
            </w:r>
            <w:r>
              <w:rPr>
                <w:rFonts w:hint="eastAsia" w:eastAsia="黑体"/>
                <w:color w:val="000000"/>
                <w:kern w:val="0"/>
                <w:sz w:val="20"/>
                <w:szCs w:val="20"/>
                <w:lang w:bidi="ar"/>
              </w:rPr>
              <w:t>具体明细详见采购文件</w:t>
            </w:r>
            <w:r>
              <w:rPr>
                <w:rFonts w:hint="eastAsia" w:eastAsia="黑体"/>
                <w:sz w:val="20"/>
                <w:szCs w:val="20"/>
              </w:rPr>
              <w:t>“第五章 采购需求”。</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批</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w:t>
            </w:r>
          </w:p>
        </w:tc>
        <w:tc>
          <w:tcPr>
            <w:tcW w:w="681" w:type="dxa"/>
            <w:tcBorders>
              <w:tl2br w:val="nil"/>
              <w:tr2bl w:val="nil"/>
            </w:tcBorders>
            <w:shd w:val="clear" w:color="auto" w:fill="auto"/>
            <w:vAlign w:val="center"/>
          </w:tcPr>
          <w:p>
            <w:pPr>
              <w:jc w:val="center"/>
              <w:rPr>
                <w:rFonts w:ascii="黑体" w:hAnsi="黑体" w:eastAsia="黑体" w:cs="黑体"/>
                <w:color w:val="000000"/>
                <w:sz w:val="20"/>
                <w:szCs w:val="20"/>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（2）财政部、生态环境部《关于印发环境标志产品政府采购品目清单的通知》（财库[2019]18号文）；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（3）财政部、发展改革委《关于印发节能产品政府采购品目清单的通知》（财库[2019]19号文）；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（4）市场监管总局《市场监管总局关于发布参与实施政府采购节能产品、环境标志产品认证机构名录的公告》（2019年第16号）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（5）财政部、工业和信息化部</w:t>
      </w:r>
      <w:r>
        <w:rPr>
          <w:rFonts w:hint="eastAsia" w:ascii="宋体" w:hAnsi="宋体"/>
          <w:color w:val="000000" w:themeColor="text1"/>
          <w:szCs w:val="21"/>
          <w14:textFill>
            <w14:solidFill>
              <w14:schemeClr w14:val="tx1"/>
            </w14:solidFill>
          </w14:textFill>
        </w:rPr>
        <w:t>《政府采购促进中小企业发展管理办法》（财库[2020]46号）</w:t>
      </w:r>
      <w:r>
        <w:rPr>
          <w:rFonts w:hint="eastAsia" w:ascii="宋体" w:hAnsi="宋体" w:cs="Arial"/>
          <w:kern w:val="0"/>
          <w:szCs w:val="21"/>
        </w:rPr>
        <w:t>；财政部《关于进一步加大政府采购支持中小企业力度的通知》（财库[2022]19号）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（6）财政部、民政部、中国残疾人联合会《关于促进残疾人就业政府采购政策的通知》（财库[2017]141号）；</w:t>
      </w:r>
    </w:p>
    <w:p>
      <w:pPr>
        <w:ind w:firstLine="420" w:firstLineChars="200"/>
        <w:rPr>
          <w:rFonts w:ascii="宋体" w:hAnsi="宋体" w:cs="Arial"/>
          <w:kern w:val="0"/>
          <w:szCs w:val="21"/>
        </w:rPr>
      </w:pPr>
      <w:r>
        <w:rPr>
          <w:rFonts w:hint="eastAsia" w:ascii="宋体" w:hAnsi="宋体" w:cs="Arial"/>
          <w:kern w:val="0"/>
          <w:szCs w:val="21"/>
        </w:rPr>
        <w:t>（7）财政部、司法部《关于政府采购支持监狱企业发展有关问题的通知》（财库[2014]68号文）；</w:t>
      </w:r>
    </w:p>
    <w:p>
      <w:pPr>
        <w:widowControl/>
        <w:spacing w:line="380" w:lineRule="exact"/>
        <w:ind w:left="420" w:leftChars="200"/>
        <w:jc w:val="left"/>
        <w:rPr>
          <w:rFonts w:ascii="宋体" w:hAnsi="宋体" w:cs="Arial"/>
          <w:kern w:val="0"/>
          <w:szCs w:val="21"/>
        </w:rPr>
      </w:pPr>
      <w:r>
        <w:rPr>
          <w:rFonts w:hint="eastAsia" w:ascii="宋体" w:hAnsi="宋体" w:cs="Arial"/>
          <w:kern w:val="0"/>
          <w:szCs w:val="21"/>
        </w:rPr>
        <w:t>（8）根据工业和信息化部、国家统计局、国家发展改革委、财政部《关于印发中小企业划型标准规定的通知》(工信部联企业〔2011〕300号)。</w:t>
      </w:r>
    </w:p>
    <w:p>
      <w:pPr>
        <w:widowControl/>
        <w:spacing w:line="380" w:lineRule="exact"/>
        <w:ind w:left="420" w:hanging="420" w:hangingChars="200"/>
        <w:jc w:val="left"/>
        <w:rPr>
          <w:rFonts w:ascii="宋体" w:hAnsi="宋体" w:cs="Arial"/>
          <w:kern w:val="0"/>
          <w:szCs w:val="21"/>
        </w:rPr>
      </w:pPr>
      <w:r>
        <w:rPr>
          <w:rFonts w:hint="eastAsia" w:ascii="宋体" w:hAnsi="宋体" w:cs="Arial"/>
          <w:kern w:val="0"/>
          <w:szCs w:val="21"/>
        </w:rPr>
        <w:t>5、投标人的资格要求：</w:t>
      </w:r>
      <w:r>
        <w:rPr>
          <w:rFonts w:hint="eastAsia" w:ascii="宋体" w:hAnsi="宋体" w:cs="Arial"/>
          <w:kern w:val="0"/>
          <w:szCs w:val="21"/>
        </w:rPr>
        <w:br w:type="textWrapping"/>
      </w:r>
      <w:r>
        <w:rPr>
          <w:rFonts w:hint="eastAsia" w:ascii="宋体" w:hAnsi="宋体" w:cs="Arial"/>
          <w:kern w:val="0"/>
          <w:szCs w:val="21"/>
        </w:rPr>
        <w:t>（1）符合《中华人民共和国政府采购法》第二十二条规定条件；</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（2）投标人在“信用中国”（www.creditchina.gov.cn）和中国政府采购网（www.ccgp.gov.cn）网站上未被列入失信被执行人、重大税收违法案件当事人名单以及政府采购严重违法失信行为记录名单；</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（3）</w:t>
      </w:r>
      <w:r>
        <w:rPr>
          <w:rFonts w:hint="eastAsia" w:ascii="宋体" w:hAnsi="宋体" w:cs="Arial"/>
          <w:kern w:val="0"/>
          <w:szCs w:val="21"/>
          <w:lang w:eastAsia="zh-CN"/>
        </w:rPr>
        <w:t>生产企业的《食品生产许可证》，许可项目包含此次采购需求。</w:t>
      </w:r>
    </w:p>
    <w:p>
      <w:pPr>
        <w:widowControl/>
        <w:spacing w:line="380" w:lineRule="exact"/>
        <w:ind w:firstLine="420" w:firstLineChars="200"/>
        <w:jc w:val="left"/>
        <w:rPr>
          <w:rFonts w:hint="default" w:ascii="宋体" w:hAnsi="宋体" w:cs="Arial"/>
          <w:kern w:val="0"/>
          <w:szCs w:val="21"/>
          <w:lang w:val="en-US" w:eastAsia="zh-CN"/>
        </w:rPr>
      </w:pPr>
      <w:r>
        <w:rPr>
          <w:rFonts w:hint="eastAsia" w:ascii="宋体" w:hAnsi="宋体" w:cs="Arial"/>
          <w:kern w:val="0"/>
          <w:szCs w:val="21"/>
          <w:lang w:eastAsia="zh-CN"/>
        </w:rPr>
        <w:t>（</w:t>
      </w:r>
      <w:r>
        <w:rPr>
          <w:rFonts w:hint="eastAsia" w:ascii="宋体" w:hAnsi="宋体" w:cs="Arial"/>
          <w:kern w:val="0"/>
          <w:szCs w:val="21"/>
          <w:lang w:val="en-US" w:eastAsia="zh-CN"/>
        </w:rPr>
        <w:t>4）投标人非生产企业的，需提供经营范围含预包装食品销售的《营业执照》或《食品经营许可证》</w:t>
      </w:r>
    </w:p>
    <w:p>
      <w:pPr>
        <w:widowControl/>
        <w:spacing w:line="380" w:lineRule="exact"/>
        <w:ind w:firstLine="420" w:firstLineChars="200"/>
        <w:jc w:val="left"/>
        <w:rPr>
          <w:rFonts w:hint="eastAsia" w:ascii="宋体" w:hAnsi="宋体" w:cs="Arial"/>
          <w:kern w:val="0"/>
          <w:szCs w:val="21"/>
          <w:lang w:val="en-US" w:eastAsia="zh-CN"/>
        </w:rPr>
      </w:pPr>
      <w:r>
        <w:rPr>
          <w:rFonts w:hint="eastAsia" w:ascii="宋体" w:hAnsi="宋体" w:cs="Arial"/>
          <w:kern w:val="0"/>
          <w:szCs w:val="21"/>
          <w:lang w:eastAsia="zh-CN"/>
        </w:rPr>
        <w:t>（</w:t>
      </w:r>
      <w:r>
        <w:rPr>
          <w:rFonts w:hint="eastAsia" w:ascii="宋体" w:hAnsi="宋体" w:cs="Arial"/>
          <w:kern w:val="0"/>
          <w:szCs w:val="21"/>
          <w:lang w:val="en-US" w:eastAsia="zh-CN"/>
        </w:rPr>
        <w:t>5）</w:t>
      </w:r>
      <w:r>
        <w:rPr>
          <w:rFonts w:hint="eastAsia"/>
          <w:color w:val="000000" w:themeColor="text1"/>
          <w:szCs w:val="21"/>
          <w:highlight w:val="none"/>
          <w:lang w:val="en-US" w:eastAsia="zh-CN"/>
          <w14:textFill>
            <w14:solidFill>
              <w14:schemeClr w14:val="tx1"/>
            </w14:solidFill>
          </w14:textFill>
        </w:rPr>
        <w:t>投标有效期满足招标文件要求。</w:t>
      </w:r>
    </w:p>
    <w:p>
      <w:pPr>
        <w:widowControl/>
        <w:spacing w:line="380" w:lineRule="exact"/>
        <w:ind w:firstLine="420" w:firstLineChars="200"/>
        <w:jc w:val="left"/>
        <w:rPr>
          <w:rFonts w:hint="eastAsia" w:ascii="宋体" w:hAnsi="宋体" w:cs="Arial"/>
          <w:kern w:val="0"/>
          <w:szCs w:val="21"/>
        </w:rPr>
      </w:pPr>
      <w:r>
        <w:rPr>
          <w:rFonts w:hint="eastAsia" w:ascii="宋体" w:hAnsi="宋体" w:cs="Arial"/>
          <w:kern w:val="0"/>
          <w:szCs w:val="21"/>
          <w:lang w:val="en-US" w:eastAsia="zh-CN"/>
        </w:rPr>
        <w:t>（6）</w:t>
      </w:r>
      <w:r>
        <w:rPr>
          <w:rFonts w:hint="eastAsia" w:ascii="宋体" w:hAnsi="宋体" w:cs="Arial"/>
          <w:kern w:val="0"/>
          <w:szCs w:val="21"/>
        </w:rPr>
        <w:t>本项目不接受联合体，分公司参与投标需提供总公司营业执照及授权。</w:t>
      </w:r>
    </w:p>
    <w:p>
      <w:pPr>
        <w:widowControl/>
        <w:spacing w:line="380" w:lineRule="exact"/>
        <w:jc w:val="left"/>
        <w:rPr>
          <w:rFonts w:ascii="宋体" w:hAnsi="宋体" w:cs="Arial"/>
          <w:kern w:val="0"/>
          <w:szCs w:val="21"/>
        </w:rPr>
      </w:pPr>
      <w:r>
        <w:rPr>
          <w:rFonts w:hint="eastAsia" w:ascii="宋体" w:hAnsi="宋体" w:cs="Arial"/>
          <w:kern w:val="0"/>
          <w:szCs w:val="21"/>
        </w:rPr>
        <w:t>6、获取招标文件时间、地点、方式或事项：</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ascii="宋体" w:hAnsi="宋体" w:eastAsia="宋体" w:cs="Arial"/>
          <w:kern w:val="0"/>
          <w:szCs w:val="21"/>
          <w:highlight w:val="none"/>
          <w:lang w:eastAsia="zh-CN"/>
        </w:rPr>
      </w:pPr>
      <w:r>
        <w:rPr>
          <w:rFonts w:hint="eastAsia" w:ascii="宋体" w:hAnsi="宋体" w:cs="Arial"/>
          <w:kern w:val="0"/>
          <w:szCs w:val="21"/>
        </w:rPr>
        <w:t>（2）获取文件时间：</w:t>
      </w:r>
      <w:r>
        <w:rPr>
          <w:rFonts w:hint="eastAsia"/>
          <w:b/>
          <w:bCs/>
          <w:color w:val="000000" w:themeColor="text1"/>
          <w:lang w:eastAsia="zh-CN"/>
          <w14:textFill>
            <w14:solidFill>
              <w14:schemeClr w14:val="tx1"/>
            </w14:solidFill>
          </w14:textFill>
        </w:rPr>
        <w:t>2023年9月28日</w:t>
      </w:r>
      <w:r>
        <w:rPr>
          <w:rFonts w:hint="eastAsia"/>
          <w:b/>
          <w:bCs/>
          <w:color w:val="000000" w:themeColor="text1"/>
          <w:highlight w:val="none"/>
          <w14:textFill>
            <w14:solidFill>
              <w14:schemeClr w14:val="tx1"/>
            </w14:solidFill>
          </w14:textFill>
        </w:rPr>
        <w:t>至</w:t>
      </w:r>
      <w:r>
        <w:rPr>
          <w:rFonts w:hint="eastAsia"/>
          <w:b/>
          <w:bCs/>
          <w:color w:val="000000" w:themeColor="text1"/>
          <w:highlight w:val="none"/>
          <w:lang w:eastAsia="zh-CN"/>
          <w14:textFill>
            <w14:solidFill>
              <w14:schemeClr w14:val="tx1"/>
            </w14:solidFill>
          </w14:textFill>
        </w:rPr>
        <w:t>2023年10月11日</w:t>
      </w:r>
    </w:p>
    <w:p>
      <w:pPr>
        <w:widowControl/>
        <w:spacing w:line="380" w:lineRule="exact"/>
        <w:jc w:val="left"/>
        <w:rPr>
          <w:rFonts w:ascii="宋体" w:hAnsi="宋体" w:cs="Arial"/>
          <w:kern w:val="0"/>
          <w:szCs w:val="21"/>
        </w:rPr>
      </w:pPr>
      <w:r>
        <w:rPr>
          <w:rFonts w:hint="eastAsia" w:ascii="宋体" w:hAnsi="宋体" w:cs="Arial"/>
          <w:kern w:val="0"/>
          <w:szCs w:val="21"/>
        </w:rPr>
        <w:t>7、招标文件售价：免费</w:t>
      </w:r>
      <w:r>
        <w:rPr>
          <w:rFonts w:hint="eastAsia" w:ascii="宋体" w:hAnsi="宋体" w:cs="Arial"/>
          <w:kern w:val="0"/>
          <w:szCs w:val="21"/>
        </w:rPr>
        <w:br w:type="textWrapping"/>
      </w:r>
      <w:r>
        <w:rPr>
          <w:rFonts w:hint="eastAsia" w:ascii="宋体" w:hAnsi="宋体" w:cs="Arial"/>
          <w:kern w:val="0"/>
          <w:szCs w:val="21"/>
        </w:rPr>
        <w:t>8、报名开始时间：</w:t>
      </w:r>
      <w:r>
        <w:rPr>
          <w:rFonts w:hint="eastAsia"/>
          <w:b/>
          <w:bCs/>
          <w:color w:val="000000" w:themeColor="text1"/>
          <w:lang w:eastAsia="zh-CN"/>
          <w14:textFill>
            <w14:solidFill>
              <w14:schemeClr w14:val="tx1"/>
            </w14:solidFill>
          </w14:textFill>
        </w:rPr>
        <w:t>2023年9月28日</w:t>
      </w:r>
      <w:r>
        <w:rPr>
          <w:rFonts w:hint="eastAsia" w:ascii="宋体" w:hAnsi="宋体" w:cs="Arial"/>
          <w:b/>
          <w:bCs/>
          <w:kern w:val="0"/>
          <w:szCs w:val="21"/>
        </w:rPr>
        <w:t>10点00分</w:t>
      </w:r>
    </w:p>
    <w:p>
      <w:pPr>
        <w:widowControl/>
        <w:spacing w:line="380" w:lineRule="exact"/>
        <w:ind w:firstLine="218" w:firstLineChars="104"/>
        <w:jc w:val="left"/>
        <w:rPr>
          <w:rFonts w:ascii="宋体" w:hAnsi="宋体" w:cs="Arial"/>
          <w:kern w:val="0"/>
          <w:szCs w:val="21"/>
        </w:rPr>
      </w:pPr>
      <w:r>
        <w:rPr>
          <w:rFonts w:hint="eastAsia" w:ascii="宋体" w:hAnsi="宋体" w:cs="Arial"/>
          <w:kern w:val="0"/>
          <w:szCs w:val="21"/>
        </w:rPr>
        <w:t>报名截止时间：</w:t>
      </w:r>
      <w:r>
        <w:rPr>
          <w:rFonts w:hint="eastAsia"/>
          <w:b/>
          <w:bCs/>
          <w:color w:val="000000" w:themeColor="text1"/>
          <w:lang w:eastAsia="zh-CN"/>
          <w14:textFill>
            <w14:solidFill>
              <w14:schemeClr w14:val="tx1"/>
            </w14:solidFill>
          </w14:textFill>
        </w:rPr>
        <w:t>2023年10月11日</w:t>
      </w:r>
      <w:r>
        <w:rPr>
          <w:rFonts w:hint="eastAsia" w:ascii="宋体" w:hAnsi="宋体" w:cs="Arial"/>
          <w:b/>
          <w:bCs/>
          <w:kern w:val="0"/>
          <w:szCs w:val="21"/>
        </w:rPr>
        <w:t>20点00分</w:t>
      </w:r>
    </w:p>
    <w:p>
      <w:pPr>
        <w:widowControl/>
        <w:spacing w:line="380" w:lineRule="exact"/>
        <w:jc w:val="left"/>
        <w:rPr>
          <w:rFonts w:ascii="宋体" w:hAnsi="宋体" w:cs="Arial"/>
          <w:kern w:val="0"/>
          <w:szCs w:val="21"/>
        </w:rPr>
      </w:pPr>
      <w:r>
        <w:rPr>
          <w:rFonts w:hint="eastAsia" w:ascii="宋体" w:hAnsi="宋体" w:cs="Arial"/>
          <w:kern w:val="0"/>
          <w:szCs w:val="21"/>
        </w:rPr>
        <w:t>9、投标截止时间：投标人应于</w:t>
      </w:r>
      <w:r>
        <w:rPr>
          <w:rFonts w:hint="eastAsia"/>
          <w:b/>
          <w:bCs/>
          <w:color w:val="000000" w:themeColor="text1"/>
          <w:lang w:eastAsia="zh-CN"/>
          <w14:textFill>
            <w14:solidFill>
              <w14:schemeClr w14:val="tx1"/>
            </w14:solidFill>
          </w14:textFill>
        </w:rPr>
        <w:t>2023年10月18日10:30</w:t>
      </w:r>
      <w:r>
        <w:rPr>
          <w:rFonts w:hint="eastAsia" w:ascii="宋体" w:hAnsi="宋体" w:cs="Arial"/>
          <w:kern w:val="0"/>
          <w:szCs w:val="21"/>
        </w:rPr>
        <w:t>之前将电子投标文件上传到“政采云”平台。应按照本项目招标文件和政采云平台的要求编制、加密传输投标文件。供应商在使用系统进行投标的过程中遇到涉及平台使用的任何问题，</w:t>
      </w:r>
      <w:r>
        <w:rPr>
          <w:rFonts w:ascii="宋体" w:hAnsi="宋体" w:cs="Arial"/>
          <w:kern w:val="0"/>
          <w:szCs w:val="21"/>
        </w:rPr>
        <w:t>可通过</w:t>
      </w:r>
      <w:r>
        <w:rPr>
          <w:rFonts w:hint="eastAsia" w:ascii="宋体" w:hAnsi="宋体" w:cs="Arial"/>
          <w:kern w:val="0"/>
          <w:szCs w:val="21"/>
        </w:rPr>
        <w:t>政采云平台自助查询、</w:t>
      </w:r>
      <w:r>
        <w:rPr>
          <w:rFonts w:ascii="宋体" w:hAnsi="宋体" w:cs="Arial"/>
          <w:kern w:val="0"/>
          <w:szCs w:val="21"/>
        </w:rPr>
        <w:t>钉钉群及政采云在线客服</w:t>
      </w:r>
      <w:r>
        <w:rPr>
          <w:rFonts w:hint="eastAsia" w:ascii="宋体" w:hAnsi="宋体" w:cs="Arial"/>
          <w:kern w:val="0"/>
          <w:szCs w:val="21"/>
        </w:rPr>
        <w:t>、或致电政采云平台技术支持热线咨询，联系方式：95763。</w:t>
      </w:r>
    </w:p>
    <w:p>
      <w:pPr>
        <w:widowControl/>
        <w:spacing w:line="380" w:lineRule="exact"/>
        <w:jc w:val="left"/>
        <w:rPr>
          <w:rFonts w:ascii="宋体" w:hAnsi="宋体" w:cs="Arial"/>
          <w:kern w:val="0"/>
          <w:szCs w:val="21"/>
        </w:rPr>
      </w:pPr>
      <w:r>
        <w:rPr>
          <w:rFonts w:hint="eastAsia" w:ascii="宋体" w:hAnsi="宋体" w:cs="Arial"/>
          <w:kern w:val="0"/>
          <w:szCs w:val="21"/>
        </w:rPr>
        <w:t>10、开标、评标时间及地点（网址）：</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（1）开标时间：</w:t>
      </w:r>
      <w:r>
        <w:rPr>
          <w:rFonts w:hint="eastAsia"/>
          <w:b/>
          <w:bCs/>
          <w:color w:val="000000" w:themeColor="text1"/>
          <w:lang w:eastAsia="zh-CN"/>
          <w14:textFill>
            <w14:solidFill>
              <w14:schemeClr w14:val="tx1"/>
            </w14:solidFill>
          </w14:textFill>
        </w:rPr>
        <w:t>2023年10月18日10:30</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（3）评标时间：电子投标文件解密后</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（4）评标地点：霍尔果斯市政务服务中心三楼公共资源交易中心电子评标室，投标人无需到达评标地点。</w:t>
      </w:r>
    </w:p>
    <w:p>
      <w:pPr>
        <w:widowControl/>
        <w:spacing w:line="380" w:lineRule="exact"/>
        <w:jc w:val="left"/>
        <w:rPr>
          <w:rFonts w:hint="eastAsia" w:ascii="宋体" w:hAnsi="宋体" w:eastAsia="宋体" w:cs="Arial"/>
          <w:kern w:val="0"/>
          <w:szCs w:val="21"/>
          <w:highlight w:val="none"/>
          <w:lang w:eastAsia="zh-CN"/>
        </w:rPr>
      </w:pPr>
      <w:r>
        <w:rPr>
          <w:rFonts w:hint="eastAsia" w:ascii="宋体" w:hAnsi="宋体" w:cs="Arial"/>
          <w:kern w:val="0"/>
          <w:szCs w:val="21"/>
        </w:rPr>
        <w:t>11、本项目</w:t>
      </w:r>
      <w:r>
        <w:rPr>
          <w:rFonts w:hint="eastAsia" w:ascii="宋体" w:hAnsi="宋体" w:cs="Arial"/>
          <w:kern w:val="0"/>
          <w:szCs w:val="21"/>
          <w:highlight w:val="none"/>
        </w:rPr>
        <w:t>采购人：</w:t>
      </w:r>
      <w:r>
        <w:rPr>
          <w:rFonts w:hint="eastAsia" w:ascii="宋体" w:hAnsi="宋体" w:cs="Arial"/>
          <w:kern w:val="0"/>
          <w:szCs w:val="21"/>
          <w:highlight w:val="none"/>
          <w:lang w:eastAsia="zh-CN"/>
        </w:rPr>
        <w:t>霍尔果斯市教育局</w:t>
      </w:r>
    </w:p>
    <w:p>
      <w:pPr>
        <w:pStyle w:val="16"/>
        <w:ind w:firstLine="420" w:firstLineChars="200"/>
        <w:rPr>
          <w:rFonts w:hint="eastAsia" w:eastAsia="宋体"/>
          <w:highlight w:val="none"/>
          <w:lang w:eastAsia="zh-CN"/>
        </w:rPr>
      </w:pPr>
      <w:r>
        <w:rPr>
          <w:rFonts w:hint="eastAsia" w:ascii="宋体" w:hAnsi="宋体" w:cs="Arial"/>
          <w:kern w:val="0"/>
          <w:szCs w:val="21"/>
          <w:highlight w:val="none"/>
        </w:rPr>
        <w:t>地  址：</w:t>
      </w:r>
      <w:r>
        <w:rPr>
          <w:rFonts w:hint="eastAsia"/>
          <w:highlight w:val="none"/>
          <w:lang w:eastAsia="zh-CN"/>
        </w:rPr>
        <w:t>巡防大队综合办公楼3楼</w:t>
      </w:r>
    </w:p>
    <w:p>
      <w:pPr>
        <w:pStyle w:val="16"/>
        <w:ind w:firstLine="420" w:firstLineChars="200"/>
        <w:rPr>
          <w:rFonts w:hint="eastAsia" w:eastAsia="宋体"/>
          <w:lang w:val="en-US" w:eastAsia="zh-CN"/>
        </w:rPr>
      </w:pPr>
      <w:r>
        <w:rPr>
          <w:rFonts w:hint="eastAsia" w:ascii="宋体" w:hAnsi="宋体" w:cs="Arial"/>
          <w:kern w:val="0"/>
          <w:szCs w:val="21"/>
        </w:rPr>
        <w:t>联系人：</w:t>
      </w:r>
      <w:r>
        <w:rPr>
          <w:rFonts w:hint="eastAsia"/>
          <w:lang w:val="en-US" w:eastAsia="zh-CN"/>
        </w:rPr>
        <w:t>桂杉</w:t>
      </w:r>
    </w:p>
    <w:p>
      <w:pPr>
        <w:pStyle w:val="16"/>
        <w:ind w:firstLine="420" w:firstLineChars="200"/>
        <w:rPr>
          <w:rFonts w:hint="default" w:eastAsia="宋体"/>
          <w:lang w:val="en-US" w:eastAsia="zh-CN"/>
        </w:rPr>
      </w:pPr>
      <w:r>
        <w:rPr>
          <w:rFonts w:hint="eastAsia" w:ascii="宋体" w:hAnsi="宋体" w:cs="Arial"/>
          <w:kern w:val="0"/>
          <w:szCs w:val="21"/>
        </w:rPr>
        <w:t>联系电话：</w:t>
      </w:r>
      <w:r>
        <w:rPr>
          <w:rFonts w:hint="eastAsia"/>
          <w:lang w:val="en-US" w:eastAsia="zh-CN"/>
        </w:rPr>
        <w:t>15886985336</w:t>
      </w:r>
    </w:p>
    <w:p>
      <w:pPr>
        <w:widowControl/>
        <w:spacing w:line="380" w:lineRule="exact"/>
        <w:ind w:firstLine="420" w:firstLineChars="200"/>
        <w:jc w:val="left"/>
        <w:rPr>
          <w:rFonts w:ascii="宋体" w:hAnsi="宋体" w:cs="Arial"/>
          <w:kern w:val="0"/>
          <w:szCs w:val="21"/>
        </w:rPr>
      </w:pP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采购代理机构：霍尔果斯经济开发区政府采购中心</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地  址：霍尔果斯市政务服务中心225办公室</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联系人：</w:t>
      </w:r>
      <w:r>
        <w:rPr>
          <w:rFonts w:hint="eastAsia" w:ascii="宋体" w:hAnsi="宋体" w:cs="Arial"/>
          <w:kern w:val="0"/>
          <w:szCs w:val="21"/>
          <w:lang w:eastAsia="zh-CN"/>
        </w:rPr>
        <w:t>罗鹏</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联系电话：0999-8797331</w:t>
      </w:r>
    </w:p>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第二章 投标须知</w:t>
      </w:r>
      <w:bookmarkEnd w:id="10"/>
      <w:bookmarkEnd w:id="11"/>
    </w:p>
    <w:p>
      <w:pPr>
        <w:pStyle w:val="26"/>
        <w:jc w:val="center"/>
        <w:outlineLvl w:val="1"/>
        <w:rPr>
          <w:rFonts w:hAnsi="宋体"/>
          <w:b/>
          <w:color w:val="000000" w:themeColor="text1"/>
          <w:sz w:val="30"/>
          <w:szCs w:val="30"/>
          <w14:textFill>
            <w14:solidFill>
              <w14:schemeClr w14:val="tx1"/>
            </w14:solidFill>
          </w14:textFill>
        </w:rPr>
      </w:pPr>
      <w:bookmarkStart w:id="12" w:name="_Toc474235942"/>
      <w:r>
        <w:rPr>
          <w:rFonts w:hint="eastAsia" w:hAnsi="宋体"/>
          <w:b/>
          <w:color w:val="000000" w:themeColor="text1"/>
          <w:sz w:val="30"/>
          <w:szCs w:val="30"/>
          <w14:textFill>
            <w14:solidFill>
              <w14:schemeClr w14:val="tx1"/>
            </w14:solidFill>
          </w14:textFill>
        </w:rPr>
        <w:t>投标须知前附表</w:t>
      </w:r>
      <w:bookmarkEnd w:id="12"/>
    </w:p>
    <w:tbl>
      <w:tblPr>
        <w:tblStyle w:val="46"/>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cs="Arial"/>
                <w:kern w:val="0"/>
                <w:szCs w:val="21"/>
                <w:lang w:eastAsia="zh-CN"/>
              </w:rPr>
              <w:t>霍尔果斯市教育局“哺育工程”饮用奶采购项目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eastAsia="zh-CN"/>
                <w14:textFill>
                  <w14:solidFill>
                    <w14:schemeClr w14:val="tx1"/>
                  </w14:solidFill>
                </w14:textFill>
              </w:rPr>
              <w:t>内容</w:t>
            </w:r>
          </w:p>
        </w:tc>
        <w:tc>
          <w:tcPr>
            <w:tcW w:w="4945" w:type="dxa"/>
            <w:tcBorders>
              <w:bottom w:val="single" w:color="auto" w:sz="4" w:space="0"/>
            </w:tcBorders>
            <w:vAlign w:val="center"/>
          </w:tcPr>
          <w:p>
            <w:pPr>
              <w:jc w:val="left"/>
              <w:rPr>
                <w:rFonts w:hint="default" w:eastAsia="宋体"/>
                <w:color w:val="000000" w:themeColor="text1"/>
                <w:lang w:val="en-US" w:eastAsia="zh-CN"/>
                <w14:textFill>
                  <w14:solidFill>
                    <w14:schemeClr w14:val="tx1"/>
                  </w14:solidFill>
                </w14:textFill>
              </w:rPr>
            </w:pPr>
            <w:r>
              <w:rPr>
                <w:rFonts w:hint="eastAsia"/>
                <w:lang w:val="en-US" w:eastAsia="zh-CN"/>
              </w:rPr>
              <w:t>利乐枕包液态奶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r>
              <w:rPr>
                <w:rFonts w:hint="eastAsia" w:ascii="宋体" w:hAnsi="宋体" w:cs="宋体"/>
                <w:color w:val="000000" w:themeColor="text1"/>
                <w:kern w:val="0"/>
                <w:szCs w:val="21"/>
                <w:lang w:eastAsia="zh-CN"/>
                <w14:textFill>
                  <w14:solidFill>
                    <w14:schemeClr w14:val="tx1"/>
                  </w14:solidFill>
                </w14:textFill>
              </w:rPr>
              <w:t>（甲方指定位置）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Align w:val="center"/>
          </w:tcPr>
          <w:p>
            <w:pPr>
              <w:adjustRightInd w:val="0"/>
              <w:snapToGrid w:val="0"/>
              <w:spacing w:line="400" w:lineRule="exact"/>
              <w:rPr>
                <w:rFonts w:hint="eastAsia" w:ascii="宋体" w:hAnsi="宋体" w:eastAsia="宋体"/>
                <w:szCs w:val="21"/>
                <w:lang w:eastAsia="zh-CN"/>
              </w:rPr>
            </w:pPr>
            <w:r>
              <w:rPr>
                <w:rFonts w:hint="eastAsia" w:ascii="宋体" w:hAnsi="宋体"/>
                <w:szCs w:val="21"/>
                <w:lang w:eastAsia="zh-CN"/>
              </w:rPr>
              <w:t>履约期限</w:t>
            </w:r>
          </w:p>
        </w:tc>
        <w:tc>
          <w:tcPr>
            <w:tcW w:w="4945" w:type="dxa"/>
            <w:tcBorders>
              <w:bottom w:val="single" w:color="auto" w:sz="4" w:space="0"/>
            </w:tcBorders>
            <w:vAlign w:val="center"/>
          </w:tcPr>
          <w:p>
            <w:pPr>
              <w:adjustRightInd w:val="0"/>
              <w:snapToGrid w:val="0"/>
              <w:spacing w:line="400" w:lineRule="exact"/>
              <w:rPr>
                <w:rFonts w:hint="eastAsia" w:ascii="宋体" w:hAnsi="宋体" w:eastAsia="宋体" w:cs="宋体"/>
                <w:kern w:val="0"/>
                <w:szCs w:val="21"/>
                <w:lang w:eastAsia="zh-CN"/>
              </w:rPr>
            </w:pPr>
            <w:r>
              <w:rPr>
                <w:rFonts w:hint="eastAsia"/>
                <w:color w:val="FF0000"/>
              </w:rPr>
              <w:t>★</w:t>
            </w:r>
            <w:r>
              <w:rPr>
                <w:rFonts w:hint="eastAsia" w:ascii="宋体" w:hAnsi="宋体" w:cs="宋体"/>
                <w:color w:val="FF0000"/>
                <w:kern w:val="0"/>
                <w:szCs w:val="21"/>
                <w:lang w:eastAsia="zh-CN"/>
              </w:rPr>
              <w:t>合同签订后一年内</w:t>
            </w:r>
            <w:r>
              <w:rPr>
                <w:rFonts w:hint="eastAsia" w:ascii="宋体" w:hAnsi="宋体" w:cs="宋体"/>
                <w:color w:val="FF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hint="eastAsia" w:ascii="宋体" w:hAnsi="宋体" w:eastAsia="宋体" w:cs="Arial"/>
                <w:kern w:val="0"/>
                <w:szCs w:val="21"/>
                <w:highlight w:val="none"/>
                <w:lang w:eastAsia="zh-CN"/>
              </w:rPr>
            </w:pPr>
            <w:r>
              <w:rPr>
                <w:rFonts w:hint="eastAsia" w:ascii="宋体" w:hAnsi="宋体"/>
                <w:szCs w:val="21"/>
              </w:rPr>
              <w:t>采购人</w:t>
            </w:r>
            <w:r>
              <w:rPr>
                <w:rFonts w:hint="eastAsia" w:ascii="宋体" w:hAnsi="宋体"/>
                <w:szCs w:val="21"/>
                <w:highlight w:val="none"/>
              </w:rPr>
              <w:t>：</w:t>
            </w:r>
            <w:r>
              <w:rPr>
                <w:rFonts w:hint="eastAsia" w:ascii="宋体" w:hAnsi="宋体" w:cs="Arial"/>
                <w:kern w:val="0"/>
                <w:szCs w:val="21"/>
                <w:highlight w:val="none"/>
                <w:lang w:eastAsia="zh-CN"/>
              </w:rPr>
              <w:t>霍尔果斯市教育局</w:t>
            </w:r>
          </w:p>
          <w:p>
            <w:pPr>
              <w:adjustRightInd w:val="0"/>
              <w:snapToGrid w:val="0"/>
              <w:spacing w:line="300" w:lineRule="exact"/>
              <w:jc w:val="left"/>
              <w:rPr>
                <w:rFonts w:hint="eastAsia" w:ascii="宋体" w:hAnsi="宋体" w:eastAsia="宋体"/>
                <w:szCs w:val="21"/>
                <w:highlight w:val="none"/>
                <w:lang w:eastAsia="zh-CN"/>
              </w:rPr>
            </w:pPr>
            <w:r>
              <w:rPr>
                <w:rFonts w:hint="eastAsia" w:ascii="宋体" w:hAnsi="宋体"/>
                <w:szCs w:val="21"/>
                <w:highlight w:val="none"/>
              </w:rPr>
              <w:t>地  址：</w:t>
            </w:r>
            <w:r>
              <w:rPr>
                <w:rFonts w:hint="eastAsia"/>
                <w:highlight w:val="none"/>
                <w:lang w:eastAsia="zh-CN"/>
              </w:rPr>
              <w:t>巡防大队综合办公楼3楼</w:t>
            </w:r>
          </w:p>
          <w:p>
            <w:pPr>
              <w:adjustRightInd w:val="0"/>
              <w:snapToGrid w:val="0"/>
              <w:spacing w:line="300" w:lineRule="exact"/>
              <w:jc w:val="left"/>
              <w:rPr>
                <w:rFonts w:ascii="宋体" w:hAnsi="宋体"/>
                <w:szCs w:val="21"/>
                <w:highlight w:val="none"/>
              </w:rPr>
            </w:pPr>
            <w:r>
              <w:rPr>
                <w:rFonts w:hint="eastAsia" w:ascii="宋体" w:hAnsi="宋体"/>
                <w:szCs w:val="21"/>
                <w:highlight w:val="none"/>
              </w:rPr>
              <w:t>联系人：</w:t>
            </w:r>
            <w:r>
              <w:rPr>
                <w:rFonts w:hint="eastAsia"/>
                <w:highlight w:val="none"/>
                <w:lang w:val="en-US" w:eastAsia="zh-CN"/>
              </w:rPr>
              <w:t>桂杉</w:t>
            </w:r>
          </w:p>
          <w:p>
            <w:pPr>
              <w:adjustRightInd w:val="0"/>
              <w:snapToGrid w:val="0"/>
              <w:spacing w:line="300" w:lineRule="exact"/>
              <w:jc w:val="left"/>
              <w:rPr>
                <w:rFonts w:ascii="宋体" w:hAnsi="宋体"/>
                <w:color w:val="000000" w:themeColor="text1"/>
                <w:szCs w:val="21"/>
                <w14:textFill>
                  <w14:solidFill>
                    <w14:schemeClr w14:val="tx1"/>
                  </w14:solidFill>
                </w14:textFill>
              </w:rPr>
            </w:pPr>
            <w:r>
              <w:rPr>
                <w:rFonts w:hint="eastAsia" w:ascii="宋体" w:hAnsi="宋体"/>
                <w:szCs w:val="21"/>
                <w:highlight w:val="none"/>
              </w:rPr>
              <w:t>联系电话：</w:t>
            </w:r>
            <w:r>
              <w:rPr>
                <w:rFonts w:hint="eastAsia"/>
                <w:color w:val="000000" w:themeColor="text1"/>
                <w:highlight w:val="none"/>
                <w:lang w:val="en-US" w:eastAsia="zh-CN"/>
                <w14:textFill>
                  <w14:solidFill>
                    <w14:schemeClr w14:val="tx1"/>
                  </w14:solidFill>
                </w14:textFill>
              </w:rPr>
              <w:t>15886985336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名  称：霍尔果斯经济开发区政府采购中心</w:t>
            </w:r>
          </w:p>
          <w:p>
            <w:pPr>
              <w:adjustRightInd w:val="0"/>
              <w:snapToGrid w:val="0"/>
              <w:spacing w:line="300" w:lineRule="exact"/>
              <w:jc w:val="left"/>
              <w:rPr>
                <w:rFonts w:hint="eastAsia" w:eastAsia="宋体"/>
                <w:lang w:eastAsia="zh-CN"/>
              </w:rPr>
            </w:pPr>
            <w:r>
              <w:rPr>
                <w:rFonts w:hint="eastAsia"/>
                <w:color w:val="000000" w:themeColor="text1"/>
                <w14:textFill>
                  <w14:solidFill>
                    <w14:schemeClr w14:val="tx1"/>
                  </w14:solidFill>
                </w14:textFill>
              </w:rPr>
              <w:t>地  址：霍尔果斯市政务服务中心225办公室     联系人：</w:t>
            </w:r>
            <w:r>
              <w:rPr>
                <w:rFonts w:hint="eastAsia"/>
                <w:color w:val="000000" w:themeColor="text1"/>
                <w:lang w:eastAsia="zh-CN"/>
                <w14:textFill>
                  <w14:solidFill>
                    <w14:schemeClr w14:val="tx1"/>
                  </w14:solidFill>
                </w14:textFill>
              </w:rPr>
              <w:t>罗鹏</w:t>
            </w:r>
          </w:p>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360" w:lineRule="exact"/>
              <w:jc w:val="left"/>
            </w:pPr>
            <w:r>
              <w:rPr>
                <w:rFonts w:hint="eastAsia"/>
              </w:rPr>
              <w:t>1、符合政府采购法二十二条规定：</w:t>
            </w:r>
          </w:p>
          <w:p>
            <w:pPr>
              <w:adjustRightInd w:val="0"/>
              <w:snapToGrid w:val="0"/>
              <w:spacing w:line="360" w:lineRule="exact"/>
              <w:jc w:val="left"/>
            </w:pPr>
            <w:r>
              <w:rPr>
                <w:rFonts w:hint="eastAsia"/>
              </w:rPr>
              <w:t>（一）具有独立承担民事责任的能力；</w:t>
            </w:r>
          </w:p>
          <w:p>
            <w:pPr>
              <w:adjustRightInd w:val="0"/>
              <w:snapToGrid w:val="0"/>
              <w:spacing w:line="360" w:lineRule="exact"/>
              <w:jc w:val="left"/>
            </w:pPr>
            <w:r>
              <w:rPr>
                <w:rFonts w:hint="eastAsia"/>
              </w:rPr>
              <w:t>（二）具有良好的商业信誉和健全的财务会计制度；</w:t>
            </w:r>
          </w:p>
          <w:p>
            <w:pPr>
              <w:adjustRightInd w:val="0"/>
              <w:snapToGrid w:val="0"/>
              <w:spacing w:line="360" w:lineRule="exact"/>
              <w:jc w:val="left"/>
            </w:pPr>
            <w:r>
              <w:rPr>
                <w:rFonts w:hint="eastAsia"/>
              </w:rPr>
              <w:t>（三）具有履行合同所必需的设备和专业技术能力；</w:t>
            </w:r>
          </w:p>
          <w:p>
            <w:pPr>
              <w:adjustRightInd w:val="0"/>
              <w:snapToGrid w:val="0"/>
              <w:spacing w:line="360" w:lineRule="exact"/>
              <w:jc w:val="left"/>
            </w:pPr>
            <w:r>
              <w:rPr>
                <w:rFonts w:hint="eastAsia"/>
              </w:rPr>
              <w:t>（四）有依法缴纳税收和社会保障资金的良好记录；</w:t>
            </w:r>
          </w:p>
          <w:p>
            <w:pPr>
              <w:adjustRightInd w:val="0"/>
              <w:snapToGrid w:val="0"/>
              <w:spacing w:line="360" w:lineRule="exact"/>
              <w:jc w:val="left"/>
            </w:pPr>
            <w:r>
              <w:rPr>
                <w:rFonts w:hint="eastAsia"/>
              </w:rPr>
              <w:t>（五）参加政府采购活动前三年内，在经营活动中没有重大违法记录；</w:t>
            </w:r>
          </w:p>
          <w:p>
            <w:pPr>
              <w:adjustRightInd w:val="0"/>
              <w:snapToGrid w:val="0"/>
              <w:spacing w:line="360" w:lineRule="exact"/>
              <w:jc w:val="left"/>
            </w:pPr>
            <w:r>
              <w:rPr>
                <w:rFonts w:hint="eastAsia"/>
              </w:rPr>
              <w:t>（六）法律、行政法规规定的其他条件。</w:t>
            </w:r>
          </w:p>
          <w:p>
            <w:pPr>
              <w:adjustRightInd w:val="0"/>
              <w:snapToGrid w:val="0"/>
              <w:spacing w:line="360" w:lineRule="exact"/>
              <w:jc w:val="left"/>
              <w:rPr>
                <w:rFonts w:hint="eastAsia"/>
              </w:rPr>
            </w:pPr>
            <w:r>
              <w:rPr>
                <w:rFonts w:hint="eastAsia"/>
              </w:rPr>
              <w:t>2、提供“信用中国”及“中国政府采购网”查询截图，未被“信用中国”（www.creditchina.gov.cn）、中国政府采购网（www.ccgp.gov.cn）列入失信被执行人、重大税收违法案件当事人名单、政府采购严重违法失信行为记录名单。</w:t>
            </w:r>
          </w:p>
          <w:p>
            <w:pPr>
              <w:adjustRightInd w:val="0"/>
              <w:snapToGrid w:val="0"/>
              <w:spacing w:line="360" w:lineRule="exact"/>
              <w:jc w:val="left"/>
              <w:rPr>
                <w:rFonts w:hint="eastAsia"/>
                <w:lang w:val="en-US" w:eastAsia="zh-CN"/>
              </w:rPr>
            </w:pPr>
            <w:r>
              <w:rPr>
                <w:rFonts w:hint="eastAsia"/>
                <w:lang w:val="en-US" w:eastAsia="zh-CN"/>
              </w:rPr>
              <w:t>3、生产企业的《食品生产许可证》，许可项目包含此次采购需求。</w:t>
            </w:r>
          </w:p>
          <w:p>
            <w:pPr>
              <w:adjustRightInd w:val="0"/>
              <w:snapToGrid w:val="0"/>
              <w:spacing w:line="360" w:lineRule="exact"/>
              <w:jc w:val="left"/>
              <w:rPr>
                <w:rFonts w:hint="eastAsia" w:ascii="Times New Roman" w:hAnsi="Times New Roman" w:eastAsia="宋体" w:cs="Times New Roman"/>
                <w:lang w:val="en-US" w:eastAsia="zh-CN"/>
              </w:rPr>
            </w:pPr>
            <w:r>
              <w:rPr>
                <w:rFonts w:hint="eastAsia"/>
                <w:lang w:val="en-US" w:eastAsia="zh-CN"/>
              </w:rPr>
              <w:t>4、投标人非生产企业的，需提供经营范围含预包装食品销售的《营业执照》或《食品经营许可证》</w:t>
            </w:r>
          </w:p>
          <w:p>
            <w:pPr>
              <w:adjustRightInd w:val="0"/>
              <w:snapToGrid w:val="0"/>
              <w:spacing w:line="360" w:lineRule="exact"/>
              <w:jc w:val="left"/>
              <w:rPr>
                <w:rFonts w:hint="default"/>
                <w:lang w:val="en-US" w:eastAsia="zh-CN"/>
              </w:rPr>
            </w:pPr>
            <w:r>
              <w:rPr>
                <w:rFonts w:hint="eastAsia" w:ascii="Times New Roman" w:hAnsi="Times New Roman" w:eastAsia="宋体" w:cs="Times New Roman"/>
                <w:lang w:val="en-US" w:eastAsia="zh-CN"/>
              </w:rPr>
              <w:t>5、投标有效期满足招标文件要求。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无需提供现场勘察证明</w:t>
            </w:r>
            <w:r>
              <w:rPr>
                <w:rFonts w:hint="eastAsia"/>
                <w:b/>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41"/>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41"/>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01"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本项目专门面向小微企业预留，不再单独享受价格扣除，需提交中小企业声明函。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ascii="宋体" w:hAnsi="宋体"/>
                <w:szCs w:val="21"/>
              </w:rPr>
            </w:pPr>
            <w:r>
              <w:rPr>
                <w:rFonts w:hint="eastAsia"/>
                <w:color w:val="FF0000"/>
              </w:rPr>
              <w:t>★</w:t>
            </w:r>
            <w:r>
              <w:rPr>
                <w:rFonts w:hint="eastAsia"/>
                <w:color w:val="FF0000"/>
                <w:lang w:eastAsia="zh-CN"/>
              </w:rPr>
              <w:t>保质期≥45天，保证所提供的商品每批次均合格</w:t>
            </w:r>
            <w:r>
              <w:rPr>
                <w:rFonts w:hint="eastAsia"/>
                <w:color w:val="FF0000"/>
              </w:rPr>
              <w:t>，牛奶完好率为100%,保证食品卫生安全。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hint="eastAsia" w:ascii="宋体" w:hAnsi="宋体" w:eastAsia="宋体"/>
                <w:bCs/>
                <w:szCs w:val="21"/>
                <w:lang w:eastAsia="zh-CN"/>
              </w:rPr>
            </w:pPr>
            <w:r>
              <w:rPr>
                <w:rFonts w:hint="eastAsia" w:ascii="宋体" w:hAnsi="宋体"/>
                <w:b/>
                <w:szCs w:val="21"/>
                <w:highlight w:val="none"/>
                <w:u w:val="single"/>
                <w:lang w:eastAsia="zh-CN"/>
              </w:rPr>
              <w:t>2023年10月18日10:30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26"/>
              <w:rPr>
                <w:rFonts w:ascii="宋体" w:hAnsi="宋体"/>
                <w:bCs/>
                <w:szCs w:val="21"/>
              </w:rPr>
            </w:pPr>
            <w:r>
              <w:rPr>
                <w:rFonts w:hint="eastAsia" w:ascii="宋体" w:hAnsi="宋体"/>
                <w:bCs/>
                <w:sz w:val="21"/>
                <w:szCs w:val="21"/>
              </w:rPr>
              <w:t>开标时间后30分钟内（</w:t>
            </w:r>
            <w:r>
              <w:rPr>
                <w:rFonts w:hint="eastAsia" w:ascii="宋体" w:hAnsi="宋体"/>
                <w:b/>
                <w:sz w:val="21"/>
                <w:szCs w:val="21"/>
                <w:lang w:eastAsia="zh-CN"/>
              </w:rPr>
              <w:t>2023年10月18日10:30</w:t>
            </w:r>
            <w:r>
              <w:rPr>
                <w:rFonts w:hint="eastAsia" w:ascii="宋体" w:hAnsi="宋体"/>
                <w:b/>
                <w:sz w:val="21"/>
                <w:szCs w:val="21"/>
              </w:rPr>
              <w:t>-1</w:t>
            </w:r>
            <w:r>
              <w:rPr>
                <w:rFonts w:hint="eastAsia" w:ascii="宋体" w:hAnsi="宋体"/>
                <w:b/>
                <w:sz w:val="21"/>
                <w:szCs w:val="21"/>
                <w:lang w:val="en-US" w:eastAsia="zh-CN"/>
              </w:rPr>
              <w:t>1</w:t>
            </w:r>
            <w:r>
              <w:rPr>
                <w:rFonts w:hint="eastAsia" w:ascii="宋体" w:hAnsi="宋体"/>
                <w:b/>
                <w:sz w:val="21"/>
                <w:szCs w:val="21"/>
              </w:rPr>
              <w:t>：00前</w:t>
            </w:r>
            <w:r>
              <w:rPr>
                <w:rFonts w:hint="eastAsia" w:ascii="宋体" w:hAnsi="宋体"/>
                <w:bCs/>
                <w:sz w:val="21"/>
                <w:szCs w:val="21"/>
              </w:rPr>
              <w:t>）供应商登录“政采云”平台，用“项目采购-开标评标”功能进行解密投标文件。若供应商在规定时间内未按时解密的，视为无效投标。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14" w:hRule="exac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Align w:val="center"/>
          </w:tcPr>
          <w:p>
            <w:pPr>
              <w:adjustRightInd w:val="0"/>
              <w:snapToGrid w:val="0"/>
              <w:spacing w:line="400" w:lineRule="exact"/>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预算单价</w:t>
            </w:r>
          </w:p>
          <w:p>
            <w:pPr>
              <w:adjustRightInd w:val="0"/>
              <w:snapToGrid w:val="0"/>
              <w:spacing w:line="400" w:lineRule="exact"/>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（上限价）</w:t>
            </w:r>
          </w:p>
        </w:tc>
        <w:tc>
          <w:tcPr>
            <w:tcW w:w="4945" w:type="dxa"/>
            <w:tcBorders>
              <w:bottom w:val="single" w:color="auto" w:sz="4" w:space="0"/>
            </w:tcBorders>
            <w:vAlign w:val="center"/>
          </w:tcPr>
          <w:p>
            <w:pPr>
              <w:pStyle w:val="25"/>
              <w:ind w:left="0"/>
              <w:rPr>
                <w:rFonts w:hint="eastAsia" w:eastAsia="宋体"/>
                <w:i w:val="0"/>
                <w:iCs w:val="0"/>
                <w:lang w:val="en-US" w:eastAsia="zh-CN"/>
              </w:rPr>
            </w:pPr>
            <w:r>
              <w:rPr>
                <w:rFonts w:hint="eastAsia" w:ascii="宋体" w:hAnsi="宋体"/>
                <w:b/>
                <w:bCs/>
                <w:i w:val="0"/>
                <w:iCs w:val="0"/>
                <w:color w:val="000000" w:themeColor="text1"/>
                <w:sz w:val="21"/>
                <w:szCs w:val="21"/>
                <w:highlight w:val="none"/>
                <w:lang w:val="en-US" w:eastAsia="zh-CN"/>
                <w14:textFill>
                  <w14:solidFill>
                    <w14:schemeClr w14:val="tx1"/>
                  </w14:solidFill>
                </w14:textFill>
              </w:rPr>
              <w:t>2</w:t>
            </w:r>
            <w:r>
              <w:rPr>
                <w:rFonts w:hint="eastAsia" w:ascii="宋体" w:hAnsi="宋体"/>
                <w:b/>
                <w:bCs/>
                <w:i w:val="0"/>
                <w:iCs w:val="0"/>
                <w:color w:val="000000" w:themeColor="text1"/>
                <w:sz w:val="21"/>
                <w:szCs w:val="21"/>
                <w14:textFill>
                  <w14:solidFill>
                    <w14:schemeClr w14:val="tx1"/>
                  </w14:solidFill>
                </w14:textFill>
              </w:rPr>
              <w:t>元</w:t>
            </w:r>
            <w:r>
              <w:rPr>
                <w:rFonts w:hint="eastAsia" w:ascii="宋体" w:hAnsi="宋体"/>
                <w:b/>
                <w:bCs/>
                <w:i w:val="0"/>
                <w:iCs w:val="0"/>
                <w:color w:val="000000" w:themeColor="text1"/>
                <w:sz w:val="21"/>
                <w:szCs w:val="21"/>
                <w:lang w:val="en-US" w:eastAsia="zh-CN"/>
                <w14:textFill>
                  <w14:solidFill>
                    <w14:schemeClr w14:val="tx1"/>
                  </w14:solidFill>
                </w14:textFill>
              </w:rPr>
              <w:t>/袋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提供同类项目近三年的业绩（2020年1月1日至今），证明材料扫描件编制于投标文件内（具体查看评分因素）。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rFonts w:hint="default"/>
                <w:lang w:val="en-US"/>
              </w:rPr>
            </w:pPr>
            <w:r>
              <w:rPr>
                <w:rFonts w:hint="eastAsia"/>
                <w:lang w:val="en-US"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w:t>
            </w:r>
            <w:r>
              <w:rPr>
                <w:rFonts w:hint="eastAsia" w:ascii="宋体" w:hAnsi="宋体"/>
                <w:bCs/>
                <w:color w:val="000000" w:themeColor="text1"/>
                <w:szCs w:val="21"/>
                <w14:textFill>
                  <w14:solidFill>
                    <w14:schemeClr w14:val="tx1"/>
                  </w14:solidFill>
                </w14:textFill>
              </w:rPr>
              <w:t>（</w:t>
            </w:r>
            <w:r>
              <w:fldChar w:fldCharType="begin"/>
            </w:r>
            <w:r>
              <w:instrText xml:space="preserve"> HYPERLINK "https://www.zcygov.cn，投标供应商无需到达评标现场。" </w:instrText>
            </w:r>
            <w:r>
              <w:fldChar w:fldCharType="separate"/>
            </w:r>
            <w:r>
              <w:rPr>
                <w:rFonts w:hint="eastAsia" w:ascii="宋体" w:hAnsi="宋体" w:cs="Arial"/>
                <w:bCs/>
                <w:kern w:val="0"/>
                <w:szCs w:val="21"/>
              </w:rPr>
              <w:t>https://www.zcygov.cn</w:t>
            </w:r>
            <w:r>
              <w:rPr>
                <w:rFonts w:hint="eastAsia" w:ascii="宋体" w:hAnsi="宋体" w:cs="Arial"/>
                <w:bCs/>
                <w:kern w:val="0"/>
                <w:szCs w:val="21"/>
              </w:rPr>
              <w:fldChar w:fldCharType="end"/>
            </w:r>
            <w:r>
              <w:rPr>
                <w:rFonts w:hint="eastAsia" w:ascii="宋体" w:hAnsi="宋体" w:cs="Arial"/>
                <w:bCs/>
                <w:kern w:val="0"/>
                <w:szCs w:val="21"/>
              </w:rPr>
              <w:t>）</w:t>
            </w:r>
            <w:r>
              <w:rPr>
                <w:rFonts w:hint="eastAsia" w:ascii="宋体" w:hAnsi="宋体"/>
                <w:b/>
                <w:color w:val="000000" w:themeColor="text1"/>
                <w:szCs w:val="21"/>
                <w14:textFill>
                  <w14:solidFill>
                    <w14:schemeClr w14:val="tx1"/>
                  </w14:solidFill>
                </w14:textFill>
              </w:rPr>
              <w:t>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ascii="宋体" w:hAnsi="宋体"/>
                <w:color w:val="000000" w:themeColor="text1"/>
                <w:szCs w:val="21"/>
                <w:highlight w:val="cya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rPr>
              <w:t>货物验收合格后，凭配送点签盖的“货物验收单”，每月按照实际配送量结算支付</w:t>
            </w:r>
            <w:r>
              <w:rPr>
                <w:rFonts w:hint="eastAsia" w:ascii="宋体" w:hAnsi="宋体"/>
                <w:bCs/>
                <w:szCs w:val="21"/>
                <w:lang w:eastAsia="zh-CN"/>
              </w:rPr>
              <w:t>。</w:t>
            </w:r>
            <w:r>
              <w:rPr>
                <w:rFonts w:hint="eastAsia" w:ascii="宋体" w:hAnsi="宋体"/>
                <w:bCs/>
                <w:szCs w:val="21"/>
              </w:rPr>
              <w:t>（具体要求与采购人签订合同约定）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bookmarkStart w:id="13" w:name="_Toc420948007"/>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noWrap w:val="0"/>
            <w:vAlign w:val="center"/>
          </w:tcPr>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食品安全责任保险</w:t>
            </w:r>
          </w:p>
        </w:tc>
        <w:tc>
          <w:tcPr>
            <w:tcW w:w="6578" w:type="dxa"/>
            <w:gridSpan w:val="2"/>
            <w:noWrap w:val="0"/>
            <w:vAlign w:val="center"/>
          </w:tcPr>
          <w:p>
            <w:pPr>
              <w:tabs>
                <w:tab w:val="center" w:pos="4422"/>
                <w:tab w:val="left" w:pos="7920"/>
              </w:tabs>
              <w:spacing w:line="280" w:lineRule="exac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投标人承诺在中标后针对本项目投保食品安全责任保险，保险涵盖范围包含本次招标内容相关的食品批发或零售类保险，</w:t>
            </w:r>
            <w:r>
              <w:rPr>
                <w:rFonts w:hint="eastAsia" w:ascii="宋体" w:hAnsi="宋体"/>
                <w:color w:val="000000" w:themeColor="text1"/>
                <w:szCs w:val="21"/>
                <w:highlight w:val="yellow"/>
                <w:lang w:val="en-US" w:eastAsia="zh-CN"/>
                <w14:textFill>
                  <w14:solidFill>
                    <w14:schemeClr w14:val="tx1"/>
                  </w14:solidFill>
                </w14:textFill>
              </w:rPr>
              <w:t>且保险额度不小于本项目预算金额（320.8万元）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gridSpan w:val="2"/>
            <w:vAlign w:val="center"/>
          </w:tcPr>
          <w:p>
            <w:pPr>
              <w:adjustRightInd w:val="0"/>
              <w:snapToGrid w:val="0"/>
              <w:spacing w:line="400" w:lineRule="exact"/>
              <w:jc w:val="left"/>
            </w:pPr>
            <w:r>
              <w:rPr>
                <w:rFonts w:hint="eastAsia"/>
                <w:b/>
                <w:bCs/>
              </w:rPr>
              <w:t>1、投标文件解密时间：</w:t>
            </w:r>
            <w:r>
              <w:rPr>
                <w:rFonts w:hint="eastAsia"/>
              </w:rPr>
              <w:t>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pPr>
            <w:r>
              <w:rPr>
                <w:rFonts w:hint="eastAsia"/>
                <w:b/>
                <w:bCs/>
              </w:rPr>
              <w:t>2、供应商报价CA签字确认：</w:t>
            </w:r>
            <w:r>
              <w:rPr>
                <w:rFonts w:hint="eastAsia"/>
              </w:rPr>
              <w:t>报价文件开启后将开启签字时段，供应商须在</w:t>
            </w:r>
            <w:r>
              <w:rPr>
                <w:rFonts w:hint="eastAsia"/>
                <w:lang w:val="en-US" w:eastAsia="zh-CN"/>
              </w:rPr>
              <w:t>1</w:t>
            </w:r>
            <w:r>
              <w:rPr>
                <w:rFonts w:hint="eastAsia"/>
                <w:b/>
                <w:bCs/>
                <w:color w:val="000000" w:themeColor="text1"/>
                <w14:textFill>
                  <w14:solidFill>
                    <w14:schemeClr w14:val="tx1"/>
                  </w14:solidFill>
                </w14:textFill>
              </w:rPr>
              <w:t>0分钟内用CA证书对报价进行签字确认，如未按时签字确认视为默认投标报价。</w:t>
            </w:r>
          </w:p>
          <w:p>
            <w:pPr>
              <w:adjustRightInd w:val="0"/>
              <w:snapToGrid w:val="0"/>
              <w:spacing w:line="400" w:lineRule="exact"/>
              <w:jc w:val="left"/>
              <w:rPr>
                <w:b/>
                <w:bCs/>
              </w:rPr>
            </w:pPr>
            <w:r>
              <w:rPr>
                <w:rFonts w:hint="eastAsia"/>
                <w:b/>
                <w:bCs/>
              </w:rPr>
              <w:t>3、备注:</w:t>
            </w:r>
          </w:p>
          <w:p>
            <w:pPr>
              <w:adjustRightInd w:val="0"/>
              <w:snapToGrid w:val="0"/>
              <w:spacing w:line="400" w:lineRule="exact"/>
              <w:jc w:val="left"/>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pPr>
            <w:r>
              <w:rPr>
                <w:rFonts w:hint="eastAsia"/>
              </w:rPr>
              <w:t>（4）服务与支持。各政府采购代理机构（含集采机构）及供应商对不见面开评标系统的技术操作咨询，可通过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w:t>
            </w:r>
            <w:r>
              <w:t>持。</w:t>
            </w:r>
            <w:r>
              <w:rPr>
                <w:rFonts w:hint="eastAsia"/>
              </w:rPr>
              <w:t>政采云热线人工号码：95763</w:t>
            </w:r>
          </w:p>
          <w:p>
            <w:pPr>
              <w:adjustRightInd w:val="0"/>
              <w:snapToGrid w:val="0"/>
              <w:spacing w:line="400" w:lineRule="exact"/>
              <w:jc w:val="left"/>
            </w:pPr>
            <w:r>
              <w:rPr>
                <w:rFonts w:hint="eastAsia"/>
              </w:rPr>
              <w:t>（5）建议投标人使用带有摄像头和麦克风的设备，以备评标演示时使用，投标人自行承担因投标人设备原因而产生的不利后果。浏览器要求：建议使用者谷歌Chrome浏览器或360极速浏览器。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6"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gridSpan w:val="2"/>
            <w:vAlign w:val="center"/>
          </w:tcPr>
          <w:p>
            <w:pPr>
              <w:pStyle w:val="26"/>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CA服务电话：0991-2819290</w:t>
            </w:r>
          </w:p>
          <w:p>
            <w:pPr>
              <w:pStyle w:val="26"/>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CA申领地址：https://www.xjca.com.cn/article/content/201802/582/1.html</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14" w:name="_Toc474235943"/>
      <w:r>
        <w:rPr>
          <w:rFonts w:hint="eastAsia" w:ascii="宋体" w:hAnsi="宋体"/>
          <w:b/>
          <w:color w:val="000000" w:themeColor="text1"/>
          <w:sz w:val="24"/>
          <w14:textFill>
            <w14:solidFill>
              <w14:schemeClr w14:val="tx1"/>
            </w14:solidFill>
          </w14:textFill>
        </w:rPr>
        <w:t>投标须知正文</w:t>
      </w:r>
      <w:bookmarkEnd w:id="13"/>
      <w:bookmarkEnd w:id="14"/>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5" w:name="_Toc420948008"/>
      <w:bookmarkStart w:id="16" w:name="_Toc474235944"/>
      <w:r>
        <w:rPr>
          <w:rFonts w:hint="eastAsia" w:ascii="宋体" w:hAnsi="宋体"/>
          <w:b/>
          <w:color w:val="000000" w:themeColor="text1"/>
          <w:sz w:val="24"/>
          <w14:textFill>
            <w14:solidFill>
              <w14:schemeClr w14:val="tx1"/>
            </w14:solidFill>
          </w14:textFill>
        </w:rPr>
        <w:t>一、</w:t>
      </w:r>
      <w:bookmarkEnd w:id="15"/>
      <w:r>
        <w:rPr>
          <w:rFonts w:hint="eastAsia" w:ascii="宋体" w:hAnsi="宋体"/>
          <w:b/>
          <w:color w:val="000000" w:themeColor="text1"/>
          <w:sz w:val="24"/>
          <w14:textFill>
            <w14:solidFill>
              <w14:schemeClr w14:val="tx1"/>
            </w14:solidFill>
          </w14:textFill>
        </w:rPr>
        <w:t>总则</w:t>
      </w:r>
      <w:bookmarkEnd w:id="16"/>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eastAsia="zh-CN"/>
          <w14:textFill>
            <w14:solidFill>
              <w14:schemeClr w14:val="tx1"/>
            </w14:solidFill>
          </w14:textFill>
        </w:rPr>
        <w:t>履约期限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“货物”是指各种形态和种类的物品，包括原材料、燃料、设备、产品等，详见《政府采购品目分类目录》(</w:t>
      </w:r>
      <w:r>
        <w:rPr>
          <w:rStyle w:val="49"/>
          <w:rFonts w:ascii="宋体" w:hAnsi="宋体"/>
          <w:b w:val="0"/>
          <w:color w:val="000000" w:themeColor="text1"/>
          <w14:textFill>
            <w14:solidFill>
              <w14:schemeClr w14:val="tx1"/>
            </w14:solidFill>
          </w14:textFill>
        </w:rPr>
        <w:t>财库</w:t>
      </w:r>
      <w:r>
        <w:rPr>
          <w:rStyle w:val="49"/>
          <w:rFonts w:hint="eastAsia" w:ascii="宋体" w:hAnsi="宋体"/>
          <w:b w:val="0"/>
          <w:color w:val="000000" w:themeColor="text1"/>
          <w14:textFill>
            <w14:solidFill>
              <w14:schemeClr w14:val="tx1"/>
            </w14:solidFill>
          </w14:textFill>
        </w:rPr>
        <w:t>[</w:t>
      </w:r>
      <w:r>
        <w:rPr>
          <w:rStyle w:val="49"/>
          <w:rFonts w:ascii="宋体" w:hAnsi="宋体"/>
          <w:b w:val="0"/>
          <w:color w:val="000000" w:themeColor="text1"/>
          <w14:textFill>
            <w14:solidFill>
              <w14:schemeClr w14:val="tx1"/>
            </w14:solidFill>
          </w14:textFill>
        </w:rPr>
        <w:t>20</w:t>
      </w:r>
      <w:r>
        <w:rPr>
          <w:rStyle w:val="49"/>
          <w:rFonts w:hint="eastAsia" w:ascii="宋体" w:hAnsi="宋体"/>
          <w:b w:val="0"/>
          <w:color w:val="000000" w:themeColor="text1"/>
          <w14:textFill>
            <w14:solidFill>
              <w14:schemeClr w14:val="tx1"/>
            </w14:solidFill>
          </w14:textFill>
        </w:rPr>
        <w:t>22]31</w:t>
      </w:r>
      <w:r>
        <w:rPr>
          <w:rStyle w:val="49"/>
          <w:rFonts w:ascii="宋体" w:hAnsi="宋体"/>
          <w:b w:val="0"/>
          <w:color w:val="000000" w:themeColor="text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2.6偏离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2.7.特别说明</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2.7.3投标人在投标活动中提供任何虚假材料，其投标无效并承担相应法律责任。</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6"/>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5.1投标人代表为投标人法定代表人的，应提供法定代表人身份证明。投标人代表不是投标人法定代表人的，应提供法定代表人授权书。</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中另有规定，本次招标采购不接受为联合体形式的投标人。</w:t>
      </w:r>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对招标采购项目现场设备型号、数量和周围环境进行现场考察。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14:textFill>
            <w14:solidFill>
              <w14:schemeClr w14:val="tx1"/>
            </w14:solidFill>
          </w14:textFill>
        </w:rPr>
        <w:t>招标采购活动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14:textFill>
            <w14:solidFill>
              <w14:schemeClr w14:val="tx1"/>
            </w14:solidFill>
          </w14:textFill>
        </w:rPr>
        <w:t>招标文件要求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26"/>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9.2电子版投标文件内所有资格证明文件，投标人须逐页加盖电子签章。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7" w:name="_Toc420948009"/>
      <w:bookmarkStart w:id="18" w:name="_Toc474235945"/>
      <w:r>
        <w:rPr>
          <w:rFonts w:hint="eastAsia" w:ascii="宋体" w:hAnsi="宋体"/>
          <w:b/>
          <w:color w:val="000000" w:themeColor="text1"/>
          <w:sz w:val="24"/>
          <w14:textFill>
            <w14:solidFill>
              <w14:schemeClr w14:val="tx1"/>
            </w14:solidFill>
          </w14:textFill>
        </w:rPr>
        <w:t>二、招标</w:t>
      </w:r>
      <w:bookmarkEnd w:id="17"/>
      <w:r>
        <w:rPr>
          <w:rFonts w:hint="eastAsia" w:ascii="宋体" w:hAnsi="宋体"/>
          <w:b/>
          <w:color w:val="000000" w:themeColor="text1"/>
          <w:sz w:val="24"/>
          <w14:textFill>
            <w14:solidFill>
              <w14:schemeClr w14:val="tx1"/>
            </w14:solidFill>
          </w14:textFill>
        </w:rPr>
        <w:t>文件</w:t>
      </w:r>
      <w:bookmarkEnd w:id="18"/>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10.招标文件的组成</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 招标文件由下列文件组成：</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第一章 招标公告</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第二章 投标须知</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第三章 评标方法及标准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第四章 政府采购合同格式条款</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 采购需求</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第六章 投标文件格式</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w:t>
      </w:r>
      <w:r>
        <w:rPr>
          <w:rFonts w:hint="eastAsia" w:ascii="宋体" w:hAnsi="宋体"/>
          <w:bCs/>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bCs/>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提交投标文件截止时间前对招标文件澄清或者修改内容，为招标文件的组成部分。</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10.3</w:t>
      </w:r>
      <w:r>
        <w:rPr>
          <w:rFonts w:hint="eastAsia" w:ascii="宋体" w:hAnsi="宋体"/>
          <w:color w:val="000000" w:themeColor="text1"/>
          <w:szCs w:val="21"/>
          <w14:textFill>
            <w14:solidFill>
              <w14:schemeClr w14:val="tx1"/>
            </w14:solidFill>
          </w14:textFill>
        </w:rPr>
        <w:t>投标人应仔细阅读</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的全部内容，按照</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要求编制投标文件。任何对</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的忽略或误解不能作为投标文件存在缺陷或瑕疵的理由，其风险由投标人承担。</w:t>
      </w:r>
    </w:p>
    <w:p>
      <w:pPr>
        <w:pStyle w:val="26"/>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11.</w:t>
      </w:r>
      <w:r>
        <w:rPr>
          <w:rFonts w:hint="eastAsia" w:ascii="宋体" w:hAnsi="宋体" w:cs="宋体"/>
          <w:b/>
          <w:color w:val="000000" w:themeColor="text1"/>
          <w:kern w:val="0"/>
          <w:sz w:val="21"/>
          <w:szCs w:val="21"/>
          <w14:textFill>
            <w14:solidFill>
              <w14:schemeClr w14:val="tx1"/>
            </w14:solidFill>
          </w14:textFill>
        </w:rPr>
        <w:t>提交投标文件</w:t>
      </w:r>
      <w:r>
        <w:rPr>
          <w:rFonts w:hint="eastAsia" w:ascii="宋体" w:hAnsi="宋体"/>
          <w:b/>
          <w:color w:val="000000" w:themeColor="text1"/>
          <w:sz w:val="21"/>
          <w:szCs w:val="21"/>
          <w14:textFill>
            <w14:solidFill>
              <w14:schemeClr w14:val="tx1"/>
            </w14:solidFill>
          </w14:textFill>
        </w:rPr>
        <w:t>的</w:t>
      </w:r>
      <w:r>
        <w:rPr>
          <w:rFonts w:hint="eastAsia" w:ascii="宋体" w:hAnsi="宋体" w:cs="宋体"/>
          <w:b/>
          <w:color w:val="000000" w:themeColor="text1"/>
          <w:kern w:val="0"/>
          <w:sz w:val="21"/>
          <w:szCs w:val="21"/>
          <w14:textFill>
            <w14:solidFill>
              <w14:schemeClr w14:val="tx1"/>
            </w14:solidFill>
          </w14:textFill>
        </w:rPr>
        <w:t>截止</w:t>
      </w:r>
      <w:r>
        <w:rPr>
          <w:rFonts w:hint="eastAsia" w:ascii="宋体" w:hAnsi="宋体"/>
          <w:b/>
          <w:color w:val="000000" w:themeColor="text1"/>
          <w:sz w:val="21"/>
          <w:szCs w:val="21"/>
          <w14:textFill>
            <w14:solidFill>
              <w14:schemeClr w14:val="tx1"/>
            </w14:solidFill>
          </w14:textFill>
        </w:rPr>
        <w:t>时间</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11.1投标人</w:t>
      </w:r>
      <w:r>
        <w:rPr>
          <w:rFonts w:hint="eastAsia" w:ascii="宋体" w:hAnsi="宋体" w:cs="宋体"/>
          <w:color w:val="000000" w:themeColor="text1"/>
          <w:kern w:val="0"/>
          <w:sz w:val="21"/>
          <w:szCs w:val="21"/>
          <w14:textFill>
            <w14:solidFill>
              <w14:schemeClr w14:val="tx1"/>
            </w14:solidFill>
          </w14:textFill>
        </w:rPr>
        <w:t>提交投标文件截止</w:t>
      </w:r>
      <w:r>
        <w:rPr>
          <w:rFonts w:hint="eastAsia" w:ascii="宋体" w:hAnsi="宋体"/>
          <w:color w:val="000000" w:themeColor="text1"/>
          <w:sz w:val="21"/>
          <w:szCs w:val="21"/>
          <w14:textFill>
            <w14:solidFill>
              <w14:schemeClr w14:val="tx1"/>
            </w14:solidFill>
          </w14:textFill>
        </w:rPr>
        <w:t>时间见</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12.招标文件的澄清</w:t>
      </w:r>
      <w:r>
        <w:rPr>
          <w:rFonts w:hint="eastAsia" w:ascii="宋体" w:hAnsi="宋体"/>
          <w:b/>
          <w:color w:val="000000" w:themeColor="text1"/>
          <w:kern w:val="0"/>
          <w:szCs w:val="21"/>
          <w:lang w:val="zh-CN"/>
          <w14:textFill>
            <w14:solidFill>
              <w14:schemeClr w14:val="tx1"/>
            </w14:solidFill>
          </w14:textFill>
        </w:rPr>
        <w:t>或者</w:t>
      </w:r>
      <w:r>
        <w:rPr>
          <w:rFonts w:hint="eastAsia" w:ascii="宋体" w:hAnsi="宋体"/>
          <w:b/>
          <w:bCs/>
          <w:color w:val="000000" w:themeColor="text1"/>
          <w:szCs w:val="21"/>
          <w14:textFill>
            <w14:solidFill>
              <w14:schemeClr w14:val="tx1"/>
            </w14:solidFill>
          </w14:textFill>
        </w:rPr>
        <w:t>修改</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bookmarkStart w:id="19" w:name="_Toc420948010"/>
      <w:r>
        <w:rPr>
          <w:rFonts w:hint="eastAsia" w:ascii="宋体" w:hAnsi="宋体"/>
          <w:color w:val="000000" w:themeColor="text1"/>
          <w:sz w:val="21"/>
          <w:szCs w:val="21"/>
          <w14:textFill>
            <w14:solidFill>
              <w14:schemeClr w14:val="tx1"/>
            </w14:solidFill>
          </w14:textFill>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http://www.ccgp-xinjiang.gov.cn)或通过政采云平台自行获取，投标人应自行查阅澄清公告或更正公告，澄清或者修改文件作为招标文件的组成部分对投标人具有约束力。</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 如果澄清或者修改发出的时间距规定的投标截止时间不足十五日，将相应顺延投标截止时间。</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0" w:name="_Toc474235946"/>
      <w:r>
        <w:rPr>
          <w:rFonts w:hint="eastAsia" w:ascii="宋体" w:hAnsi="宋体"/>
          <w:b/>
          <w:color w:val="000000" w:themeColor="text1"/>
          <w:sz w:val="24"/>
          <w14:textFill>
            <w14:solidFill>
              <w14:schemeClr w14:val="tx1"/>
            </w14:solidFill>
          </w14:textFill>
        </w:rPr>
        <w:t>三、投标文件</w:t>
      </w:r>
      <w:bookmarkEnd w:id="19"/>
      <w:bookmarkEnd w:id="20"/>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13.一般要求</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投标人提交的投标文件及投标人与采购人或采购代理机构就有关招标的所有来往函电均使用中文。投标人可以提交其它语言的资料，但应附中文注释，在有差异时以中文为准。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13.3 </w:t>
      </w:r>
      <w:r>
        <w:rPr>
          <w:rFonts w:hint="eastAsia" w:ascii="宋体" w:hAnsi="宋体"/>
          <w:color w:val="000000" w:themeColor="text1"/>
          <w:sz w:val="21"/>
          <w:szCs w:val="21"/>
          <w14:textFill>
            <w14:solidFill>
              <w14:schemeClr w14:val="tx1"/>
            </w14:solidFill>
          </w14:textFill>
        </w:rPr>
        <w:t>计量单位应使用我国法定计量单位，未列明时应默认为我国法定计量单位。</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 投标文件应采用书面形式，传真、电子邮件形式的投标文件概不接受。</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 投标人应按招标文件中提供的投标文件格式填写。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的组成</w:t>
      </w:r>
    </w:p>
    <w:p>
      <w:pPr>
        <w:adjustRightInd w:val="0"/>
        <w:snapToGrid w:val="0"/>
        <w:spacing w:line="360" w:lineRule="auto"/>
        <w:ind w:firstLine="420" w:firstLineChars="200"/>
        <w:jc w:val="left"/>
        <w:rPr>
          <w:rFonts w:ascii="宋体" w:hAnsi="宋体"/>
          <w:szCs w:val="21"/>
        </w:rPr>
      </w:pPr>
      <w:bookmarkStart w:id="21" w:name="_Toc420948011"/>
      <w:bookmarkStart w:id="22" w:name="_Toc427862404"/>
      <w:r>
        <w:rPr>
          <w:rFonts w:hint="eastAsia" w:ascii="宋体" w:hAnsi="宋体"/>
        </w:rPr>
        <w:t>14.1 投标文件包括但不限于下列内容：</w:t>
      </w:r>
      <w:bookmarkEnd w:id="21"/>
      <w:bookmarkEnd w:id="22"/>
      <w:r>
        <w:rPr>
          <w:rFonts w:hint="eastAsia" w:ascii="宋体" w:hAnsi="宋体"/>
          <w:szCs w:val="21"/>
        </w:rPr>
        <w:t xml:space="preserve"> </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（1）投标函</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（2）开标一览表及投标报价明细表</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（3）投标人的资格证明文件</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（4）货物说明</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（5）实施方案</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（6）商务响应与偏离表</w:t>
      </w:r>
    </w:p>
    <w:p>
      <w:pPr>
        <w:pStyle w:val="26"/>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（7）投标人认为需提供的其他资料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15.报价</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15.1投标人应当根据招标文件要求和范围，以</w:t>
      </w:r>
      <w:r>
        <w:rPr>
          <w:rFonts w:hint="eastAsia" w:ascii="宋体" w:hAnsi="宋体"/>
          <w:bCs/>
          <w:color w:val="000000" w:themeColor="text1"/>
          <w:szCs w:val="21"/>
          <w14:textFill>
            <w14:solidFill>
              <w14:schemeClr w14:val="tx1"/>
            </w14:solidFill>
          </w14:textFill>
        </w:rPr>
        <w:t>人民币</w:t>
      </w:r>
      <w:r>
        <w:rPr>
          <w:rFonts w:hint="eastAsia" w:ascii="宋体" w:hAnsi="宋体"/>
          <w:color w:val="000000" w:themeColor="text1"/>
          <w:szCs w:val="21"/>
          <w14:textFill>
            <w14:solidFill>
              <w14:schemeClr w14:val="tx1"/>
            </w14:solidFill>
          </w14:textFill>
        </w:rPr>
        <w:t>报价，以</w:t>
      </w:r>
      <w:r>
        <w:rPr>
          <w:rFonts w:hint="eastAsia" w:ascii="宋体" w:hAnsi="宋体"/>
          <w:b/>
          <w:bCs/>
          <w:color w:val="000000" w:themeColor="text1"/>
          <w:szCs w:val="21"/>
          <w:highlight w:val="yellow"/>
          <w14:textFill>
            <w14:solidFill>
              <w14:schemeClr w14:val="tx1"/>
            </w14:solidFill>
          </w14:textFill>
        </w:rPr>
        <w:t>元</w:t>
      </w:r>
      <w:r>
        <w:rPr>
          <w:rFonts w:hint="eastAsia" w:ascii="宋体" w:hAnsi="宋体"/>
          <w:b/>
          <w:bCs/>
          <w:color w:val="000000" w:themeColor="text1"/>
          <w:szCs w:val="21"/>
          <w:highlight w:val="yellow"/>
          <w:lang w:val="en-US" w:eastAsia="zh-CN"/>
          <w14:textFill>
            <w14:solidFill>
              <w14:schemeClr w14:val="tx1"/>
            </w14:solidFill>
          </w14:textFill>
        </w:rPr>
        <w:t>/袋</w:t>
      </w:r>
      <w:r>
        <w:rPr>
          <w:rFonts w:hint="eastAsia" w:ascii="宋体" w:hAnsi="宋体"/>
          <w:color w:val="000000" w:themeColor="text1"/>
          <w:szCs w:val="21"/>
          <w14:textFill>
            <w14:solidFill>
              <w14:schemeClr w14:val="tx1"/>
            </w14:solidFill>
          </w14:textFill>
        </w:rPr>
        <w:t>为单位，</w:t>
      </w:r>
      <w:r>
        <w:rPr>
          <w:rFonts w:hint="eastAsia" w:ascii="宋体" w:hAnsi="宋体"/>
          <w:b/>
          <w:bCs/>
          <w:color w:val="000000" w:themeColor="text1"/>
          <w:szCs w:val="21"/>
          <w14:textFill>
            <w14:solidFill>
              <w14:schemeClr w14:val="tx1"/>
            </w14:solidFill>
          </w14:textFill>
        </w:rPr>
        <w:t>保留小数点后两位</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15.2投标报价是履行合同的最终价格，应包括为完成本项目采购范围内所有货物、配套工具及供货、</w:t>
      </w:r>
      <w:r>
        <w:rPr>
          <w:rFonts w:hint="eastAsia" w:ascii="宋体" w:hAnsi="宋体"/>
          <w:color w:val="000000" w:themeColor="text1"/>
          <w:szCs w:val="21"/>
          <w:lang w:eastAsia="zh-CN"/>
          <w14:textFill>
            <w14:solidFill>
              <w14:schemeClr w14:val="tx1"/>
            </w14:solidFill>
          </w14:textFill>
        </w:rPr>
        <w:t>施工费、</w:t>
      </w:r>
      <w:r>
        <w:rPr>
          <w:rFonts w:hint="eastAsia" w:ascii="宋体" w:hAnsi="宋体"/>
          <w:color w:val="000000" w:themeColor="text1"/>
          <w:szCs w:val="21"/>
          <w14:textFill>
            <w14:solidFill>
              <w14:schemeClr w14:val="tx1"/>
            </w14:solidFill>
          </w14:textFill>
        </w:rPr>
        <w:t>人工费、运输、</w:t>
      </w:r>
      <w:r>
        <w:rPr>
          <w:rFonts w:hint="eastAsia" w:ascii="宋体" w:hAnsi="宋体"/>
          <w:color w:val="000000" w:themeColor="text1"/>
          <w:szCs w:val="21"/>
          <w:lang w:eastAsia="zh-CN"/>
          <w14:textFill>
            <w14:solidFill>
              <w14:schemeClr w14:val="tx1"/>
            </w14:solidFill>
          </w14:textFill>
        </w:rPr>
        <w:t>仓储</w:t>
      </w:r>
      <w:r>
        <w:rPr>
          <w:rFonts w:hint="eastAsia" w:ascii="宋体" w:hAnsi="宋体"/>
          <w:color w:val="000000" w:themeColor="text1"/>
          <w:szCs w:val="21"/>
          <w14:textFill>
            <w14:solidFill>
              <w14:schemeClr w14:val="tx1"/>
            </w14:solidFill>
          </w14:textFill>
        </w:rPr>
        <w:t>、培训、保险、税金及其它附带服务的全部费用。投标人漏报的单价或每项单价报价中漏报、少报的费用，视为此项费用已隐含在其他报价中，中标后不予调整。</w:t>
      </w:r>
    </w:p>
    <w:p>
      <w:pPr>
        <w:pStyle w:val="167"/>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15.3投标人应按第五章“采购需求”要求及第六章“投标文件组成”格式填写。投标人在</w:t>
      </w:r>
      <w:r>
        <w:rPr>
          <w:rFonts w:hint="eastAsia" w:ascii="宋体" w:hAnsi="宋体"/>
          <w:bCs/>
          <w:color w:val="000000" w:themeColor="text1"/>
          <w14:textFill>
            <w14:solidFill>
              <w14:schemeClr w14:val="tx1"/>
            </w14:solidFill>
          </w14:textFill>
        </w:rPr>
        <w:t>本章第11.1</w:t>
      </w:r>
      <w:r>
        <w:rPr>
          <w:rFonts w:hint="eastAsia" w:ascii="宋体" w:hAnsi="宋体" w:cs="宋体"/>
          <w:color w:val="000000" w:themeColor="text1"/>
          <w:lang w:val="zh-CN"/>
          <w14:textFill>
            <w14:solidFill>
              <w14:schemeClr w14:val="tx1"/>
            </w14:solidFill>
          </w14:textFill>
        </w:rPr>
        <w:t>款</w:t>
      </w:r>
      <w:r>
        <w:rPr>
          <w:rFonts w:hint="eastAsia" w:ascii="宋体" w:hAnsi="宋体"/>
          <w:bCs/>
          <w:color w:val="000000" w:themeColor="text1"/>
          <w14:textFill>
            <w14:solidFill>
              <w14:schemeClr w14:val="tx1"/>
            </w14:solidFill>
          </w14:textFill>
        </w:rPr>
        <w:t>规定的</w:t>
      </w:r>
      <w:r>
        <w:rPr>
          <w:rFonts w:hint="eastAsia" w:ascii="宋体" w:hAnsi="宋体" w:cs="宋体"/>
          <w:color w:val="000000" w:themeColor="text1"/>
          <w14:textFill>
            <w14:solidFill>
              <w14:schemeClr w14:val="tx1"/>
            </w14:solidFill>
          </w14:textFill>
        </w:rPr>
        <w:t>提交投标文件截止之日前</w:t>
      </w:r>
      <w:r>
        <w:rPr>
          <w:rFonts w:hint="eastAsia" w:ascii="宋体" w:hAnsi="宋体"/>
          <w:color w:val="000000" w:themeColor="text1"/>
          <w14:textFill>
            <w14:solidFill>
              <w14:schemeClr w14:val="tx1"/>
            </w14:solidFill>
          </w14:textFill>
        </w:rPr>
        <w:t>修改开标一览表中的报价，应同时修改其按第六章要求填写的相应表格中的报价。此修改须符合本章第21.1款的有关要求。</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15.4投标文件中标明的价格在合同执行过程中是固定不变的，不得以任何理由予以变更。以可变动价格提交的报价将被认为是非实质投标而被拒绝。</w:t>
      </w:r>
    </w:p>
    <w:p>
      <w:pPr>
        <w:pStyle w:val="26"/>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15.5</w:t>
      </w:r>
      <w:r>
        <w:rPr>
          <w:rFonts w:hint="eastAsia" w:ascii="宋体" w:hAnsi="宋体"/>
          <w:b/>
          <w:color w:val="000000" w:themeColor="text1"/>
          <w:sz w:val="21"/>
          <w:szCs w:val="21"/>
          <w14:textFill>
            <w14:solidFill>
              <w14:schemeClr w14:val="tx1"/>
            </w14:solidFill>
          </w14:textFill>
        </w:rPr>
        <w:t>投标人的报价不得超过采购项目</w:t>
      </w:r>
      <w:r>
        <w:rPr>
          <w:rFonts w:hint="eastAsia" w:ascii="宋体" w:hAnsi="宋体"/>
          <w:b/>
          <w:color w:val="000000" w:themeColor="text1"/>
          <w:sz w:val="21"/>
          <w:szCs w:val="21"/>
          <w:lang w:eastAsia="zh-CN"/>
          <w14:textFill>
            <w14:solidFill>
              <w14:schemeClr w14:val="tx1"/>
            </w14:solidFill>
          </w14:textFill>
        </w:rPr>
        <w:t>预算单价或</w:t>
      </w:r>
      <w:r>
        <w:rPr>
          <w:rFonts w:hint="eastAsia" w:ascii="宋体" w:hAnsi="宋体"/>
          <w:b/>
          <w:color w:val="000000" w:themeColor="text1"/>
          <w:sz w:val="21"/>
          <w:szCs w:val="21"/>
          <w14:textFill>
            <w14:solidFill>
              <w14:schemeClr w14:val="tx1"/>
            </w14:solidFill>
          </w14:textFill>
        </w:rPr>
        <w:t>预算总金额，</w:t>
      </w:r>
      <w:r>
        <w:rPr>
          <w:rFonts w:hint="eastAsia" w:ascii="宋体" w:hAnsi="宋体"/>
          <w:color w:val="000000" w:themeColor="text1"/>
          <w:sz w:val="21"/>
          <w:szCs w:val="21"/>
          <w14:textFill>
            <w14:solidFill>
              <w14:schemeClr w14:val="tx1"/>
            </w14:solidFill>
          </w14:textFill>
        </w:rPr>
        <w:t>采购项目预算或其计算方法见</w:t>
      </w:r>
      <w:r>
        <w:rPr>
          <w:rFonts w:hint="eastAsia" w:ascii="宋体" w:hAnsi="宋体"/>
          <w:b/>
          <w:color w:val="000000" w:themeColor="text1"/>
          <w:sz w:val="21"/>
          <w:szCs w:val="21"/>
          <w14:textFill>
            <w14:solidFill>
              <w14:schemeClr w14:val="tx1"/>
            </w14:solidFill>
          </w14:textFill>
        </w:rPr>
        <w:t>招标须知前附表</w:t>
      </w:r>
      <w:r>
        <w:rPr>
          <w:rFonts w:hint="eastAsia" w:ascii="宋体" w:hAnsi="宋体"/>
          <w:color w:val="000000" w:themeColor="text1"/>
          <w:sz w:val="21"/>
          <w:szCs w:val="21"/>
          <w14:textFill>
            <w14:solidFill>
              <w14:schemeClr w14:val="tx1"/>
            </w14:solidFill>
          </w14:textFill>
        </w:rPr>
        <w:t>。</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投标人满足招标文件规定的资格证明文件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16.1</w:t>
      </w:r>
      <w:r>
        <w:rPr>
          <w:rFonts w:hint="eastAsia" w:ascii="宋体" w:hAnsi="宋体"/>
          <w:color w:val="000000" w:themeColor="text1"/>
          <w:szCs w:val="21"/>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规定的投标人资格条件要求。</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16.2投标人应当提交满足招标文件规定的业绩证明文件，该证明文件作为投标文件的一部分，业绩证明文件要求详见</w:t>
      </w:r>
      <w:r>
        <w:rPr>
          <w:rFonts w:hint="eastAsia" w:ascii="宋体" w:hAnsi="宋体" w:cs="宋体"/>
          <w:b/>
          <w:color w:val="000000" w:themeColor="text1"/>
          <w:kern w:val="0"/>
          <w:szCs w:val="21"/>
          <w14:textFill>
            <w14:solidFill>
              <w14:schemeClr w14:val="tx1"/>
            </w14:solidFill>
          </w14:textFill>
        </w:rPr>
        <w:t>投标须知前附表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16.4上述证明文件可以是文字资料、图纸和数据，并须提供：</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（1）货物主要性能和参数的详细说明； </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17.投标保证金</w:t>
      </w:r>
    </w:p>
    <w:p>
      <w:pPr>
        <w:pStyle w:val="26"/>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规定交纳投标</w:t>
      </w:r>
      <w:r>
        <w:rPr>
          <w:rFonts w:hint="eastAsia" w:ascii="宋体" w:hAnsi="宋体"/>
          <w:bCs/>
          <w:color w:val="000000" w:themeColor="text1"/>
          <w:sz w:val="21"/>
          <w:szCs w:val="21"/>
          <w14:textFill>
            <w14:solidFill>
              <w14:schemeClr w14:val="tx1"/>
            </w14:solidFill>
          </w14:textFill>
        </w:rPr>
        <w:t>保证金的</w:t>
      </w:r>
      <w:r>
        <w:rPr>
          <w:rFonts w:hint="eastAsia" w:ascii="宋体" w:hAnsi="宋体"/>
          <w:color w:val="000000" w:themeColor="text1"/>
          <w:sz w:val="21"/>
          <w:szCs w:val="21"/>
          <w14:textFill>
            <w14:solidFill>
              <w14:schemeClr w14:val="tx1"/>
            </w14:solidFill>
          </w14:textFill>
        </w:rPr>
        <w:t>，应按</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规定的</w:t>
      </w:r>
      <w:r>
        <w:rPr>
          <w:rFonts w:hint="eastAsia" w:ascii="宋体" w:hAnsi="宋体"/>
          <w:bCs/>
          <w:color w:val="000000" w:themeColor="text1"/>
          <w:sz w:val="21"/>
          <w:szCs w:val="21"/>
          <w14:textFill>
            <w14:solidFill>
              <w14:schemeClr w14:val="tx1"/>
            </w14:solidFill>
          </w14:textFill>
        </w:rPr>
        <w:t>形式、金额，</w:t>
      </w:r>
      <w:r>
        <w:rPr>
          <w:rFonts w:hint="eastAsia" w:ascii="宋体" w:hAnsi="宋体"/>
          <w:color w:val="000000" w:themeColor="text1"/>
          <w:sz w:val="21"/>
          <w:szCs w:val="21"/>
          <w14:textFill>
            <w14:solidFill>
              <w14:schemeClr w14:val="tx1"/>
            </w14:solidFill>
          </w14:textFill>
        </w:rPr>
        <w:t>在本章第11.1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w:t>
      </w:r>
      <w:r>
        <w:rPr>
          <w:rFonts w:hint="eastAsia" w:ascii="宋体" w:hAnsi="宋体"/>
          <w:color w:val="000000" w:themeColor="text1"/>
          <w:sz w:val="21"/>
          <w:szCs w:val="21"/>
          <w14:textFill>
            <w14:solidFill>
              <w14:schemeClr w14:val="tx1"/>
            </w14:solidFill>
          </w14:textFill>
        </w:rPr>
        <w:t>前，</w:t>
      </w:r>
      <w:r>
        <w:rPr>
          <w:rFonts w:hint="eastAsia" w:ascii="宋体" w:hAnsi="宋体"/>
          <w:bCs/>
          <w:color w:val="000000" w:themeColor="text1"/>
          <w:sz w:val="21"/>
          <w:szCs w:val="21"/>
          <w14:textFill>
            <w14:solidFill>
              <w14:schemeClr w14:val="tx1"/>
            </w14:solidFill>
          </w14:textFill>
        </w:rPr>
        <w:t>提交投标保证金</w:t>
      </w:r>
      <w:r>
        <w:rPr>
          <w:rFonts w:hint="eastAsia" w:ascii="宋体" w:hAnsi="宋体"/>
          <w:color w:val="000000" w:themeColor="text1"/>
          <w:sz w:val="21"/>
          <w:szCs w:val="21"/>
          <w14:textFill>
            <w14:solidFill>
              <w14:schemeClr w14:val="tx1"/>
            </w14:solidFill>
          </w14:textFill>
        </w:rPr>
        <w:t>。</w:t>
      </w:r>
    </w:p>
    <w:p>
      <w:pPr>
        <w:pStyle w:val="26"/>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投标文件有效期</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18.1投标文件</w:t>
      </w:r>
      <w:r>
        <w:rPr>
          <w:rFonts w:hint="eastAsia" w:ascii="宋体" w:hAnsi="宋体"/>
          <w:color w:val="000000" w:themeColor="text1"/>
          <w:szCs w:val="21"/>
          <w14:textFill>
            <w14:solidFill>
              <w14:schemeClr w14:val="tx1"/>
            </w14:solidFill>
          </w14:textFill>
        </w:rPr>
        <w:t>有效期见</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，在此期间</w:t>
      </w:r>
      <w:r>
        <w:rPr>
          <w:rFonts w:hint="eastAsia" w:ascii="宋体" w:hAnsi="宋体"/>
          <w:color w:val="000000" w:themeColor="text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文件对投标人具有法律约束力，</w:t>
      </w:r>
      <w:r>
        <w:rPr>
          <w:rFonts w:hint="eastAsia" w:ascii="宋体" w:hAnsi="宋体" w:cs="Arial"/>
          <w:color w:val="000000" w:themeColor="text1"/>
          <w14:textFill>
            <w14:solidFill>
              <w14:schemeClr w14:val="tx1"/>
            </w14:solidFill>
          </w14:textFill>
        </w:rPr>
        <w:t>从</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14:textFill>
            <w14:solidFill>
              <w14:schemeClr w14:val="tx1"/>
            </w14:solidFill>
          </w14:textFill>
        </w:rPr>
        <w:t>之日</w:t>
      </w:r>
      <w:r>
        <w:rPr>
          <w:rFonts w:hint="eastAsia" w:ascii="宋体" w:hAnsi="宋体" w:cs="Arial"/>
          <w:color w:val="000000" w:themeColor="text1"/>
          <w14:textFill>
            <w14:solidFill>
              <w14:schemeClr w14:val="tx1"/>
            </w14:solidFill>
          </w14:textFill>
        </w:rPr>
        <w:t>起计算。</w:t>
      </w:r>
      <w:r>
        <w:rPr>
          <w:rFonts w:hint="eastAsia" w:ascii="宋体" w:hAnsi="宋体"/>
          <w:color w:val="000000" w:themeColor="text1"/>
          <w14:textFill>
            <w14:solidFill>
              <w14:schemeClr w14:val="tx1"/>
            </w14:solidFill>
          </w14:textFill>
        </w:rPr>
        <w:t>投标文件有效期不足的将被视为无效投标。</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19.投标文件的签署及规定</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19.1采用电子签章或公章。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3" w:name="_Toc474235947"/>
      <w:bookmarkStart w:id="24" w:name="_Toc420948012"/>
      <w:r>
        <w:rPr>
          <w:rFonts w:hint="eastAsia" w:ascii="宋体" w:hAnsi="宋体"/>
          <w:b/>
          <w:color w:val="000000" w:themeColor="text1"/>
          <w:sz w:val="24"/>
          <w14:textFill>
            <w14:solidFill>
              <w14:schemeClr w14:val="tx1"/>
            </w14:solidFill>
          </w14:textFill>
        </w:rPr>
        <w:t>四、投标文件的递交</w:t>
      </w:r>
      <w:bookmarkEnd w:id="23"/>
      <w:bookmarkEnd w:id="24"/>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20.</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的密封和标记</w:t>
      </w:r>
    </w:p>
    <w:p>
      <w:pPr>
        <w:adjustRightInd w:val="0"/>
        <w:snapToGrid w:val="0"/>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20.1“电子加密投标文件”的递交：在线上传递交。投标人应在投标截止时间前将“电子加密投标文件”成功上传递交至“政府采购云平台”，否则投标无效。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20.2“电子加密投标文件”成功上传递交后，投标人可自行打印投标文件接收回执。</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20.3投标文件如果未按上述规定上传，</w:t>
      </w:r>
      <w:r>
        <w:rPr>
          <w:rFonts w:hint="eastAsia" w:ascii="宋体" w:hAnsi="宋体"/>
          <w:b w:val="0"/>
          <w:bCs/>
          <w:color w:val="000000" w:themeColor="text1"/>
          <w:szCs w:val="21"/>
          <w14:textFill>
            <w14:solidFill>
              <w14:schemeClr w14:val="tx1"/>
            </w14:solidFill>
          </w14:textFill>
        </w:rPr>
        <w:t>采购人或采购代理机构将视为无效投标</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21.投标文件的</w:t>
      </w:r>
      <w:r>
        <w:rPr>
          <w:rFonts w:hint="eastAsia" w:ascii="宋体" w:hAnsi="宋体" w:cs="宋体"/>
          <w:b/>
          <w:color w:val="000000" w:themeColor="text1"/>
          <w:kern w:val="0"/>
          <w:szCs w:val="21"/>
          <w:lang w:val="zh-CN"/>
          <w14:textFill>
            <w14:solidFill>
              <w14:schemeClr w14:val="tx1"/>
            </w14:solidFill>
          </w14:textFill>
        </w:rPr>
        <w:t>补充、修改或者撤回</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21.1投标人</w:t>
      </w:r>
      <w:r>
        <w:rPr>
          <w:rFonts w:hint="eastAsia" w:ascii="宋体" w:hAnsi="宋体" w:cs="宋体"/>
          <w:color w:val="000000" w:themeColor="text1"/>
          <w:kern w:val="0"/>
          <w:sz w:val="21"/>
          <w:szCs w:val="21"/>
          <w14:textFill>
            <w14:solidFill>
              <w14:schemeClr w14:val="tx1"/>
            </w14:solidFill>
          </w14:textFill>
        </w:rPr>
        <w:t>在</w:t>
      </w:r>
      <w:r>
        <w:rPr>
          <w:rFonts w:hint="eastAsia" w:ascii="宋体" w:hAnsi="宋体"/>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提交投标文件截止时间前，可以对所提交的投标文件进行补充、修改或者撤回，并书面通知采购人、采购代理机构。</w:t>
      </w:r>
      <w:r>
        <w:rPr>
          <w:rFonts w:hint="eastAsia" w:ascii="宋体" w:hAnsi="宋体"/>
          <w:color w:val="000000" w:themeColor="text1"/>
          <w:sz w:val="21"/>
          <w:szCs w:val="21"/>
          <w14:textFill>
            <w14:solidFill>
              <w14:schemeClr w14:val="tx1"/>
            </w14:solidFill>
          </w14:textFill>
        </w:rPr>
        <w:t>该通知应有投标人法定代表人或其委托代理人签字。</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21.2</w:t>
      </w:r>
      <w:r>
        <w:rPr>
          <w:rFonts w:hint="eastAsia" w:ascii="宋体" w:hAnsi="宋体" w:cs="宋体"/>
          <w:color w:val="000000" w:themeColor="text1"/>
          <w:kern w:val="0"/>
          <w:sz w:val="21"/>
          <w:szCs w:val="21"/>
          <w:lang w:val="zh-CN"/>
          <w14:textFill>
            <w14:solidFill>
              <w14:schemeClr w14:val="tx1"/>
            </w14:solidFill>
          </w14:textFill>
        </w:rPr>
        <w:t>补充、修改的内容与投标文件不一致时，以补充、修改的内容为准。</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22.投标文件的递交与接收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投标人应在</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szCs w:val="21"/>
          <w14:textFill>
            <w14:solidFill>
              <w14:schemeClr w14:val="tx1"/>
            </w14:solidFill>
          </w14:textFill>
        </w:rPr>
        <w:t>前，将投标文件送</w:t>
      </w:r>
      <w:r>
        <w:rPr>
          <w:rFonts w:hint="eastAsia" w:ascii="宋体" w:hAnsi="宋体" w:cs="Arial"/>
          <w:color w:val="000000" w:themeColor="text1"/>
          <w:szCs w:val="21"/>
          <w14:textFill>
            <w14:solidFill>
              <w14:schemeClr w14:val="tx1"/>
            </w14:solidFill>
          </w14:textFill>
        </w:rPr>
        <w:t>达（上传)</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中指定的地点（网址）。</w:t>
      </w:r>
      <w:r>
        <w:rPr>
          <w:rFonts w:hint="eastAsia" w:ascii="宋体" w:hAnsi="宋体" w:cs="宋体"/>
          <w:color w:val="000000" w:themeColor="text1"/>
          <w:kern w:val="0"/>
          <w14:textFill>
            <w14:solidFill>
              <w14:schemeClr w14:val="tx1"/>
            </w14:solidFill>
          </w14:textFill>
        </w:rPr>
        <w:t>在截止时间后送达的投标文件，采购人、采购代理机构应当拒收。</w:t>
      </w:r>
    </w:p>
    <w:p>
      <w:pPr>
        <w:pStyle w:val="41"/>
        <w:adjustRightInd w:val="0"/>
        <w:snapToGrid w:val="0"/>
        <w:spacing w:before="156" w:beforeLines="50" w:beforeAutospacing="0" w:after="0" w:afterAutospacing="0" w:line="360" w:lineRule="auto"/>
        <w:outlineLvl w:val="2"/>
        <w:rPr>
          <w:b/>
          <w:color w:val="000000" w:themeColor="text1"/>
          <w:sz w:val="21"/>
          <w:szCs w:val="21"/>
          <w14:textFill>
            <w14:solidFill>
              <w14:schemeClr w14:val="tx1"/>
            </w14:solidFill>
          </w14:textFill>
        </w:rPr>
      </w:pPr>
      <w:bookmarkStart w:id="25" w:name="_Toc474235948"/>
      <w:bookmarkStart w:id="26" w:name="_Toc420948013"/>
      <w:r>
        <w:rPr>
          <w:rFonts w:hint="eastAsia"/>
          <w:b/>
          <w:color w:val="000000" w:themeColor="text1"/>
          <w14:textFill>
            <w14:solidFill>
              <w14:schemeClr w14:val="tx1"/>
            </w14:solidFill>
          </w14:textFill>
        </w:rPr>
        <w:t>五、</w:t>
      </w:r>
      <w:r>
        <w:rPr>
          <w:rFonts w:cs="Times New Roman"/>
          <w:b/>
          <w:color w:val="000000" w:themeColor="text1"/>
          <w:kern w:val="2"/>
          <w14:textFill>
            <w14:solidFill>
              <w14:schemeClr w14:val="tx1"/>
            </w14:solidFill>
          </w14:textFill>
        </w:rPr>
        <w:t>开标和评标</w:t>
      </w:r>
      <w:bookmarkEnd w:id="25"/>
    </w:p>
    <w:p>
      <w:pPr>
        <w:pStyle w:val="26"/>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23.开标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采购组织机构将按照招标文件规定的时间通过“政府采购云平台”组织开标，所有投标人均应当准时在线参加。投标人自行承担因不参加在线开标而产生的不利后果。</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向各投标投标人发出电子加密投标文件【开始解密】通知，各投标投标人代表应当在接到解密通知后</w:t>
      </w:r>
      <w:r>
        <w:rPr>
          <w:rFonts w:hint="eastAsia" w:ascii="宋体" w:hAnsi="宋体"/>
          <w:b/>
          <w:bCs/>
          <w:color w:val="000000" w:themeColor="text1"/>
          <w:szCs w:val="21"/>
          <w14:textFill>
            <w14:solidFill>
              <w14:schemeClr w14:val="tx1"/>
            </w14:solidFill>
          </w14:textFill>
        </w:rPr>
        <w:t>30分钟内自行完成“电子加密投标文件”的在线解密，如未按时解密则视为无效投标。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开启《开标一览表》，公布投标投标人报价，各投标投标人代表应当在</w:t>
      </w:r>
      <w:r>
        <w:rPr>
          <w:rFonts w:hint="eastAsia" w:ascii="宋体" w:hAnsi="宋体"/>
          <w:b/>
          <w:bCs/>
          <w:color w:val="000000" w:themeColor="text1"/>
          <w:szCs w:val="21"/>
          <w:lang w:val="en-US" w:eastAsia="zh-CN"/>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0分钟内CA签字确认，如未按时签字确认视为默认投标报价。</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开启资格证明文件，由采购人在监督下进行资格审查；评审小组对通过资格审查的投标投标人进行符合性审查。</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 通过电子交易平台公布无效投标人名单及导致无效的原因。</w:t>
      </w:r>
    </w:p>
    <w:p>
      <w:pPr>
        <w:autoSpaceDE w:val="0"/>
        <w:autoSpaceDN w:val="0"/>
        <w:adjustRightIn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23.6 </w:t>
      </w:r>
      <w:r>
        <w:rPr>
          <w:rFonts w:hint="eastAsia" w:ascii="宋体" w:hAnsi="宋体"/>
          <w:color w:val="000000" w:themeColor="text1"/>
          <w:szCs w:val="21"/>
          <w:highlight w:val="none"/>
          <w14:textFill>
            <w14:solidFill>
              <w14:schemeClr w14:val="tx1"/>
            </w14:solidFill>
          </w14:textFill>
        </w:rPr>
        <w:t>开启在线评标，</w:t>
      </w:r>
      <w:r>
        <w:rPr>
          <w:rFonts w:hint="eastAsia" w:ascii="宋体" w:hAnsi="宋体"/>
          <w:color w:val="000000" w:themeColor="text1"/>
          <w:szCs w:val="21"/>
          <w:highlight w:val="none"/>
          <w:lang w:eastAsia="zh-CN"/>
          <w14:textFill>
            <w14:solidFill>
              <w14:schemeClr w14:val="tx1"/>
            </w14:solidFill>
          </w14:textFill>
        </w:rPr>
        <w:t>报价符合性评审。对符合要求享受中小企业扶持政策的供应商报价，按照</w:t>
      </w:r>
      <w:r>
        <w:rPr>
          <w:rFonts w:hint="eastAsia" w:ascii="宋体" w:hAnsi="宋体"/>
          <w:color w:val="000000" w:themeColor="text1"/>
          <w:szCs w:val="21"/>
          <w:highlight w:val="none"/>
          <w14:textFill>
            <w14:solidFill>
              <w14:schemeClr w14:val="tx1"/>
            </w14:solidFill>
          </w14:textFill>
        </w:rPr>
        <w:t>《政府采购促进中小企业发展管理办法》（财库[2020]46号）文件</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的规定</w:t>
      </w:r>
      <w:r>
        <w:rPr>
          <w:rFonts w:hint="eastAsia" w:cs="Times New Roman"/>
          <w:color w:val="000000" w:themeColor="text1"/>
          <w:kern w:val="2"/>
          <w:sz w:val="21"/>
          <w:szCs w:val="21"/>
          <w:highlight w:val="none"/>
          <w:lang w:val="en-US" w:eastAsia="zh-CN"/>
          <w14:textFill>
            <w14:solidFill>
              <w14:schemeClr w14:val="tx1"/>
            </w14:solidFill>
          </w14:textFill>
        </w:rPr>
        <w:t>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报价符合性评审汇总，报价评审。</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汇总报价评审，得出有效投标（响应）供应商评分排名。</w:t>
      </w:r>
    </w:p>
    <w:p>
      <w:pPr>
        <w:pStyle w:val="25"/>
        <w:rPr>
          <w:rFonts w:ascii="宋体" w:hAnsi="宋体"/>
          <w:i w:val="0"/>
          <w:iCs w:val="0"/>
          <w:color w:val="000000" w:themeColor="text1"/>
          <w:sz w:val="21"/>
          <w:szCs w:val="21"/>
          <w14:textFill>
            <w14:solidFill>
              <w14:schemeClr w14:val="tx1"/>
            </w14:solidFill>
          </w14:textFill>
        </w:rPr>
      </w:pPr>
      <w:r>
        <w:rPr>
          <w:rFonts w:hint="eastAsia" w:ascii="宋体" w:hAnsi="宋体"/>
          <w:i w:val="0"/>
          <w:iCs w:val="0"/>
          <w:color w:val="000000" w:themeColor="text1"/>
          <w:sz w:val="21"/>
          <w:szCs w:val="21"/>
          <w14:textFill>
            <w14:solidFill>
              <w14:schemeClr w14:val="tx1"/>
            </w14:solidFill>
          </w14:textFill>
        </w:rPr>
        <w:t>23.8 推荐3个中标候选供应商名单，采购人在</w:t>
      </w:r>
      <w:r>
        <w:rPr>
          <w:rFonts w:hint="eastAsia" w:ascii="宋体" w:hAnsi="宋体"/>
          <w:i w:val="0"/>
          <w:iCs w:val="0"/>
          <w:color w:val="000000" w:themeColor="text1"/>
          <w:sz w:val="21"/>
          <w:szCs w:val="21"/>
          <w:lang w:val="en-US" w:eastAsia="zh-CN"/>
          <w14:textFill>
            <w14:solidFill>
              <w14:schemeClr w14:val="tx1"/>
            </w14:solidFill>
          </w14:textFill>
        </w:rPr>
        <w:t>5</w:t>
      </w:r>
      <w:r>
        <w:rPr>
          <w:rFonts w:hint="eastAsia" w:ascii="宋体" w:hAnsi="宋体"/>
          <w:i w:val="0"/>
          <w:iCs w:val="0"/>
          <w:color w:val="000000" w:themeColor="text1"/>
          <w:sz w:val="21"/>
          <w:szCs w:val="21"/>
          <w14:textFill>
            <w14:solidFill>
              <w14:schemeClr w14:val="tx1"/>
            </w14:solidFill>
          </w14:textFill>
        </w:rPr>
        <w:t>个工作日内确认中标供应商，公示结果。</w:t>
      </w:r>
    </w:p>
    <w:p>
      <w:pPr>
        <w:tabs>
          <w:tab w:val="left" w:pos="0"/>
        </w:tabs>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24.评标委员会</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24.1评标委员会由采购人代表和评审专家组成，成员人数应当为5人以上单数，其中评审专家不得少于成员总数的三分之二。</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采购项目符合下列情形之一的，评标委员会成员人数应当为7人以上单数：</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（一）采购预算金额在1000万元以上；</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（二）技术复杂；</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（三）社会影响较大。</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评审专家对本单位的采购项目只能作为采购人代表参与评标</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24.2评标委员会成员与投标人存在利害关系的，应当回避。</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25</w:t>
      </w:r>
      <w:r>
        <w:rPr>
          <w:rFonts w:hint="eastAsia" w:ascii="宋体" w:hAnsi="宋体"/>
          <w:b/>
          <w:color w:val="000000" w:themeColor="text1"/>
          <w:sz w:val="21"/>
          <w:szCs w:val="21"/>
          <w14:textFill>
            <w14:solidFill>
              <w14:schemeClr w14:val="tx1"/>
            </w14:solidFill>
          </w14:textFill>
        </w:rPr>
        <w:t>.评标</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25.1 评标委员会按照第三章“评标方法及标准”规定的评标方法、评审因素、标准和程序以及有关法律、法规及规章对投标文件进行评审。</w:t>
      </w:r>
    </w:p>
    <w:bookmarkEnd w:id="26"/>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26.确定中标人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26.1</w:t>
      </w:r>
      <w:r>
        <w:rPr>
          <w:rFonts w:hint="eastAsia" w:ascii="宋体" w:hAnsi="宋体" w:eastAsia="宋体" w:cs="宋体"/>
          <w:color w:val="auto"/>
          <w:spacing w:val="-2"/>
          <w:sz w:val="21"/>
          <w:szCs w:val="21"/>
        </w:rPr>
        <w:t>本次采购项目的评审采用</w:t>
      </w:r>
      <w:r>
        <w:rPr>
          <w:rFonts w:hint="eastAsia" w:ascii="宋体" w:hAnsi="宋体" w:cs="宋体"/>
          <w:color w:val="auto"/>
          <w:spacing w:val="-2"/>
          <w:sz w:val="21"/>
          <w:szCs w:val="21"/>
          <w:lang w:eastAsia="zh-CN"/>
        </w:rPr>
        <w:t>综合评分法</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综合评分</w:t>
      </w:r>
      <w:r>
        <w:rPr>
          <w:rFonts w:hint="eastAsia" w:ascii="宋体" w:hAnsi="宋体" w:eastAsia="宋体" w:cs="宋体"/>
          <w:color w:val="auto"/>
          <w:spacing w:val="-2"/>
          <w:sz w:val="21"/>
          <w:szCs w:val="21"/>
          <w:lang w:eastAsia="zh-CN"/>
        </w:rPr>
        <w:t>法，是指投标文件满足招标文件全部实质性要求且按照评审因素的量化指标评审得分最高的供应商为中标候选人的评标方法。</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26.2采购代理机构应当在评审结束后2个工作日内将结果确认单送采购人确认。</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26.3采购人应当在收到评标报告后5个工作日内，从评标报告提出中标候选人中，合同将授予实质上响应采购文件要求，经评定认为具备履行合同义务能力、技术和商务条件都符合采购文件要求的、政策享受优惠后</w:t>
      </w:r>
      <w:r>
        <w:rPr>
          <w:rFonts w:hint="eastAsia" w:ascii="宋体" w:hAnsi="宋体" w:eastAsia="宋体" w:cs="宋体"/>
          <w:color w:val="auto"/>
          <w:spacing w:val="-2"/>
          <w:sz w:val="21"/>
          <w:szCs w:val="21"/>
        </w:rPr>
        <w:t>且</w:t>
      </w:r>
      <w:r>
        <w:rPr>
          <w:rFonts w:hint="eastAsia" w:ascii="宋体" w:hAnsi="宋体" w:cs="宋体"/>
          <w:color w:val="auto"/>
          <w:spacing w:val="-2"/>
          <w:sz w:val="21"/>
          <w:szCs w:val="21"/>
          <w:lang w:eastAsia="zh-CN"/>
        </w:rPr>
        <w:t>评分最高</w:t>
      </w:r>
      <w:r>
        <w:rPr>
          <w:rFonts w:hint="eastAsia" w:ascii="宋体" w:hAnsi="宋体" w:eastAsia="宋体" w:cs="宋体"/>
          <w:color w:val="auto"/>
          <w:spacing w:val="-2"/>
          <w:sz w:val="21"/>
          <w:szCs w:val="21"/>
        </w:rPr>
        <w:t>的原则确定成交供应商</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投标得分相同的</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按照报价由低到高的元整选择</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得分报价均相同的</w:t>
      </w:r>
      <w:r>
        <w:rPr>
          <w:rFonts w:hint="eastAsia" w:ascii="宋体" w:hAnsi="宋体"/>
          <w:color w:val="000000" w:themeColor="text1"/>
          <w:sz w:val="21"/>
          <w:szCs w:val="21"/>
          <w14:textFill>
            <w14:solidFill>
              <w14:schemeClr w14:val="tx1"/>
            </w14:solidFill>
          </w14:textFill>
        </w:rPr>
        <w:t>，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27.招标终止</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27.2 </w:t>
      </w:r>
      <w:r>
        <w:rPr>
          <w:rFonts w:hint="eastAsia" w:ascii="宋体" w:hAnsi="宋体"/>
          <w:bCs/>
          <w:color w:val="000000" w:themeColor="text1"/>
          <w:sz w:val="21"/>
          <w:szCs w:val="21"/>
          <w14:textFill>
            <w14:solidFill>
              <w14:schemeClr w14:val="tx1"/>
            </w14:solidFill>
          </w14:textFill>
        </w:rPr>
        <w:t>采购过程中出现以下情形，导致电子交易平台无法正常运行，或者无法保证电子交易的公平、公正和安全时，采购人（或代理机构）可中止电子交易活动：</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（1）电子交易平台发生故障而无法登录访问的； </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（2）电子交易平台应用或数据库出现错误，不能进行正常操作的；</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（3）电子交易平台发现严重安全漏洞，有潜在泄密危险的；</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（4）病毒发作导致不能进行正常操作的；</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（5）其他无法保证电子交易的公平、公正和安全的情况。</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出现上述规定情形，不影响采购公平、公正性的，采购人（或代理机构）可以待上述情形消除后继续组织电子交易活动，也可以决定某些环节以纸质形式进行。</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28.重新评审</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29.纪律与保密事项</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29.1评标委员会成员以及与评标工作有关的人员不得泄露评审情况以及评标过程中获悉的国家秘密、商业秘密。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29.3</w:t>
      </w:r>
      <w:r>
        <w:rPr>
          <w:rFonts w:ascii="宋体" w:hAnsi="宋体"/>
          <w:color w:val="000000" w:themeColor="text1"/>
          <w:sz w:val="21"/>
          <w:szCs w:val="21"/>
          <w14:textFill>
            <w14:solidFill>
              <w14:schemeClr w14:val="tx1"/>
            </w14:solidFill>
          </w14:textFill>
        </w:rPr>
        <w:t>有下列情形之一的，属于恶意串通，中标无效，并依照《政府采购法》第七十七条的规定追究法律责任：</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（1）投标人直接或者间接从采购人、采购代理机构获得其他投标人的投标情况，并修改其投标文件的；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（2）采购人、采购代理机构授意投标人撤换、修改投标文件的；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（3）投标人之间协商技术方案、合同条款以及报价等投标文件实质性内容的；</w:t>
      </w:r>
    </w:p>
    <w:p>
      <w:pPr>
        <w:pStyle w:val="26"/>
        <w:adjustRightInd w:val="0"/>
        <w:snapToGrid w:val="0"/>
        <w:spacing w:line="360" w:lineRule="auto"/>
        <w:ind w:firstLine="420" w:firstLineChars="200"/>
        <w:rPr>
          <w:rFonts w:ascii="宋体" w:hAnsi="宋体"/>
          <w:color w:val="000000" w:themeColor="text1"/>
          <w:spacing w:val="-4"/>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pacing w:val="-4"/>
          <w:sz w:val="21"/>
          <w:szCs w:val="21"/>
          <w14:textFill>
            <w14:solidFill>
              <w14:schemeClr w14:val="tx1"/>
            </w14:solidFill>
          </w14:textFill>
        </w:rPr>
        <w:t>属于同一集团、协会、商会等组织成员的投标人按照该组织要求协同参加政府采购活动的；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（5）投标人之间事先约定由某一特定投标人中标的；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（6）投标人之间商定部分投标人放弃提交投标文件或者退出招标或者放弃中标的；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（7）投标人与采购人、采购代理机构以及评标委员会成员之间、投标人相互之间，为谋求特定投标人中标或者排斥其他投标人的其他串通行为的。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8</w:t>
      </w:r>
      <w:r>
        <w:rPr>
          <w:rFonts w:ascii="宋体" w:hAnsi="宋体"/>
          <w:color w:val="000000" w:themeColor="text1"/>
          <w:sz w:val="21"/>
          <w:szCs w:val="21"/>
          <w14:textFill>
            <w14:solidFill>
              <w14:schemeClr w14:val="tx1"/>
            </w14:solidFill>
          </w14:textFill>
        </w:rPr>
        <w:t>）法律、行政法规或规章规定的其他串通行为。</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bookmarkStart w:id="27" w:name="_Toc420948014"/>
      <w:r>
        <w:rPr>
          <w:rFonts w:hint="eastAsia" w:ascii="宋体" w:hAnsi="宋体"/>
          <w:b/>
          <w:color w:val="000000" w:themeColor="text1"/>
          <w:sz w:val="21"/>
          <w:szCs w:val="21"/>
          <w14:textFill>
            <w14:solidFill>
              <w14:schemeClr w14:val="tx1"/>
            </w14:solidFill>
          </w14:textFill>
        </w:rPr>
        <w:t>六、中标结果信息公布与授予合同</w:t>
      </w:r>
      <w:bookmarkEnd w:id="27"/>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30.中标信息的公布</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30.1中标人确定后2个工作日内，采购人或者采购代理机构应将中标结果信息在投标须知前附表指定的媒体上（新疆政府采购网www.ccgp-xinjiang.gov.cn）公布。</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31.询问及质疑</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质疑书应当包括下列内容：依照新疆政府采购网http://www.ccgp-xinjiang.gov.cn/ 办事指南栏目中的模板）</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（2）质疑事项；</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（3）事实依据及相关证明材料；</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26"/>
        <w:adjustRightInd w:val="0"/>
        <w:snapToGrid w:val="0"/>
        <w:spacing w:line="360"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32.中标通知</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32.1中标人确定后，采购人或采购代理机构将以书面形式向中标人发出中标通知书。中标通知书对采购人和中标人具有同等法律效力。</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32.2 中标通知书是合同文件的组成部分。</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32.3 中标人在收到采购代理机构的中标通知书后10日内，应按照</w:t>
      </w:r>
      <w:r>
        <w:rPr>
          <w:rFonts w:hint="eastAsia" w:ascii="宋体" w:hAnsi="宋体"/>
          <w:b/>
          <w:bCs/>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的规定，向采购人提交履约保证金。</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 中标人没有按照约定提交履约保证金的，视为放弃中标资格。</w:t>
      </w:r>
    </w:p>
    <w:p>
      <w:pPr>
        <w:pStyle w:val="26"/>
        <w:adjustRightInd w:val="0"/>
        <w:snapToGrid w:val="0"/>
        <w:spacing w:line="360" w:lineRule="auto"/>
        <w:ind w:firstLine="420" w:firstLineChars="200"/>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32.</w:t>
      </w:r>
      <w:r>
        <w:rPr>
          <w:rFonts w:hint="eastAsia" w:ascii="宋体" w:hAnsi="宋体"/>
          <w:sz w:val="21"/>
          <w:szCs w:val="21"/>
        </w:rPr>
        <w:t>5</w:t>
      </w:r>
      <w:r>
        <w:rPr>
          <w:rFonts w:hint="eastAsia" w:ascii="宋体" w:hAnsi="宋体"/>
          <w:bCs/>
          <w:sz w:val="21"/>
          <w:szCs w:val="21"/>
        </w:rPr>
        <w:t>如中标人未按照招标文件要求交付使用期的时间内交货，将按照</w:t>
      </w:r>
      <w:r>
        <w:rPr>
          <w:rFonts w:hint="eastAsia" w:ascii="宋体" w:hAnsi="宋体"/>
          <w:bCs/>
          <w:sz w:val="21"/>
          <w:szCs w:val="21"/>
          <w:lang w:eastAsia="zh-CN"/>
        </w:rPr>
        <w:t>合同约定</w:t>
      </w:r>
      <w:r>
        <w:rPr>
          <w:rFonts w:hint="eastAsia" w:ascii="宋体" w:hAnsi="宋体"/>
          <w:bCs/>
          <w:sz w:val="21"/>
          <w:szCs w:val="21"/>
        </w:rPr>
        <w:t>的违约金，从支付款项中扣除。</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33.签订合同</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 招标文件、中标人的投标文件及其补充的投标文件等均为签订政府采购合同的依据。</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33.3 中标人应当按照合同约定履行义务。中标人不得向他人转让中标项目，也不得将中标项目分包后分别向他人转让。</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33.4 中标人有下列情形之一的，责令限期改正，情节严重的，列入不良行为记录名单，在1至3年内禁止参加政府采购活动，并予以通报：</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（一）中标后无正当理由不与采购人签订合同的；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（二）未按照招标文件确定的事项签订政府采购合同，或者与采购人另行订立背离合同实质性内容的协议的；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（三）拒绝履行合同义务的；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（四）违反法律、规章、规范性文件规定的。</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33.5采购人应当自政府采购合同签订之日起2个工作日内，将政府采购合同在省级以上人民政府财政部门指定的媒体上公告，但政府采购合同中涉及国家秘密、商业秘密的内容除外。</w:t>
      </w:r>
    </w:p>
    <w:p>
      <w:pPr>
        <w:pStyle w:val="26"/>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34. 政府采购合同履行中数量的变更</w:t>
      </w:r>
    </w:p>
    <w:p>
      <w:pPr>
        <w:pStyle w:val="26"/>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sectPr>
          <w:pgSz w:w="11906" w:h="16838"/>
          <w:pgMar w:top="1474" w:right="1531" w:bottom="1474" w:left="1531" w:header="851" w:footer="992" w:gutter="0"/>
          <w:cols w:space="720" w:num="1"/>
          <w:docGrid w:type="lines" w:linePitch="312" w:charSpace="0"/>
        </w:sectPr>
      </w:pPr>
      <w:r>
        <w:rPr>
          <w:rFonts w:hint="eastAsia" w:ascii="宋体" w:hAnsi="宋体"/>
          <w:color w:val="000000" w:themeColor="text1"/>
          <w:sz w:val="21"/>
          <w:szCs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26"/>
        <w:adjustRightInd w:val="0"/>
        <w:snapToGrid w:val="0"/>
        <w:spacing w:line="360" w:lineRule="auto"/>
        <w:jc w:val="center"/>
        <w:rPr>
          <w:rFonts w:ascii="宋体" w:hAnsi="宋体"/>
          <w:b/>
          <w:bCs/>
          <w:color w:val="000000" w:themeColor="text1"/>
          <w:sz w:val="32"/>
          <w:szCs w:val="32"/>
          <w14:textFill>
            <w14:solidFill>
              <w14:schemeClr w14:val="tx1"/>
            </w14:solidFill>
          </w14:textFill>
        </w:rPr>
      </w:pPr>
      <w:bookmarkStart w:id="28" w:name="_Toc474235949"/>
      <w:bookmarkStart w:id="29" w:name="_Toc430715133"/>
      <w:bookmarkStart w:id="30" w:name="_Toc420948016"/>
      <w:r>
        <w:rPr>
          <w:rFonts w:hint="eastAsia" w:ascii="宋体" w:hAnsi="宋体"/>
          <w:b/>
          <w:bCs/>
          <w:color w:val="000000" w:themeColor="text1"/>
          <w:sz w:val="32"/>
          <w:szCs w:val="32"/>
          <w14:textFill>
            <w14:solidFill>
              <w14:schemeClr w14:val="tx1"/>
            </w14:solidFill>
          </w14:textFill>
        </w:rPr>
        <w:t>第三章 评标方法及标准</w:t>
      </w:r>
      <w:bookmarkEnd w:id="28"/>
      <w:bookmarkEnd w:id="29"/>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一、资格审核</w:t>
      </w:r>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1.评标前投标文件的初步</w:t>
      </w:r>
      <w:r>
        <w:rPr>
          <w:rFonts w:hint="eastAsia" w:ascii="宋体" w:hAnsi="宋体"/>
          <w:b/>
          <w:color w:val="000000" w:themeColor="text1"/>
          <w:szCs w:val="21"/>
          <w14:textFill>
            <w14:solidFill>
              <w14:schemeClr w14:val="tx1"/>
            </w14:solidFill>
          </w14:textFill>
        </w:rPr>
        <w:t>审核</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1.1初步</w:t>
      </w:r>
      <w:r>
        <w:rPr>
          <w:rFonts w:hint="eastAsia" w:ascii="宋体" w:hAnsi="宋体"/>
          <w:color w:val="000000" w:themeColor="text1"/>
          <w:szCs w:val="21"/>
          <w14:textFill>
            <w14:solidFill>
              <w14:schemeClr w14:val="tx1"/>
            </w14:solidFill>
          </w14:textFill>
        </w:rPr>
        <w:t>评审为资格性检查和符合性检查。</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1.1.3投标人不得通过修正或撤销不合要求的偏离从而使其投标成为实质上响应的投标。</w:t>
      </w:r>
    </w:p>
    <w:tbl>
      <w:tblPr>
        <w:tblStyle w:val="46"/>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783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审核</w:t>
            </w:r>
            <w:r>
              <w:rPr>
                <w:rFonts w:ascii="宋体" w:hAnsi="宋体"/>
                <w:b/>
                <w:color w:val="000000" w:themeColor="text1"/>
                <w:szCs w:val="21"/>
                <w14:textFill>
                  <w14:solidFill>
                    <w14:schemeClr w14:val="tx1"/>
                  </w14:solidFill>
                </w14:textFill>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资格性检查</w:t>
            </w:r>
          </w:p>
        </w:tc>
        <w:tc>
          <w:tcPr>
            <w:tcW w:w="7836" w:type="dxa"/>
            <w:vAlign w:val="center"/>
          </w:tcPr>
          <w:p>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1、营业执照；</w:t>
            </w:r>
            <w:r>
              <w:rPr>
                <w:rFonts w:hint="eastAsia"/>
                <w:color w:val="000000" w:themeColor="text1"/>
                <w:lang w:eastAsia="zh-CN"/>
                <w14:textFill>
                  <w14:solidFill>
                    <w14:schemeClr w14:val="tx1"/>
                  </w14:solidFill>
                </w14:textFill>
              </w:rPr>
              <w:t>注：投标人非生产企业的，需提供经营范围含预包装食品销售的《营业执照》或《食品经营许可证》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spacing w:line="40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法人提供法定代表人身份证明，</w:t>
            </w:r>
            <w:r>
              <w:rPr>
                <w:rFonts w:hint="eastAsia"/>
                <w:b/>
                <w:bCs/>
                <w:color w:val="000000" w:themeColor="text1"/>
                <w14:textFill>
                  <w14:solidFill>
                    <w14:schemeClr w14:val="tx1"/>
                  </w14:solidFill>
                </w14:textFill>
              </w:rPr>
              <w:t>或</w:t>
            </w:r>
            <w:r>
              <w:rPr>
                <w:rFonts w:hint="eastAsia"/>
                <w:color w:val="000000" w:themeColor="text1"/>
                <w14:textFill>
                  <w14:solidFill>
                    <w14:schemeClr w14:val="tx1"/>
                  </w14:solidFill>
                </w14:textFill>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rPr>
              <w:t>具有良好的商业信誉和健全的财务会计制度，</w:t>
            </w:r>
            <w:r>
              <w:rPr>
                <w:rFonts w:hint="eastAsia"/>
                <w:color w:val="000000" w:themeColor="text1"/>
                <w14:textFill>
                  <w14:solidFill>
                    <w14:schemeClr w14:val="tx1"/>
                  </w14:solidFill>
                </w14:textFill>
              </w:rPr>
              <w:t> </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rPr>
              <w:t>具有履行合同所必需的设备和专业技术能力，提供《政府采购供应商信用承诺函》；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rPr>
              <w:t>有依法缴纳税收和社会保障资金的良好记录，提供《政府采购供应商信用承诺函》；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6、无重大违法记录，</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7、“信用中国”（www.creditchina.gov.cn）和中国政府采购网（www.ccgp.gov.cn）网站上未被列入失信被执行人、重大税收违法案件当事人名单以及政府采购严重违法失信行为记录名单；</w:t>
            </w:r>
            <w:r>
              <w:rPr>
                <w:rFonts w:hint="eastAsia"/>
                <w:lang w:val="en-US" w:eastAsia="zh-CN"/>
              </w:rPr>
              <w:t>提供《政府采购供应商信用承诺函》</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8、生产企业的《食品生产许可证》，许可项目包含此次采购需求。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9、满足本项目中小企业预留份额。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符合性检查</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2.开标一览表内承诺交付使用期、质保期满足招标文件要求；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3.报价具有唯一性，报价未超过招标文件中规定的</w:t>
            </w:r>
            <w:r>
              <w:rPr>
                <w:rFonts w:hint="eastAsia" w:ascii="宋体" w:hAnsi="宋体"/>
                <w:color w:val="000000" w:themeColor="text1"/>
                <w:szCs w:val="21"/>
                <w:lang w:eastAsia="zh-CN"/>
                <w14:textFill>
                  <w14:solidFill>
                    <w14:schemeClr w14:val="tx1"/>
                  </w14:solidFill>
                </w14:textFill>
              </w:rPr>
              <w:t>预算单价或</w:t>
            </w:r>
            <w:r>
              <w:rPr>
                <w:rFonts w:hint="eastAsia" w:ascii="宋体" w:hAnsi="宋体"/>
                <w:color w:val="000000" w:themeColor="text1"/>
                <w:szCs w:val="21"/>
                <w:lang w:val="en-US" w:eastAsia="zh-CN"/>
                <w14:textFill>
                  <w14:solidFill>
                    <w14:schemeClr w14:val="tx1"/>
                  </w14:solidFill>
                </w14:textFill>
              </w:rPr>
              <w:t>预算总金额</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核心产品品牌具有唯一性，且与报价明细表一致。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满足招标文件实质性要求；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6.《无质量安全事故声明书》承诺时限及内容符合采购文件要求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结论</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是否通过资格审查，进入下一阶段报价评审。</w:t>
            </w:r>
          </w:p>
        </w:tc>
      </w:tr>
    </w:tbl>
    <w:p>
      <w:pPr>
        <w:tabs>
          <w:tab w:val="left" w:pos="0"/>
        </w:tabs>
        <w:adjustRightInd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（3）投标人的报价均超过了采购预算；</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1.3邀请招标数额标准以上的采购项目，投标截止后投标人不足3家或者通过资格审查或符合性审查的投标人不足3家的，除采购任务取消情形外，按照以下方式处理：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（5）不同投标人的投标文件相互混装；</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（6）不同投标人的投标保证金从同一单位或者个人的账户转出。</w:t>
      </w:r>
    </w:p>
    <w:p>
      <w:pPr>
        <w:tabs>
          <w:tab w:val="left" w:pos="0"/>
        </w:tabs>
        <w:adjustRightInd w:val="0"/>
        <w:snapToGrid w:val="0"/>
        <w:spacing w:before="156" w:beforeLines="50" w:line="360" w:lineRule="auto"/>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二、评标程序</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评标委员会</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2.1评标由依法组成的评标委员会负责。</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评标方法</w:t>
      </w:r>
    </w:p>
    <w:p>
      <w:pPr>
        <w:tabs>
          <w:tab w:val="left" w:pos="0"/>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3.1评标方法：</w:t>
      </w:r>
      <w:r>
        <w:rPr>
          <w:rFonts w:hint="eastAsia" w:ascii="宋体" w:hAnsi="宋体"/>
          <w:b/>
          <w:bCs/>
          <w:color w:val="000000" w:themeColor="text1"/>
          <w:szCs w:val="21"/>
          <w:lang w:eastAsia="zh-CN"/>
          <w14:textFill>
            <w14:solidFill>
              <w14:schemeClr w14:val="tx1"/>
            </w14:solidFill>
          </w14:textFill>
        </w:rPr>
        <w:t>综合评分法</w:t>
      </w:r>
      <w:r>
        <w:rPr>
          <w:rFonts w:hint="eastAsia" w:ascii="宋体" w:hAnsi="宋体"/>
          <w:color w:val="000000" w:themeColor="text1"/>
          <w:szCs w:val="21"/>
          <w14:textFill>
            <w14:solidFill>
              <w14:schemeClr w14:val="tx1"/>
            </w14:solidFill>
          </w14:textFill>
        </w:rPr>
        <w:t>，是指投标文件满足招标文件全部实质性要求且按照评审因素的量化指标评审得分最高的供应商为中标候选人的评标方法。</w:t>
      </w:r>
    </w:p>
    <w:p>
      <w:pPr>
        <w:tabs>
          <w:tab w:val="left" w:pos="0"/>
        </w:tabs>
        <w:adjustRightInd w:val="0"/>
        <w:snapToGrid w:val="0"/>
        <w:spacing w:before="156" w:beforeLines="50" w:line="360" w:lineRule="auto"/>
        <w:ind w:firstLine="420" w:firstLineChars="200"/>
        <w:rPr>
          <w:rFonts w:ascii="宋体" w:hAnsi="宋体"/>
          <w:b/>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3.2本招标项目</w:t>
      </w:r>
      <w:r>
        <w:rPr>
          <w:rFonts w:hint="eastAsia" w:ascii="宋体" w:hAnsi="宋体"/>
          <w:color w:val="000000" w:themeColor="text1"/>
          <w:szCs w:val="21"/>
          <w14:textFill>
            <w14:solidFill>
              <w14:schemeClr w14:val="tx1"/>
            </w14:solidFill>
          </w14:textFill>
        </w:rPr>
        <w:t>的评标因素：价格、技术、信誉、业绩、服务、对招标文件的响应程度，以及相应的比重或者权值等，但不包括第二章“投标须知”第3.1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w:t>
      </w:r>
    </w:p>
    <w:p>
      <w:pPr>
        <w:adjustRightInd w:val="0"/>
        <w:snapToGrid w:val="0"/>
        <w:spacing w:before="156" w:beforeLines="50" w:line="360" w:lineRule="auto"/>
        <w:ind w:right="-109" w:rightChars="-52"/>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4.澄清有关问题</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4.2投标人不得对下列内容进行澄清或补充：</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（1）开标时，未宣读的投标价格、价格折扣等实质性内容。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（2）招标文件规定的实质性要求。</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4.3投标文件报价出现前后不一致的，除招标文件另有规定外，按照下列规定修正：</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（1）电子交易平台生成的开标一览表内容与投标文件中相应内容不一致的，以电子交易平台生成的开标一览表为准；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（2）大写金额和小写金额不一致的，以大写金额为准；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（3）单价金额小数点或者百分比有明显错位的，以电子交易平台生成的开标一览表为准，并修改单价；</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 有效的书面澄清材料，是投标文件的补充材料，成为投标文件的组成部分。</w:t>
      </w:r>
    </w:p>
    <w:p>
      <w:pPr>
        <w:tabs>
          <w:tab w:val="left" w:pos="0"/>
        </w:tabs>
        <w:adjustRightInd w:val="0"/>
        <w:snapToGrid w:val="0"/>
        <w:spacing w:before="156" w:before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5.投标文件的详细</w:t>
      </w:r>
      <w:r>
        <w:rPr>
          <w:rFonts w:hint="eastAsia" w:ascii="宋体" w:hAnsi="宋体"/>
          <w:b/>
          <w:color w:val="000000" w:themeColor="text1"/>
          <w:szCs w:val="21"/>
          <w14:textFill>
            <w14:solidFill>
              <w14:schemeClr w14:val="tx1"/>
            </w14:solidFill>
          </w14:textFill>
        </w:rPr>
        <w:t>评审</w:t>
      </w:r>
    </w:p>
    <w:p>
      <w:pPr>
        <w:tabs>
          <w:tab w:val="left" w:pos="0"/>
        </w:tabs>
        <w:adjustRightInd w:val="0"/>
        <w:snapToGrid w:val="0"/>
        <w:spacing w:before="156" w:beforeLines="5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5.1评标委员会应按照招标文件中规定的评标方法、</w:t>
      </w:r>
      <w:r>
        <w:rPr>
          <w:rFonts w:hint="eastAsia" w:ascii="宋体" w:hAnsi="宋体"/>
          <w:color w:val="000000" w:themeColor="text1"/>
          <w:szCs w:val="21"/>
          <w14:textFill>
            <w14:solidFill>
              <w14:schemeClr w14:val="tx1"/>
            </w14:solidFill>
          </w14:textFill>
        </w:rPr>
        <w:t>标准和评标因素，</w:t>
      </w:r>
      <w:r>
        <w:rPr>
          <w:rFonts w:hint="eastAsia" w:ascii="宋体" w:hAnsi="宋体"/>
          <w:bCs/>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资格性检查</w:t>
      </w:r>
      <w:r>
        <w:rPr>
          <w:rFonts w:hint="eastAsia" w:ascii="宋体" w:hAnsi="宋体"/>
          <w:bCs/>
          <w:color w:val="000000" w:themeColor="text1"/>
          <w:szCs w:val="21"/>
          <w14:textFill>
            <w14:solidFill>
              <w14:schemeClr w14:val="tx1"/>
            </w14:solidFill>
          </w14:textFill>
        </w:rPr>
        <w:t>合格的投标文件进行详细评审。</w:t>
      </w:r>
    </w:p>
    <w:p>
      <w:pPr>
        <w:widowControl/>
        <w:adjustRightInd w:val="0"/>
        <w:snapToGrid w:val="0"/>
        <w:spacing w:before="156" w:beforeLines="50"/>
        <w:ind w:firstLine="420" w:firstLineChars="200"/>
        <w:jc w:val="left"/>
        <w:rPr>
          <w:rFonts w:ascii="宋体" w:hAnsi="宋体"/>
          <w:color w:val="000000" w:themeColor="text1"/>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评标时，评标委员会各成员应当</w:t>
      </w:r>
      <w:r>
        <w:rPr>
          <w:rFonts w:hint="eastAsia" w:ascii="宋体" w:hAnsi="宋体"/>
          <w:b/>
          <w:color w:val="000000" w:themeColor="text1"/>
          <w:szCs w:val="21"/>
          <w14:textFill>
            <w14:solidFill>
              <w14:schemeClr w14:val="tx1"/>
            </w14:solidFill>
          </w14:textFill>
        </w:rPr>
        <w:t>独立</w:t>
      </w:r>
      <w:r>
        <w:rPr>
          <w:rFonts w:hint="eastAsia" w:ascii="宋体" w:hAnsi="宋体"/>
          <w:color w:val="000000" w:themeColor="text1"/>
          <w:szCs w:val="21"/>
          <w14:textFill>
            <w14:solidFill>
              <w14:schemeClr w14:val="tx1"/>
            </w14:solidFill>
          </w14:textFill>
        </w:rPr>
        <w:t>对每个投标人的</w:t>
      </w:r>
      <w:r>
        <w:rPr>
          <w:rFonts w:hint="eastAsia" w:ascii="宋体" w:hAnsi="宋体"/>
          <w:bCs/>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进行评价、评分，然后汇总每个投标人每项评分因素的得分。</w:t>
      </w:r>
    </w:p>
    <w:p>
      <w:pPr>
        <w:ind w:firstLine="420" w:firstLineChars="200"/>
        <w:rPr>
          <w:rFonts w:ascii="宋体" w:hAnsi="宋体" w:cs="宋体"/>
          <w:b/>
          <w:bCs/>
          <w:szCs w:val="21"/>
        </w:rPr>
      </w:pPr>
      <w:r>
        <w:rPr>
          <w:rFonts w:hint="eastAsia" w:ascii="宋体" w:hAnsi="宋体"/>
          <w:color w:val="000000" w:themeColor="text1"/>
          <w:szCs w:val="21"/>
          <w14:textFill>
            <w14:solidFill>
              <w14:schemeClr w14:val="tx1"/>
            </w14:solidFill>
          </w14:textFill>
        </w:rPr>
        <w:t>5.3</w:t>
      </w:r>
      <w:r>
        <w:rPr>
          <w:rFonts w:hint="eastAsia" w:ascii="宋体" w:hAnsi="宋体" w:cs="宋体"/>
          <w:b/>
          <w:bCs/>
          <w:szCs w:val="21"/>
          <w:lang w:bidi="ar"/>
        </w:rPr>
        <w:t>有下列情况之一的投标文件应作无效文件处理：</w:t>
      </w:r>
    </w:p>
    <w:p>
      <w:pPr>
        <w:spacing w:line="380" w:lineRule="exact"/>
        <w:ind w:firstLine="420" w:firstLineChars="200"/>
        <w:rPr>
          <w:rFonts w:ascii="宋体" w:hAnsi="宋体" w:cs="宋体"/>
          <w:szCs w:val="21"/>
        </w:rPr>
      </w:pPr>
      <w:r>
        <w:rPr>
          <w:rFonts w:hint="eastAsia" w:ascii="宋体" w:hAnsi="宋体" w:cs="宋体"/>
          <w:szCs w:val="21"/>
          <w:lang w:bidi="ar"/>
        </w:rPr>
        <w:t>（1）未在规定时间内按时解密的；</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（2）应交未交投标保证金的；</w:t>
      </w:r>
    </w:p>
    <w:p>
      <w:pPr>
        <w:spacing w:line="380" w:lineRule="exact"/>
        <w:ind w:firstLine="420" w:firstLineChars="200"/>
        <w:rPr>
          <w:rFonts w:ascii="宋体" w:hAnsi="宋体" w:cs="宋体"/>
          <w:szCs w:val="21"/>
        </w:rPr>
      </w:pPr>
      <w:r>
        <w:rPr>
          <w:rFonts w:hint="eastAsia" w:ascii="宋体" w:hAnsi="宋体" w:cs="宋体"/>
          <w:szCs w:val="21"/>
          <w:lang w:bidi="ar"/>
        </w:rPr>
        <w:t>（3）不具备采购文件中规定资格要求的；</w:t>
      </w:r>
    </w:p>
    <w:p>
      <w:pPr>
        <w:spacing w:line="380" w:lineRule="exact"/>
        <w:ind w:firstLine="420" w:firstLineChars="200"/>
        <w:rPr>
          <w:rFonts w:ascii="宋体" w:hAnsi="宋体" w:cs="宋体"/>
          <w:szCs w:val="21"/>
        </w:rPr>
      </w:pPr>
      <w:r>
        <w:rPr>
          <w:rFonts w:hint="eastAsia" w:ascii="宋体" w:hAnsi="宋体" w:cs="宋体"/>
          <w:szCs w:val="21"/>
          <w:lang w:bidi="ar"/>
        </w:rPr>
        <w:t>（4）投标文件未按规定由供应商法定代表人或其授权代理人签字和加盖公章的；</w:t>
      </w:r>
    </w:p>
    <w:p>
      <w:pPr>
        <w:spacing w:line="380" w:lineRule="exact"/>
        <w:ind w:firstLine="420" w:firstLineChars="200"/>
        <w:rPr>
          <w:rFonts w:ascii="宋体" w:hAnsi="宋体" w:cs="宋体"/>
          <w:szCs w:val="21"/>
        </w:rPr>
      </w:pPr>
      <w:r>
        <w:rPr>
          <w:rFonts w:hint="eastAsia" w:ascii="宋体" w:hAnsi="宋体" w:cs="宋体"/>
          <w:szCs w:val="21"/>
          <w:lang w:bidi="ar"/>
        </w:rPr>
        <w:t>（5）</w:t>
      </w:r>
      <w:r>
        <w:rPr>
          <w:rFonts w:hint="eastAsia" w:ascii="宋体" w:hAnsi="宋体" w:cs="宋体"/>
          <w:spacing w:val="15"/>
          <w:kern w:val="0"/>
          <w:szCs w:val="21"/>
          <w:lang w:bidi="ar"/>
        </w:rPr>
        <w:t>投标文件未按照采购文件规定要求签章的；</w:t>
      </w:r>
    </w:p>
    <w:p>
      <w:pPr>
        <w:spacing w:line="380" w:lineRule="exact"/>
        <w:ind w:firstLine="420" w:firstLineChars="200"/>
        <w:rPr>
          <w:rFonts w:ascii="宋体" w:hAnsi="宋体" w:cs="宋体"/>
          <w:szCs w:val="21"/>
        </w:rPr>
      </w:pPr>
      <w:r>
        <w:rPr>
          <w:rFonts w:hint="eastAsia" w:ascii="宋体" w:hAnsi="宋体" w:cs="宋体"/>
          <w:szCs w:val="21"/>
          <w:lang w:bidi="ar"/>
        </w:rPr>
        <w:t>（6）投标文件载明的采购项目</w:t>
      </w:r>
      <w:r>
        <w:rPr>
          <w:rFonts w:hint="eastAsia" w:ascii="宋体" w:hAnsi="宋体" w:cs="宋体"/>
          <w:szCs w:val="21"/>
          <w:lang w:eastAsia="zh-CN" w:bidi="ar"/>
        </w:rPr>
        <w:t>完工期限</w:t>
      </w:r>
      <w:r>
        <w:rPr>
          <w:rFonts w:hint="eastAsia" w:ascii="宋体" w:hAnsi="宋体" w:cs="宋体"/>
          <w:szCs w:val="21"/>
          <w:lang w:bidi="ar"/>
        </w:rPr>
        <w:t>超过采购文件规定期限的；</w:t>
      </w:r>
    </w:p>
    <w:p>
      <w:pPr>
        <w:spacing w:line="380" w:lineRule="exact"/>
        <w:ind w:firstLine="420" w:firstLineChars="200"/>
        <w:rPr>
          <w:rFonts w:ascii="宋体" w:hAnsi="宋体" w:cs="宋体"/>
          <w:szCs w:val="21"/>
        </w:rPr>
      </w:pPr>
      <w:r>
        <w:rPr>
          <w:rFonts w:hint="eastAsia" w:ascii="宋体" w:hAnsi="宋体" w:cs="宋体"/>
          <w:szCs w:val="21"/>
          <w:lang w:bidi="ar"/>
        </w:rPr>
        <w:t>（7）评标过程中拒绝澄清相关事宜和问题的；</w:t>
      </w:r>
    </w:p>
    <w:p>
      <w:pPr>
        <w:spacing w:line="380" w:lineRule="exact"/>
        <w:ind w:firstLine="420" w:firstLineChars="200"/>
        <w:rPr>
          <w:rFonts w:ascii="宋体" w:hAnsi="宋体" w:cs="宋体"/>
          <w:szCs w:val="21"/>
        </w:rPr>
      </w:pPr>
      <w:r>
        <w:rPr>
          <w:rFonts w:hint="eastAsia" w:ascii="宋体" w:hAnsi="宋体" w:cs="宋体"/>
          <w:szCs w:val="21"/>
          <w:lang w:bidi="ar"/>
        </w:rPr>
        <w:t>（8）投标文件不真实，有欺骗行为的；</w:t>
      </w:r>
    </w:p>
    <w:p>
      <w:pPr>
        <w:spacing w:line="400" w:lineRule="exact"/>
        <w:ind w:firstLine="420" w:firstLineChars="200"/>
        <w:rPr>
          <w:rFonts w:ascii="宋体" w:hAnsi="宋体" w:cs="宋体"/>
          <w:szCs w:val="21"/>
        </w:rPr>
      </w:pPr>
      <w:r>
        <w:rPr>
          <w:rFonts w:hint="eastAsia" w:ascii="宋体" w:hAnsi="宋体" w:cs="宋体"/>
          <w:szCs w:val="21"/>
          <w:lang w:bidi="ar"/>
        </w:rPr>
        <w:t>（9）</w:t>
      </w:r>
      <w:r>
        <w:rPr>
          <w:rFonts w:hint="eastAsia" w:ascii="宋体" w:hAnsi="宋体"/>
          <w:color w:val="000000" w:themeColor="text1"/>
          <w:szCs w:val="21"/>
          <w14:textFill>
            <w14:solidFill>
              <w14:schemeClr w14:val="tx1"/>
            </w14:solidFill>
          </w14:textFill>
        </w:rPr>
        <w:t>报价超过招标文件中规定的</w:t>
      </w:r>
      <w:r>
        <w:rPr>
          <w:rFonts w:hint="eastAsia" w:ascii="宋体" w:hAnsi="宋体"/>
          <w:color w:val="000000" w:themeColor="text1"/>
          <w:szCs w:val="21"/>
          <w:lang w:val="en-US" w:eastAsia="zh-CN"/>
          <w14:textFill>
            <w14:solidFill>
              <w14:schemeClr w14:val="tx1"/>
            </w14:solidFill>
          </w14:textFill>
        </w:rPr>
        <w:t>预算总价或预算单价的；</w:t>
      </w:r>
    </w:p>
    <w:p>
      <w:pPr>
        <w:spacing w:line="360" w:lineRule="auto"/>
        <w:ind w:firstLine="420" w:firstLineChars="200"/>
        <w:outlineLvl w:val="0"/>
        <w:rPr>
          <w:rFonts w:hint="eastAsia" w:ascii="宋体" w:hAnsi="宋体" w:cs="宋体"/>
          <w:szCs w:val="21"/>
          <w:lang w:bidi="ar"/>
        </w:rPr>
      </w:pPr>
      <w:r>
        <w:rPr>
          <w:rFonts w:hint="eastAsia" w:ascii="宋体" w:hAnsi="宋体" w:cs="宋体"/>
          <w:szCs w:val="21"/>
          <w:lang w:bidi="ar"/>
        </w:rPr>
        <w:t>（10）投标文件附有采购人和组织采购方不能接受的其它条件的；</w:t>
      </w:r>
    </w:p>
    <w:p>
      <w:pPr>
        <w:spacing w:line="360" w:lineRule="auto"/>
        <w:ind w:firstLine="420" w:firstLineChars="200"/>
        <w:outlineLvl w:val="0"/>
        <w:rPr>
          <w:rFonts w:hint="eastAsia" w:ascii="宋体" w:hAnsi="宋体" w:cs="宋体"/>
          <w:szCs w:val="21"/>
          <w:lang w:val="en-US" w:eastAsia="zh-CN" w:bidi="ar"/>
        </w:rPr>
      </w:pPr>
      <w:r>
        <w:rPr>
          <w:rFonts w:hint="eastAsia" w:ascii="宋体" w:hAnsi="宋体" w:cs="宋体"/>
          <w:szCs w:val="21"/>
          <w:lang w:eastAsia="zh-CN" w:bidi="ar"/>
        </w:rPr>
        <w:t>（</w:t>
      </w:r>
      <w:r>
        <w:rPr>
          <w:rFonts w:hint="eastAsia" w:ascii="宋体" w:hAnsi="宋体" w:cs="宋体"/>
          <w:szCs w:val="21"/>
          <w:lang w:val="en-US" w:eastAsia="zh-CN" w:bidi="ar"/>
        </w:rPr>
        <w:t>11）不满足采购文件实质性要求的；</w:t>
      </w:r>
    </w:p>
    <w:bookmarkEnd w:id="30"/>
    <w:p>
      <w:pPr>
        <w:ind w:firstLine="420" w:firstLineChars="200"/>
        <w:rPr>
          <w:rFonts w:hint="eastAsia" w:ascii="宋体" w:hAnsi="宋体" w:eastAsia="宋体" w:cs="宋体"/>
          <w:b/>
          <w:bCs/>
          <w:kern w:val="2"/>
          <w:sz w:val="21"/>
          <w:szCs w:val="21"/>
        </w:rPr>
      </w:pPr>
      <w:bookmarkStart w:id="31" w:name="_Toc474235950"/>
      <w:bookmarkStart w:id="32" w:name="_Toc420948020"/>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eastAsia="宋体" w:cs="宋体"/>
          <w:b/>
          <w:bCs/>
          <w:kern w:val="2"/>
          <w:sz w:val="21"/>
          <w:szCs w:val="21"/>
          <w:lang w:val="en-US" w:eastAsia="zh-CN" w:bidi="ar"/>
        </w:rPr>
        <w:t xml:space="preserve"> 评分标准：</w:t>
      </w:r>
    </w:p>
    <w:p>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具体评分细则如下：</w:t>
      </w:r>
    </w:p>
    <w:p>
      <w:pPr>
        <w:pStyle w:val="25"/>
        <w:ind w:left="0" w:leftChars="0" w:firstLine="0" w:firstLineChars="0"/>
        <w:jc w:val="left"/>
        <w:rPr>
          <w:rFonts w:hint="eastAsia" w:ascii="黑体" w:hAnsi="黑体" w:eastAsia="黑体" w:cs="黑体"/>
          <w:i w:val="0"/>
          <w:iCs w:val="0"/>
          <w:color w:val="FF0000"/>
          <w:sz w:val="28"/>
          <w:szCs w:val="28"/>
          <w:highlight w:val="yellow"/>
          <w:lang w:val="en-US" w:eastAsia="zh-CN"/>
        </w:rPr>
      </w:pPr>
      <w:r>
        <w:rPr>
          <w:rFonts w:hint="eastAsia" w:ascii="黑体" w:hAnsi="黑体" w:eastAsia="黑体" w:cs="黑体"/>
          <w:i w:val="0"/>
          <w:iCs w:val="0"/>
          <w:color w:val="FF0000"/>
          <w:sz w:val="28"/>
          <w:szCs w:val="28"/>
          <w:highlight w:val="yellow"/>
          <w:lang w:val="en-US" w:eastAsia="zh-CN"/>
        </w:rPr>
        <w:t>注：为方便电子评审，目录需关联至指定信息处，否则视同为未提供。</w:t>
      </w:r>
    </w:p>
    <w:p>
      <w:pPr>
        <w:rPr>
          <w:rFonts w:hint="eastAsia"/>
          <w:lang w:val="en-US" w:eastAsia="zh-CN"/>
        </w:rPr>
      </w:pPr>
    </w:p>
    <w:tbl>
      <w:tblPr>
        <w:tblStyle w:val="46"/>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5577"/>
        <w:gridCol w:w="876"/>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blHeader/>
          <w:jc w:val="center"/>
        </w:trPr>
        <w:tc>
          <w:tcPr>
            <w:tcW w:w="1308" w:type="dxa"/>
            <w:noWrap w:val="0"/>
            <w:vAlign w:val="center"/>
          </w:tcPr>
          <w:p>
            <w:pPr>
              <w:pStyle w:val="26"/>
              <w:snapToGrid w:val="0"/>
              <w:spacing w:line="240" w:lineRule="exact"/>
              <w:jc w:val="center"/>
              <w:rPr>
                <w:rFonts w:ascii="宋体" w:hAnsi="宋体" w:cs="Courier New"/>
                <w:b/>
                <w:color w:val="auto"/>
                <w:sz w:val="21"/>
                <w:szCs w:val="21"/>
                <w:highlight w:val="none"/>
              </w:rPr>
            </w:pPr>
            <w:r>
              <w:rPr>
                <w:rFonts w:hint="eastAsia" w:ascii="宋体" w:hAnsi="宋体" w:cs="Courier New"/>
                <w:b/>
                <w:color w:val="auto"/>
                <w:sz w:val="21"/>
                <w:szCs w:val="21"/>
                <w:highlight w:val="none"/>
              </w:rPr>
              <w:t>项目</w:t>
            </w:r>
          </w:p>
        </w:tc>
        <w:tc>
          <w:tcPr>
            <w:tcW w:w="5577" w:type="dxa"/>
            <w:noWrap w:val="0"/>
            <w:vAlign w:val="center"/>
          </w:tcPr>
          <w:p>
            <w:pPr>
              <w:pStyle w:val="26"/>
              <w:snapToGrid w:val="0"/>
              <w:spacing w:line="240" w:lineRule="exact"/>
              <w:jc w:val="center"/>
              <w:rPr>
                <w:rFonts w:ascii="宋体" w:hAnsi="宋体" w:cs="Courier New"/>
                <w:b/>
                <w:color w:val="auto"/>
                <w:sz w:val="21"/>
                <w:szCs w:val="21"/>
                <w:highlight w:val="none"/>
              </w:rPr>
            </w:pPr>
            <w:r>
              <w:rPr>
                <w:rFonts w:hint="eastAsia" w:ascii="宋体" w:hAnsi="宋体" w:cs="Courier New"/>
                <w:b/>
                <w:color w:val="auto"/>
                <w:sz w:val="21"/>
                <w:szCs w:val="21"/>
                <w:highlight w:val="none"/>
              </w:rPr>
              <w:t>评审内容</w:t>
            </w:r>
          </w:p>
        </w:tc>
        <w:tc>
          <w:tcPr>
            <w:tcW w:w="876" w:type="dxa"/>
            <w:noWrap w:val="0"/>
            <w:vAlign w:val="center"/>
          </w:tcPr>
          <w:p>
            <w:pPr>
              <w:pStyle w:val="26"/>
              <w:snapToGrid w:val="0"/>
              <w:spacing w:line="240" w:lineRule="exact"/>
              <w:jc w:val="center"/>
              <w:rPr>
                <w:rFonts w:ascii="宋体" w:hAnsi="宋体" w:cs="Courier New"/>
                <w:b/>
                <w:color w:val="auto"/>
                <w:sz w:val="21"/>
                <w:szCs w:val="21"/>
                <w:highlight w:val="none"/>
              </w:rPr>
            </w:pPr>
            <w:r>
              <w:rPr>
                <w:rFonts w:hint="eastAsia" w:ascii="宋体" w:hAnsi="宋体" w:cs="Courier New"/>
                <w:b/>
                <w:color w:val="auto"/>
                <w:sz w:val="21"/>
                <w:szCs w:val="21"/>
                <w:highlight w:val="none"/>
              </w:rPr>
              <w:t>分值</w:t>
            </w:r>
          </w:p>
        </w:tc>
        <w:tc>
          <w:tcPr>
            <w:tcW w:w="1106" w:type="dxa"/>
            <w:noWrap w:val="0"/>
            <w:vAlign w:val="center"/>
          </w:tcPr>
          <w:p>
            <w:pPr>
              <w:pStyle w:val="26"/>
              <w:snapToGrid w:val="0"/>
              <w:spacing w:line="240" w:lineRule="exact"/>
              <w:jc w:val="center"/>
              <w:rPr>
                <w:rFonts w:ascii="宋体" w:hAnsi="宋体" w:cs="Courier New"/>
                <w:b/>
                <w:color w:val="auto"/>
                <w:sz w:val="21"/>
                <w:szCs w:val="21"/>
                <w:highlight w:val="none"/>
              </w:rPr>
            </w:pPr>
            <w:r>
              <w:rPr>
                <w:rFonts w:hint="eastAsia" w:ascii="宋体" w:hAnsi="宋体" w:cs="Courier New"/>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867" w:type="dxa"/>
            <w:gridSpan w:val="4"/>
            <w:noWrap w:val="0"/>
            <w:vAlign w:val="center"/>
          </w:tcPr>
          <w:p>
            <w:pPr>
              <w:pStyle w:val="26"/>
              <w:snapToGrid w:val="0"/>
              <w:spacing w:line="240" w:lineRule="exact"/>
              <w:rPr>
                <w:rFonts w:ascii="宋体" w:hAnsi="宋体" w:cs="Courier New"/>
                <w:b/>
                <w:color w:val="auto"/>
                <w:sz w:val="21"/>
                <w:szCs w:val="21"/>
                <w:highlight w:val="none"/>
              </w:rPr>
            </w:pPr>
            <w:r>
              <w:rPr>
                <w:rFonts w:hint="eastAsia" w:ascii="宋体" w:hAnsi="宋体" w:cs="Courier New"/>
                <w:b/>
                <w:color w:val="auto"/>
                <w:sz w:val="21"/>
                <w:szCs w:val="21"/>
                <w:highlight w:val="none"/>
              </w:rPr>
              <w:t>A：投标</w:t>
            </w:r>
            <w:r>
              <w:rPr>
                <w:rFonts w:hint="eastAsia" w:ascii="宋体" w:hAnsi="宋体" w:cs="Courier New"/>
                <w:b/>
                <w:color w:val="auto"/>
                <w:sz w:val="21"/>
                <w:szCs w:val="21"/>
                <w:highlight w:val="none"/>
                <w:lang w:eastAsia="zh-CN"/>
              </w:rPr>
              <w:t>报价</w:t>
            </w:r>
            <w:r>
              <w:rPr>
                <w:rFonts w:hint="eastAsia" w:ascii="宋体" w:hAnsi="宋体" w:cs="Courier New"/>
                <w:b/>
                <w:color w:val="auto"/>
                <w:sz w:val="21"/>
                <w:szCs w:val="21"/>
                <w:highlight w:val="none"/>
              </w:rPr>
              <w:t>评分40分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jc w:val="center"/>
        </w:trPr>
        <w:tc>
          <w:tcPr>
            <w:tcW w:w="1308" w:type="dxa"/>
            <w:noWrap w:val="0"/>
            <w:vAlign w:val="center"/>
          </w:tcPr>
          <w:p>
            <w:pPr>
              <w:pStyle w:val="26"/>
              <w:snapToGrid w:val="0"/>
              <w:spacing w:line="240" w:lineRule="exact"/>
              <w:jc w:val="center"/>
              <w:rPr>
                <w:rFonts w:hint="eastAsia" w:ascii="宋体" w:hAnsi="宋体" w:eastAsia="宋体" w:cs="Courier New"/>
                <w:color w:val="auto"/>
                <w:sz w:val="21"/>
                <w:szCs w:val="21"/>
                <w:highlight w:val="none"/>
                <w:lang w:eastAsia="zh-CN"/>
              </w:rPr>
            </w:pPr>
            <w:r>
              <w:rPr>
                <w:rFonts w:hint="eastAsia" w:ascii="宋体" w:hAnsi="宋体" w:cs="Courier New"/>
                <w:color w:val="auto"/>
                <w:sz w:val="21"/>
                <w:szCs w:val="21"/>
                <w:highlight w:val="none"/>
                <w:lang w:eastAsia="zh-CN"/>
              </w:rPr>
              <w:t>报价</w:t>
            </w:r>
          </w:p>
        </w:tc>
        <w:tc>
          <w:tcPr>
            <w:tcW w:w="5577" w:type="dxa"/>
            <w:noWrap w:val="0"/>
            <w:vAlign w:val="center"/>
          </w:tcPr>
          <w:p>
            <w:pPr>
              <w:pStyle w:val="26"/>
              <w:snapToGrid w:val="0"/>
              <w:spacing w:line="240" w:lineRule="exact"/>
              <w:rPr>
                <w:rFonts w:hint="eastAsia" w:ascii="宋体" w:hAnsi="宋体" w:cs="Courier New"/>
                <w:color w:val="auto"/>
                <w:sz w:val="21"/>
                <w:szCs w:val="21"/>
                <w:highlight w:val="none"/>
              </w:rPr>
            </w:pPr>
            <w:r>
              <w:rPr>
                <w:rFonts w:hint="eastAsia" w:ascii="宋体" w:hAnsi="宋体" w:cs="Courier New"/>
                <w:b/>
                <w:color w:val="auto"/>
                <w:sz w:val="21"/>
                <w:szCs w:val="21"/>
                <w:highlight w:val="none"/>
              </w:rPr>
              <w:t>投标报价得分=(评标基准价/</w:t>
            </w:r>
            <w:r>
              <w:rPr>
                <w:rFonts w:hint="eastAsia" w:ascii="宋体" w:hAnsi="宋体" w:cs="Courier New"/>
                <w:b/>
                <w:color w:val="auto"/>
                <w:kern w:val="0"/>
                <w:sz w:val="21"/>
                <w:szCs w:val="21"/>
                <w:highlight w:val="none"/>
              </w:rPr>
              <w:t>修正后</w:t>
            </w:r>
            <w:r>
              <w:rPr>
                <w:rFonts w:hint="eastAsia" w:ascii="宋体" w:hAnsi="宋体" w:cs="Courier New"/>
                <w:b/>
                <w:color w:val="auto"/>
                <w:sz w:val="21"/>
                <w:szCs w:val="21"/>
                <w:highlight w:val="none"/>
              </w:rPr>
              <w:t>投标报价)×</w:t>
            </w:r>
            <w:r>
              <w:rPr>
                <w:rFonts w:hint="eastAsia" w:ascii="宋体" w:hAnsi="宋体" w:cs="Courier New"/>
                <w:b/>
                <w:color w:val="auto"/>
                <w:sz w:val="21"/>
                <w:szCs w:val="21"/>
                <w:highlight w:val="none"/>
                <w:lang w:val="en-US" w:eastAsia="zh-CN"/>
              </w:rPr>
              <w:t>4</w:t>
            </w:r>
            <w:r>
              <w:rPr>
                <w:rFonts w:hint="eastAsia" w:ascii="宋体" w:hAnsi="宋体" w:cs="Courier New"/>
                <w:b/>
                <w:color w:val="auto"/>
                <w:sz w:val="21"/>
                <w:szCs w:val="21"/>
                <w:highlight w:val="none"/>
              </w:rPr>
              <w:t>0%×100</w:t>
            </w:r>
          </w:p>
          <w:p>
            <w:pPr>
              <w:pStyle w:val="26"/>
              <w:snapToGrid w:val="0"/>
              <w:spacing w:line="240" w:lineRule="exact"/>
              <w:rPr>
                <w:rFonts w:hint="eastAsia" w:ascii="宋体" w:hAnsi="宋体" w:cs="Courier New"/>
                <w:color w:val="auto"/>
                <w:sz w:val="21"/>
                <w:szCs w:val="21"/>
                <w:highlight w:val="none"/>
              </w:rPr>
            </w:pPr>
            <w:r>
              <w:rPr>
                <w:rFonts w:hint="eastAsia" w:ascii="宋体" w:hAnsi="宋体" w:cs="Courier New"/>
                <w:color w:val="auto"/>
                <w:sz w:val="21"/>
                <w:szCs w:val="21"/>
                <w:highlight w:val="none"/>
              </w:rPr>
              <w:t>备注：</w:t>
            </w:r>
          </w:p>
          <w:p>
            <w:pPr>
              <w:pStyle w:val="26"/>
              <w:snapToGrid w:val="0"/>
              <w:spacing w:line="240" w:lineRule="exact"/>
              <w:rPr>
                <w:rFonts w:hint="eastAsia" w:ascii="宋体" w:hAnsi="宋体" w:cs="Courier New"/>
                <w:color w:val="auto"/>
                <w:kern w:val="0"/>
                <w:sz w:val="21"/>
                <w:szCs w:val="21"/>
                <w:highlight w:val="none"/>
              </w:rPr>
            </w:pPr>
            <w:r>
              <w:rPr>
                <w:rFonts w:hint="eastAsia" w:ascii="宋体" w:hAnsi="宋体" w:cs="Courier New"/>
                <w:color w:val="auto"/>
                <w:kern w:val="0"/>
                <w:sz w:val="21"/>
                <w:szCs w:val="21"/>
                <w:highlight w:val="none"/>
              </w:rPr>
              <w:t>1.投标</w:t>
            </w:r>
            <w:r>
              <w:rPr>
                <w:rFonts w:hint="eastAsia" w:ascii="宋体" w:hAnsi="宋体" w:cs="Courier New"/>
                <w:color w:val="auto"/>
                <w:kern w:val="0"/>
                <w:sz w:val="21"/>
                <w:szCs w:val="21"/>
                <w:highlight w:val="none"/>
                <w:lang w:eastAsia="zh-CN"/>
              </w:rPr>
              <w:t>报价</w:t>
            </w:r>
            <w:r>
              <w:rPr>
                <w:rFonts w:hint="eastAsia" w:ascii="宋体" w:hAnsi="宋体" w:cs="Courier New"/>
                <w:color w:val="auto"/>
                <w:kern w:val="0"/>
                <w:sz w:val="21"/>
                <w:szCs w:val="21"/>
                <w:highlight w:val="none"/>
              </w:rPr>
              <w:t>评分采用低价优先法计算；</w:t>
            </w:r>
          </w:p>
          <w:p>
            <w:pPr>
              <w:pStyle w:val="26"/>
              <w:snapToGrid w:val="0"/>
              <w:spacing w:line="240" w:lineRule="exact"/>
              <w:rPr>
                <w:rFonts w:hint="eastAsia" w:ascii="宋体" w:hAnsi="宋体" w:cs="Courier New"/>
                <w:color w:val="auto"/>
                <w:kern w:val="0"/>
                <w:sz w:val="21"/>
                <w:szCs w:val="21"/>
                <w:highlight w:val="none"/>
              </w:rPr>
            </w:pPr>
            <w:r>
              <w:rPr>
                <w:rFonts w:hint="eastAsia" w:ascii="宋体" w:hAnsi="宋体" w:cs="Courier New"/>
                <w:color w:val="auto"/>
                <w:kern w:val="0"/>
                <w:sz w:val="21"/>
                <w:szCs w:val="21"/>
                <w:highlight w:val="none"/>
              </w:rPr>
              <w:t>2.评标基准价：满足招标文件要求且经算术修正，依据政府采购政策进行价格扣除后的有效最低报价为评标基准价；</w:t>
            </w:r>
          </w:p>
          <w:p>
            <w:pPr>
              <w:pStyle w:val="26"/>
              <w:snapToGrid w:val="0"/>
              <w:spacing w:line="240" w:lineRule="exact"/>
              <w:rPr>
                <w:rFonts w:hint="eastAsia" w:ascii="宋体" w:hAnsi="宋体" w:cs="Courier New"/>
                <w:color w:val="auto"/>
                <w:kern w:val="0"/>
                <w:sz w:val="21"/>
                <w:szCs w:val="21"/>
                <w:highlight w:val="none"/>
              </w:rPr>
            </w:pPr>
            <w:r>
              <w:rPr>
                <w:rFonts w:hint="eastAsia" w:ascii="宋体" w:hAnsi="宋体" w:cs="Courier New"/>
                <w:color w:val="auto"/>
                <w:kern w:val="0"/>
                <w:sz w:val="21"/>
                <w:szCs w:val="21"/>
                <w:highlight w:val="none"/>
              </w:rPr>
              <w:t>3.修正后投标报价：评标委员会以开标一览表中投标报价为基础，对其进行算术修正，依据政府采购政策进行价格扣除后，作为投标报价计算的依据。</w:t>
            </w:r>
          </w:p>
          <w:p>
            <w:pPr>
              <w:pStyle w:val="26"/>
              <w:snapToGrid w:val="0"/>
              <w:spacing w:line="240" w:lineRule="exact"/>
              <w:rPr>
                <w:rFonts w:hint="default" w:ascii="宋体" w:hAnsi="宋体" w:eastAsia="宋体" w:cs="Courier New"/>
                <w:color w:val="auto"/>
                <w:kern w:val="0"/>
                <w:sz w:val="21"/>
                <w:szCs w:val="21"/>
                <w:highlight w:val="none"/>
                <w:lang w:val="en-US" w:eastAsia="zh-CN"/>
              </w:rPr>
            </w:pPr>
            <w:r>
              <w:rPr>
                <w:rFonts w:hint="eastAsia" w:ascii="宋体" w:hAnsi="宋体" w:cs="Courier New"/>
                <w:color w:val="auto"/>
                <w:kern w:val="0"/>
                <w:sz w:val="21"/>
                <w:szCs w:val="21"/>
                <w:highlight w:val="none"/>
                <w:lang w:val="en-US" w:eastAsia="zh-CN"/>
              </w:rPr>
              <w:t>4.本项目投标报价分值以投标单价为基准计算。</w:t>
            </w:r>
          </w:p>
        </w:tc>
        <w:tc>
          <w:tcPr>
            <w:tcW w:w="876" w:type="dxa"/>
            <w:noWrap w:val="0"/>
            <w:vAlign w:val="center"/>
          </w:tcPr>
          <w:p>
            <w:pPr>
              <w:pStyle w:val="26"/>
              <w:snapToGrid w:val="0"/>
              <w:spacing w:line="240" w:lineRule="exact"/>
              <w:jc w:val="center"/>
              <w:rPr>
                <w:rFonts w:ascii="宋体" w:hAnsi="宋体" w:cs="Courier New"/>
                <w:color w:val="auto"/>
                <w:sz w:val="21"/>
                <w:szCs w:val="21"/>
                <w:highlight w:val="none"/>
              </w:rPr>
            </w:pPr>
            <w:r>
              <w:rPr>
                <w:rFonts w:hint="eastAsia" w:ascii="宋体" w:hAnsi="宋体" w:cs="Courier New"/>
                <w:color w:val="auto"/>
                <w:sz w:val="21"/>
                <w:szCs w:val="21"/>
                <w:highlight w:val="none"/>
                <w:lang w:val="en-US" w:eastAsia="zh-CN"/>
              </w:rPr>
              <w:t>40</w:t>
            </w:r>
            <w:r>
              <w:rPr>
                <w:rFonts w:hint="eastAsia" w:ascii="宋体" w:hAnsi="宋体" w:cs="Courier New"/>
                <w:color w:val="auto"/>
                <w:sz w:val="21"/>
                <w:szCs w:val="21"/>
                <w:highlight w:val="none"/>
              </w:rPr>
              <w:t>分</w:t>
            </w:r>
          </w:p>
        </w:tc>
        <w:tc>
          <w:tcPr>
            <w:tcW w:w="1106" w:type="dxa"/>
            <w:noWrap w:val="0"/>
            <w:vAlign w:val="center"/>
          </w:tcPr>
          <w:p>
            <w:pPr>
              <w:pStyle w:val="26"/>
              <w:snapToGrid w:val="0"/>
              <w:spacing w:line="240" w:lineRule="exact"/>
              <w:jc w:val="center"/>
              <w:rPr>
                <w:rFonts w:ascii="宋体" w:hAnsi="宋体" w:cs="Courier New"/>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867" w:type="dxa"/>
            <w:gridSpan w:val="4"/>
            <w:noWrap w:val="0"/>
            <w:vAlign w:val="center"/>
          </w:tcPr>
          <w:p>
            <w:pPr>
              <w:pStyle w:val="26"/>
              <w:snapToGrid w:val="0"/>
              <w:spacing w:line="240" w:lineRule="exact"/>
              <w:rPr>
                <w:rFonts w:ascii="宋体" w:hAnsi="宋体" w:cs="Courier New"/>
                <w:b/>
                <w:color w:val="auto"/>
                <w:sz w:val="21"/>
                <w:szCs w:val="21"/>
                <w:highlight w:val="none"/>
              </w:rPr>
            </w:pPr>
            <w:r>
              <w:rPr>
                <w:rFonts w:hint="eastAsia" w:ascii="宋体" w:hAnsi="宋体" w:cs="Courier New"/>
                <w:b/>
                <w:color w:val="auto"/>
                <w:sz w:val="21"/>
                <w:szCs w:val="21"/>
                <w:highlight w:val="none"/>
              </w:rPr>
              <w:t>B：</w:t>
            </w:r>
            <w:r>
              <w:rPr>
                <w:rFonts w:hint="eastAsia" w:ascii="宋体" w:hAnsi="宋体" w:cs="Courier New"/>
                <w:b/>
                <w:color w:val="auto"/>
                <w:sz w:val="21"/>
                <w:szCs w:val="21"/>
                <w:highlight w:val="none"/>
                <w:lang w:eastAsia="zh-CN"/>
              </w:rPr>
              <w:t>技术</w:t>
            </w:r>
            <w:r>
              <w:rPr>
                <w:rFonts w:hint="eastAsia" w:ascii="宋体" w:hAnsi="宋体" w:cs="Courier New"/>
                <w:b/>
                <w:color w:val="auto"/>
                <w:sz w:val="21"/>
                <w:szCs w:val="21"/>
                <w:highlight w:val="none"/>
              </w:rPr>
              <w:t>分（</w:t>
            </w:r>
            <w:r>
              <w:rPr>
                <w:rFonts w:hint="eastAsia" w:ascii="宋体" w:hAnsi="宋体" w:cs="Courier New"/>
                <w:b/>
                <w:color w:val="auto"/>
                <w:sz w:val="21"/>
                <w:szCs w:val="21"/>
                <w:highlight w:val="none"/>
                <w:lang w:val="en-US" w:eastAsia="zh-CN"/>
              </w:rPr>
              <w:t>34</w:t>
            </w:r>
            <w:r>
              <w:rPr>
                <w:rFonts w:hint="eastAsia" w:ascii="宋体" w:hAnsi="宋体" w:cs="Courier New"/>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08" w:type="dxa"/>
            <w:vMerge w:val="restart"/>
            <w:noWrap w:val="0"/>
            <w:vAlign w:val="center"/>
          </w:tcPr>
          <w:p>
            <w:pPr>
              <w:spacing w:line="240" w:lineRule="exact"/>
              <w:jc w:val="center"/>
              <w:rPr>
                <w:rFonts w:hint="eastAsia" w:hAnsi="宋体" w:eastAsia="宋体"/>
                <w:color w:val="auto"/>
                <w:highlight w:val="none"/>
              </w:rPr>
            </w:pPr>
            <w:r>
              <w:rPr>
                <w:rFonts w:hint="eastAsia" w:hAnsi="宋体" w:eastAsia="宋体"/>
                <w:color w:val="auto"/>
                <w:highlight w:val="none"/>
                <w:lang w:val="en-US" w:eastAsia="zh-CN"/>
              </w:rPr>
              <w:t>产品质量保证</w:t>
            </w:r>
          </w:p>
        </w:tc>
        <w:tc>
          <w:tcPr>
            <w:tcW w:w="5577" w:type="dxa"/>
            <w:noWrap w:val="0"/>
            <w:vAlign w:val="center"/>
          </w:tcPr>
          <w:p>
            <w:pPr>
              <w:pStyle w:val="26"/>
              <w:numPr>
                <w:ilvl w:val="0"/>
                <w:numId w:val="0"/>
              </w:numPr>
              <w:snapToGrid w:val="0"/>
              <w:spacing w:line="280" w:lineRule="exact"/>
              <w:rPr>
                <w:rFonts w:hint="eastAsia" w:ascii="宋体" w:hAnsi="宋体" w:cs="Courier New"/>
                <w:color w:val="auto"/>
                <w:sz w:val="21"/>
                <w:szCs w:val="21"/>
                <w:highlight w:val="none"/>
                <w:lang w:val="en-US" w:eastAsia="zh-CN"/>
              </w:rPr>
            </w:pPr>
            <w:r>
              <w:rPr>
                <w:rFonts w:hint="eastAsia" w:ascii="宋体" w:hAnsi="宋体" w:eastAsia="宋体" w:cs="Courier New"/>
                <w:color w:val="auto"/>
                <w:kern w:val="2"/>
                <w:sz w:val="21"/>
                <w:szCs w:val="21"/>
                <w:highlight w:val="none"/>
                <w:lang w:val="en-US" w:eastAsia="zh-CN" w:bidi="ar-SA"/>
              </w:rPr>
              <w:t>建立保证学生饮用奶质量安全的管理制度，包括生乳收购、原</w:t>
            </w:r>
            <w:r>
              <w:rPr>
                <w:rFonts w:hint="eastAsia" w:ascii="宋体" w:hAnsi="宋体" w:eastAsia="宋体" w:cs="Courier New"/>
                <w:color w:val="auto"/>
                <w:sz w:val="21"/>
                <w:szCs w:val="21"/>
                <w:highlight w:val="none"/>
                <w:lang w:val="en-US" w:eastAsia="zh-CN"/>
              </w:rPr>
              <w:t>料和包材采购、生产加工、包装、出厂检验、留样、仓储物流、产品追溯、食品质量安全事故应急处理等</w:t>
            </w:r>
            <w:r>
              <w:rPr>
                <w:rFonts w:hint="eastAsia" w:ascii="宋体" w:hAnsi="宋体" w:cs="Courier New"/>
                <w:color w:val="auto"/>
                <w:sz w:val="21"/>
                <w:szCs w:val="21"/>
                <w:highlight w:val="none"/>
                <w:lang w:val="en-US" w:eastAsia="zh-CN"/>
              </w:rPr>
              <w:t>内容。</w:t>
            </w:r>
          </w:p>
          <w:p>
            <w:pPr>
              <w:widowControl/>
              <w:snapToGrid w:val="0"/>
              <w:rPr>
                <w:rFonts w:ascii="宋体" w:hAnsi="宋体" w:cs="宋体"/>
                <w:bCs/>
                <w:szCs w:val="21"/>
              </w:rPr>
            </w:pPr>
            <w:r>
              <w:rPr>
                <w:rFonts w:hint="eastAsia" w:ascii="宋体" w:hAnsi="宋体" w:cs="宋体"/>
                <w:bCs/>
                <w:szCs w:val="21"/>
              </w:rPr>
              <w:t>（1）实施方案全面、详细、完全满足采购需求的计</w:t>
            </w:r>
            <w:r>
              <w:rPr>
                <w:rFonts w:hint="eastAsia" w:ascii="宋体" w:hAnsi="宋体" w:cs="宋体"/>
                <w:bCs/>
                <w:szCs w:val="21"/>
                <w:lang w:val="en-US" w:eastAsia="zh-CN"/>
              </w:rPr>
              <w:t>9</w:t>
            </w:r>
            <w:r>
              <w:rPr>
                <w:rFonts w:hint="eastAsia" w:ascii="宋体" w:hAnsi="宋体" w:cs="宋体"/>
                <w:bCs/>
                <w:szCs w:val="21"/>
              </w:rPr>
              <w:t>分；</w:t>
            </w:r>
          </w:p>
          <w:p>
            <w:pPr>
              <w:widowControl/>
              <w:snapToGrid w:val="0"/>
              <w:rPr>
                <w:rFonts w:ascii="宋体" w:hAnsi="宋体" w:cs="宋体"/>
                <w:bCs/>
                <w:szCs w:val="21"/>
              </w:rPr>
            </w:pPr>
            <w:r>
              <w:rPr>
                <w:rFonts w:hint="eastAsia" w:ascii="宋体" w:hAnsi="宋体" w:cs="宋体"/>
                <w:bCs/>
                <w:szCs w:val="21"/>
              </w:rPr>
              <w:t>（2）满足招标文件要求，但内容存在</w:t>
            </w:r>
            <w:r>
              <w:rPr>
                <w:rFonts w:hint="eastAsia" w:ascii="宋体" w:hAnsi="宋体" w:cs="宋体"/>
                <w:bCs/>
                <w:szCs w:val="21"/>
                <w:highlight w:val="none"/>
              </w:rPr>
              <w:t>1</w:t>
            </w:r>
            <w:r>
              <w:rPr>
                <w:rFonts w:hint="eastAsia" w:ascii="宋体" w:hAnsi="宋体" w:cs="宋体"/>
                <w:bCs/>
                <w:szCs w:val="21"/>
                <w:highlight w:val="none"/>
                <w:lang w:val="en-US" w:eastAsia="zh-CN"/>
              </w:rPr>
              <w:t>-2</w:t>
            </w:r>
            <w:r>
              <w:rPr>
                <w:rFonts w:hint="eastAsia" w:ascii="宋体" w:hAnsi="宋体" w:cs="宋体"/>
                <w:bCs/>
                <w:szCs w:val="21"/>
              </w:rPr>
              <w:t>处</w:t>
            </w:r>
            <w:r>
              <w:rPr>
                <w:rFonts w:hint="eastAsia" w:ascii="宋体" w:hAnsi="宋体" w:cs="宋体"/>
                <w:bCs/>
                <w:szCs w:val="21"/>
                <w:lang w:eastAsia="zh-CN"/>
              </w:rPr>
              <w:t>缺漏项、</w:t>
            </w:r>
            <w:r>
              <w:rPr>
                <w:rFonts w:hint="eastAsia" w:ascii="宋体" w:hAnsi="宋体" w:cs="宋体"/>
                <w:bCs/>
                <w:szCs w:val="21"/>
              </w:rPr>
              <w:t>瑕疵的计</w:t>
            </w:r>
            <w:r>
              <w:rPr>
                <w:rFonts w:hint="eastAsia" w:ascii="宋体" w:hAnsi="宋体" w:cs="宋体"/>
                <w:bCs/>
                <w:szCs w:val="21"/>
                <w:lang w:val="en-US" w:eastAsia="zh-CN"/>
              </w:rPr>
              <w:t>5</w:t>
            </w:r>
            <w:r>
              <w:rPr>
                <w:rFonts w:hint="eastAsia" w:ascii="宋体" w:hAnsi="宋体" w:cs="宋体"/>
                <w:bCs/>
                <w:szCs w:val="21"/>
              </w:rPr>
              <w:t>分；</w:t>
            </w:r>
          </w:p>
          <w:p>
            <w:pPr>
              <w:widowControl/>
              <w:snapToGrid w:val="0"/>
              <w:rPr>
                <w:rFonts w:ascii="宋体" w:hAnsi="宋体" w:cs="宋体"/>
                <w:bCs/>
                <w:szCs w:val="21"/>
              </w:rPr>
            </w:pPr>
            <w:r>
              <w:rPr>
                <w:rFonts w:hint="eastAsia" w:ascii="宋体" w:hAnsi="宋体" w:cs="宋体"/>
                <w:bCs/>
                <w:szCs w:val="21"/>
              </w:rPr>
              <w:t>（3）满足招标文件要求，但内容存在</w:t>
            </w:r>
            <w:r>
              <w:rPr>
                <w:rFonts w:hint="eastAsia" w:ascii="宋体" w:hAnsi="宋体" w:cs="宋体"/>
                <w:bCs/>
                <w:szCs w:val="21"/>
                <w:lang w:val="en-US" w:eastAsia="zh-CN"/>
              </w:rPr>
              <w:t>3-5</w:t>
            </w:r>
            <w:r>
              <w:rPr>
                <w:rFonts w:hint="eastAsia" w:ascii="宋体" w:hAnsi="宋体" w:cs="宋体"/>
                <w:bCs/>
                <w:szCs w:val="21"/>
              </w:rPr>
              <w:t>处</w:t>
            </w:r>
            <w:r>
              <w:rPr>
                <w:rFonts w:hint="eastAsia" w:ascii="宋体" w:hAnsi="宋体" w:cs="宋体"/>
                <w:bCs/>
                <w:szCs w:val="21"/>
                <w:lang w:eastAsia="zh-CN"/>
              </w:rPr>
              <w:t>缺漏项、</w:t>
            </w:r>
            <w:r>
              <w:rPr>
                <w:rFonts w:hint="eastAsia" w:ascii="宋体" w:hAnsi="宋体" w:cs="宋体"/>
                <w:bCs/>
                <w:szCs w:val="21"/>
              </w:rPr>
              <w:t>瑕疵的计</w:t>
            </w:r>
            <w:r>
              <w:rPr>
                <w:rFonts w:hint="eastAsia" w:ascii="宋体" w:hAnsi="宋体" w:cs="宋体"/>
                <w:bCs/>
                <w:szCs w:val="21"/>
                <w:lang w:val="en-US" w:eastAsia="zh-CN"/>
              </w:rPr>
              <w:t>3</w:t>
            </w:r>
            <w:r>
              <w:rPr>
                <w:rFonts w:hint="eastAsia" w:ascii="宋体" w:hAnsi="宋体" w:cs="宋体"/>
                <w:bCs/>
                <w:szCs w:val="21"/>
              </w:rPr>
              <w:t>分；</w:t>
            </w:r>
          </w:p>
          <w:p>
            <w:pPr>
              <w:pStyle w:val="26"/>
              <w:snapToGrid w:val="0"/>
              <w:spacing w:line="280" w:lineRule="exact"/>
              <w:rPr>
                <w:rFonts w:hint="default" w:ascii="宋体" w:hAnsi="宋体" w:cs="Courier New"/>
                <w:color w:val="auto"/>
                <w:sz w:val="21"/>
                <w:szCs w:val="21"/>
                <w:highlight w:val="none"/>
                <w:lang w:val="en-US" w:eastAsia="zh-CN"/>
              </w:rPr>
            </w:pPr>
            <w:r>
              <w:rPr>
                <w:rFonts w:hint="eastAsia" w:ascii="宋体" w:hAnsi="宋体" w:cs="宋体"/>
                <w:bCs/>
                <w:szCs w:val="21"/>
              </w:rPr>
              <w:t>（4）其他计0分。</w:t>
            </w:r>
          </w:p>
        </w:tc>
        <w:tc>
          <w:tcPr>
            <w:tcW w:w="876" w:type="dxa"/>
            <w:noWrap w:val="0"/>
            <w:vAlign w:val="center"/>
          </w:tcPr>
          <w:p>
            <w:pPr>
              <w:pStyle w:val="33"/>
              <w:snapToGrid w:val="0"/>
              <w:spacing w:line="240" w:lineRule="exact"/>
              <w:jc w:val="center"/>
              <w:rPr>
                <w:rFonts w:hint="eastAsia" w:ascii="宋体" w:hAnsi="宋体"/>
                <w:bCs/>
                <w:color w:val="auto"/>
                <w:sz w:val="21"/>
                <w:szCs w:val="21"/>
                <w:highlight w:val="none"/>
                <w:lang w:val="en-US" w:eastAsia="zh-CN"/>
              </w:rPr>
            </w:pPr>
            <w:r>
              <w:rPr>
                <w:rFonts w:hint="eastAsia" w:ascii="宋体" w:hAnsi="宋体" w:cs="Courier New"/>
                <w:b w:val="0"/>
                <w:color w:val="auto"/>
                <w:sz w:val="21"/>
                <w:szCs w:val="21"/>
                <w:highlight w:val="none"/>
                <w:lang w:val="en-US" w:eastAsia="zh-CN"/>
              </w:rPr>
              <w:t>9</w:t>
            </w:r>
            <w:r>
              <w:rPr>
                <w:rFonts w:hint="eastAsia" w:ascii="宋体" w:hAnsi="宋体" w:cs="Courier New"/>
                <w:b w:val="0"/>
                <w:color w:val="auto"/>
                <w:sz w:val="21"/>
                <w:szCs w:val="21"/>
                <w:highlight w:val="none"/>
              </w:rPr>
              <w:t>分</w:t>
            </w:r>
          </w:p>
        </w:tc>
        <w:tc>
          <w:tcPr>
            <w:tcW w:w="1106" w:type="dxa"/>
            <w:noWrap w:val="0"/>
            <w:vAlign w:val="center"/>
          </w:tcPr>
          <w:p>
            <w:pPr>
              <w:pStyle w:val="26"/>
              <w:snapToGrid w:val="0"/>
              <w:spacing w:line="2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08" w:type="dxa"/>
            <w:vMerge w:val="continue"/>
            <w:noWrap w:val="0"/>
            <w:vAlign w:val="center"/>
          </w:tcPr>
          <w:p>
            <w:pPr>
              <w:spacing w:line="240" w:lineRule="exact"/>
              <w:rPr>
                <w:rFonts w:hint="eastAsia" w:hAnsi="宋体" w:eastAsia="宋体"/>
                <w:color w:val="auto"/>
                <w:highlight w:val="none"/>
              </w:rPr>
            </w:pPr>
          </w:p>
        </w:tc>
        <w:tc>
          <w:tcPr>
            <w:tcW w:w="5577" w:type="dxa"/>
            <w:noWrap w:val="0"/>
            <w:vAlign w:val="center"/>
          </w:tcPr>
          <w:p>
            <w:pPr>
              <w:pStyle w:val="26"/>
              <w:numPr>
                <w:ilvl w:val="0"/>
                <w:numId w:val="5"/>
              </w:numPr>
              <w:snapToGrid w:val="0"/>
              <w:spacing w:line="280" w:lineRule="exact"/>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饮用奶质量安全管理和食品卫生安全措施合理，解决应急事故处理方案（如乳糖不耐症群体性急救措施方案）内容符合霍尔果斯实际，可操作性强，突发事件处理方案内容涵盖全面的计7分，</w:t>
            </w:r>
          </w:p>
          <w:p>
            <w:pPr>
              <w:pStyle w:val="26"/>
              <w:numPr>
                <w:ilvl w:val="0"/>
                <w:numId w:val="5"/>
              </w:numPr>
              <w:snapToGrid w:val="0"/>
              <w:spacing w:line="280" w:lineRule="exact"/>
              <w:ind w:left="0" w:leftChars="0" w:firstLine="0" w:firstLineChars="0"/>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饮用奶质量安全管理和食品卫生安全措施基本合理，解决应急事故处理方案（如乳糖不耐症群体性急救措施方案）内容基本符合霍尔果斯实际，操作性不强、应急事故处理方案涉及的内容单一的</w:t>
            </w:r>
            <w:r>
              <w:rPr>
                <w:rFonts w:hint="eastAsia" w:ascii="宋体" w:hAnsi="宋体" w:cs="Courier New"/>
                <w:color w:val="auto"/>
                <w:sz w:val="21"/>
                <w:szCs w:val="21"/>
                <w:highlight w:val="none"/>
                <w:lang w:eastAsia="zh-CN"/>
              </w:rPr>
              <w:t>计</w:t>
            </w:r>
            <w:r>
              <w:rPr>
                <w:rFonts w:hint="eastAsia" w:ascii="宋体" w:hAnsi="宋体" w:cs="Courier New"/>
                <w:color w:val="auto"/>
                <w:sz w:val="21"/>
                <w:szCs w:val="21"/>
                <w:highlight w:val="none"/>
                <w:lang w:val="en-US" w:eastAsia="zh-CN"/>
              </w:rPr>
              <w:t>4分。</w:t>
            </w:r>
          </w:p>
          <w:p>
            <w:pPr>
              <w:pStyle w:val="26"/>
              <w:snapToGrid w:val="0"/>
              <w:spacing w:line="280" w:lineRule="exact"/>
              <w:rPr>
                <w:rFonts w:hint="default" w:ascii="宋体" w:hAnsi="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3.其他计0分。</w:t>
            </w:r>
          </w:p>
        </w:tc>
        <w:tc>
          <w:tcPr>
            <w:tcW w:w="876" w:type="dxa"/>
            <w:noWrap w:val="0"/>
            <w:vAlign w:val="center"/>
          </w:tcPr>
          <w:p>
            <w:pPr>
              <w:pStyle w:val="26"/>
              <w:snapToGrid w:val="0"/>
              <w:spacing w:line="280" w:lineRule="exact"/>
              <w:jc w:val="center"/>
              <w:rPr>
                <w:rFonts w:hint="eastAsia" w:ascii="宋体" w:hAnsi="宋体"/>
                <w:bCs/>
                <w:color w:val="auto"/>
                <w:sz w:val="21"/>
                <w:szCs w:val="21"/>
                <w:highlight w:val="none"/>
                <w:lang w:val="en-US" w:eastAsia="zh-CN"/>
              </w:rPr>
            </w:pPr>
            <w:r>
              <w:rPr>
                <w:rFonts w:hint="eastAsia" w:ascii="宋体" w:hAnsi="宋体" w:cs="Courier New"/>
                <w:color w:val="auto"/>
                <w:sz w:val="21"/>
                <w:szCs w:val="21"/>
                <w:highlight w:val="none"/>
                <w:lang w:val="en-US" w:eastAsia="zh-CN"/>
              </w:rPr>
              <w:t>7分</w:t>
            </w:r>
          </w:p>
        </w:tc>
        <w:tc>
          <w:tcPr>
            <w:tcW w:w="1106" w:type="dxa"/>
            <w:noWrap w:val="0"/>
            <w:vAlign w:val="center"/>
          </w:tcPr>
          <w:p>
            <w:pPr>
              <w:pStyle w:val="26"/>
              <w:snapToGrid w:val="0"/>
              <w:spacing w:line="2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308" w:type="dxa"/>
            <w:vMerge w:val="restart"/>
            <w:noWrap w:val="0"/>
            <w:vAlign w:val="center"/>
          </w:tcPr>
          <w:p>
            <w:pPr>
              <w:spacing w:line="240" w:lineRule="exact"/>
              <w:rPr>
                <w:rFonts w:hint="eastAsia" w:hAnsi="宋体" w:eastAsia="宋体"/>
                <w:color w:val="auto"/>
                <w:highlight w:val="none"/>
              </w:rPr>
            </w:pPr>
            <w:r>
              <w:rPr>
                <w:rFonts w:hint="eastAsia" w:hAnsi="宋体" w:eastAsia="宋体"/>
                <w:color w:val="auto"/>
                <w:highlight w:val="none"/>
                <w:lang w:val="en-US" w:eastAsia="zh-CN"/>
              </w:rPr>
              <w:t>配货</w:t>
            </w:r>
            <w:r>
              <w:rPr>
                <w:rFonts w:hint="eastAsia" w:hAnsi="宋体" w:eastAsia="宋体"/>
                <w:color w:val="auto"/>
                <w:highlight w:val="none"/>
              </w:rPr>
              <w:t>方案（须提供车辆使用服务合同或自有车辆证明材料）</w:t>
            </w:r>
          </w:p>
        </w:tc>
        <w:tc>
          <w:tcPr>
            <w:tcW w:w="5577" w:type="dxa"/>
            <w:noWrap w:val="0"/>
            <w:vAlign w:val="center"/>
          </w:tcPr>
          <w:p>
            <w:pPr>
              <w:spacing w:line="240" w:lineRule="exact"/>
              <w:jc w:val="left"/>
              <w:rPr>
                <w:rFonts w:hint="eastAsia"/>
                <w:color w:val="auto"/>
                <w:highlight w:val="none"/>
              </w:rPr>
            </w:pPr>
            <w:r>
              <w:rPr>
                <w:rFonts w:hint="eastAsia"/>
                <w:color w:val="auto"/>
                <w:highlight w:val="none"/>
              </w:rPr>
              <w:t>配送车辆</w:t>
            </w:r>
            <w:r>
              <w:rPr>
                <w:rFonts w:hint="eastAsia"/>
                <w:color w:val="auto"/>
                <w:highlight w:val="none"/>
                <w:lang w:eastAsia="zh-CN"/>
              </w:rPr>
              <w:t>数量、运输能力，配送人员数量等需满足供货需求，保证货品质量。</w:t>
            </w:r>
          </w:p>
          <w:p>
            <w:pPr>
              <w:spacing w:line="240" w:lineRule="exact"/>
              <w:jc w:val="left"/>
              <w:rPr>
                <w:rFonts w:hint="eastAsia"/>
                <w:color w:val="auto"/>
                <w:highlight w:val="none"/>
              </w:rPr>
            </w:pPr>
            <w:r>
              <w:rPr>
                <w:rFonts w:hint="eastAsia"/>
                <w:color w:val="auto"/>
                <w:highlight w:val="none"/>
              </w:rPr>
              <w:t>1.供应商配送车辆</w:t>
            </w:r>
            <w:r>
              <w:rPr>
                <w:rFonts w:hint="eastAsia"/>
                <w:color w:val="auto"/>
                <w:highlight w:val="none"/>
                <w:lang w:eastAsia="zh-CN"/>
              </w:rPr>
              <w:t>数量、运输能力强，配送人员数量充足，</w:t>
            </w:r>
            <w:r>
              <w:rPr>
                <w:rFonts w:hint="eastAsia"/>
                <w:color w:val="auto"/>
                <w:highlight w:val="none"/>
              </w:rPr>
              <w:t>配送车辆</w:t>
            </w:r>
            <w:r>
              <w:rPr>
                <w:rFonts w:hint="eastAsia"/>
                <w:color w:val="auto"/>
                <w:highlight w:val="none"/>
                <w:lang w:eastAsia="zh-CN"/>
              </w:rPr>
              <w:t>全部</w:t>
            </w:r>
            <w:r>
              <w:rPr>
                <w:rFonts w:hint="eastAsia"/>
                <w:color w:val="auto"/>
                <w:highlight w:val="none"/>
              </w:rPr>
              <w:t>为冷鲜车辆</w:t>
            </w:r>
            <w:r>
              <w:rPr>
                <w:rFonts w:hint="eastAsia"/>
                <w:color w:val="auto"/>
                <w:highlight w:val="none"/>
                <w:lang w:eastAsia="zh-CN"/>
              </w:rPr>
              <w:t>，</w:t>
            </w:r>
            <w:r>
              <w:rPr>
                <w:rFonts w:hint="eastAsia"/>
                <w:color w:val="auto"/>
                <w:highlight w:val="none"/>
              </w:rPr>
              <w:t>配送人员具有健康证的</w:t>
            </w:r>
            <w:r>
              <w:rPr>
                <w:rFonts w:hint="eastAsia"/>
                <w:color w:val="auto"/>
                <w:highlight w:val="none"/>
                <w:lang w:eastAsia="zh-CN"/>
              </w:rPr>
              <w:t>得</w:t>
            </w:r>
            <w:r>
              <w:rPr>
                <w:rFonts w:hint="eastAsia"/>
                <w:color w:val="auto"/>
                <w:highlight w:val="none"/>
                <w:lang w:val="en-US" w:eastAsia="zh-CN"/>
              </w:rPr>
              <w:t>8</w:t>
            </w:r>
            <w:r>
              <w:rPr>
                <w:rFonts w:hint="eastAsia"/>
                <w:color w:val="auto"/>
                <w:highlight w:val="none"/>
              </w:rPr>
              <w:t>分（车辆</w:t>
            </w:r>
            <w:r>
              <w:rPr>
                <w:rFonts w:hint="eastAsia"/>
                <w:color w:val="auto"/>
                <w:highlight w:val="none"/>
                <w:lang w:eastAsia="zh-CN"/>
              </w:rPr>
              <w:t>、人员</w:t>
            </w:r>
            <w:r>
              <w:rPr>
                <w:rFonts w:hint="eastAsia"/>
                <w:color w:val="auto"/>
                <w:highlight w:val="none"/>
              </w:rPr>
              <w:t>相对固定，须提供车辆使用服务合同或自有车辆证明材料</w:t>
            </w:r>
            <w:r>
              <w:rPr>
                <w:rFonts w:hint="eastAsia"/>
                <w:color w:val="auto"/>
                <w:highlight w:val="none"/>
                <w:lang w:eastAsia="zh-CN"/>
              </w:rPr>
              <w:t>、配送人员劳务合同</w:t>
            </w:r>
            <w:r>
              <w:rPr>
                <w:rFonts w:hint="eastAsia"/>
                <w:color w:val="auto"/>
                <w:highlight w:val="none"/>
              </w:rPr>
              <w:t>）。</w:t>
            </w:r>
          </w:p>
          <w:p>
            <w:pPr>
              <w:spacing w:line="240" w:lineRule="exact"/>
              <w:jc w:val="left"/>
              <w:rPr>
                <w:rFonts w:hint="eastAsia"/>
                <w:color w:val="auto"/>
                <w:highlight w:val="none"/>
                <w:lang w:eastAsia="zh-CN"/>
              </w:rPr>
            </w:pPr>
            <w:r>
              <w:rPr>
                <w:rFonts w:hint="eastAsia"/>
                <w:color w:val="auto"/>
                <w:highlight w:val="none"/>
                <w:lang w:val="en-US" w:eastAsia="zh-CN"/>
              </w:rPr>
              <w:t>2.</w:t>
            </w:r>
            <w:r>
              <w:rPr>
                <w:rFonts w:hint="eastAsia"/>
                <w:color w:val="auto"/>
                <w:highlight w:val="none"/>
              </w:rPr>
              <w:t>配送车辆</w:t>
            </w:r>
            <w:r>
              <w:rPr>
                <w:rFonts w:hint="eastAsia"/>
                <w:color w:val="auto"/>
                <w:highlight w:val="none"/>
                <w:lang w:eastAsia="zh-CN"/>
              </w:rPr>
              <w:t>含</w:t>
            </w:r>
            <w:r>
              <w:rPr>
                <w:rFonts w:hint="eastAsia"/>
                <w:color w:val="auto"/>
                <w:highlight w:val="none"/>
              </w:rPr>
              <w:t>货车/面包车等运输车辆</w:t>
            </w:r>
            <w:r>
              <w:rPr>
                <w:rFonts w:hint="eastAsia"/>
                <w:color w:val="auto"/>
                <w:highlight w:val="none"/>
                <w:lang w:eastAsia="zh-CN"/>
              </w:rPr>
              <w:t>，</w:t>
            </w:r>
            <w:r>
              <w:rPr>
                <w:rFonts w:hint="eastAsia"/>
                <w:color w:val="auto"/>
                <w:highlight w:val="none"/>
              </w:rPr>
              <w:t>配送人员具有健康证的</w:t>
            </w:r>
            <w:r>
              <w:rPr>
                <w:rFonts w:hint="eastAsia"/>
                <w:color w:val="auto"/>
                <w:highlight w:val="none"/>
                <w:lang w:eastAsia="zh-CN"/>
              </w:rPr>
              <w:t>得</w:t>
            </w:r>
            <w:r>
              <w:rPr>
                <w:rFonts w:hint="eastAsia"/>
                <w:color w:val="auto"/>
                <w:highlight w:val="none"/>
                <w:lang w:val="en-US" w:eastAsia="zh-CN"/>
              </w:rPr>
              <w:t>5</w:t>
            </w:r>
            <w:r>
              <w:rPr>
                <w:rFonts w:hint="eastAsia"/>
                <w:color w:val="auto"/>
                <w:highlight w:val="none"/>
              </w:rPr>
              <w:t>分（车辆</w:t>
            </w:r>
            <w:r>
              <w:rPr>
                <w:rFonts w:hint="eastAsia"/>
                <w:color w:val="auto"/>
                <w:highlight w:val="none"/>
                <w:lang w:eastAsia="zh-CN"/>
              </w:rPr>
              <w:t>、人员</w:t>
            </w:r>
            <w:r>
              <w:rPr>
                <w:rFonts w:hint="eastAsia"/>
                <w:color w:val="auto"/>
                <w:highlight w:val="none"/>
              </w:rPr>
              <w:t>相对固定，须提供车辆使用服务合同或自有车辆证明材料</w:t>
            </w:r>
            <w:r>
              <w:rPr>
                <w:rFonts w:hint="eastAsia"/>
                <w:color w:val="auto"/>
                <w:highlight w:val="none"/>
                <w:lang w:eastAsia="zh-CN"/>
              </w:rPr>
              <w:t>、配送人员劳务合同</w:t>
            </w:r>
            <w:r>
              <w:rPr>
                <w:rFonts w:hint="eastAsia"/>
                <w:color w:val="auto"/>
                <w:highlight w:val="none"/>
              </w:rPr>
              <w:t>）</w:t>
            </w:r>
            <w:r>
              <w:rPr>
                <w:rFonts w:hint="eastAsia"/>
                <w:color w:val="auto"/>
                <w:highlight w:val="none"/>
                <w:lang w:eastAsia="zh-CN"/>
              </w:rPr>
              <w:t>。</w:t>
            </w:r>
          </w:p>
          <w:p>
            <w:pPr>
              <w:spacing w:line="240" w:lineRule="exact"/>
              <w:jc w:val="left"/>
              <w:rPr>
                <w:rFonts w:hint="default"/>
                <w:color w:val="auto"/>
                <w:highlight w:val="none"/>
                <w:lang w:val="en-US" w:eastAsia="zh-CN"/>
              </w:rPr>
            </w:pPr>
            <w:r>
              <w:rPr>
                <w:rFonts w:hint="eastAsia"/>
                <w:color w:val="auto"/>
                <w:highlight w:val="none"/>
                <w:lang w:val="en-US" w:eastAsia="zh-CN"/>
              </w:rPr>
              <w:t>3.配送车辆含货车/面包车等运输车辆，配送人员无健康证的得3分（车辆、人员相对固定，须提供车辆使用服务合同或自有车辆证明材料、配送人员劳务合同）。</w:t>
            </w:r>
          </w:p>
          <w:p>
            <w:pPr>
              <w:widowControl/>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4.其他计0分</w:t>
            </w:r>
          </w:p>
        </w:tc>
        <w:tc>
          <w:tcPr>
            <w:tcW w:w="876" w:type="dxa"/>
            <w:noWrap w:val="0"/>
            <w:vAlign w:val="center"/>
          </w:tcPr>
          <w:p>
            <w:pPr>
              <w:pStyle w:val="26"/>
              <w:snapToGrid w:val="0"/>
              <w:spacing w:line="280" w:lineRule="exact"/>
              <w:jc w:val="center"/>
              <w:rPr>
                <w:rFonts w:hint="eastAsia" w:ascii="宋体" w:hAnsi="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w:t>
            </w:r>
          </w:p>
        </w:tc>
        <w:tc>
          <w:tcPr>
            <w:tcW w:w="1106" w:type="dxa"/>
            <w:noWrap w:val="0"/>
            <w:vAlign w:val="center"/>
          </w:tcPr>
          <w:p>
            <w:pPr>
              <w:pStyle w:val="26"/>
              <w:snapToGrid w:val="0"/>
              <w:spacing w:line="2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08" w:type="dxa"/>
            <w:vMerge w:val="continue"/>
            <w:noWrap w:val="0"/>
            <w:vAlign w:val="center"/>
          </w:tcPr>
          <w:p>
            <w:pPr>
              <w:pStyle w:val="26"/>
              <w:snapToGrid w:val="0"/>
              <w:spacing w:line="240" w:lineRule="exact"/>
              <w:jc w:val="center"/>
              <w:rPr>
                <w:rFonts w:hint="eastAsia" w:ascii="宋体" w:hAnsi="宋体" w:cs="Courier New"/>
                <w:bCs/>
                <w:color w:val="auto"/>
                <w:sz w:val="21"/>
                <w:szCs w:val="21"/>
                <w:highlight w:val="none"/>
              </w:rPr>
            </w:pPr>
          </w:p>
        </w:tc>
        <w:tc>
          <w:tcPr>
            <w:tcW w:w="5577" w:type="dxa"/>
            <w:noWrap w:val="0"/>
            <w:vAlign w:val="center"/>
          </w:tcPr>
          <w:p>
            <w:pPr>
              <w:spacing w:line="240" w:lineRule="exact"/>
              <w:jc w:val="left"/>
              <w:rPr>
                <w:rFonts w:hint="eastAsia" w:eastAsia="宋体"/>
                <w:color w:val="auto"/>
                <w:highlight w:val="none"/>
                <w:lang w:val="en-US" w:eastAsia="zh-CN"/>
              </w:rPr>
            </w:pPr>
            <w:r>
              <w:rPr>
                <w:rFonts w:hint="eastAsia" w:eastAsia="宋体"/>
                <w:color w:val="auto"/>
                <w:highlight w:val="none"/>
                <w:lang w:val="en-US" w:eastAsia="zh-CN"/>
              </w:rPr>
              <w:t>综合比较，投标人紧急供货能力，有暴雨、暴雪等极端天气应急配送方案：</w:t>
            </w:r>
          </w:p>
          <w:p>
            <w:pPr>
              <w:spacing w:line="240" w:lineRule="exact"/>
              <w:jc w:val="left"/>
              <w:rPr>
                <w:rFonts w:hint="eastAsia" w:eastAsia="宋体"/>
                <w:color w:val="auto"/>
                <w:highlight w:val="none"/>
                <w:lang w:val="en-US" w:eastAsia="zh-CN"/>
              </w:rPr>
            </w:pPr>
            <w:r>
              <w:rPr>
                <w:rFonts w:hint="eastAsia" w:eastAsia="宋体"/>
                <w:color w:val="auto"/>
                <w:highlight w:val="none"/>
                <w:lang w:val="en-US" w:eastAsia="zh-CN"/>
              </w:rPr>
              <w:t>1.紧急需求送达时间：30（不含）分钟以内，实施方案科学合理针对性强的得</w:t>
            </w:r>
            <w:r>
              <w:rPr>
                <w:rFonts w:hint="eastAsia"/>
                <w:color w:val="auto"/>
                <w:highlight w:val="none"/>
                <w:lang w:val="en-US" w:eastAsia="zh-CN"/>
              </w:rPr>
              <w:t>5</w:t>
            </w:r>
            <w:r>
              <w:rPr>
                <w:rFonts w:hint="eastAsia" w:eastAsia="宋体"/>
                <w:color w:val="auto"/>
                <w:highlight w:val="none"/>
                <w:lang w:val="en-US" w:eastAsia="zh-CN"/>
              </w:rPr>
              <w:t>分；</w:t>
            </w:r>
          </w:p>
          <w:p>
            <w:pPr>
              <w:spacing w:line="240" w:lineRule="exact"/>
              <w:jc w:val="left"/>
              <w:rPr>
                <w:rFonts w:hint="eastAsia" w:eastAsia="宋体"/>
                <w:color w:val="auto"/>
                <w:highlight w:val="none"/>
                <w:lang w:val="en-US" w:eastAsia="zh-CN"/>
              </w:rPr>
            </w:pPr>
            <w:r>
              <w:rPr>
                <w:rFonts w:hint="eastAsia" w:eastAsia="宋体"/>
                <w:color w:val="auto"/>
                <w:highlight w:val="none"/>
                <w:lang w:val="en-US" w:eastAsia="zh-CN"/>
              </w:rPr>
              <w:t>2.紧急需求送达时间：</w:t>
            </w:r>
            <w:r>
              <w:rPr>
                <w:rFonts w:hint="eastAsia"/>
                <w:color w:val="auto"/>
                <w:highlight w:val="none"/>
                <w:lang w:val="en-US" w:eastAsia="zh-CN"/>
              </w:rPr>
              <w:t>30</w:t>
            </w:r>
            <w:r>
              <w:rPr>
                <w:rFonts w:hint="eastAsia" w:eastAsia="宋体"/>
                <w:color w:val="auto"/>
                <w:highlight w:val="none"/>
                <w:lang w:val="en-US" w:eastAsia="zh-CN"/>
              </w:rPr>
              <w:t>分钟（含）-</w:t>
            </w:r>
            <w:r>
              <w:rPr>
                <w:rFonts w:hint="eastAsia"/>
                <w:color w:val="auto"/>
                <w:highlight w:val="none"/>
                <w:lang w:val="en-US" w:eastAsia="zh-CN"/>
              </w:rPr>
              <w:t>2</w:t>
            </w:r>
            <w:r>
              <w:rPr>
                <w:rFonts w:hint="eastAsia" w:eastAsia="宋体"/>
                <w:color w:val="auto"/>
                <w:highlight w:val="none"/>
                <w:lang w:val="en-US" w:eastAsia="zh-CN"/>
              </w:rPr>
              <w:t xml:space="preserve">（不含）小时，实施方案较科学合理，有较好针对性的得 </w:t>
            </w:r>
            <w:r>
              <w:rPr>
                <w:rFonts w:hint="eastAsia"/>
                <w:color w:val="auto"/>
                <w:highlight w:val="none"/>
                <w:lang w:val="en-US" w:eastAsia="zh-CN"/>
              </w:rPr>
              <w:t>3</w:t>
            </w:r>
            <w:r>
              <w:rPr>
                <w:rFonts w:hint="eastAsia" w:eastAsia="宋体"/>
                <w:color w:val="auto"/>
                <w:highlight w:val="none"/>
                <w:lang w:val="en-US" w:eastAsia="zh-CN"/>
              </w:rPr>
              <w:t>分；</w:t>
            </w:r>
          </w:p>
          <w:p>
            <w:pPr>
              <w:spacing w:line="240" w:lineRule="exact"/>
              <w:jc w:val="left"/>
              <w:rPr>
                <w:rFonts w:hint="eastAsia" w:ascii="宋体" w:hAnsi="宋体" w:cs="宋体"/>
                <w:bCs/>
                <w:color w:val="auto"/>
                <w:sz w:val="21"/>
                <w:szCs w:val="21"/>
                <w:highlight w:val="none"/>
              </w:rPr>
            </w:pPr>
            <w:r>
              <w:rPr>
                <w:rFonts w:hint="eastAsia" w:eastAsia="宋体"/>
                <w:color w:val="auto"/>
                <w:highlight w:val="none"/>
                <w:lang w:val="en-US" w:eastAsia="zh-CN"/>
              </w:rPr>
              <w:t>3.紧急需求送达时间：</w:t>
            </w:r>
            <w:r>
              <w:rPr>
                <w:rFonts w:hint="eastAsia"/>
                <w:color w:val="auto"/>
                <w:highlight w:val="none"/>
                <w:lang w:val="en-US" w:eastAsia="zh-CN"/>
              </w:rPr>
              <w:t>2</w:t>
            </w:r>
            <w:r>
              <w:rPr>
                <w:rFonts w:hint="eastAsia" w:eastAsia="宋体"/>
                <w:color w:val="auto"/>
                <w:highlight w:val="none"/>
                <w:lang w:val="en-US" w:eastAsia="zh-CN"/>
              </w:rPr>
              <w:t>（含）小时及以上，实施方案不合理、无针对性的得</w:t>
            </w:r>
            <w:r>
              <w:rPr>
                <w:rFonts w:hint="eastAsia"/>
                <w:color w:val="auto"/>
                <w:highlight w:val="none"/>
                <w:lang w:val="en-US" w:eastAsia="zh-CN"/>
              </w:rPr>
              <w:t>0</w:t>
            </w:r>
            <w:r>
              <w:rPr>
                <w:rFonts w:hint="eastAsia" w:eastAsia="宋体"/>
                <w:color w:val="auto"/>
                <w:highlight w:val="none"/>
                <w:lang w:val="en-US" w:eastAsia="zh-CN"/>
              </w:rPr>
              <w:t>分。</w:t>
            </w:r>
          </w:p>
        </w:tc>
        <w:tc>
          <w:tcPr>
            <w:tcW w:w="876" w:type="dxa"/>
            <w:noWrap w:val="0"/>
            <w:vAlign w:val="center"/>
          </w:tcPr>
          <w:p>
            <w:pPr>
              <w:pStyle w:val="26"/>
              <w:snapToGrid w:val="0"/>
              <w:spacing w:line="280" w:lineRule="exact"/>
              <w:jc w:val="center"/>
              <w:rPr>
                <w:rFonts w:hint="eastAsia" w:ascii="宋体" w:hAnsi="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5分</w:t>
            </w:r>
          </w:p>
        </w:tc>
        <w:tc>
          <w:tcPr>
            <w:tcW w:w="1106" w:type="dxa"/>
            <w:noWrap w:val="0"/>
            <w:vAlign w:val="center"/>
          </w:tcPr>
          <w:p>
            <w:pPr>
              <w:pStyle w:val="26"/>
              <w:snapToGrid w:val="0"/>
              <w:spacing w:line="2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08" w:type="dxa"/>
            <w:vMerge w:val="continue"/>
            <w:noWrap w:val="0"/>
            <w:vAlign w:val="center"/>
          </w:tcPr>
          <w:p>
            <w:pPr>
              <w:pStyle w:val="26"/>
              <w:snapToGrid w:val="0"/>
              <w:spacing w:line="240" w:lineRule="exact"/>
              <w:jc w:val="center"/>
              <w:rPr>
                <w:rFonts w:hint="eastAsia" w:ascii="宋体" w:hAnsi="宋体" w:cs="Courier New"/>
                <w:bCs/>
                <w:color w:val="auto"/>
                <w:sz w:val="21"/>
                <w:szCs w:val="21"/>
                <w:highlight w:val="none"/>
              </w:rPr>
            </w:pPr>
          </w:p>
        </w:tc>
        <w:tc>
          <w:tcPr>
            <w:tcW w:w="5577" w:type="dxa"/>
            <w:noWrap w:val="0"/>
            <w:vAlign w:val="center"/>
          </w:tcPr>
          <w:p>
            <w:pPr>
              <w:spacing w:line="240" w:lineRule="exact"/>
              <w:jc w:val="left"/>
              <w:rPr>
                <w:rFonts w:hint="eastAsia"/>
              </w:rPr>
            </w:pPr>
            <w:r>
              <w:rPr>
                <w:rFonts w:hint="eastAsia"/>
                <w:lang w:val="en-US" w:eastAsia="zh-CN"/>
              </w:rPr>
              <w:t>供应商是否</w:t>
            </w:r>
            <w:r>
              <w:rPr>
                <w:rFonts w:hint="eastAsia"/>
              </w:rPr>
              <w:t>具有稳定的</w:t>
            </w:r>
            <w:r>
              <w:rPr>
                <w:rFonts w:hint="eastAsia"/>
                <w:lang w:eastAsia="zh-CN"/>
              </w:rPr>
              <w:t>供货渠道（提供与生产企业的供货协议或代理协议等能够证明的相关资料，协议期限覆盖履约期限）</w:t>
            </w:r>
            <w:r>
              <w:rPr>
                <w:rFonts w:hint="eastAsia"/>
              </w:rPr>
              <w:t>，提供的得</w:t>
            </w:r>
            <w:r>
              <w:rPr>
                <w:rFonts w:hint="eastAsia"/>
                <w:lang w:val="en-US" w:eastAsia="zh-CN"/>
              </w:rPr>
              <w:t>5</w:t>
            </w:r>
            <w:r>
              <w:rPr>
                <w:rFonts w:hint="eastAsia"/>
              </w:rPr>
              <w:t>分</w:t>
            </w:r>
            <w:r>
              <w:rPr>
                <w:rFonts w:hint="eastAsia"/>
                <w:lang w:eastAsia="zh-CN"/>
              </w:rPr>
              <w:t>；</w:t>
            </w:r>
            <w:r>
              <w:rPr>
                <w:rFonts w:hint="eastAsia"/>
                <w:lang w:val="en-US" w:eastAsia="zh-CN"/>
              </w:rPr>
              <w:t>未提供不得分。</w:t>
            </w:r>
          </w:p>
        </w:tc>
        <w:tc>
          <w:tcPr>
            <w:tcW w:w="876" w:type="dxa"/>
            <w:noWrap w:val="0"/>
            <w:vAlign w:val="center"/>
          </w:tcPr>
          <w:p>
            <w:pPr>
              <w:pStyle w:val="26"/>
              <w:snapToGrid w:val="0"/>
              <w:spacing w:line="280" w:lineRule="exact"/>
              <w:jc w:val="center"/>
              <w:rPr>
                <w:rFonts w:hint="eastAsia" w:ascii="宋体" w:hAnsi="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5分</w:t>
            </w:r>
          </w:p>
        </w:tc>
        <w:tc>
          <w:tcPr>
            <w:tcW w:w="1106" w:type="dxa"/>
            <w:noWrap w:val="0"/>
            <w:vAlign w:val="center"/>
          </w:tcPr>
          <w:p>
            <w:pPr>
              <w:pStyle w:val="26"/>
              <w:snapToGrid w:val="0"/>
              <w:spacing w:line="2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67" w:type="dxa"/>
            <w:gridSpan w:val="4"/>
            <w:noWrap w:val="0"/>
            <w:vAlign w:val="center"/>
          </w:tcPr>
          <w:p>
            <w:pPr>
              <w:spacing w:line="240" w:lineRule="exact"/>
              <w:jc w:val="left"/>
              <w:rPr>
                <w:color w:val="auto"/>
                <w:highlight w:val="none"/>
              </w:rPr>
            </w:pPr>
            <w:r>
              <w:rPr>
                <w:rFonts w:hint="eastAsia" w:ascii="宋体" w:hAnsi="宋体" w:cs="Courier New"/>
                <w:b/>
                <w:bCs/>
                <w:color w:val="auto"/>
                <w:szCs w:val="21"/>
                <w:highlight w:val="none"/>
              </w:rPr>
              <w:t>C:</w:t>
            </w:r>
            <w:r>
              <w:rPr>
                <w:rFonts w:hint="eastAsia" w:ascii="宋体" w:hAnsi="宋体" w:cs="Courier New"/>
                <w:b/>
                <w:bCs/>
                <w:color w:val="auto"/>
                <w:szCs w:val="21"/>
                <w:highlight w:val="none"/>
                <w:lang w:eastAsia="zh-CN"/>
              </w:rPr>
              <w:t>商务</w:t>
            </w:r>
            <w:r>
              <w:rPr>
                <w:rFonts w:hint="eastAsia" w:ascii="宋体" w:hAnsi="宋体" w:cs="Courier New"/>
                <w:b/>
                <w:bCs/>
                <w:color w:val="auto"/>
                <w:szCs w:val="21"/>
                <w:highlight w:val="none"/>
              </w:rPr>
              <w:t>分（</w:t>
            </w:r>
            <w:r>
              <w:rPr>
                <w:rFonts w:hint="eastAsia" w:ascii="宋体" w:hAnsi="宋体" w:cs="Courier New"/>
                <w:b/>
                <w:bCs/>
                <w:color w:val="auto"/>
                <w:szCs w:val="21"/>
                <w:highlight w:val="none"/>
                <w:lang w:val="en-US" w:eastAsia="zh-CN"/>
              </w:rPr>
              <w:t>26</w:t>
            </w:r>
            <w:r>
              <w:rPr>
                <w:rFonts w:hint="eastAsia" w:ascii="宋体" w:hAnsi="宋体" w:cs="Courier New"/>
                <w:b/>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08" w:type="dxa"/>
            <w:vMerge w:val="restart"/>
            <w:noWrap w:val="0"/>
            <w:vAlign w:val="center"/>
          </w:tcPr>
          <w:p>
            <w:pPr>
              <w:spacing w:line="240" w:lineRule="exact"/>
              <w:jc w:val="center"/>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产品质量保证</w:t>
            </w:r>
          </w:p>
        </w:tc>
        <w:tc>
          <w:tcPr>
            <w:tcW w:w="5577" w:type="dxa"/>
            <w:noWrap w:val="0"/>
            <w:vAlign w:val="center"/>
          </w:tcPr>
          <w:p>
            <w:pPr>
              <w:pStyle w:val="26"/>
              <w:snapToGrid w:val="0"/>
              <w:spacing w:line="280" w:lineRule="exact"/>
              <w:rPr>
                <w:rFonts w:hint="default"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投标人所投产品生产商通过“国家学生饮用奶”认证，有“国家学生饮用奶”认证证书计</w:t>
            </w:r>
            <w:r>
              <w:rPr>
                <w:rFonts w:hint="eastAsia" w:ascii="宋体" w:hAnsi="宋体" w:cs="Courier New"/>
                <w:color w:val="auto"/>
                <w:kern w:val="2"/>
                <w:sz w:val="21"/>
                <w:szCs w:val="21"/>
                <w:highlight w:val="none"/>
                <w:lang w:val="en-US" w:eastAsia="zh-CN" w:bidi="ar-SA"/>
              </w:rPr>
              <w:t>5</w:t>
            </w:r>
            <w:r>
              <w:rPr>
                <w:rFonts w:hint="eastAsia" w:ascii="宋体" w:hAnsi="宋体" w:eastAsia="宋体" w:cs="Courier New"/>
                <w:color w:val="auto"/>
                <w:kern w:val="2"/>
                <w:sz w:val="21"/>
                <w:szCs w:val="21"/>
                <w:highlight w:val="none"/>
                <w:lang w:val="en-US" w:eastAsia="zh-CN" w:bidi="ar-SA"/>
              </w:rPr>
              <w:t>分，没有的不得分。</w:t>
            </w:r>
          </w:p>
        </w:tc>
        <w:tc>
          <w:tcPr>
            <w:tcW w:w="876" w:type="dxa"/>
            <w:noWrap w:val="0"/>
            <w:vAlign w:val="center"/>
          </w:tcPr>
          <w:p>
            <w:pPr>
              <w:pStyle w:val="26"/>
              <w:snapToGrid w:val="0"/>
              <w:spacing w:line="280" w:lineRule="exact"/>
              <w:jc w:val="center"/>
              <w:rPr>
                <w:rFonts w:ascii="宋体" w:hAnsi="宋体" w:cs="宋体"/>
                <w:bCs/>
                <w:color w:val="auto"/>
                <w:sz w:val="21"/>
                <w:szCs w:val="21"/>
                <w:highlight w:val="none"/>
              </w:rPr>
            </w:pPr>
            <w:r>
              <w:rPr>
                <w:rFonts w:hint="eastAsia" w:ascii="宋体" w:hAnsi="宋体" w:cs="Courier New"/>
                <w:color w:val="auto"/>
                <w:sz w:val="21"/>
                <w:szCs w:val="21"/>
                <w:highlight w:val="none"/>
                <w:lang w:val="en-US" w:eastAsia="zh-CN"/>
              </w:rPr>
              <w:t>5分</w:t>
            </w:r>
          </w:p>
        </w:tc>
        <w:tc>
          <w:tcPr>
            <w:tcW w:w="1106" w:type="dxa"/>
            <w:noWrap w:val="0"/>
            <w:vAlign w:val="center"/>
          </w:tcPr>
          <w:p>
            <w:pPr>
              <w:pStyle w:val="26"/>
              <w:snapToGrid w:val="0"/>
              <w:spacing w:line="2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08" w:type="dxa"/>
            <w:vMerge w:val="continue"/>
            <w:noWrap w:val="0"/>
            <w:vAlign w:val="center"/>
          </w:tcPr>
          <w:p>
            <w:pPr>
              <w:spacing w:line="240" w:lineRule="exact"/>
              <w:jc w:val="center"/>
              <w:rPr>
                <w:rFonts w:hint="eastAsia" w:ascii="宋体" w:hAnsi="宋体"/>
                <w:color w:val="auto"/>
                <w:szCs w:val="21"/>
                <w:highlight w:val="none"/>
                <w:lang w:val="en-US" w:eastAsia="zh-CN"/>
              </w:rPr>
            </w:pPr>
          </w:p>
        </w:tc>
        <w:tc>
          <w:tcPr>
            <w:tcW w:w="5577" w:type="dxa"/>
            <w:noWrap w:val="0"/>
            <w:vAlign w:val="center"/>
          </w:tcPr>
          <w:p>
            <w:pPr>
              <w:pStyle w:val="26"/>
              <w:snapToGrid w:val="0"/>
              <w:spacing w:line="280" w:lineRule="exact"/>
              <w:rPr>
                <w:rFonts w:hint="eastAsia" w:ascii="仿宋" w:hAnsi="仿宋" w:eastAsia="仿宋" w:cs="仿宋"/>
                <w:color w:val="auto"/>
                <w:kern w:val="2"/>
                <w:sz w:val="24"/>
                <w:szCs w:val="24"/>
                <w:highlight w:val="none"/>
                <w:lang w:val="en-US" w:eastAsia="zh-CN" w:bidi="ar-SA"/>
              </w:rPr>
            </w:pPr>
            <w:r>
              <w:rPr>
                <w:rFonts w:hint="eastAsia" w:ascii="宋体" w:hAnsi="宋体" w:eastAsia="宋体" w:cs="Courier New"/>
                <w:color w:val="auto"/>
                <w:sz w:val="21"/>
                <w:szCs w:val="21"/>
                <w:highlight w:val="none"/>
                <w:lang w:val="en-US" w:eastAsia="zh-CN"/>
              </w:rPr>
              <w:t>标书内附</w:t>
            </w:r>
            <w:r>
              <w:rPr>
                <w:rFonts w:hint="eastAsia" w:ascii="宋体" w:hAnsi="宋体" w:eastAsia="宋体" w:cs="Courier New"/>
                <w:color w:val="auto"/>
                <w:sz w:val="21"/>
                <w:szCs w:val="21"/>
                <w:highlight w:val="none"/>
              </w:rPr>
              <w:t>投标企业需提供</w:t>
            </w:r>
            <w:r>
              <w:rPr>
                <w:rFonts w:hint="eastAsia" w:ascii="宋体" w:hAnsi="宋体" w:eastAsia="宋体" w:cs="Courier New"/>
                <w:color w:val="auto"/>
                <w:sz w:val="21"/>
                <w:szCs w:val="21"/>
                <w:highlight w:val="none"/>
                <w:lang w:val="en-US" w:eastAsia="zh-CN"/>
              </w:rPr>
              <w:t>近三个月（7、8、9月）3份</w:t>
            </w:r>
            <w:r>
              <w:rPr>
                <w:rFonts w:hint="eastAsia" w:ascii="宋体" w:hAnsi="宋体" w:eastAsia="宋体" w:cs="Courier New"/>
                <w:color w:val="auto"/>
                <w:sz w:val="21"/>
                <w:szCs w:val="21"/>
                <w:highlight w:val="none"/>
              </w:rPr>
              <w:t>牛奶“质量监督检验报告”复印件</w:t>
            </w:r>
            <w:r>
              <w:rPr>
                <w:rFonts w:hint="eastAsia" w:ascii="宋体" w:hAnsi="宋体" w:eastAsia="宋体" w:cs="Courier New"/>
                <w:color w:val="auto"/>
                <w:sz w:val="21"/>
                <w:szCs w:val="21"/>
                <w:highlight w:val="none"/>
                <w:lang w:eastAsia="zh-CN"/>
              </w:rPr>
              <w:t>，且检测指标满足采购需求要求，每</w:t>
            </w:r>
            <w:r>
              <w:rPr>
                <w:rFonts w:hint="eastAsia" w:ascii="宋体" w:hAnsi="宋体" w:cs="Courier New"/>
                <w:color w:val="auto"/>
                <w:sz w:val="21"/>
                <w:szCs w:val="21"/>
                <w:highlight w:val="none"/>
                <w:lang w:val="en-US" w:eastAsia="zh-CN"/>
              </w:rPr>
              <w:t>提供1个月份质检报告计2分，最高得6分。</w:t>
            </w:r>
          </w:p>
        </w:tc>
        <w:tc>
          <w:tcPr>
            <w:tcW w:w="876" w:type="dxa"/>
            <w:noWrap w:val="0"/>
            <w:vAlign w:val="center"/>
          </w:tcPr>
          <w:p>
            <w:pPr>
              <w:pStyle w:val="26"/>
              <w:snapToGrid w:val="0"/>
              <w:spacing w:line="280" w:lineRule="exact"/>
              <w:jc w:val="center"/>
              <w:rPr>
                <w:rFonts w:hint="default" w:ascii="宋体" w:hAnsi="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6分</w:t>
            </w:r>
          </w:p>
        </w:tc>
        <w:tc>
          <w:tcPr>
            <w:tcW w:w="1106" w:type="dxa"/>
            <w:noWrap w:val="0"/>
            <w:vAlign w:val="center"/>
          </w:tcPr>
          <w:p>
            <w:pPr>
              <w:pStyle w:val="26"/>
              <w:snapToGrid w:val="0"/>
              <w:spacing w:line="2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308" w:type="dxa"/>
            <w:noWrap w:val="0"/>
            <w:vAlign w:val="center"/>
          </w:tcPr>
          <w:p>
            <w:pPr>
              <w:pStyle w:val="26"/>
              <w:snapToGrid w:val="0"/>
              <w:spacing w:line="240" w:lineRule="exact"/>
              <w:jc w:val="center"/>
              <w:rPr>
                <w:rFonts w:hint="eastAsia" w:ascii="宋体" w:hAnsi="宋体" w:eastAsia="宋体" w:cs="Courier New"/>
                <w:color w:val="auto"/>
                <w:sz w:val="21"/>
                <w:szCs w:val="21"/>
                <w:highlight w:val="none"/>
                <w:lang w:eastAsia="zh-CN"/>
              </w:rPr>
            </w:pPr>
            <w:r>
              <w:rPr>
                <w:rFonts w:hint="eastAsia" w:ascii="宋体" w:hAnsi="宋体" w:cs="Courier New"/>
                <w:color w:val="auto"/>
                <w:sz w:val="21"/>
                <w:szCs w:val="21"/>
                <w:highlight w:val="none"/>
              </w:rPr>
              <w:t>食品安全责任保险</w:t>
            </w:r>
            <w:r>
              <w:rPr>
                <w:rFonts w:hint="eastAsia" w:ascii="宋体" w:hAnsi="宋体" w:cs="Courier New"/>
                <w:color w:val="auto"/>
                <w:sz w:val="21"/>
                <w:szCs w:val="21"/>
                <w:highlight w:val="none"/>
                <w:lang w:eastAsia="zh-CN"/>
              </w:rPr>
              <w:t>承诺</w:t>
            </w:r>
          </w:p>
        </w:tc>
        <w:tc>
          <w:tcPr>
            <w:tcW w:w="5577" w:type="dxa"/>
            <w:noWrap w:val="0"/>
            <w:vAlign w:val="center"/>
          </w:tcPr>
          <w:p>
            <w:pPr>
              <w:widowControl/>
              <w:numPr>
                <w:ilvl w:val="0"/>
                <w:numId w:val="0"/>
              </w:numPr>
              <w:spacing w:line="240" w:lineRule="auto"/>
              <w:ind w:left="0" w:leftChars="0" w:firstLine="0" w:firstLineChars="0"/>
              <w:jc w:val="left"/>
              <w:textAlignment w:val="center"/>
              <w:rPr>
                <w:rFonts w:hint="eastAsia" w:eastAsia="宋体"/>
                <w:color w:val="auto"/>
                <w:highlight w:val="none"/>
                <w:lang w:val="en-US" w:eastAsia="zh-CN"/>
              </w:rPr>
            </w:pPr>
            <w:r>
              <w:rPr>
                <w:rFonts w:hint="eastAsia" w:ascii="宋体" w:hAnsi="宋体"/>
                <w:color w:val="000000" w:themeColor="text1"/>
                <w:szCs w:val="21"/>
                <w:lang w:val="en-US" w:eastAsia="zh-CN"/>
                <w14:textFill>
                  <w14:solidFill>
                    <w14:schemeClr w14:val="tx1"/>
                  </w14:solidFill>
                </w14:textFill>
              </w:rPr>
              <w:t>投标人承诺在中标后针对本项目投保食品安全责任保险，保险涵盖范围包含本次招标内容相关的食品批发或零售类保险，</w:t>
            </w:r>
            <w:r>
              <w:rPr>
                <w:rFonts w:hint="eastAsia" w:ascii="宋体" w:hAnsi="宋体"/>
                <w:color w:val="000000" w:themeColor="text1"/>
                <w:szCs w:val="21"/>
                <w:highlight w:val="yellow"/>
                <w:lang w:val="en-US" w:eastAsia="zh-CN"/>
                <w14:textFill>
                  <w14:solidFill>
                    <w14:schemeClr w14:val="tx1"/>
                  </w14:solidFill>
                </w14:textFill>
              </w:rPr>
              <w:t>且保险额度不小于本项目预算金额（320.8万元）</w:t>
            </w:r>
          </w:p>
        </w:tc>
        <w:tc>
          <w:tcPr>
            <w:tcW w:w="876" w:type="dxa"/>
            <w:noWrap w:val="0"/>
            <w:vAlign w:val="center"/>
          </w:tcPr>
          <w:p>
            <w:pPr>
              <w:jc w:val="center"/>
              <w:rPr>
                <w:rFonts w:hint="eastAsia" w:ascii="宋体" w:hAnsi="宋体"/>
                <w:color w:val="auto"/>
                <w:kern w:val="0"/>
                <w:szCs w:val="21"/>
                <w:highlight w:val="none"/>
                <w:lang w:val="en-US" w:eastAsia="zh-CN"/>
              </w:rPr>
            </w:pPr>
            <w:r>
              <w:rPr>
                <w:rFonts w:hint="eastAsia" w:ascii="宋体" w:hAnsi="宋体" w:cs="Courier New"/>
                <w:color w:val="auto"/>
                <w:sz w:val="21"/>
                <w:szCs w:val="21"/>
                <w:highlight w:val="none"/>
                <w:lang w:val="en-US" w:eastAsia="zh-CN"/>
              </w:rPr>
              <w:t>8</w:t>
            </w:r>
            <w:r>
              <w:rPr>
                <w:rFonts w:hint="eastAsia" w:ascii="宋体" w:hAnsi="宋体" w:cs="Courier New"/>
                <w:color w:val="auto"/>
                <w:sz w:val="21"/>
                <w:szCs w:val="21"/>
                <w:highlight w:val="none"/>
              </w:rPr>
              <w:t>分</w:t>
            </w:r>
          </w:p>
        </w:tc>
        <w:tc>
          <w:tcPr>
            <w:tcW w:w="1106" w:type="dxa"/>
            <w:noWrap w:val="0"/>
            <w:vAlign w:val="center"/>
          </w:tcPr>
          <w:p>
            <w:pPr>
              <w:pStyle w:val="26"/>
              <w:snapToGrid w:val="0"/>
              <w:spacing w:line="240" w:lineRule="exact"/>
              <w:jc w:val="center"/>
              <w:rPr>
                <w:rFonts w:ascii="宋体" w:hAnsi="宋体" w:cs="Courier New"/>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308" w:type="dxa"/>
            <w:noWrap w:val="0"/>
            <w:vAlign w:val="center"/>
          </w:tcPr>
          <w:p>
            <w:pPr>
              <w:pStyle w:val="26"/>
              <w:snapToGrid w:val="0"/>
              <w:spacing w:line="240" w:lineRule="exact"/>
              <w:jc w:val="center"/>
              <w:rPr>
                <w:color w:val="auto"/>
                <w:highlight w:val="none"/>
              </w:rPr>
            </w:pPr>
            <w:r>
              <w:rPr>
                <w:rFonts w:hint="eastAsia" w:ascii="宋体" w:hAnsi="宋体" w:cs="Courier New"/>
                <w:color w:val="auto"/>
                <w:sz w:val="21"/>
                <w:szCs w:val="21"/>
                <w:highlight w:val="none"/>
              </w:rPr>
              <w:t>业绩</w:t>
            </w:r>
          </w:p>
        </w:tc>
        <w:tc>
          <w:tcPr>
            <w:tcW w:w="5577" w:type="dxa"/>
            <w:noWrap w:val="0"/>
            <w:vAlign w:val="center"/>
          </w:tcPr>
          <w:p>
            <w:pPr>
              <w:widowControl/>
              <w:numPr>
                <w:ilvl w:val="0"/>
                <w:numId w:val="0"/>
              </w:numPr>
              <w:spacing w:line="240" w:lineRule="auto"/>
              <w:ind w:left="0" w:leftChars="0" w:firstLine="0" w:firstLineChars="0"/>
              <w:jc w:val="left"/>
              <w:textAlignment w:val="center"/>
              <w:rPr>
                <w:rFonts w:hint="eastAsia" w:eastAsia="宋体"/>
                <w:color w:val="auto"/>
                <w:highlight w:val="none"/>
                <w:lang w:val="en-US" w:eastAsia="zh-CN"/>
              </w:rPr>
            </w:pPr>
            <w:r>
              <w:rPr>
                <w:rFonts w:hint="eastAsia" w:eastAsia="宋体"/>
                <w:color w:val="auto"/>
                <w:highlight w:val="none"/>
                <w:lang w:val="zh-CN" w:eastAsia="zh-CN"/>
              </w:rPr>
              <w:t>投标人近</w:t>
            </w:r>
            <w:r>
              <w:rPr>
                <w:rFonts w:hint="eastAsia" w:eastAsia="宋体"/>
                <w:color w:val="auto"/>
                <w:highlight w:val="none"/>
                <w:lang w:val="en-US" w:eastAsia="zh-CN"/>
              </w:rPr>
              <w:t>三</w:t>
            </w:r>
            <w:r>
              <w:rPr>
                <w:rFonts w:hint="eastAsia" w:eastAsia="宋体"/>
                <w:color w:val="auto"/>
                <w:highlight w:val="none"/>
                <w:lang w:val="zh-CN" w:eastAsia="zh-CN"/>
              </w:rPr>
              <w:t>年（</w:t>
            </w:r>
            <w:r>
              <w:rPr>
                <w:rFonts w:hint="eastAsia" w:eastAsia="宋体"/>
                <w:color w:val="auto"/>
                <w:highlight w:val="none"/>
                <w:lang w:val="en-US" w:eastAsia="zh-CN"/>
              </w:rPr>
              <w:t>20</w:t>
            </w:r>
            <w:r>
              <w:rPr>
                <w:rFonts w:hint="eastAsia"/>
                <w:color w:val="auto"/>
                <w:highlight w:val="none"/>
                <w:lang w:val="en-US" w:eastAsia="zh-CN"/>
              </w:rPr>
              <w:t>20</w:t>
            </w:r>
            <w:r>
              <w:rPr>
                <w:rFonts w:hint="eastAsia" w:eastAsia="宋体"/>
                <w:color w:val="auto"/>
                <w:highlight w:val="none"/>
                <w:lang w:val="en-US" w:eastAsia="zh-CN"/>
              </w:rPr>
              <w:t>年1月1日起</w:t>
            </w:r>
            <w:r>
              <w:rPr>
                <w:rFonts w:hint="eastAsia" w:eastAsia="宋体"/>
                <w:color w:val="auto"/>
                <w:highlight w:val="none"/>
                <w:lang w:val="zh-CN" w:eastAsia="zh-CN"/>
              </w:rPr>
              <w:t>）完成类似项目业绩，每提供一个</w:t>
            </w:r>
            <w:r>
              <w:rPr>
                <w:rFonts w:hint="eastAsia" w:eastAsia="宋体"/>
                <w:color w:val="auto"/>
                <w:highlight w:val="none"/>
                <w:lang w:val="en-US" w:eastAsia="zh-CN"/>
              </w:rPr>
              <w:t>类似业绩</w:t>
            </w:r>
            <w:r>
              <w:rPr>
                <w:rFonts w:hint="eastAsia" w:eastAsia="宋体"/>
                <w:color w:val="auto"/>
                <w:highlight w:val="none"/>
                <w:lang w:val="zh-CN" w:eastAsia="zh-CN"/>
              </w:rPr>
              <w:t>得</w:t>
            </w:r>
            <w:r>
              <w:rPr>
                <w:rFonts w:hint="eastAsia" w:eastAsia="宋体"/>
                <w:color w:val="auto"/>
                <w:highlight w:val="none"/>
                <w:lang w:val="en-US" w:eastAsia="zh-CN"/>
              </w:rPr>
              <w:t>1</w:t>
            </w:r>
            <w:r>
              <w:rPr>
                <w:rFonts w:hint="eastAsia" w:eastAsia="宋体"/>
                <w:color w:val="auto"/>
                <w:highlight w:val="none"/>
                <w:lang w:val="zh-CN" w:eastAsia="zh-CN"/>
              </w:rPr>
              <w:t>分</w:t>
            </w:r>
            <w:r>
              <w:rPr>
                <w:rFonts w:hint="eastAsia" w:eastAsia="宋体"/>
                <w:color w:val="auto"/>
                <w:highlight w:val="none"/>
                <w:lang w:val="en-US" w:eastAsia="zh-CN"/>
              </w:rPr>
              <w:t>，最高得</w:t>
            </w:r>
            <w:r>
              <w:rPr>
                <w:rFonts w:hint="eastAsia"/>
                <w:color w:val="auto"/>
                <w:highlight w:val="none"/>
                <w:lang w:val="en-US" w:eastAsia="zh-CN"/>
              </w:rPr>
              <w:t>4</w:t>
            </w:r>
            <w:r>
              <w:rPr>
                <w:rFonts w:hint="eastAsia" w:eastAsia="宋体"/>
                <w:color w:val="auto"/>
                <w:highlight w:val="none"/>
                <w:lang w:val="en-US" w:eastAsia="zh-CN"/>
              </w:rPr>
              <w:t>分。</w:t>
            </w:r>
          </w:p>
          <w:p>
            <w:pPr>
              <w:widowControl/>
              <w:numPr>
                <w:ilvl w:val="0"/>
                <w:numId w:val="0"/>
              </w:numPr>
              <w:spacing w:line="240" w:lineRule="auto"/>
              <w:ind w:left="0" w:leftChars="0" w:firstLine="0" w:firstLineChars="0"/>
              <w:jc w:val="left"/>
              <w:textAlignment w:val="center"/>
              <w:rPr>
                <w:rFonts w:hint="eastAsia" w:eastAsia="宋体"/>
                <w:color w:val="auto"/>
                <w:highlight w:val="none"/>
                <w:lang w:val="en-US" w:eastAsia="zh-CN"/>
              </w:rPr>
            </w:pPr>
            <w:r>
              <w:rPr>
                <w:rFonts w:hint="eastAsia" w:eastAsia="宋体"/>
                <w:color w:val="auto"/>
                <w:highlight w:val="none"/>
                <w:lang w:val="en-US" w:eastAsia="zh-CN"/>
              </w:rPr>
              <w:t>注:标书内提供中标通知书或</w:t>
            </w:r>
            <w:r>
              <w:rPr>
                <w:rFonts w:hint="eastAsia" w:eastAsia="宋体"/>
                <w:color w:val="auto"/>
                <w:highlight w:val="none"/>
                <w:lang w:val="zh-CN" w:eastAsia="zh-CN"/>
              </w:rPr>
              <w:t>合同文本复印件</w:t>
            </w:r>
            <w:r>
              <w:rPr>
                <w:rFonts w:hint="eastAsia" w:eastAsia="宋体"/>
                <w:color w:val="auto"/>
                <w:highlight w:val="none"/>
                <w:lang w:val="en-US" w:eastAsia="zh-CN"/>
              </w:rPr>
              <w:t>。</w:t>
            </w:r>
          </w:p>
        </w:tc>
        <w:tc>
          <w:tcPr>
            <w:tcW w:w="876" w:type="dxa"/>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分</w:t>
            </w:r>
          </w:p>
        </w:tc>
        <w:tc>
          <w:tcPr>
            <w:tcW w:w="1106" w:type="dxa"/>
            <w:noWrap w:val="0"/>
            <w:vAlign w:val="center"/>
          </w:tcPr>
          <w:p>
            <w:pPr>
              <w:pStyle w:val="26"/>
              <w:snapToGrid w:val="0"/>
              <w:spacing w:line="240" w:lineRule="exact"/>
              <w:jc w:val="center"/>
              <w:rPr>
                <w:rFonts w:ascii="宋体" w:hAnsi="宋体" w:cs="Courier New"/>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08" w:type="dxa"/>
            <w:noWrap w:val="0"/>
            <w:vAlign w:val="center"/>
          </w:tcPr>
          <w:p>
            <w:pPr>
              <w:pStyle w:val="26"/>
              <w:snapToGrid w:val="0"/>
              <w:spacing w:line="240" w:lineRule="exact"/>
              <w:jc w:val="center"/>
              <w:rPr>
                <w:rFonts w:ascii="宋体" w:hAnsi="宋体" w:cs="宋体"/>
                <w:bCs/>
                <w:color w:val="auto"/>
                <w:sz w:val="21"/>
                <w:szCs w:val="21"/>
                <w:highlight w:val="none"/>
              </w:rPr>
            </w:pPr>
            <w:r>
              <w:rPr>
                <w:rFonts w:hint="eastAsia" w:ascii="宋体" w:hAnsi="宋体" w:cs="Courier New"/>
                <w:bCs/>
                <w:color w:val="auto"/>
                <w:sz w:val="21"/>
                <w:szCs w:val="21"/>
                <w:highlight w:val="none"/>
              </w:rPr>
              <w:t>标函质量</w:t>
            </w:r>
          </w:p>
        </w:tc>
        <w:tc>
          <w:tcPr>
            <w:tcW w:w="5577" w:type="dxa"/>
            <w:noWrap w:val="0"/>
            <w:vAlign w:val="center"/>
          </w:tcPr>
          <w:p>
            <w:pPr>
              <w:pStyle w:val="26"/>
              <w:snapToGrid w:val="0"/>
              <w:spacing w:line="240" w:lineRule="exact"/>
              <w:rPr>
                <w:rFonts w:ascii="宋体" w:hAnsi="宋体"/>
                <w:bCs/>
                <w:color w:val="auto"/>
                <w:sz w:val="21"/>
                <w:szCs w:val="21"/>
                <w:highlight w:val="none"/>
              </w:rPr>
            </w:pPr>
            <w:r>
              <w:rPr>
                <w:rFonts w:hint="eastAsia" w:ascii="宋体" w:hAnsi="宋体"/>
                <w:bCs/>
                <w:color w:val="auto"/>
                <w:sz w:val="21"/>
                <w:szCs w:val="21"/>
                <w:highlight w:val="none"/>
              </w:rPr>
              <w:t>商务技术响应电子文件内扫描件内容清晰可辨、特定信息关联至评分项、编制目录等</w:t>
            </w:r>
          </w:p>
          <w:p>
            <w:pPr>
              <w:pStyle w:val="26"/>
              <w:snapToGrid w:val="0"/>
              <w:spacing w:line="240" w:lineRule="exact"/>
              <w:rPr>
                <w:rFonts w:ascii="宋体" w:hAnsi="宋体"/>
                <w:bCs/>
                <w:color w:val="auto"/>
                <w:sz w:val="21"/>
                <w:szCs w:val="21"/>
                <w:highlight w:val="none"/>
              </w:rPr>
            </w:pPr>
            <w:r>
              <w:rPr>
                <w:rFonts w:hint="eastAsia" w:ascii="宋体" w:hAnsi="宋体"/>
                <w:bCs/>
                <w:color w:val="auto"/>
                <w:sz w:val="21"/>
                <w:szCs w:val="21"/>
                <w:highlight w:val="none"/>
              </w:rPr>
              <w:t>（1）商务技术响应文件目录引索性强、文件均准确关联至特定信息的计</w:t>
            </w: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分；</w:t>
            </w:r>
          </w:p>
          <w:p>
            <w:pPr>
              <w:pStyle w:val="26"/>
              <w:snapToGrid w:val="0"/>
              <w:spacing w:line="240" w:lineRule="exact"/>
              <w:jc w:val="left"/>
              <w:rPr>
                <w:rFonts w:ascii="宋体" w:hAnsi="宋体"/>
                <w:bCs/>
                <w:color w:val="auto"/>
                <w:sz w:val="21"/>
                <w:szCs w:val="21"/>
                <w:highlight w:val="none"/>
              </w:rPr>
            </w:pPr>
            <w:r>
              <w:rPr>
                <w:rFonts w:hint="eastAsia" w:ascii="宋体" w:hAnsi="宋体"/>
                <w:bCs/>
                <w:color w:val="auto"/>
                <w:sz w:val="21"/>
                <w:szCs w:val="21"/>
                <w:highlight w:val="none"/>
              </w:rPr>
              <w:t>（2）</w:t>
            </w:r>
            <w:r>
              <w:rPr>
                <w:rFonts w:hint="eastAsia" w:ascii="宋体" w:hAnsi="宋体" w:cs="宋体"/>
                <w:bCs/>
                <w:color w:val="auto"/>
                <w:sz w:val="21"/>
                <w:szCs w:val="21"/>
                <w:highlight w:val="none"/>
              </w:rPr>
              <w:t>满足要求，但内容存在1处瑕疵的计</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分；</w:t>
            </w:r>
          </w:p>
          <w:p>
            <w:pPr>
              <w:pStyle w:val="26"/>
              <w:snapToGrid w:val="0"/>
              <w:spacing w:line="24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（3）其他计0分。</w:t>
            </w:r>
          </w:p>
        </w:tc>
        <w:tc>
          <w:tcPr>
            <w:tcW w:w="876" w:type="dxa"/>
            <w:noWrap w:val="0"/>
            <w:vAlign w:val="center"/>
          </w:tcPr>
          <w:p>
            <w:pPr>
              <w:pStyle w:val="26"/>
              <w:snapToGrid w:val="0"/>
              <w:spacing w:line="240" w:lineRule="exact"/>
              <w:jc w:val="center"/>
              <w:rPr>
                <w:rFonts w:ascii="宋体" w:hAnsi="宋体" w:cs="宋体"/>
                <w:bCs/>
                <w:caps/>
                <w:color w:val="auto"/>
                <w:sz w:val="21"/>
                <w:szCs w:val="21"/>
                <w:highlight w:val="none"/>
              </w:rPr>
            </w:pP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分</w:t>
            </w:r>
          </w:p>
        </w:tc>
        <w:tc>
          <w:tcPr>
            <w:tcW w:w="1106" w:type="dxa"/>
            <w:noWrap w:val="0"/>
            <w:vAlign w:val="center"/>
          </w:tcPr>
          <w:p>
            <w:pPr>
              <w:pStyle w:val="26"/>
              <w:snapToGrid w:val="0"/>
              <w:spacing w:line="240" w:lineRule="exact"/>
              <w:jc w:val="center"/>
              <w:rPr>
                <w:color w:val="auto"/>
                <w:highlight w:val="none"/>
              </w:rPr>
            </w:pPr>
          </w:p>
        </w:tc>
      </w:tr>
    </w:tbl>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
          <w:bCs/>
          <w:kern w:val="2"/>
          <w:sz w:val="21"/>
          <w:szCs w:val="21"/>
          <w:u w:val="single"/>
        </w:rPr>
      </w:pPr>
      <w:r>
        <w:rPr>
          <w:rFonts w:hint="eastAsia" w:ascii="宋体" w:hAnsi="宋体" w:cs="宋体"/>
          <w:kern w:val="2"/>
          <w:sz w:val="21"/>
          <w:szCs w:val="21"/>
          <w:lang w:val="en-US" w:eastAsia="zh-CN" w:bidi="ar"/>
        </w:rPr>
        <w:t>说明：1.</w:t>
      </w:r>
      <w:r>
        <w:rPr>
          <w:rFonts w:hint="eastAsia" w:ascii="宋体" w:hAnsi="宋体" w:cs="宋体"/>
          <w:b/>
          <w:bCs/>
          <w:kern w:val="2"/>
          <w:sz w:val="21"/>
          <w:szCs w:val="21"/>
          <w:u w:val="single"/>
          <w:lang w:val="en-US" w:eastAsia="zh-CN" w:bidi="ar"/>
        </w:rPr>
        <w:t>采购</w:t>
      </w:r>
      <w:r>
        <w:rPr>
          <w:rFonts w:hint="eastAsia" w:ascii="宋体" w:hAnsi="宋体" w:eastAsia="宋体" w:cs="宋体"/>
          <w:b/>
          <w:bCs/>
          <w:kern w:val="2"/>
          <w:sz w:val="21"/>
          <w:szCs w:val="21"/>
          <w:u w:val="single"/>
          <w:lang w:val="en-US" w:eastAsia="zh-CN" w:bidi="ar"/>
        </w:rPr>
        <w:t>文件中加注“★”号且标红条款为实质条款，若有负偏离或不满足则导致投标无效；</w:t>
      </w:r>
    </w:p>
    <w:p>
      <w:pPr>
        <w:widowControl/>
        <w:adjustRightInd w:val="0"/>
        <w:snapToGrid w:val="0"/>
        <w:spacing w:before="156" w:beforeLines="50"/>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5.4评标结果汇总完成后，除下列情形外，任何人不得修改评标结果：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widowControl/>
        <w:adjustRightInd w:val="0"/>
        <w:snapToGrid w:val="0"/>
        <w:spacing w:before="156" w:beforeLines="50"/>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5.5</w:t>
      </w:r>
      <w:r>
        <w:rPr>
          <w:rFonts w:hint="eastAsia" w:ascii="宋体" w:hAnsi="宋体" w:cs="宋体"/>
          <w:color w:val="000000" w:themeColor="text1"/>
          <w:kern w:val="0"/>
          <w:szCs w:val="21"/>
          <w14:textFill>
            <w14:solidFill>
              <w14:schemeClr w14:val="tx1"/>
            </w14:solidFill>
          </w14:textFill>
        </w:rPr>
        <w:t>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ind w:firstLine="4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6.1中标候选人家数：3家。</w:t>
      </w:r>
    </w:p>
    <w:p>
      <w:pPr>
        <w:ind w:firstLine="420" w:firstLineChars="200"/>
        <w:sectPr>
          <w:pgSz w:w="11906" w:h="16838"/>
          <w:pgMar w:top="1474" w:right="1531" w:bottom="1474" w:left="1531" w:header="851" w:footer="992" w:gutter="0"/>
          <w:cols w:space="720" w:num="1"/>
          <w:docGrid w:type="lines" w:linePitch="312" w:charSpace="0"/>
        </w:sectPr>
      </w:pPr>
      <w:r>
        <w:rPr>
          <w:rFonts w:hint="eastAsia" w:ascii="宋体" w:hAnsi="宋体" w:cs="宋体"/>
          <w:color w:val="000000" w:themeColor="text1"/>
          <w:szCs w:val="21"/>
          <w14:textFill>
            <w14:solidFill>
              <w14:schemeClr w14:val="tx1"/>
            </w14:solidFill>
          </w14:textFill>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1"/>
      <w:r>
        <w:rPr>
          <w:rFonts w:hint="eastAsia" w:ascii="宋体" w:hAnsi="宋体"/>
          <w:b/>
          <w:color w:val="000000" w:themeColor="text1"/>
          <w:sz w:val="32"/>
          <w:szCs w:val="32"/>
          <w14:textFill>
            <w14:solidFill>
              <w14:schemeClr w14:val="tx1"/>
            </w14:solidFill>
          </w14:textFill>
        </w:rPr>
        <w:t>、验收书</w:t>
      </w:r>
    </w:p>
    <w:p>
      <w:pPr>
        <w:pStyle w:val="192"/>
        <w:ind w:firstLine="0"/>
        <w:jc w:val="center"/>
        <w:rPr>
          <w:rFonts w:hAnsi="宋体" w:eastAsia="宋体" w:cs="宋体"/>
          <w:b/>
          <w:color w:val="000000" w:themeColor="text1"/>
          <w:szCs w:val="24"/>
          <w14:textFill>
            <w14:solidFill>
              <w14:schemeClr w14:val="tx1"/>
            </w14:solidFill>
          </w14:textFill>
        </w:rPr>
      </w:pPr>
    </w:p>
    <w:p>
      <w:pPr>
        <w:pStyle w:val="192"/>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192"/>
        <w:ind w:firstLine="0"/>
        <w:rPr>
          <w:rFonts w:hAnsi="宋体"/>
          <w:color w:val="000000" w:themeColor="text1"/>
          <w:szCs w:val="24"/>
          <w14:textFill>
            <w14:solidFill>
              <w14:schemeClr w14:val="tx1"/>
            </w14:solidFill>
          </w14:textFill>
        </w:rPr>
      </w:pPr>
    </w:p>
    <w:p>
      <w:pPr>
        <w:pStyle w:val="192"/>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97"/>
        <w:spacing w:before="120" w:line="22" w:lineRule="atLeast"/>
        <w:rPr>
          <w:rFonts w:ascii="宋体" w:hAnsi="宋体" w:eastAsia="宋体"/>
          <w:color w:val="000000" w:themeColor="text1"/>
          <w:szCs w:val="24"/>
          <w14:textFill>
            <w14:solidFill>
              <w14:schemeClr w14:val="tx1"/>
            </w14:solidFill>
          </w14:textFill>
        </w:rPr>
      </w:pPr>
    </w:p>
    <w:p>
      <w:pPr>
        <w:pStyle w:val="97"/>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3" w:name="_Toc3029"/>
      <w:bookmarkStart w:id="34" w:name="_Toc2232"/>
      <w:bookmarkStart w:id="35" w:name="_Toc2405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33"/>
      <w:bookmarkEnd w:id="34"/>
      <w:bookmarkEnd w:id="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1295"/>
      <w:bookmarkStart w:id="37" w:name="_Toc24300"/>
      <w:bookmarkStart w:id="38" w:name="_Toc27126"/>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36"/>
      <w:bookmarkEnd w:id="37"/>
      <w:bookmarkEnd w:id="38"/>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9" w:name="_Toc21631"/>
      <w:bookmarkStart w:id="40" w:name="_Toc21551"/>
      <w:bookmarkStart w:id="41" w:name="_Toc23292"/>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39"/>
      <w:bookmarkEnd w:id="40"/>
      <w:bookmarkEnd w:id="4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9" w:hRule="atLeast"/>
          <w:jc w:val="center"/>
        </w:trPr>
        <w:tc>
          <w:tcPr>
            <w:tcW w:w="1201"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136"/>
        <w:spacing w:line="560" w:lineRule="exact"/>
        <w:ind w:firstLine="200"/>
        <w:jc w:val="center"/>
        <w:rPr>
          <w:rFonts w:hAnsi="宋体"/>
          <w:color w:val="000000" w:themeColor="text1"/>
          <w:kern w:val="2"/>
          <w:sz w:val="21"/>
          <w:szCs w:val="21"/>
          <w14:textFill>
            <w14:solidFill>
              <w14:schemeClr w14:val="tx1"/>
            </w14:solidFill>
          </w14:textFill>
        </w:rPr>
        <w:sectPr>
          <w:headerReference r:id="rId12" w:type="first"/>
          <w:footerReference r:id="rId14" w:type="first"/>
          <w:headerReference r:id="rId11" w:type="default"/>
          <w:footerReference r:id="rId13" w:type="default"/>
          <w:pgSz w:w="11906" w:h="16838"/>
          <w:pgMar w:top="1134" w:right="1134" w:bottom="1134" w:left="1418" w:header="851" w:footer="992" w:gutter="0"/>
          <w:cols w:space="720" w:num="1"/>
          <w:titlePg/>
          <w:docGrid w:type="lines" w:linePitch="333" w:charSpace="0"/>
        </w:sectPr>
      </w:pP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9" w:hRule="atLeast"/>
          <w:jc w:val="center"/>
        </w:trPr>
        <w:tc>
          <w:tcPr>
            <w:tcW w:w="4603" w:type="dxa"/>
            <w:gridSpan w:val="2"/>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2" w:name="_Toc22618"/>
      <w:bookmarkStart w:id="43" w:name="_Toc10340"/>
      <w:bookmarkStart w:id="44" w:name="_Toc1814"/>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2"/>
      <w:bookmarkEnd w:id="43"/>
      <w:bookmarkEnd w:id="4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5" w:name="_Toc32071"/>
      <w:bookmarkStart w:id="46" w:name="_Toc2846"/>
      <w:bookmarkStart w:id="47" w:name="_Toc19304"/>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45"/>
      <w:bookmarkEnd w:id="46"/>
      <w:bookmarkEnd w:id="47"/>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8" w:name="_Toc19554"/>
      <w:bookmarkStart w:id="49" w:name="_Toc27250"/>
      <w:bookmarkStart w:id="50" w:name="_Toc21423"/>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1" w:name="_Toc16021"/>
      <w:bookmarkStart w:id="52" w:name="_Toc15583"/>
      <w:bookmarkStart w:id="53" w:name="_Toc28375"/>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1"/>
      <w:bookmarkEnd w:id="52"/>
      <w:bookmarkEnd w:id="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15322"/>
      <w:bookmarkStart w:id="55" w:name="_Toc11173"/>
      <w:bookmarkStart w:id="56" w:name="_Toc7245"/>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54"/>
      <w:bookmarkEnd w:id="55"/>
      <w:bookmarkEnd w:id="56"/>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57"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192"/>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5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Ref467379101"/>
      <w:bookmarkStart w:id="59" w:name="_Ref467379225"/>
      <w:bookmarkStart w:id="60" w:name="_Ref467378404"/>
      <w:bookmarkStart w:id="61" w:name="_Toc259093669"/>
      <w:bookmarkStart w:id="62" w:name="_Toc279701240"/>
      <w:bookmarkStart w:id="63" w:name="_Toc16917"/>
      <w:bookmarkStart w:id="64" w:name="_Ref467379205"/>
      <w:bookmarkStart w:id="65" w:name="_Ref467378463"/>
      <w:bookmarkStart w:id="66" w:name="_Ref467379094"/>
      <w:bookmarkStart w:id="67" w:name="_Ref467378499"/>
      <w:bookmarkStart w:id="68" w:name="_Toc19614"/>
      <w:bookmarkStart w:id="69" w:name="_Ref467379109"/>
      <w:bookmarkStart w:id="70" w:name="_Ref467379214"/>
      <w:bookmarkStart w:id="71" w:name="_Toc28763"/>
      <w:bookmarkStart w:id="72" w:name="_Ref467379195"/>
      <w:bookmarkStart w:id="73" w:name="_Toc487900349"/>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74"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74"/>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75"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75"/>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76"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76"/>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7" w:name="_Toc32504"/>
      <w:bookmarkStart w:id="78" w:name="_Toc279701241"/>
      <w:bookmarkStart w:id="79" w:name="_Toc13336"/>
      <w:bookmarkStart w:id="80" w:name="_Toc487900350"/>
      <w:bookmarkStart w:id="81" w:name="_Toc27635"/>
      <w:bookmarkStart w:id="82" w:name="_Toc259093670"/>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77"/>
      <w:bookmarkEnd w:id="78"/>
      <w:bookmarkEnd w:id="79"/>
      <w:bookmarkEnd w:id="80"/>
      <w:bookmarkEnd w:id="81"/>
      <w:bookmarkEnd w:id="8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3" w:name="_Toc487900351"/>
      <w:bookmarkStart w:id="84" w:name="_Toc259093671"/>
      <w:bookmarkStart w:id="85" w:name="_Toc31634"/>
      <w:bookmarkStart w:id="86" w:name="_Toc279701242"/>
      <w:bookmarkStart w:id="87" w:name="_Toc27853"/>
      <w:bookmarkStart w:id="88" w:name="_Toc9829"/>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83"/>
      <w:bookmarkEnd w:id="84"/>
      <w:bookmarkEnd w:id="85"/>
      <w:bookmarkEnd w:id="86"/>
      <w:bookmarkEnd w:id="87"/>
      <w:bookmarkEnd w:id="8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4194"/>
      <w:bookmarkStart w:id="90" w:name="_Toc11932"/>
      <w:bookmarkStart w:id="91" w:name="_Toc29149"/>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279701245"/>
      <w:bookmarkStart w:id="93" w:name="_Toc259093674"/>
      <w:bookmarkStart w:id="94" w:name="_Toc487900354"/>
      <w:bookmarkStart w:id="95" w:name="_Ref467379536"/>
      <w:bookmarkStart w:id="96" w:name="_Ref467379527"/>
      <w:bookmarkStart w:id="97" w:name="_Ref467378591"/>
      <w:bookmarkStart w:id="98" w:name="_Ref467378541"/>
      <w:bookmarkStart w:id="99" w:name="_Ref467379542"/>
      <w:bookmarkStart w:id="100" w:name="_Toc26182"/>
      <w:bookmarkStart w:id="101" w:name="_Toc30272"/>
      <w:bookmarkStart w:id="102" w:name="_Toc19074"/>
      <w:r>
        <w:rPr>
          <w:rFonts w:ascii="宋体" w:hAnsi="宋体"/>
          <w:b/>
          <w:color w:val="000000" w:themeColor="text1"/>
          <w:szCs w:val="21"/>
          <w14:textFill>
            <w14:solidFill>
              <w14:schemeClr w14:val="tx1"/>
            </w14:solidFill>
          </w14:textFill>
        </w:rPr>
        <w:t>2.</w:t>
      </w:r>
      <w:bookmarkEnd w:id="92"/>
      <w:bookmarkEnd w:id="93"/>
      <w:bookmarkEnd w:id="94"/>
      <w:bookmarkEnd w:id="95"/>
      <w:bookmarkEnd w:id="96"/>
      <w:bookmarkEnd w:id="97"/>
      <w:bookmarkEnd w:id="98"/>
      <w:bookmarkEnd w:id="99"/>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0"/>
      <w:bookmarkEnd w:id="101"/>
      <w:bookmarkEnd w:id="102"/>
    </w:p>
    <w:p>
      <w:pPr>
        <w:spacing w:line="560" w:lineRule="exact"/>
        <w:ind w:firstLine="420" w:firstLineChars="200"/>
        <w:rPr>
          <w:rFonts w:ascii="宋体" w:hAnsi="宋体"/>
          <w:color w:val="000000" w:themeColor="text1"/>
          <w:szCs w:val="21"/>
          <w14:textFill>
            <w14:solidFill>
              <w14:schemeClr w14:val="tx1"/>
            </w14:solidFill>
          </w14:textFill>
        </w:rPr>
      </w:pPr>
      <w:bookmarkStart w:id="103" w:name="_Ref467379657"/>
      <w:r>
        <w:rPr>
          <w:rFonts w:ascii="宋体" w:hAnsi="宋体"/>
          <w:color w:val="000000" w:themeColor="text1"/>
          <w:szCs w:val="21"/>
          <w14:textFill>
            <w14:solidFill>
              <w14:schemeClr w14:val="tx1"/>
            </w14:solidFill>
          </w14:textFill>
        </w:rPr>
        <w:t>2.5.1</w:t>
      </w:r>
      <w:bookmarkEnd w:id="103"/>
      <w:bookmarkStart w:id="104" w:name="_Toc186431854"/>
      <w:bookmarkStart w:id="105" w:name="_Ref467379807"/>
      <w:bookmarkStart w:id="106" w:name="_Toc487900357"/>
      <w:bookmarkStart w:id="107" w:name="_Ref467379793"/>
      <w:bookmarkStart w:id="108" w:name="_Toc259093676"/>
      <w:bookmarkStart w:id="109" w:name="_Toc27970124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04"/>
      <w:bookmarkStart w:id="110" w:name="_Toc186431855"/>
      <w:r>
        <w:rPr>
          <w:rFonts w:hint="eastAsia" w:ascii="宋体" w:hAnsi="宋体"/>
          <w:color w:val="000000" w:themeColor="text1"/>
          <w:szCs w:val="21"/>
          <w14:textFill>
            <w14:solidFill>
              <w14:schemeClr w14:val="tx1"/>
            </w14:solidFill>
          </w14:textFill>
        </w:rPr>
        <w:t>。</w:t>
      </w:r>
    </w:p>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1" w:name="_Toc7836"/>
      <w:bookmarkStart w:id="112" w:name="_Toc28451"/>
      <w:bookmarkStart w:id="113" w:name="_Toc19219"/>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05"/>
      <w:bookmarkEnd w:id="106"/>
      <w:bookmarkEnd w:id="107"/>
      <w:bookmarkEnd w:id="108"/>
      <w:bookmarkEnd w:id="109"/>
      <w:bookmarkEnd w:id="111"/>
      <w:bookmarkEnd w:id="112"/>
      <w:bookmarkEnd w:id="1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Ref467379923"/>
      <w:bookmarkStart w:id="115" w:name="_Toc279701248"/>
      <w:bookmarkStart w:id="116" w:name="_Ref467379863"/>
      <w:bookmarkStart w:id="117" w:name="_Toc487900358"/>
      <w:bookmarkStart w:id="118" w:name="_Toc259093677"/>
      <w:bookmarkStart w:id="119" w:name="_Ref467379852"/>
      <w:bookmarkStart w:id="120" w:name="_Toc3225"/>
      <w:bookmarkStart w:id="121" w:name="_Toc774"/>
      <w:bookmarkStart w:id="122" w:name="_Toc16110"/>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14"/>
      <w:bookmarkEnd w:id="115"/>
      <w:bookmarkEnd w:id="116"/>
      <w:bookmarkEnd w:id="117"/>
      <w:bookmarkEnd w:id="118"/>
      <w:bookmarkEnd w:id="119"/>
      <w:r>
        <w:rPr>
          <w:rFonts w:hint="eastAsia" w:ascii="宋体" w:hAnsi="宋体"/>
          <w:b/>
          <w:color w:val="000000" w:themeColor="text1"/>
          <w:szCs w:val="21"/>
          <w14:textFill>
            <w14:solidFill>
              <w14:schemeClr w14:val="tx1"/>
            </w14:solidFill>
          </w14:textFill>
        </w:rPr>
        <w:t>和保密义务</w:t>
      </w:r>
      <w:bookmarkEnd w:id="120"/>
      <w:bookmarkEnd w:id="121"/>
      <w:bookmarkEnd w:id="1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3"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23"/>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4" w:name="_Toc17244"/>
      <w:bookmarkStart w:id="125" w:name="_Toc279701252"/>
      <w:bookmarkStart w:id="126" w:name="_Toc487900362"/>
      <w:bookmarkStart w:id="127" w:name="_Toc259093681"/>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2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8"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25"/>
      <w:bookmarkEnd w:id="126"/>
      <w:bookmarkEnd w:id="127"/>
      <w:bookmarkEnd w:id="12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9" w:name="_Toc7502"/>
      <w:bookmarkStart w:id="130" w:name="_Toc259093683"/>
      <w:bookmarkStart w:id="131" w:name="_Toc487900364"/>
      <w:bookmarkStart w:id="132" w:name="_Toc279701254"/>
      <w:bookmarkStart w:id="133" w:name="_Ref467378121"/>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59093688"/>
      <w:bookmarkStart w:id="136" w:name="_Toc27970125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7" w:name="_Toc15237"/>
      <w:bookmarkStart w:id="138" w:name="_Toc10366"/>
      <w:bookmarkStart w:id="139" w:name="_Toc22955"/>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34"/>
      <w:bookmarkEnd w:id="135"/>
      <w:bookmarkEnd w:id="136"/>
      <w:r>
        <w:rPr>
          <w:rFonts w:hint="eastAsia" w:ascii="宋体" w:hAnsi="宋体"/>
          <w:b/>
          <w:color w:val="000000" w:themeColor="text1"/>
          <w:szCs w:val="21"/>
          <w14:textFill>
            <w14:solidFill>
              <w14:schemeClr w14:val="tx1"/>
            </w14:solidFill>
          </w14:textFill>
        </w:rPr>
        <w:t>和分包</w:t>
      </w:r>
      <w:bookmarkEnd w:id="137"/>
      <w:bookmarkEnd w:id="138"/>
      <w:bookmarkEnd w:id="13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0" w:name="_Toc13566"/>
      <w:bookmarkStart w:id="141" w:name="_Toc14066"/>
      <w:bookmarkStart w:id="142" w:name="_Toc16508"/>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0"/>
      <w:bookmarkEnd w:id="141"/>
      <w:bookmarkEnd w:id="14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3" w:name="_Toc6969"/>
      <w:bookmarkStart w:id="144" w:name="_Toc30676"/>
      <w:bookmarkStart w:id="145" w:name="_Toc487900365"/>
      <w:bookmarkStart w:id="146" w:name="_Toc279701255"/>
      <w:bookmarkStart w:id="147" w:name="_Toc259093684"/>
      <w:bookmarkStart w:id="148" w:name="_Toc689"/>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43"/>
      <w:bookmarkEnd w:id="144"/>
      <w:bookmarkEnd w:id="145"/>
      <w:bookmarkEnd w:id="146"/>
      <w:bookmarkEnd w:id="147"/>
      <w:bookmarkEnd w:id="1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9" w:name="_Toc259093687"/>
      <w:bookmarkStart w:id="150" w:name="_Toc7102"/>
      <w:bookmarkStart w:id="151" w:name="_Toc16959"/>
      <w:bookmarkStart w:id="152" w:name="_Toc279701258"/>
      <w:bookmarkStart w:id="153" w:name="_Toc487900368"/>
      <w:bookmarkStart w:id="154" w:name="_Toc8298"/>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49"/>
      <w:bookmarkEnd w:id="150"/>
      <w:bookmarkEnd w:id="151"/>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6134"/>
      <w:bookmarkStart w:id="156" w:name="_Toc29333"/>
      <w:bookmarkStart w:id="157" w:name="_Toc15387"/>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55"/>
      <w:bookmarkEnd w:id="156"/>
      <w:bookmarkEnd w:id="1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8" w:name="_Toc14563"/>
      <w:bookmarkStart w:id="159" w:name="_Toc1125"/>
      <w:bookmarkStart w:id="160" w:name="_Toc6596"/>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58"/>
      <w:bookmarkEnd w:id="159"/>
      <w:bookmarkEnd w:id="160"/>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30"/>
    <w:bookmarkEnd w:id="131"/>
    <w:bookmarkEnd w:id="132"/>
    <w:bookmarkEnd w:id="133"/>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487900371"/>
      <w:bookmarkStart w:id="162" w:name="_Toc259093690"/>
      <w:bookmarkStart w:id="163" w:name="_Toc279701261"/>
      <w:bookmarkStart w:id="164" w:name="_Toc11284"/>
      <w:bookmarkStart w:id="165" w:name="_Toc25182"/>
      <w:bookmarkStart w:id="166" w:name="_Toc1960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1"/>
      <w:bookmarkEnd w:id="162"/>
      <w:bookmarkEnd w:id="163"/>
      <w:r>
        <w:rPr>
          <w:rFonts w:hint="eastAsia" w:ascii="宋体" w:hAnsi="宋体"/>
          <w:b/>
          <w:color w:val="000000" w:themeColor="text1"/>
          <w:szCs w:val="21"/>
          <w14:textFill>
            <w14:solidFill>
              <w14:schemeClr w14:val="tx1"/>
            </w14:solidFill>
          </w14:textFill>
        </w:rPr>
        <w:t>和送达</w:t>
      </w:r>
      <w:bookmarkEnd w:id="164"/>
      <w:bookmarkEnd w:id="165"/>
      <w:bookmarkEnd w:id="166"/>
    </w:p>
    <w:p>
      <w:pPr>
        <w:spacing w:line="560" w:lineRule="exact"/>
        <w:ind w:firstLine="420" w:firstLineChars="200"/>
        <w:rPr>
          <w:rFonts w:ascii="宋体" w:hAnsi="宋体"/>
          <w:color w:val="000000" w:themeColor="text1"/>
          <w:szCs w:val="21"/>
          <w14:textFill>
            <w14:solidFill>
              <w14:schemeClr w14:val="tx1"/>
            </w14:solidFill>
          </w14:textFill>
        </w:rPr>
      </w:pPr>
      <w:bookmarkStart w:id="167" w:name="_Toc3135"/>
      <w:bookmarkStart w:id="168" w:name="_Toc6698"/>
      <w:bookmarkStart w:id="169" w:name="_Toc487900372"/>
      <w:bookmarkStart w:id="170" w:name="_Toc259093691"/>
      <w:bookmarkStart w:id="171" w:name="_Toc27970126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67"/>
      <w:bookmarkEnd w:id="168"/>
    </w:p>
    <w:p>
      <w:pPr>
        <w:spacing w:line="560" w:lineRule="exact"/>
        <w:ind w:firstLine="420" w:firstLineChars="200"/>
        <w:rPr>
          <w:rFonts w:ascii="宋体" w:hAnsi="宋体"/>
          <w:color w:val="000000" w:themeColor="text1"/>
          <w:szCs w:val="21"/>
          <w14:textFill>
            <w14:solidFill>
              <w14:schemeClr w14:val="tx1"/>
            </w14:solidFill>
          </w14:textFill>
        </w:rPr>
      </w:pPr>
      <w:bookmarkStart w:id="172" w:name="_Toc23128"/>
      <w:bookmarkStart w:id="173"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4" w:name="_Toc18540"/>
      <w:bookmarkStart w:id="175" w:name="_Toc30599"/>
      <w:bookmarkStart w:id="176" w:name="_Toc4355"/>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69"/>
      <w:bookmarkEnd w:id="170"/>
      <w:bookmarkEnd w:id="171"/>
      <w:bookmarkEnd w:id="174"/>
      <w:bookmarkEnd w:id="175"/>
      <w:bookmarkEnd w:id="17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7" w:name="_Toc12773"/>
      <w:bookmarkStart w:id="178" w:name="_Toc10330"/>
      <w:bookmarkStart w:id="179" w:name="_Toc279701263"/>
      <w:bookmarkStart w:id="180" w:name="_Toc18567"/>
      <w:bookmarkStart w:id="181" w:name="_Toc487900373"/>
      <w:bookmarkStart w:id="182" w:name="_Toc259093692"/>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77"/>
      <w:bookmarkEnd w:id="178"/>
      <w:bookmarkEnd w:id="179"/>
      <w:bookmarkEnd w:id="180"/>
      <w:bookmarkEnd w:id="181"/>
      <w:bookmarkEnd w:id="18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3" w:name="_Toc12004"/>
      <w:bookmarkStart w:id="184" w:name="_Toc3148"/>
      <w:bookmarkStart w:id="185" w:name="_Toc16673"/>
      <w:bookmarkStart w:id="186" w:name="_Toc259093693"/>
      <w:bookmarkStart w:id="187" w:name="_Toc279701264"/>
      <w:bookmarkStart w:id="188"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83"/>
      <w:bookmarkEnd w:id="184"/>
      <w:bookmarkEnd w:id="185"/>
      <w:bookmarkEnd w:id="186"/>
      <w:bookmarkEnd w:id="18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9" w:name="_Toc6885"/>
      <w:bookmarkStart w:id="190" w:name="_Toc19890"/>
      <w:bookmarkStart w:id="191" w:name="_Toc14001"/>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89"/>
      <w:bookmarkEnd w:id="190"/>
      <w:bookmarkEnd w:id="1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2" w:name="_Toc474235953"/>
      <w:r>
        <w:rPr>
          <w:rFonts w:hint="eastAsia" w:ascii="宋体" w:hAnsi="宋体"/>
          <w:b/>
          <w:color w:val="000000" w:themeColor="text1"/>
          <w:sz w:val="28"/>
          <w:szCs w:val="28"/>
          <w14:textFill>
            <w14:solidFill>
              <w14:schemeClr w14:val="tx1"/>
            </w14:solidFill>
          </w14:textFill>
        </w:rPr>
        <w:br w:type="page"/>
      </w:r>
    </w:p>
    <w:p>
      <w:pPr>
        <w:pStyle w:val="19"/>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2"/>
    </w:p>
    <w:p>
      <w:pPr>
        <w:pStyle w:val="19"/>
        <w:snapToGrid w:val="0"/>
        <w:ind w:left="105" w:leftChars="50"/>
        <w:rPr>
          <w:rFonts w:ascii="宋体" w:hAnsi="宋体"/>
          <w:b/>
          <w:bCs/>
          <w:color w:val="000000" w:themeColor="text1"/>
          <w:sz w:val="28"/>
          <w:szCs w:val="28"/>
          <w14:textFill>
            <w14:solidFill>
              <w14:schemeClr w14:val="tx1"/>
            </w14:solidFill>
          </w14:textFill>
        </w:rPr>
      </w:pPr>
    </w:p>
    <w:p>
      <w:pPr>
        <w:pStyle w:val="19"/>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4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08"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1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adjustRightInd w:val="0"/>
              <w:snapToGrid w:val="0"/>
              <w:spacing w:line="400" w:lineRule="exact"/>
              <w:jc w:val="center"/>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szCs w:val="21"/>
                <w:lang w:eastAsia="zh-CN"/>
              </w:rPr>
              <w:t>履约期限</w:t>
            </w:r>
          </w:p>
        </w:tc>
        <w:tc>
          <w:tcPr>
            <w:tcW w:w="5220" w:type="dxa"/>
            <w:vAlign w:val="center"/>
          </w:tcPr>
          <w:p>
            <w:pPr>
              <w:adjustRightInd w:val="0"/>
              <w:snapToGrid w:val="0"/>
              <w:spacing w:line="400" w:lineRule="exac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color w:val="FF0000"/>
              </w:rPr>
              <w:t>★</w:t>
            </w:r>
            <w:r>
              <w:rPr>
                <w:rFonts w:hint="eastAsia" w:ascii="宋体" w:hAnsi="宋体" w:cs="宋体"/>
                <w:color w:val="FF0000"/>
                <w:kern w:val="0"/>
                <w:szCs w:val="21"/>
                <w:lang w:eastAsia="zh-CN"/>
              </w:rPr>
              <w:t>签订合同后一年内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pStyle w:val="19"/>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19"/>
              <w:snapToGrid w:val="0"/>
              <w:spacing w:line="380" w:lineRule="exact"/>
              <w:jc w:val="center"/>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质保期</w:t>
            </w:r>
          </w:p>
        </w:tc>
        <w:tc>
          <w:tcPr>
            <w:tcW w:w="5220" w:type="dxa"/>
            <w:vAlign w:val="center"/>
          </w:tcPr>
          <w:p>
            <w:pPr>
              <w:pStyle w:val="19"/>
              <w:snapToGrid w:val="0"/>
              <w:spacing w:line="360" w:lineRule="exact"/>
              <w:rPr>
                <w:rFonts w:ascii="宋体" w:hAnsi="宋体"/>
                <w:color w:val="000000" w:themeColor="text1"/>
                <w:szCs w:val="21"/>
                <w14:textFill>
                  <w14:solidFill>
                    <w14:schemeClr w14:val="tx1"/>
                  </w14:solidFill>
                </w14:textFill>
              </w:rPr>
            </w:pPr>
            <w:r>
              <w:rPr>
                <w:rFonts w:hint="eastAsia"/>
                <w:color w:val="FF0000"/>
              </w:rPr>
              <w:t>★</w:t>
            </w:r>
            <w:r>
              <w:rPr>
                <w:rFonts w:hint="eastAsia"/>
                <w:color w:val="FF0000"/>
                <w:lang w:eastAsia="zh-CN"/>
              </w:rPr>
              <w:t>保质期≥45天，保证所提供的商品每批次均合格</w:t>
            </w:r>
            <w:r>
              <w:rPr>
                <w:rFonts w:hint="eastAsia"/>
                <w:color w:val="FF0000"/>
              </w:rPr>
              <w:t>，牛奶完好率为100%,保证食品卫生安全。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19"/>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19"/>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经采购人或其它有关部门验收合格后按照合同</w:t>
            </w:r>
            <w:r>
              <w:rPr>
                <w:rFonts w:hint="eastAsia" w:ascii="宋体" w:hAnsi="宋体" w:cs="宋体"/>
                <w:color w:val="000000" w:themeColor="text1"/>
                <w:szCs w:val="21"/>
                <w:lang w:eastAsia="zh-CN"/>
                <w14:textFill>
                  <w14:solidFill>
                    <w14:schemeClr w14:val="tx1"/>
                  </w14:solidFill>
                </w14:textFill>
              </w:rPr>
              <w:t>约定支付</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19"/>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1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19"/>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19"/>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19"/>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4"/>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bookmarkEnd w:id="32"/>
    <w:p>
      <w:pPr>
        <w:pStyle w:val="19"/>
        <w:snapToGrid w:val="0"/>
        <w:jc w:val="left"/>
        <w:rPr>
          <w:rFonts w:ascii="宋体" w:hAnsi="宋体"/>
          <w:b/>
          <w:color w:val="000000" w:themeColor="text1"/>
          <w:sz w:val="28"/>
          <w:szCs w:val="28"/>
          <w14:textFill>
            <w14:solidFill>
              <w14:schemeClr w14:val="tx1"/>
            </w14:solidFill>
          </w14:textFill>
        </w:rPr>
      </w:pPr>
      <w:bookmarkStart w:id="193" w:name="_Toc474235954"/>
      <w:bookmarkStart w:id="194" w:name="_Toc420948021"/>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p>
      <w:pPr>
        <w:spacing w:line="720" w:lineRule="auto"/>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46"/>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0"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8"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828" w:type="dxa"/>
            <w:gridSpan w:val="2"/>
            <w:tcBorders>
              <w:bottom w:val="single" w:color="auto" w:sz="4" w:space="0"/>
            </w:tcBorders>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vAlign w:val="center"/>
          </w:tcPr>
          <w:p>
            <w:pPr>
              <w:pStyle w:val="19"/>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19"/>
              <w:snapToGrid w:val="0"/>
              <w:spacing w:line="380" w:lineRule="exact"/>
              <w:jc w:val="center"/>
              <w:rPr>
                <w:rFonts w:ascii="宋体" w:hAnsi="宋体"/>
                <w:color w:val="000000" w:themeColor="text1"/>
                <w:szCs w:val="21"/>
                <w14:textFill>
                  <w14:solidFill>
                    <w14:schemeClr w14:val="tx1"/>
                  </w14:solidFill>
                </w14:textFill>
              </w:rPr>
            </w:pPr>
          </w:p>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19"/>
              <w:snapToGrid w:val="0"/>
              <w:spacing w:line="380" w:lineRule="exact"/>
              <w:jc w:val="center"/>
              <w:rPr>
                <w:rFonts w:ascii="宋体" w:hAnsi="宋体"/>
                <w:color w:val="000000" w:themeColor="text1"/>
                <w:szCs w:val="21"/>
                <w14:textFill>
                  <w14:solidFill>
                    <w14:schemeClr w14:val="tx1"/>
                  </w14:solidFill>
                </w14:textFill>
              </w:rPr>
            </w:pPr>
          </w:p>
          <w:p>
            <w:pPr>
              <w:pStyle w:val="19"/>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ascii="宋体" w:hAnsi="宋体"/>
          <w:color w:val="000000" w:themeColor="text1"/>
          <w:szCs w:val="2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sectPr>
          <w:footerReference r:id="rId17" w:type="first"/>
          <w:headerReference r:id="rId15" w:type="default"/>
          <w:footerReference r:id="rId16" w:type="default"/>
          <w:pgSz w:w="11906" w:h="16838"/>
          <w:pgMar w:top="1134" w:right="1134" w:bottom="1134" w:left="1418" w:header="851" w:footer="992" w:gutter="0"/>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备注：本验收书一式四份，采购单位、中标供应商各一份，并报送采购办、采购中心留档</w:t>
      </w:r>
    </w:p>
    <w:p>
      <w:pPr>
        <w:numPr>
          <w:ilvl w:val="0"/>
          <w:numId w:val="6"/>
        </w:num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w:t>
      </w:r>
    </w:p>
    <w:bookmarkEnd w:id="193"/>
    <w:bookmarkEnd w:id="194"/>
    <w:p>
      <w:pPr>
        <w:keepNext w:val="0"/>
        <w:keepLines w:val="0"/>
        <w:pageBreakBefore w:val="0"/>
        <w:widowControl w:val="0"/>
        <w:kinsoku/>
        <w:overflowPunct/>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bookmarkStart w:id="195" w:name="_Toc474235955"/>
      <w:r>
        <w:rPr>
          <w:rFonts w:ascii="Times New Roman" w:hAnsi="黑体" w:eastAsia="黑体" w:cs="Times New Roman"/>
          <w:sz w:val="32"/>
          <w:szCs w:val="32"/>
        </w:rPr>
        <w:t>一、哺育奶的名称、数量和技术参数及要求</w:t>
      </w:r>
    </w:p>
    <w:tbl>
      <w:tblPr>
        <w:tblStyle w:val="46"/>
        <w:tblW w:w="9878" w:type="dxa"/>
        <w:jc w:val="center"/>
        <w:tblInd w:w="0" w:type="dxa"/>
        <w:tblLayout w:type="fixed"/>
        <w:tblCellMar>
          <w:top w:w="0" w:type="dxa"/>
          <w:left w:w="108" w:type="dxa"/>
          <w:bottom w:w="0" w:type="dxa"/>
          <w:right w:w="108" w:type="dxa"/>
        </w:tblCellMar>
      </w:tblPr>
      <w:tblGrid>
        <w:gridCol w:w="1330"/>
        <w:gridCol w:w="704"/>
        <w:gridCol w:w="7844"/>
      </w:tblGrid>
      <w:tr>
        <w:tblPrEx>
          <w:tblLayout w:type="fixed"/>
        </w:tblPrEx>
        <w:trPr>
          <w:trHeight w:val="454" w:hRule="atLeast"/>
          <w:jc w:val="center"/>
        </w:trPr>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jc w:val="center"/>
              <w:textAlignment w:val="auto"/>
              <w:rPr>
                <w:rFonts w:ascii="Times New Roman" w:hAnsi="Times New Roman" w:eastAsia="方正仿宋简体" w:cs="Times New Roman"/>
                <w:sz w:val="28"/>
                <w:szCs w:val="28"/>
              </w:rPr>
            </w:pPr>
            <w:r>
              <w:rPr>
                <w:rFonts w:ascii="Times New Roman" w:hAnsi="Times New Roman" w:eastAsia="方正仿宋简体" w:cs="Times New Roman"/>
                <w:sz w:val="28"/>
                <w:szCs w:val="28"/>
              </w:rPr>
              <w:t>项目名称</w:t>
            </w:r>
          </w:p>
        </w:tc>
        <w:tc>
          <w:tcPr>
            <w:tcW w:w="854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firstLine="560" w:firstLineChars="200"/>
              <w:jc w:val="center"/>
              <w:textAlignment w:val="auto"/>
              <w:rPr>
                <w:rFonts w:ascii="Times New Roman" w:hAnsi="Times New Roman" w:eastAsia="方正仿宋简体" w:cs="Times New Roman"/>
                <w:sz w:val="28"/>
                <w:szCs w:val="28"/>
              </w:rPr>
            </w:pPr>
            <w:r>
              <w:rPr>
                <w:rFonts w:ascii="Times New Roman" w:hAnsi="Times New Roman" w:eastAsia="方正仿宋简体" w:cs="Times New Roman"/>
                <w:sz w:val="28"/>
                <w:szCs w:val="28"/>
              </w:rPr>
              <w:t>招　标　货　物</w:t>
            </w:r>
          </w:p>
        </w:tc>
      </w:tr>
      <w:tr>
        <w:tblPrEx>
          <w:tblLayout w:type="fixed"/>
          <w:tblCellMar>
            <w:top w:w="0" w:type="dxa"/>
            <w:left w:w="108" w:type="dxa"/>
            <w:bottom w:w="0" w:type="dxa"/>
            <w:right w:w="108" w:type="dxa"/>
          </w:tblCellMar>
        </w:tblPrEx>
        <w:trPr>
          <w:trHeight w:val="605" w:hRule="atLeast"/>
          <w:jc w:val="center"/>
        </w:trPr>
        <w:tc>
          <w:tcPr>
            <w:tcW w:w="13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autoSpaceDE/>
              <w:autoSpaceDN/>
              <w:bidi w:val="0"/>
              <w:adjustRightInd/>
              <w:snapToGrid/>
              <w:spacing w:line="560" w:lineRule="exact"/>
              <w:ind w:left="0" w:leftChars="0" w:firstLine="560" w:firstLineChars="200"/>
              <w:textAlignment w:val="auto"/>
              <w:rPr>
                <w:rFonts w:ascii="Times New Roman" w:hAnsi="Times New Roman" w:eastAsia="方正仿宋简体" w:cs="Times New Roman"/>
                <w:sz w:val="28"/>
                <w:szCs w:val="28"/>
              </w:rPr>
            </w:pPr>
          </w:p>
        </w:tc>
        <w:tc>
          <w:tcPr>
            <w:tcW w:w="7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textAlignment w:val="auto"/>
              <w:rPr>
                <w:rFonts w:ascii="Times New Roman" w:hAnsi="Times New Roman" w:eastAsia="方正仿宋简体" w:cs="Times New Roman"/>
                <w:sz w:val="28"/>
                <w:szCs w:val="28"/>
              </w:rPr>
            </w:pPr>
            <w:r>
              <w:rPr>
                <w:rFonts w:ascii="Times New Roman" w:hAnsi="Times New Roman" w:eastAsia="方正仿宋简体" w:cs="Times New Roman"/>
                <w:sz w:val="28"/>
                <w:szCs w:val="28"/>
              </w:rPr>
              <w:t>品名</w:t>
            </w:r>
          </w:p>
        </w:tc>
        <w:tc>
          <w:tcPr>
            <w:tcW w:w="78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jc w:val="center"/>
              <w:textAlignment w:val="auto"/>
              <w:rPr>
                <w:rFonts w:ascii="Times New Roman" w:hAnsi="Times New Roman" w:eastAsia="方正仿宋简体" w:cs="Times New Roman"/>
                <w:sz w:val="28"/>
                <w:szCs w:val="28"/>
              </w:rPr>
            </w:pPr>
            <w:r>
              <w:rPr>
                <w:rFonts w:ascii="Times New Roman" w:hAnsi="Times New Roman" w:eastAsia="方正仿宋简体" w:cs="Times New Roman"/>
                <w:sz w:val="28"/>
                <w:szCs w:val="28"/>
              </w:rPr>
              <w:t>主要配置要求及技术标准</w:t>
            </w:r>
          </w:p>
        </w:tc>
      </w:tr>
      <w:tr>
        <w:tblPrEx>
          <w:tblLayout w:type="fixed"/>
          <w:tblCellMar>
            <w:top w:w="0" w:type="dxa"/>
            <w:left w:w="108" w:type="dxa"/>
            <w:bottom w:w="0" w:type="dxa"/>
            <w:right w:w="108" w:type="dxa"/>
          </w:tblCellMar>
        </w:tblPrEx>
        <w:trPr>
          <w:trHeight w:val="1321" w:hRule="atLeast"/>
          <w:jc w:val="center"/>
        </w:trPr>
        <w:tc>
          <w:tcPr>
            <w:tcW w:w="133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jc w:val="center"/>
              <w:textAlignment w:val="auto"/>
              <w:rPr>
                <w:rFonts w:ascii="Times New Roman" w:hAnsi="Times New Roman" w:eastAsia="方正仿宋简体" w:cs="Times New Roman"/>
                <w:sz w:val="28"/>
                <w:szCs w:val="28"/>
              </w:rPr>
            </w:pPr>
            <w:r>
              <w:rPr>
                <w:rFonts w:ascii="Times New Roman" w:hAnsi="Times New Roman" w:eastAsia="方正仿宋简体" w:cs="Times New Roman"/>
                <w:sz w:val="28"/>
                <w:szCs w:val="28"/>
              </w:rPr>
              <w:t>哺育工程</w:t>
            </w:r>
          </w:p>
        </w:tc>
        <w:tc>
          <w:tcPr>
            <w:tcW w:w="7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textAlignment w:val="auto"/>
              <w:rPr>
                <w:rFonts w:ascii="Times New Roman" w:hAnsi="Times New Roman" w:eastAsia="方正仿宋简体" w:cs="Times New Roman"/>
                <w:sz w:val="28"/>
                <w:szCs w:val="28"/>
              </w:rPr>
            </w:pPr>
            <w:r>
              <w:rPr>
                <w:rFonts w:hint="eastAsia" w:ascii="宋体" w:hAnsi="宋体"/>
                <w:sz w:val="24"/>
              </w:rPr>
              <w:t>▲</w:t>
            </w:r>
            <w:r>
              <w:rPr>
                <w:rFonts w:ascii="Times New Roman" w:hAnsi="Times New Roman" w:eastAsia="方正仿宋简体" w:cs="Times New Roman"/>
                <w:sz w:val="28"/>
                <w:szCs w:val="28"/>
              </w:rPr>
              <w:t>纯牛奶</w:t>
            </w:r>
          </w:p>
        </w:tc>
        <w:tc>
          <w:tcPr>
            <w:tcW w:w="784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textAlignment w:val="auto"/>
              <w:rPr>
                <w:rFonts w:ascii="Times New Roman" w:hAnsi="Times New Roman" w:eastAsia="方正仿宋简体" w:cs="Times New Roman"/>
                <w:sz w:val="28"/>
                <w:szCs w:val="28"/>
              </w:rPr>
            </w:pPr>
            <w:r>
              <w:rPr>
                <w:rFonts w:hint="eastAsia" w:ascii="宋体" w:hAnsi="宋体" w:eastAsia="宋体" w:cs="宋体"/>
                <w:color w:val="FF0000"/>
                <w:sz w:val="28"/>
                <w:szCs w:val="28"/>
                <w:lang w:val="en-US" w:eastAsia="zh-CN"/>
              </w:rPr>
              <w:t>★</w:t>
            </w:r>
            <w:r>
              <w:rPr>
                <w:rFonts w:hint="eastAsia" w:ascii="Times New Roman" w:hAnsi="Times New Roman" w:eastAsia="方正仿宋简体" w:cs="Times New Roman"/>
                <w:color w:val="FF0000"/>
                <w:sz w:val="28"/>
                <w:szCs w:val="28"/>
                <w:lang w:val="en-US" w:eastAsia="zh-CN"/>
              </w:rPr>
              <w:t>利乐枕包，</w:t>
            </w:r>
            <w:r>
              <w:rPr>
                <w:rFonts w:hint="eastAsia" w:ascii="Times New Roman" w:hAnsi="Times New Roman" w:eastAsia="方正仿宋简体" w:cs="Times New Roman"/>
                <w:color w:val="FF0000"/>
                <w:sz w:val="28"/>
                <w:szCs w:val="28"/>
              </w:rPr>
              <w:t>≥</w:t>
            </w:r>
            <w:r>
              <w:rPr>
                <w:rFonts w:hint="eastAsia" w:ascii="Times New Roman" w:hAnsi="Times New Roman" w:eastAsia="方正仿宋简体" w:cs="Times New Roman"/>
                <w:color w:val="FF0000"/>
                <w:sz w:val="28"/>
                <w:szCs w:val="28"/>
                <w:lang w:val="en-US" w:eastAsia="zh-CN"/>
              </w:rPr>
              <w:t>2</w:t>
            </w:r>
            <w:r>
              <w:rPr>
                <w:rFonts w:hint="eastAsia" w:ascii="Times New Roman" w:hAnsi="Times New Roman" w:eastAsia="方正仿宋简体" w:cs="Times New Roman"/>
                <w:color w:val="FF0000"/>
                <w:sz w:val="28"/>
                <w:szCs w:val="28"/>
              </w:rPr>
              <w:t>00ml每袋，通过高温灭菌，保质期在45天以上（包含45天）。其中脂肪≥3.1；蛋白质≥</w:t>
            </w:r>
            <w:r>
              <w:rPr>
                <w:rFonts w:hint="eastAsia" w:ascii="Times New Roman" w:hAnsi="Times New Roman" w:eastAsia="方正仿宋简体" w:cs="Times New Roman"/>
                <w:color w:val="FF0000"/>
                <w:sz w:val="28"/>
                <w:szCs w:val="28"/>
                <w:lang w:val="en-US" w:eastAsia="zh-CN"/>
              </w:rPr>
              <w:t>3.0</w:t>
            </w:r>
            <w:r>
              <w:rPr>
                <w:rFonts w:hint="eastAsia" w:ascii="Times New Roman" w:hAnsi="Times New Roman" w:eastAsia="方正仿宋简体" w:cs="Times New Roman"/>
                <w:color w:val="FF0000"/>
                <w:sz w:val="28"/>
                <w:szCs w:val="28"/>
              </w:rPr>
              <w:t>；非脂乳固体≥8.1；商业无菌。</w:t>
            </w:r>
            <w:r>
              <w:rPr>
                <w:rFonts w:ascii="Times New Roman" w:hAnsi="Times New Roman" w:eastAsia="方正仿宋简体" w:cs="Times New Roman"/>
                <w:sz w:val="28"/>
                <w:szCs w:val="28"/>
              </w:rPr>
              <w:t>符合0-6岁儿童</w:t>
            </w:r>
            <w:r>
              <w:rPr>
                <w:rFonts w:hint="eastAsia" w:ascii="Times New Roman" w:hAnsi="Times New Roman" w:eastAsia="方正仿宋简体" w:cs="Times New Roman"/>
                <w:sz w:val="28"/>
                <w:szCs w:val="28"/>
                <w:lang w:eastAsia="zh-CN"/>
              </w:rPr>
              <w:t>、学生</w:t>
            </w:r>
            <w:r>
              <w:rPr>
                <w:rFonts w:ascii="Times New Roman" w:hAnsi="Times New Roman" w:eastAsia="方正仿宋简体" w:cs="Times New Roman"/>
                <w:sz w:val="28"/>
                <w:szCs w:val="28"/>
              </w:rPr>
              <w:t>饮用奶的标准</w:t>
            </w:r>
            <w:r>
              <w:rPr>
                <w:rFonts w:hint="eastAsia" w:ascii="Times New Roman" w:hAnsi="Times New Roman" w:eastAsia="方正仿宋简体" w:cs="Times New Roman"/>
                <w:sz w:val="28"/>
                <w:szCs w:val="28"/>
              </w:rPr>
              <w:t>。</w:t>
            </w:r>
          </w:p>
        </w:tc>
      </w:tr>
      <w:tr>
        <w:tblPrEx>
          <w:tblLayout w:type="fixed"/>
          <w:tblCellMar>
            <w:top w:w="0" w:type="dxa"/>
            <w:left w:w="108" w:type="dxa"/>
            <w:bottom w:w="0" w:type="dxa"/>
            <w:right w:w="108" w:type="dxa"/>
          </w:tblCellMar>
        </w:tblPrEx>
        <w:trPr>
          <w:trHeight w:val="580" w:hRule="atLeast"/>
          <w:jc w:val="center"/>
        </w:trPr>
        <w:tc>
          <w:tcPr>
            <w:tcW w:w="98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备注：</w:t>
            </w:r>
          </w:p>
          <w:p>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.采购供货期：</w:t>
            </w:r>
            <w:r>
              <w:rPr>
                <w:rFonts w:hint="eastAsia" w:ascii="Times New Roman" w:hAnsi="Times New Roman" w:eastAsia="方正仿宋简体" w:cs="Times New Roman"/>
                <w:sz w:val="32"/>
                <w:szCs w:val="32"/>
                <w:lang w:val="en-US" w:eastAsia="zh-CN"/>
              </w:rPr>
              <w:t>签订合同后一年内</w:t>
            </w:r>
          </w:p>
          <w:p>
            <w:pPr>
              <w:keepNext w:val="0"/>
              <w:keepLines w:val="0"/>
              <w:pageBreakBefore w:val="0"/>
              <w:widowControl w:val="0"/>
              <w:kinsoku/>
              <w:overflowPunct/>
              <w:autoSpaceDE/>
              <w:autoSpaceDN/>
              <w:bidi w:val="0"/>
              <w:adjustRightInd/>
              <w:snapToGrid/>
              <w:spacing w:line="560" w:lineRule="exact"/>
              <w:ind w:left="0" w:leftChars="0" w:firstLine="560" w:firstLineChars="200"/>
              <w:textAlignment w:val="auto"/>
              <w:rPr>
                <w:rFonts w:ascii="Times New Roman" w:hAnsi="Times New Roman" w:eastAsia="方正仿宋简体" w:cs="Times New Roman"/>
                <w:sz w:val="32"/>
                <w:szCs w:val="32"/>
              </w:rPr>
            </w:pPr>
            <w:r>
              <w:rPr>
                <w:rFonts w:hint="eastAsia" w:ascii="宋体" w:hAnsi="宋体" w:eastAsia="宋体" w:cs="宋体"/>
                <w:color w:val="FF0000"/>
                <w:sz w:val="28"/>
                <w:szCs w:val="28"/>
                <w:lang w:val="en-US" w:eastAsia="zh-CN"/>
              </w:rPr>
              <w:t>★</w:t>
            </w:r>
            <w:r>
              <w:rPr>
                <w:rFonts w:hint="eastAsia" w:ascii="Times New Roman" w:hAnsi="Times New Roman" w:eastAsia="方正仿宋简体" w:cs="Times New Roman"/>
                <w:color w:val="FF0000"/>
                <w:sz w:val="32"/>
                <w:szCs w:val="32"/>
                <w:lang w:val="en-US" w:eastAsia="zh-CN"/>
              </w:rPr>
              <w:t>2</w:t>
            </w:r>
            <w:r>
              <w:rPr>
                <w:rFonts w:hint="eastAsia" w:ascii="Times New Roman" w:hAnsi="Times New Roman" w:eastAsia="方正仿宋简体" w:cs="Times New Roman"/>
                <w:color w:val="FF0000"/>
                <w:sz w:val="32"/>
                <w:szCs w:val="32"/>
              </w:rPr>
              <w:t>.</w:t>
            </w:r>
            <w:r>
              <w:rPr>
                <w:rFonts w:hint="eastAsia"/>
                <w:color w:val="FF0000"/>
                <w:shd w:val="clear" w:color="auto" w:fill="FFFFFF"/>
              </w:rPr>
              <w:t xml:space="preserve"> </w:t>
            </w:r>
            <w:r>
              <w:rPr>
                <w:rFonts w:hint="eastAsia" w:ascii="Times New Roman" w:hAnsi="Times New Roman" w:eastAsia="方正仿宋简体" w:cs="Times New Roman"/>
                <w:color w:val="FF0000"/>
                <w:sz w:val="32"/>
                <w:szCs w:val="32"/>
              </w:rPr>
              <w:t>提供所投产品20</w:t>
            </w:r>
            <w:r>
              <w:rPr>
                <w:rFonts w:hint="eastAsia" w:eastAsia="方正仿宋简体" w:cs="Times New Roman"/>
                <w:color w:val="FF0000"/>
                <w:sz w:val="32"/>
                <w:szCs w:val="32"/>
                <w:lang w:val="en-US" w:eastAsia="zh-CN"/>
              </w:rPr>
              <w:t>20</w:t>
            </w:r>
            <w:r>
              <w:rPr>
                <w:rFonts w:hint="eastAsia" w:ascii="Times New Roman" w:hAnsi="Times New Roman" w:eastAsia="方正仿宋简体" w:cs="Times New Roman"/>
                <w:color w:val="FF0000"/>
                <w:sz w:val="32"/>
                <w:szCs w:val="32"/>
              </w:rPr>
              <w:t>年以来（含20</w:t>
            </w:r>
            <w:r>
              <w:rPr>
                <w:rFonts w:hint="eastAsia" w:eastAsia="方正仿宋简体" w:cs="Times New Roman"/>
                <w:color w:val="FF0000"/>
                <w:sz w:val="32"/>
                <w:szCs w:val="32"/>
                <w:lang w:val="en-US" w:eastAsia="zh-CN"/>
              </w:rPr>
              <w:t>20</w:t>
            </w:r>
            <w:r>
              <w:rPr>
                <w:rFonts w:hint="eastAsia" w:ascii="Times New Roman" w:hAnsi="Times New Roman" w:eastAsia="方正仿宋简体" w:cs="Times New Roman"/>
                <w:color w:val="FF0000"/>
                <w:sz w:val="32"/>
                <w:szCs w:val="32"/>
              </w:rPr>
              <w:t>年）液态奶产品无</w:t>
            </w:r>
            <w:r>
              <w:rPr>
                <w:rFonts w:hint="eastAsia" w:eastAsia="方正仿宋简体" w:cs="Times New Roman"/>
                <w:color w:val="FF0000"/>
                <w:sz w:val="32"/>
                <w:szCs w:val="32"/>
                <w:lang w:eastAsia="zh-CN"/>
              </w:rPr>
              <w:t>质量安全</w:t>
            </w:r>
            <w:r>
              <w:rPr>
                <w:rFonts w:hint="eastAsia" w:ascii="Times New Roman" w:hAnsi="Times New Roman" w:eastAsia="方正仿宋简体" w:cs="Times New Roman"/>
                <w:color w:val="FF0000"/>
                <w:sz w:val="32"/>
                <w:szCs w:val="32"/>
              </w:rPr>
              <w:t>事故的</w:t>
            </w:r>
            <w:r>
              <w:rPr>
                <w:rFonts w:hint="eastAsia" w:eastAsia="方正仿宋简体" w:cs="Times New Roman"/>
                <w:color w:val="FF0000"/>
                <w:sz w:val="32"/>
                <w:szCs w:val="32"/>
                <w:lang w:val="en-US" w:eastAsia="zh-CN"/>
              </w:rPr>
              <w:t>声明书</w:t>
            </w:r>
            <w:r>
              <w:rPr>
                <w:rFonts w:hint="eastAsia" w:ascii="Times New Roman" w:hAnsi="Times New Roman" w:eastAsia="方正仿宋简体" w:cs="Times New Roman"/>
                <w:color w:val="FF0000"/>
                <w:sz w:val="32"/>
                <w:szCs w:val="32"/>
              </w:rPr>
              <w:t>。</w:t>
            </w:r>
          </w:p>
        </w:tc>
      </w:tr>
    </w:tbl>
    <w:p>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二、采购要求：</w:t>
      </w:r>
    </w:p>
    <w:p>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color w:val="auto"/>
          <w:sz w:val="32"/>
          <w:szCs w:val="32"/>
        </w:rPr>
        <w:t>产品质量标准执行食品安全国家标准灭菌乳（</w:t>
      </w:r>
      <w:r>
        <w:rPr>
          <w:rFonts w:ascii="Times New Roman" w:hAnsi="Times New Roman" w:eastAsia="方正仿宋简体" w:cs="Times New Roman"/>
          <w:color w:val="auto"/>
          <w:sz w:val="32"/>
          <w:szCs w:val="32"/>
        </w:rPr>
        <w:t>GB25190-2010</w:t>
      </w:r>
      <w:r>
        <w:rPr>
          <w:rFonts w:hint="eastAsia" w:ascii="Times New Roman" w:hAnsi="Times New Roman" w:eastAsia="方正仿宋简体" w:cs="Times New Roman"/>
          <w:color w:val="auto"/>
          <w:sz w:val="32"/>
          <w:szCs w:val="32"/>
        </w:rPr>
        <w:t>）和国家</w:t>
      </w:r>
      <w:r>
        <w:rPr>
          <w:rFonts w:ascii="Times New Roman" w:hAnsi="Times New Roman" w:eastAsia="方正仿宋简体" w:cs="Times New Roman"/>
          <w:color w:val="auto"/>
          <w:sz w:val="32"/>
          <w:szCs w:val="32"/>
        </w:rPr>
        <w:t>T/DAC004-2017</w:t>
      </w:r>
      <w:r>
        <w:rPr>
          <w:rFonts w:hint="eastAsia" w:ascii="Times New Roman" w:hAnsi="Times New Roman" w:eastAsia="方正仿宋简体" w:cs="Times New Roman"/>
          <w:color w:val="auto"/>
          <w:sz w:val="32"/>
          <w:szCs w:val="32"/>
        </w:rPr>
        <w:t>的规定</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sz w:val="32"/>
          <w:szCs w:val="32"/>
        </w:rPr>
        <w:t>《灭菌乳标准》必须执行《GB25190》-2010标准；《鲜生乳生产收购管理办法》必须执行GB19301-2010生乳标准。饮用奶不添加任何防腐剂，采用常温保存、保质期不少于45天。</w:t>
      </w:r>
    </w:p>
    <w:p>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ascii="Times New Roman" w:hAnsi="黑体" w:eastAsia="黑体" w:cs="Times New Roman"/>
          <w:sz w:val="32"/>
          <w:szCs w:val="32"/>
        </w:rPr>
      </w:pPr>
      <w:r>
        <w:rPr>
          <w:rFonts w:hint="eastAsia" w:ascii="Times New Roman" w:hAnsi="黑体" w:eastAsia="黑体" w:cs="Times New Roman"/>
          <w:sz w:val="32"/>
          <w:szCs w:val="32"/>
          <w:lang w:eastAsia="zh-CN"/>
        </w:rPr>
        <w:t>三</w:t>
      </w:r>
      <w:r>
        <w:rPr>
          <w:rFonts w:ascii="Times New Roman" w:hAnsi="黑体" w:eastAsia="黑体" w:cs="Times New Roman"/>
          <w:sz w:val="32"/>
          <w:szCs w:val="32"/>
        </w:rPr>
        <w:t>、</w:t>
      </w:r>
      <w:r>
        <w:rPr>
          <w:rFonts w:hint="eastAsia" w:ascii="Times New Roman" w:hAnsi="黑体" w:eastAsia="黑体" w:cs="Times New Roman"/>
          <w:sz w:val="32"/>
          <w:szCs w:val="32"/>
          <w:lang w:eastAsia="zh-CN"/>
        </w:rPr>
        <w:t>标的物所属行业</w:t>
      </w:r>
      <w:r>
        <w:rPr>
          <w:rFonts w:ascii="Times New Roman" w:hAnsi="黑体" w:eastAsia="黑体" w:cs="Times New Roman"/>
          <w:sz w:val="32"/>
          <w:szCs w:val="32"/>
        </w:rPr>
        <w:t>：</w:t>
      </w:r>
    </w:p>
    <w:p>
      <w:pPr>
        <w:keepNext w:val="0"/>
        <w:keepLines w:val="0"/>
        <w:pageBreakBefore w:val="0"/>
        <w:widowControl w:val="0"/>
        <w:kinsoku/>
        <w:overflowPunct/>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所属行业：</w:t>
      </w:r>
      <w:r>
        <w:rPr>
          <w:rFonts w:hint="eastAsia" w:ascii="Times New Roman" w:hAnsi="Times New Roman" w:eastAsia="方正仿宋简体" w:cs="Times New Roman"/>
          <w:b/>
          <w:bCs/>
          <w:sz w:val="32"/>
          <w:szCs w:val="32"/>
          <w:lang w:eastAsia="zh-CN"/>
        </w:rPr>
        <w:t>批发业</w:t>
      </w:r>
    </w:p>
    <w:p>
      <w:pPr>
        <w:pStyle w:val="35"/>
      </w:pPr>
    </w:p>
    <w:p>
      <w:pPr>
        <w:rPr>
          <w:rFonts w:ascii="宋体" w:hAnsi="宋体"/>
          <w:b/>
          <w:color w:val="FF0000"/>
          <w:szCs w:val="21"/>
        </w:rPr>
      </w:pPr>
      <w:r>
        <w:rPr>
          <w:rFonts w:hint="eastAsia" w:ascii="宋体" w:hAnsi="宋体"/>
          <w:b/>
          <w:color w:val="FF0000"/>
          <w:szCs w:val="21"/>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ascii="宋体" w:hAnsi="宋体"/>
          <w:b/>
          <w:bCs/>
          <w:sz w:val="24"/>
          <w:highlight w:val="yellow"/>
        </w:rPr>
      </w:pPr>
      <w:r>
        <w:rPr>
          <w:rFonts w:hint="eastAsia" w:ascii="宋体" w:hAnsi="宋体"/>
          <w:b/>
          <w:sz w:val="24"/>
        </w:rPr>
        <w:t>（1）</w:t>
      </w:r>
      <w:r>
        <w:rPr>
          <w:rFonts w:hint="eastAsia" w:ascii="宋体" w:hAnsi="宋体"/>
          <w:b w:val="0"/>
          <w:bCs/>
          <w:sz w:val="24"/>
        </w:rPr>
        <w:t>加注“★”号且标红条款为实质条款，负偏离视同为无效投标；</w:t>
      </w:r>
    </w:p>
    <w:p>
      <w:pPr>
        <w:spacing w:line="360" w:lineRule="auto"/>
        <w:ind w:firstLine="480" w:firstLineChars="200"/>
        <w:outlineLvl w:val="0"/>
        <w:rPr>
          <w:rFonts w:ascii="宋体" w:hAnsi="宋体"/>
          <w:sz w:val="24"/>
        </w:rPr>
      </w:pPr>
      <w:r>
        <w:rPr>
          <w:rFonts w:hint="eastAsia" w:ascii="宋体" w:hAnsi="宋体"/>
          <w:sz w:val="24"/>
        </w:rPr>
        <w:t>（2）加注“▲”号的产品为核心产品，任意一种核心产品为同一品牌时，按照87号令第三十一条执行。</w:t>
      </w:r>
    </w:p>
    <w:p>
      <w:pPr>
        <w:spacing w:line="360" w:lineRule="auto"/>
        <w:ind w:firstLine="480" w:firstLineChars="200"/>
        <w:outlineLvl w:val="0"/>
        <w:rPr>
          <w:rFonts w:ascii="宋体" w:hAnsi="宋体"/>
          <w:sz w:val="24"/>
        </w:rPr>
      </w:pPr>
      <w:r>
        <w:rPr>
          <w:rFonts w:hint="eastAsia" w:hAnsi="宋体"/>
          <w:sz w:val="24"/>
        </w:rPr>
        <w:t>（3）加注“■”产品依照《关于印发节能产品政府采购品目清单的通知》（财库〔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号）文件要求属于现行节能产品政府采购强制采购的产品，投标人只能选择符合按照《关于调整优化节能产品、环境标志产品政府采购执行机制的通知》（财库〔</w:t>
      </w:r>
      <w:r>
        <w:rPr>
          <w:rFonts w:hint="eastAsia"/>
          <w:sz w:val="24"/>
        </w:rPr>
        <w:t>2019</w:t>
      </w:r>
      <w:r>
        <w:rPr>
          <w:rFonts w:hint="eastAsia" w:hAnsi="宋体"/>
          <w:sz w:val="24"/>
        </w:rPr>
        <w:t>〕</w:t>
      </w:r>
      <w:r>
        <w:rPr>
          <w:rFonts w:hint="eastAsia"/>
          <w:sz w:val="24"/>
        </w:rPr>
        <w:t>9</w:t>
      </w:r>
      <w:r>
        <w:rPr>
          <w:rFonts w:hint="eastAsia" w:hAnsi="宋体"/>
          <w:sz w:val="24"/>
        </w:rPr>
        <w:t>号）、《关于印发节能产品政府采购品目清单的通知》（财库〔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号）、《市场监管总局关于发布参与实施政府采购节能产品、环境标志产品认证机构名录的公告》（</w:t>
      </w:r>
      <w:r>
        <w:rPr>
          <w:rFonts w:hint="eastAsia"/>
          <w:sz w:val="24"/>
        </w:rPr>
        <w:t>2019</w:t>
      </w:r>
      <w:r>
        <w:rPr>
          <w:rFonts w:hint="eastAsia" w:hAnsi="宋体"/>
          <w:sz w:val="24"/>
        </w:rPr>
        <w:t>年第</w:t>
      </w:r>
      <w:r>
        <w:rPr>
          <w:rFonts w:hint="eastAsia"/>
          <w:sz w:val="24"/>
        </w:rPr>
        <w:t>16</w:t>
      </w:r>
      <w:r>
        <w:rPr>
          <w:rFonts w:hint="eastAsia" w:hAnsi="宋体"/>
          <w:sz w:val="24"/>
        </w:rPr>
        <w:t>号）等文件要求的强制采购的节能产品进行投标，并提供相关认证证书扫描件，否则不予认定，将视同为无效投标。</w:t>
      </w:r>
    </w:p>
    <w:p>
      <w:pPr>
        <w:spacing w:line="360" w:lineRule="auto"/>
        <w:ind w:firstLine="480" w:firstLineChars="200"/>
        <w:outlineLvl w:val="0"/>
        <w:rPr>
          <w:rFonts w:ascii="宋体" w:hAnsi="宋体"/>
          <w:sz w:val="24"/>
        </w:rPr>
      </w:pPr>
      <w:r>
        <w:rPr>
          <w:rFonts w:hint="eastAsia" w:ascii="宋体" w:hAnsi="宋体"/>
          <w:sz w:val="24"/>
        </w:rPr>
        <w:t>（4）标书中需附所投产品的品牌、规格、参数和清晰图例。</w:t>
      </w:r>
    </w:p>
    <w:p>
      <w:pPr>
        <w:sectPr>
          <w:footerReference r:id="rId18" w:type="default"/>
          <w:pgSz w:w="16838" w:h="11906" w:orient="landscape"/>
          <w:pgMar w:top="1800" w:right="1440" w:bottom="1800" w:left="1440" w:header="851" w:footer="992" w:gutter="0"/>
          <w:cols w:space="720" w:num="1"/>
          <w:docGrid w:type="lines" w:linePitch="312" w:charSpace="0"/>
        </w:sectPr>
      </w:pPr>
      <w:bookmarkStart w:id="198" w:name="_GoBack"/>
      <w:bookmarkEnd w:id="198"/>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第六章 投标文件格式</w:t>
      </w:r>
      <w:bookmarkEnd w:id="195"/>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ascii="宋体" w:hAnsi="宋体"/>
          <w:b/>
          <w:bCs/>
          <w:color w:val="000000" w:themeColor="text1"/>
          <w:sz w:val="28"/>
          <w:szCs w:val="28"/>
          <w14:textFill>
            <w14:solidFill>
              <w14:schemeClr w14:val="tx1"/>
            </w14:solidFill>
          </w14:textFill>
        </w:rPr>
      </w:pPr>
    </w:p>
    <w:p>
      <w:pPr>
        <w:spacing w:before="312" w:beforeLines="100"/>
        <w:jc w:val="center"/>
        <w:rPr>
          <w:rFonts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项目编号（标项号）：</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pStyle w:val="13"/>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加盖签章）</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autoSpaceDE w:val="0"/>
        <w:autoSpaceDN w:val="0"/>
        <w:adjustRightInd w:val="0"/>
        <w:snapToGrid w:val="0"/>
        <w:spacing w:before="156" w:beforeLines="50" w:after="156" w:afterLines="50" w:line="360" w:lineRule="auto"/>
        <w:jc w:val="right"/>
        <w:rPr>
          <w:rFonts w:ascii="宋体" w:hAnsi="宋体"/>
          <w:b/>
          <w:color w:val="000000" w:themeColor="text1"/>
          <w:sz w:val="32"/>
          <w:szCs w:val="32"/>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电子版投标文件编制顺序</w:t>
      </w:r>
    </w:p>
    <w:tbl>
      <w:tblPr>
        <w:tblStyle w:val="47"/>
        <w:tblW w:w="831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0"/>
        <w:gridCol w:w="4157"/>
        <w:gridCol w:w="1428"/>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名称</w:t>
            </w:r>
          </w:p>
        </w:tc>
        <w:tc>
          <w:tcPr>
            <w:tcW w:w="4157"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编制内容</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w:t>
            </w: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w:t>
            </w: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开标一览表</w:t>
            </w:r>
          </w:p>
        </w:tc>
        <w:tc>
          <w:tcPr>
            <w:tcW w:w="4157" w:type="dxa"/>
            <w:vAlign w:val="center"/>
          </w:tcPr>
          <w:p>
            <w:pPr>
              <w:adjustRightInd w:val="0"/>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投标人于电子交易平台填写</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需与报价文件中价格一致，电子交易平台生成的开标一览表内容与报价文件中相应内容不一致的，以电子交易平台生成的开标一览表为准。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资格响应文件</w:t>
            </w:r>
          </w:p>
        </w:tc>
        <w:tc>
          <w:tcPr>
            <w:tcW w:w="4157" w:type="dxa"/>
            <w:vAlign w:val="center"/>
          </w:tcPr>
          <w:p>
            <w:pPr>
              <w:adjustRightInd w:val="0"/>
              <w:snapToGrid w:val="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有效的营业执照</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具体要求查看投标人的资格证明材料说明</w:t>
            </w:r>
          </w:p>
          <w:p>
            <w:pPr>
              <w:pStyle w:val="4"/>
              <w:rPr>
                <w:rFonts w:hint="eastAsia"/>
              </w:rPr>
            </w:pPr>
          </w:p>
          <w:p>
            <w:pPr>
              <w:jc w:val="center"/>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注：投标人非生产企业的，需提供经营范围含预包装食品销售的《营业执照》或《食品经营许可证》</w:t>
            </w:r>
          </w:p>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shd w:val="clear" w:color="auto" w:fill="auto"/>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或</w:t>
            </w:r>
          </w:p>
          <w:p>
            <w:pPr>
              <w:adjustRightInd w:val="0"/>
              <w:snapToGrid w:val="0"/>
              <w:rPr>
                <w:rFonts w:ascii="宋体" w:hAnsi="宋体"/>
                <w:b/>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428" w:type="dxa"/>
            <w:shd w:val="clear" w:color="auto" w:fill="auto"/>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仅需提供任意一项即可。</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color w:val="000000" w:themeColor="text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green"/>
                <w14:textFill>
                  <w14:solidFill>
                    <w14:schemeClr w14:val="tx1"/>
                  </w14:solidFill>
                </w14:textFill>
              </w:rPr>
            </w:pPr>
            <w:r>
              <w:rPr>
                <w:rFonts w:hint="eastAsia" w:ascii="黑体" w:hAnsi="黑体" w:eastAsia="黑体" w:cs="黑体"/>
                <w:color w:val="000000" w:themeColor="text1"/>
                <w:sz w:val="20"/>
                <w:szCs w:val="20"/>
                <w:highlight w:val="none"/>
                <w14:textFill>
                  <w14:solidFill>
                    <w14:schemeClr w14:val="tx1"/>
                  </w14:solidFill>
                </w14:textFill>
              </w:rPr>
              <w:t>附件5：</w:t>
            </w:r>
            <w:r>
              <w:rPr>
                <w:rFonts w:hint="eastAsia" w:ascii="宋体" w:hAnsi="宋体"/>
                <w:color w:val="000000" w:themeColor="text1"/>
                <w:szCs w:val="21"/>
                <w:highlight w:val="none"/>
                <w14:textFill>
                  <w14:solidFill>
                    <w14:schemeClr w14:val="tx1"/>
                  </w14:solidFill>
                </w14:textFill>
              </w:rPr>
              <w:t>投标保证金缴纳证明</w:t>
            </w:r>
          </w:p>
        </w:tc>
        <w:tc>
          <w:tcPr>
            <w:tcW w:w="1428" w:type="dxa"/>
            <w:vAlign w:val="center"/>
          </w:tcPr>
          <w:p>
            <w:pPr>
              <w:adjustRightInd w:val="0"/>
              <w:snapToGrid w:val="0"/>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本项目无需提供</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szCs w:val="21"/>
              </w:rPr>
            </w:pPr>
            <w:r>
              <w:rPr>
                <w:rFonts w:hint="eastAsia" w:ascii="宋体" w:hAnsi="宋体"/>
                <w:szCs w:val="21"/>
              </w:rPr>
              <w:t>附件1</w:t>
            </w:r>
            <w:r>
              <w:rPr>
                <w:rFonts w:hint="eastAsia" w:ascii="宋体" w:hAnsi="宋体"/>
                <w:szCs w:val="21"/>
                <w:lang w:val="en-US" w:eastAsia="zh-CN"/>
              </w:rPr>
              <w:t>5</w:t>
            </w:r>
            <w:r>
              <w:rPr>
                <w:rFonts w:hint="eastAsia" w:ascii="宋体" w:hAnsi="宋体"/>
                <w:szCs w:val="21"/>
              </w:rPr>
              <w:t>：中小企业声明函（监狱企业、残疾人福利性单位证明）</w:t>
            </w:r>
          </w:p>
        </w:tc>
        <w:tc>
          <w:tcPr>
            <w:tcW w:w="1428" w:type="dxa"/>
            <w:vAlign w:val="center"/>
          </w:tcPr>
          <w:p>
            <w:pPr>
              <w:adjustRightInd w:val="0"/>
              <w:snapToGrid w:val="0"/>
              <w:jc w:val="center"/>
              <w:rPr>
                <w:rFonts w:hint="eastAsia" w:ascii="宋体" w:hAnsi="宋体" w:eastAsia="宋体"/>
                <w:bCs/>
                <w:color w:val="000000" w:themeColor="text1"/>
                <w:szCs w:val="21"/>
                <w:highlight w:val="yellow"/>
                <w:lang w:eastAsia="zh-CN"/>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eastAsia="宋体"/>
                <w:szCs w:val="21"/>
                <w:lang w:eastAsia="zh-CN"/>
              </w:rPr>
            </w:pPr>
            <w:r>
              <w:rPr>
                <w:rFonts w:hint="eastAsia" w:ascii="宋体" w:hAnsi="宋体" w:cs="Arial"/>
                <w:kern w:val="0"/>
                <w:szCs w:val="21"/>
                <w:lang w:eastAsia="zh-CN"/>
              </w:rPr>
              <w:t>生产企业的《食品生产许可证》，许可项目包含此次采购需求。</w:t>
            </w:r>
          </w:p>
        </w:tc>
        <w:tc>
          <w:tcPr>
            <w:tcW w:w="1428" w:type="dxa"/>
            <w:vAlign w:val="center"/>
          </w:tcPr>
          <w:p>
            <w:pPr>
              <w:adjustRightInd w:val="0"/>
              <w:snapToGrid w:val="0"/>
              <w:jc w:val="center"/>
              <w:rPr>
                <w:rFonts w:ascii="宋体" w:hAnsi="宋体"/>
                <w:bCs/>
                <w:color w:val="000000" w:themeColor="text1"/>
                <w:szCs w:val="21"/>
                <w:highlight w:val="yellow"/>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szCs w:val="21"/>
              </w:rPr>
              <w:t>针对本项目的其他相关资质</w:t>
            </w:r>
          </w:p>
        </w:tc>
        <w:tc>
          <w:tcPr>
            <w:tcW w:w="1428" w:type="dxa"/>
            <w:vAlign w:val="center"/>
          </w:tcPr>
          <w:p>
            <w:pPr>
              <w:adjustRightInd w:val="0"/>
              <w:snapToGrid w:val="0"/>
              <w:jc w:val="center"/>
              <w:rPr>
                <w:rFonts w:ascii="宋体" w:hAnsi="宋体"/>
                <w:bCs/>
                <w:color w:val="000000" w:themeColor="text1"/>
                <w:szCs w:val="21"/>
                <w:highlight w:val="yellow"/>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第三部分：</w:t>
            </w:r>
          </w:p>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商务技术文件</w:t>
            </w: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符合性审查文件</w:t>
            </w:r>
          </w:p>
        </w:tc>
        <w:tc>
          <w:tcPr>
            <w:tcW w:w="4157" w:type="dxa"/>
            <w:vAlign w:val="center"/>
          </w:tcPr>
          <w:p>
            <w:pPr>
              <w:adjustRightInd w:val="0"/>
              <w:snapToGrid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附件6：开标一览表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附件7：投标函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附件9-1无质量安全事故声明书</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eastAsia="宋体" w:cs="Times New Roman"/>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附件1</w:t>
            </w:r>
            <w:r>
              <w:rPr>
                <w:rFonts w:hint="eastAsia" w:ascii="宋体" w:hAnsi="宋体" w:cs="Times New Roman"/>
                <w:color w:val="000000" w:themeColor="text1"/>
                <w:szCs w:val="21"/>
                <w:lang w:val="en-US" w:eastAsia="zh-CN"/>
                <w14:textFill>
                  <w14:solidFill>
                    <w14:schemeClr w14:val="tx1"/>
                  </w14:solidFill>
                </w14:textFill>
              </w:rPr>
              <w:t>6</w:t>
            </w:r>
            <w:r>
              <w:rPr>
                <w:rFonts w:hint="eastAsia" w:ascii="宋体" w:hAnsi="宋体" w:eastAsia="宋体" w:cs="Times New Roman"/>
                <w:color w:val="000000" w:themeColor="text1"/>
                <w:szCs w:val="21"/>
                <w14:textFill>
                  <w14:solidFill>
                    <w14:schemeClr w14:val="tx1"/>
                  </w14:solidFill>
                </w14:textFill>
              </w:rPr>
              <w:t>：实质性条款情况表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商务技术响应文件</w:t>
            </w: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附件8：</w:t>
            </w:r>
            <w:r>
              <w:rPr>
                <w:rFonts w:hint="eastAsia" w:ascii="宋体" w:hAnsi="宋体"/>
                <w:color w:val="000000" w:themeColor="text1"/>
                <w:szCs w:val="21"/>
                <w14:textFill>
                  <w14:solidFill>
                    <w14:schemeClr w14:val="tx1"/>
                  </w14:solidFill>
                </w14:textFill>
              </w:rPr>
              <w:t>投标人基本情况表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附件10：</w:t>
            </w:r>
            <w:r>
              <w:rPr>
                <w:rFonts w:hint="eastAsia" w:ascii="宋体" w:hAnsi="宋体"/>
                <w:color w:val="000000" w:themeColor="text1"/>
                <w:szCs w:val="21"/>
                <w14:textFill>
                  <w14:solidFill>
                    <w14:schemeClr w14:val="tx1"/>
                  </w14:solidFill>
                </w14:textFill>
              </w:rPr>
              <w:t>参数偏离表</w:t>
            </w:r>
          </w:p>
        </w:tc>
        <w:tc>
          <w:tcPr>
            <w:tcW w:w="142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附件11：</w:t>
            </w:r>
            <w:r>
              <w:rPr>
                <w:rFonts w:hint="eastAsia" w:ascii="宋体" w:hAnsi="宋体"/>
                <w:color w:val="000000" w:themeColor="text1"/>
                <w:szCs w:val="21"/>
                <w14:textFill>
                  <w14:solidFill>
                    <w14:schemeClr w14:val="tx1"/>
                  </w14:solidFill>
                </w14:textFill>
              </w:rPr>
              <w:t>近三年同类项目业绩表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topLinePunct/>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附件12：</w:t>
            </w:r>
            <w:r>
              <w:rPr>
                <w:rFonts w:hint="eastAsia" w:ascii="宋体" w:hAnsi="宋体"/>
                <w:color w:val="000000" w:themeColor="text1"/>
                <w:szCs w:val="21"/>
                <w14:textFill>
                  <w14:solidFill>
                    <w14:schemeClr w14:val="tx1"/>
                  </w14:solidFill>
                </w14:textFill>
              </w:rPr>
              <w:t>拟投入本项目的服务人员及设备一览表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附件13：</w:t>
            </w:r>
            <w:r>
              <w:rPr>
                <w:rFonts w:hint="eastAsia" w:ascii="宋体" w:hAnsi="宋体"/>
                <w:color w:val="000000" w:themeColor="text1"/>
                <w:szCs w:val="21"/>
                <w14:textFill>
                  <w14:solidFill>
                    <w14:schemeClr w14:val="tx1"/>
                  </w14:solidFill>
                </w14:textFill>
              </w:rPr>
              <w:t>服务附表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附件</w:t>
            </w:r>
            <w:r>
              <w:rPr>
                <w:rFonts w:hint="eastAsia" w:ascii="宋体" w:hAnsi="宋体" w:eastAsia="宋体" w:cs="Times New Roman"/>
                <w:color w:val="000000" w:themeColor="text1"/>
                <w:szCs w:val="21"/>
                <w:lang w:val="en-US" w:eastAsia="zh-CN"/>
                <w14:textFill>
                  <w14:solidFill>
                    <w14:schemeClr w14:val="tx1"/>
                  </w14:solidFill>
                </w14:textFill>
              </w:rPr>
              <w:t>1</w:t>
            </w:r>
            <w:r>
              <w:rPr>
                <w:rFonts w:hint="eastAsia" w:ascii="宋体" w:hAnsi="宋体" w:cs="Times New Roman"/>
                <w:color w:val="000000" w:themeColor="text1"/>
                <w:szCs w:val="21"/>
                <w:lang w:val="en-US" w:eastAsia="zh-CN"/>
                <w14:textFill>
                  <w14:solidFill>
                    <w14:schemeClr w14:val="tx1"/>
                  </w14:solidFill>
                </w14:textFill>
              </w:rPr>
              <w:t>7</w:t>
            </w:r>
            <w:r>
              <w:rPr>
                <w:rFonts w:hint="eastAsia" w:ascii="宋体" w:hAnsi="宋体" w:eastAsia="宋体" w:cs="Times New Roman"/>
                <w:color w:val="000000" w:themeColor="text1"/>
                <w:szCs w:val="21"/>
                <w:lang w:val="en-US" w:eastAsia="zh-CN"/>
                <w14:textFill>
                  <w14:solidFill>
                    <w14:schemeClr w14:val="tx1"/>
                  </w14:solidFill>
                </w14:textFill>
              </w:rPr>
              <w:t>：投保食品安全责任保险承诺函</w:t>
            </w:r>
          </w:p>
        </w:tc>
        <w:tc>
          <w:tcPr>
            <w:tcW w:w="1428" w:type="dxa"/>
            <w:vAlign w:val="center"/>
          </w:tcPr>
          <w:p>
            <w:pPr>
              <w:adjustRightInd w:val="0"/>
              <w:snapToGrid w:val="0"/>
              <w:jc w:val="center"/>
              <w:rPr>
                <w:rFonts w:hint="eastAsia"/>
                <w:color w:val="000000" w:themeColor="text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有利于评分的其他相关资料</w:t>
            </w:r>
          </w:p>
        </w:tc>
        <w:tc>
          <w:tcPr>
            <w:tcW w:w="1428"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投标人可根据项目具体情况提供其他有利于评审的资料</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附件6：</w:t>
            </w:r>
            <w:r>
              <w:rPr>
                <w:rFonts w:hint="eastAsia" w:ascii="宋体" w:hAnsi="宋体"/>
                <w:color w:val="000000" w:themeColor="text1"/>
                <w:szCs w:val="21"/>
                <w14:textFill>
                  <w14:solidFill>
                    <w14:schemeClr w14:val="tx1"/>
                  </w14:solidFill>
                </w14:textFill>
              </w:rPr>
              <w:t>开标一览表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bookmarkStart w:id="196" w:name="_Toc466288481"/>
            <w:bookmarkStart w:id="197" w:name="_Toc474235956"/>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bl>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法定代表人身份证明(法定代表人参加招标)</w:t>
      </w:r>
    </w:p>
    <w:p>
      <w:pPr>
        <w:snapToGrid w:val="0"/>
        <w:spacing w:line="480" w:lineRule="auto"/>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before="156" w:beforeLines="50" w:line="360" w:lineRule="auto"/>
        <w:jc w:val="left"/>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pPr>
        <w:snapToGrid w:val="0"/>
        <w:spacing w:line="480" w:lineRule="auto"/>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名称（盖单位章）：</w:t>
      </w: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附件2</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法定代表人授权书(委托代理人参加招标)</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（姓名）</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（授权单位名称）</w:t>
      </w:r>
      <w:r>
        <w:rPr>
          <w:rFonts w:hint="eastAsia" w:ascii="宋体" w:hAnsi="宋体" w:cs="宋体"/>
          <w:color w:val="000000" w:themeColor="text1"/>
          <w:szCs w:val="21"/>
          <w14:textFill>
            <w14:solidFill>
              <w14:schemeClr w14:val="tx1"/>
            </w14:solidFill>
          </w14:textFill>
        </w:rPr>
        <w:t>的法定代表人，现委托</w:t>
      </w:r>
      <w:r>
        <w:rPr>
          <w:rFonts w:hint="eastAsia" w:ascii="宋体" w:hAnsi="宋体" w:cs="宋体"/>
          <w:color w:val="000000" w:themeColor="text1"/>
          <w:szCs w:val="21"/>
          <w:u w:val="single"/>
          <w14:textFill>
            <w14:solidFill>
              <w14:schemeClr w14:val="tx1"/>
            </w14:solidFill>
          </w14:textFill>
        </w:rPr>
        <w:t>（姓名）</w:t>
      </w:r>
      <w:r>
        <w:rPr>
          <w:rFonts w:hint="eastAsia" w:ascii="宋体" w:hAnsi="宋体" w:cs="宋体"/>
          <w:color w:val="000000" w:themeColor="text1"/>
          <w:szCs w:val="21"/>
          <w14:textFill>
            <w14:solidFill>
              <w14:schemeClr w14:val="tx1"/>
            </w14:solidFill>
          </w14:textFill>
        </w:rPr>
        <w:t>为我方代理人。代理人根据授权，以我的名义签署、澄清、说明、补正、递交、撤回、修改</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cs="宋体"/>
          <w:color w:val="000000" w:themeColor="text1"/>
          <w:szCs w:val="21"/>
          <w14:textFill>
            <w14:solidFill>
              <w14:schemeClr w14:val="tx1"/>
            </w14:solidFill>
          </w14:textFill>
        </w:rPr>
        <w:t>标段投标文件、鉴定合同和处理有关事宜，其法律后果由我方承担。</w:t>
      </w:r>
    </w:p>
    <w:p>
      <w:pPr>
        <w:spacing w:line="560" w:lineRule="exact"/>
        <w:ind w:firstLine="57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pStyle w:val="26"/>
        <w:spacing w:line="560" w:lineRule="exact"/>
        <w:ind w:right="-553" w:firstLine="57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pPr>
        <w:pStyle w:val="26"/>
        <w:spacing w:line="560" w:lineRule="exact"/>
        <w:ind w:right="-553" w:firstLine="57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部门:</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。职务:</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tbl>
      <w:tblPr>
        <w:tblStyle w:val="46"/>
        <w:tblW w:w="93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身份证复印件（人像面）</w:t>
            </w:r>
          </w:p>
        </w:tc>
        <w:tc>
          <w:tcPr>
            <w:tcW w:w="445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代理人</w:t>
            </w:r>
            <w:r>
              <w:rPr>
                <w:rFonts w:hint="eastAsia" w:ascii="宋体" w:hAnsi="宋体" w:cs="宋体"/>
                <w:color w:val="000000" w:themeColor="text1"/>
                <w:szCs w:val="21"/>
                <w14:textFill>
                  <w14:solidFill>
                    <w14:schemeClr w14:val="tx1"/>
                  </w14:solidFill>
                </w14:textFill>
              </w:rPr>
              <w:t>身份证复印件（人像面）</w:t>
            </w:r>
          </w:p>
        </w:tc>
      </w:tr>
    </w:tbl>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投标单位：（盖企业公章）</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委托代理人：（签字）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电话：</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传真：</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邮政编号：</w:t>
      </w:r>
    </w:p>
    <w:p>
      <w:pPr>
        <w:tabs>
          <w:tab w:val="left" w:pos="0"/>
        </w:tabs>
        <w:spacing w:line="560" w:lineRule="exact"/>
        <w:ind w:firstLine="3465" w:firstLineChars="16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before="156" w:beforeLines="50"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kern w:val="0"/>
          <w:sz w:val="28"/>
          <w:szCs w:val="28"/>
          <w14:textFill>
            <w14:solidFill>
              <w14:schemeClr w14:val="tx1"/>
            </w14:solidFill>
          </w14:textFill>
        </w:rPr>
        <w:t>附件3</w:t>
      </w:r>
    </w:p>
    <w:p>
      <w:pPr>
        <w:adjustRightInd w:val="0"/>
        <w:snapToGrid w:val="0"/>
        <w:spacing w:line="360" w:lineRule="auto"/>
        <w:ind w:firstLine="562" w:firstLineChars="200"/>
        <w:jc w:val="center"/>
        <w:rPr>
          <w:rFonts w:hint="eastAsia" w:ascii="宋体" w:hAnsi="宋体"/>
          <w:b/>
          <w:sz w:val="28"/>
          <w:szCs w:val="28"/>
          <w:highlight w:val="none"/>
          <w:lang w:eastAsia="zh-CN"/>
        </w:rPr>
      </w:pPr>
      <w:r>
        <w:rPr>
          <w:rFonts w:hint="eastAsia" w:ascii="宋体" w:hAnsi="宋体"/>
          <w:b/>
          <w:sz w:val="28"/>
          <w:szCs w:val="28"/>
          <w:highlight w:val="none"/>
          <w:lang w:eastAsia="zh-CN"/>
        </w:rPr>
        <w:t>政府采购供应商信用承诺函</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r>
        <w:rPr>
          <w:rFonts w:hint="eastAsia"/>
        </w:rPr>
        <w:t>致_</w:t>
      </w:r>
      <w:r>
        <w:rPr>
          <w:rFonts w:hint="eastAsia"/>
          <w:u w:val="single"/>
          <w:lang w:val="en-US" w:eastAsia="zh-CN"/>
        </w:rPr>
        <w:t xml:space="preserve">                </w:t>
      </w:r>
      <w:r>
        <w:rPr>
          <w:rFonts w:hint="eastAsia"/>
          <w:u w:val="single"/>
        </w:rPr>
        <w:t>_</w:t>
      </w:r>
      <w:r>
        <w:rPr>
          <w:rFonts w:hint="eastAsia"/>
        </w:rPr>
        <w:t>(采购人或采购代理机构)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单位名称(自然人姓名):</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统一社会信用代码( 身份证号码):</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法定代表人(负责人):</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联系地址和电话:</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为维护公平、公正、公开的政府采购市场秩序,树立诚实守信的政府采购供应商形象，我单位(本人)自愿作出以下承诺: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一、我单位(本人)自愿参加</w:t>
      </w:r>
      <w:r>
        <w:rPr>
          <w:rFonts w:hint="eastAsia"/>
          <w:u w:val="single"/>
          <w:lang w:val="en-US" w:eastAsia="zh-CN"/>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(五)参加政府采购活动前三年内，在经营活动中没有重大违法记录;成立不足三年的，为实际时间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(六)未被列入经营异常名录或者严重违法失信名单、失信被执行人、重大税收违法案件当事人名单、政府采购严重违法失信行为记录名单;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(九)符合法律、行政法规规定的其他条件。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w:t>
      </w:r>
      <w:r>
        <w:rPr>
          <w:rFonts w:hint="eastAsia"/>
          <w:lang w:eastAsia="zh-CN"/>
        </w:rPr>
        <w:t>相应法律</w:t>
      </w:r>
      <w:r>
        <w:rPr>
          <w:rFonts w:hint="eastAsia"/>
        </w:rPr>
        <w:t>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righ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供应商(印章):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法定代表人、负责人、本人、或授权代表(签字或印章):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⑤具备履行合同所必需的设备和专业技术能力的承诺</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lang w:eastAsia="zh-CN"/>
          <w14:textFill>
            <w14:solidFill>
              <w14:schemeClr w14:val="tx1"/>
            </w14:solidFill>
          </w14:textFill>
        </w:rPr>
        <w:t>⑥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ind w:firstLine="420" w:firstLineChars="200"/>
      </w:pPr>
      <w:r>
        <w:rPr>
          <w:rFonts w:hint="eastAsia"/>
        </w:rPr>
        <w:t>3.投标人的法定代表人或者授权代表的签字或盖章应真实、有效，如由授权代表签字或盖章的，应提供“法定代表人授权书”。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spacing w:line="360" w:lineRule="auto"/>
      </w:pPr>
    </w:p>
    <w:p>
      <w:pPr>
        <w:adjustRightInd w:val="0"/>
        <w:snapToGrid w:val="0"/>
        <w:spacing w:line="360" w:lineRule="auto"/>
        <w:ind w:right="2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附件4</w:t>
      </w:r>
    </w:p>
    <w:p>
      <w:pPr>
        <w:autoSpaceDE w:val="0"/>
        <w:autoSpaceDN w:val="0"/>
        <w:adjustRightInd w:val="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r>
        <w:rPr>
          <w:rFonts w:hint="eastAsia" w:ascii="宋体" w:hAnsi="宋体" w:cs="宋体"/>
          <w:b/>
          <w:color w:val="000000" w:themeColor="text1"/>
          <w:kern w:val="0"/>
          <w:sz w:val="28"/>
          <w:szCs w:val="28"/>
          <w14:textFill>
            <w14:solidFill>
              <w14:schemeClr w14:val="tx1"/>
            </w14:solidFill>
          </w14:textFill>
        </w:rPr>
        <w:t xml:space="preserve">         信用记录</w:t>
      </w:r>
    </w:p>
    <w:p>
      <w:pPr>
        <w:widowControl/>
        <w:adjustRightInd w:val="0"/>
        <w:snapToGrid w:val="0"/>
        <w:spacing w:line="360" w:lineRule="auto"/>
        <w:ind w:firstLine="444" w:firstLineChars="200"/>
        <w:jc w:val="center"/>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（复印件并加盖投标单位公章）</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投标单位须提供本单位近3年（本项目至递交投标文件截止日前）“信用中国”网站（www.creditchina.gov.cn）及中国政府采购网（www.ccgp.gov.cn）已公布的信用记录查询截图。</w:t>
      </w:r>
      <w:r>
        <w:rPr>
          <w:rFonts w:hint="eastAsia"/>
          <w:b/>
          <w:bCs/>
        </w:rPr>
        <w:t>（网页打印件须自招标文件发布之日起至投标截止时间从上述网站中</w:t>
      </w:r>
      <w:r>
        <w:rPr>
          <w:rFonts w:hint="eastAsia"/>
          <w:b/>
          <w:bCs/>
          <w:lang w:eastAsia="zh-CN"/>
        </w:rPr>
        <w:t>通过浏览器打印</w:t>
      </w:r>
      <w:r>
        <w:rPr>
          <w:rFonts w:hint="eastAsia"/>
          <w:b/>
          <w:bCs/>
        </w:rPr>
        <w:t>）</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截图含1）被列入失信被执行人</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2）重大税收违法案件当事人名单的投标单位</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3）列入政府采购严重违法失信行为记录名单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adjustRightInd w:val="0"/>
        <w:snapToGrid w:val="0"/>
        <w:ind w:left="-88" w:leftChars="-42" w:firstLine="222" w:firstLineChars="100"/>
        <w:jc w:val="center"/>
        <w:rPr>
          <w:rFonts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例如：网站搜索页输入投标单位名称，</w:t>
      </w:r>
      <w:r>
        <w:rPr>
          <w:rFonts w:hint="eastAsia" w:ascii="宋体" w:hAnsi="宋体" w:cs="宋体"/>
          <w:color w:val="000000" w:themeColor="text1"/>
          <w:spacing w:val="6"/>
          <w:kern w:val="0"/>
          <w:szCs w:val="21"/>
          <w:lang w:eastAsia="zh-CN"/>
          <w14:textFill>
            <w14:solidFill>
              <w14:schemeClr w14:val="tx1"/>
            </w14:solidFill>
          </w14:textFill>
        </w:rPr>
        <w:t>通过浏览器</w:t>
      </w:r>
      <w:r>
        <w:rPr>
          <w:rFonts w:hint="eastAsia" w:ascii="宋体" w:hAnsi="宋体" w:cs="宋体"/>
          <w:color w:val="000000" w:themeColor="text1"/>
          <w:spacing w:val="6"/>
          <w:kern w:val="0"/>
          <w:szCs w:val="21"/>
          <w14:textFill>
            <w14:solidFill>
              <w14:schemeClr w14:val="tx1"/>
            </w14:solidFill>
          </w14:textFill>
        </w:rPr>
        <w:t>查询结果</w:t>
      </w: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sectPr>
          <w:headerReference r:id="rId19" w:type="default"/>
          <w:footerReference r:id="rId20"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ascii="宋体" w:hAnsi="宋体"/>
          <w:bCs/>
          <w:sz w:val="28"/>
          <w:szCs w:val="28"/>
        </w:rPr>
      </w:pPr>
      <w:r>
        <w:rPr>
          <w:rFonts w:hint="eastAsia" w:ascii="宋体" w:hAnsi="宋体" w:cs="宋体"/>
          <w:bCs/>
          <w:sz w:val="28"/>
          <w:szCs w:val="28"/>
        </w:rPr>
        <w:t>附件5：</w:t>
      </w:r>
      <w:r>
        <w:rPr>
          <w:rFonts w:hint="eastAsia" w:ascii="宋体" w:hAnsi="宋体"/>
          <w:bCs/>
          <w:sz w:val="28"/>
          <w:szCs w:val="28"/>
        </w:rPr>
        <w:t>保证金缴纳证明</w:t>
      </w:r>
    </w:p>
    <w:p>
      <w:pPr>
        <w:pStyle w:val="25"/>
        <w:tabs>
          <w:tab w:val="left" w:pos="1470"/>
          <w:tab w:val="right" w:leader="dot" w:pos="8296"/>
        </w:tabs>
        <w:jc w:val="center"/>
        <w:rPr>
          <w:rFonts w:ascii="宋体" w:hAnsi="宋体"/>
          <w:b/>
          <w:bCs/>
          <w:i w:val="0"/>
          <w:iCs w:val="0"/>
          <w:sz w:val="28"/>
          <w:szCs w:val="28"/>
        </w:rPr>
      </w:pPr>
    </w:p>
    <w:p>
      <w:pPr>
        <w:pStyle w:val="25"/>
        <w:tabs>
          <w:tab w:val="left" w:pos="1470"/>
          <w:tab w:val="right" w:leader="dot" w:pos="8296"/>
        </w:tabs>
        <w:jc w:val="center"/>
        <w:rPr>
          <w:rFonts w:ascii="宋体" w:hAnsi="宋体"/>
          <w:b/>
          <w:bCs/>
          <w:i w:val="0"/>
          <w:iCs w:val="0"/>
          <w:sz w:val="28"/>
          <w:szCs w:val="28"/>
        </w:rPr>
      </w:pPr>
      <w:r>
        <w:rPr>
          <w:rFonts w:hint="eastAsia" w:ascii="宋体" w:hAnsi="宋体"/>
          <w:b/>
          <w:bCs/>
          <w:i w:val="0"/>
          <w:iCs w:val="0"/>
          <w:sz w:val="28"/>
          <w:szCs w:val="28"/>
        </w:rPr>
        <w:t>本页附自行打印的银行流水单复印件/支票复印件/保函复印件等。</w:t>
      </w:r>
    </w:p>
    <w:p>
      <w:pPr>
        <w:autoSpaceDE w:val="0"/>
        <w:autoSpaceDN w:val="0"/>
        <w:adjustRightInd w:val="0"/>
        <w:jc w:val="both"/>
        <w:rPr>
          <w:rFonts w:hint="eastAsia"/>
          <w:lang w:val="en-US" w:eastAsia="zh-CN"/>
        </w:rPr>
      </w:pPr>
      <w:r>
        <w:rPr>
          <w:rFonts w:hint="eastAsia" w:ascii="宋体" w:hAnsi="宋体" w:eastAsia="宋体"/>
          <w:b w:val="0"/>
          <w:bCs w:val="0"/>
        </w:rPr>
        <w:t>注：</w:t>
      </w:r>
      <w:r>
        <w:rPr>
          <w:rFonts w:hint="eastAsia" w:ascii="宋体" w:hAnsi="宋体"/>
          <w:b w:val="0"/>
          <w:bCs w:val="0"/>
          <w:lang w:val="en-US" w:eastAsia="zh-CN"/>
        </w:rPr>
        <w:t>如</w:t>
      </w:r>
      <w:r>
        <w:rPr>
          <w:rFonts w:hint="eastAsia"/>
        </w:rPr>
        <w:t>通过以支票、汇票、本票、保函等非现金形式缴纳或提交保证金</w:t>
      </w:r>
      <w:r>
        <w:rPr>
          <w:rFonts w:hint="eastAsia"/>
          <w:lang w:val="en-US" w:eastAsia="zh-CN"/>
        </w:rPr>
        <w:t>，请附相关证明于此页。</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jc w:val="center"/>
        <w:rPr>
          <w:rFonts w:hint="default" w:ascii="宋体" w:hAnsi="宋体" w:eastAsia="宋体" w:cs="Times New Roman"/>
          <w:b/>
          <w:bCs/>
          <w:i w:val="0"/>
          <w:iCs w:val="0"/>
          <w:kern w:val="2"/>
          <w:sz w:val="28"/>
          <w:szCs w:val="28"/>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i w:val="0"/>
          <w:iCs w:val="0"/>
          <w:kern w:val="2"/>
          <w:sz w:val="28"/>
          <w:szCs w:val="28"/>
          <w:highlight w:val="yellow"/>
          <w:lang w:val="en-US" w:eastAsia="zh-CN" w:bidi="ar-SA"/>
        </w:rPr>
        <w:t>本项目无需提供</w:t>
      </w:r>
    </w:p>
    <w:p>
      <w:pPr>
        <w:adjustRightInd w:val="0"/>
        <w:snapToGrid w:val="0"/>
        <w:spacing w:line="360" w:lineRule="auto"/>
        <w:ind w:right="24"/>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附件6</w:t>
      </w:r>
    </w:p>
    <w:p>
      <w:pPr>
        <w:adjustRightInd w:val="0"/>
        <w:snapToGrid w:val="0"/>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开标一览表 </w:t>
      </w:r>
    </w:p>
    <w:p>
      <w:pPr>
        <w:pStyle w:val="25"/>
        <w:tabs>
          <w:tab w:val="left" w:pos="1470"/>
          <w:tab w:val="right" w:leader="dot" w:pos="8296"/>
        </w:tabs>
        <w:rPr>
          <w:rFonts w:ascii="宋体" w:hAnsi="宋体" w:cs="宋体"/>
          <w:color w:val="000000" w:themeColor="text1"/>
          <w14:textFill>
            <w14:solidFill>
              <w14:schemeClr w14:val="tx1"/>
            </w14:solidFill>
          </w14:textFill>
        </w:rPr>
      </w:pP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bl>
      <w:tblPr>
        <w:tblStyle w:val="46"/>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127"/>
        <w:gridCol w:w="4012"/>
        <w:gridCol w:w="1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6139"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165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4012"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c>
          <w:tcPr>
            <w:tcW w:w="165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投标报价（元</w:t>
            </w:r>
            <w:r>
              <w:rPr>
                <w:rFonts w:hint="eastAsia" w:ascii="宋体" w:hAnsi="宋体" w:cs="宋体"/>
                <w:color w:val="000000" w:themeColor="text1"/>
                <w:szCs w:val="21"/>
                <w:lang w:val="en-US" w:eastAsia="zh-CN"/>
                <w14:textFill>
                  <w14:solidFill>
                    <w14:schemeClr w14:val="tx1"/>
                  </w14:solidFill>
                </w14:textFill>
              </w:rPr>
              <w:t>/袋</w:t>
            </w:r>
            <w:r>
              <w:rPr>
                <w:rFonts w:hint="eastAsia" w:ascii="宋体" w:hAnsi="宋体" w:cs="宋体"/>
                <w:color w:val="000000" w:themeColor="text1"/>
                <w:szCs w:val="21"/>
                <w14:textFill>
                  <w14:solidFill>
                    <w14:schemeClr w14:val="tx1"/>
                  </w14:solidFill>
                </w14:textFill>
              </w:rPr>
              <w:t>）</w:t>
            </w:r>
          </w:p>
        </w:tc>
        <w:tc>
          <w:tcPr>
            <w:tcW w:w="40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16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本项目为单价采购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履约期限</w:t>
            </w:r>
          </w:p>
        </w:tc>
        <w:tc>
          <w:tcPr>
            <w:tcW w:w="40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u w:val="single"/>
                <w14:textFill>
                  <w14:solidFill>
                    <w14:schemeClr w14:val="tx1"/>
                  </w14:solidFill>
                </w14:textFill>
              </w:rPr>
            </w:pPr>
          </w:p>
        </w:tc>
        <w:tc>
          <w:tcPr>
            <w:tcW w:w="16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质保期</w:t>
            </w:r>
          </w:p>
        </w:tc>
        <w:tc>
          <w:tcPr>
            <w:tcW w:w="40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c>
          <w:tcPr>
            <w:tcW w:w="16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核心产品品牌</w:t>
            </w:r>
          </w:p>
        </w:tc>
        <w:tc>
          <w:tcPr>
            <w:tcW w:w="4012"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c>
          <w:tcPr>
            <w:tcW w:w="1655"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2、报价包括完成本项目招标范围内所有其他平台数据对接费用、运输费、人工费、保险费、增值税、仓储费，操作方面的培训费、调试费、保修期内的维修所需的备件费以及上门服务等所有相关费用。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黑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4、加注“▲”号的产品为核心产品，任意一种核心产品为同一品牌时，按照87号令第三十一条执行。</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jc w:val="right"/>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pPr>
        <w:adjustRightInd w:val="0"/>
        <w:snapToGrid w:val="0"/>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附件7</w:t>
      </w:r>
    </w:p>
    <w:p>
      <w:pPr>
        <w:pStyle w:val="74"/>
        <w:numPr>
          <w:ilvl w:val="0"/>
          <w:numId w:val="0"/>
        </w:numPr>
        <w:rPr>
          <w:b/>
          <w:bCs/>
          <w:color w:val="000000" w:themeColor="text1"/>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投标函</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(采购人或采购代理机构)：</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我方己仔细研究了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(项目名称)的招标文件（项目编号：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）的全部内容，知悉参加投标的风险，我方承诺接受招标文件的全部条款且无任何异议。</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一、我方同意在招标文件中规定的提交投标文件截止时间起</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日内(投标文件有效期)遵守本投标文件中的承诺且在此期限期满之前均具有法律约束力。</w:t>
      </w:r>
    </w:p>
    <w:p>
      <w:pPr>
        <w:pStyle w:val="26"/>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二、我方提交加密投标文件电子版</w:t>
      </w:r>
      <w:r>
        <w:rPr>
          <w:rFonts w:hint="eastAsia" w:ascii="宋体" w:hAnsi="宋体"/>
          <w:color w:val="000000" w:themeColor="text1"/>
          <w:sz w:val="21"/>
          <w:szCs w:val="21"/>
          <w:u w:val="single"/>
          <w14:textFill>
            <w14:solidFill>
              <w14:schemeClr w14:val="tx1"/>
            </w14:solidFill>
          </w14:textFill>
        </w:rPr>
        <w:t xml:space="preserve">   壹  </w:t>
      </w:r>
      <w:r>
        <w:rPr>
          <w:rFonts w:hint="eastAsia" w:ascii="宋体" w:hAnsi="宋体"/>
          <w:color w:val="000000" w:themeColor="text1"/>
          <w:sz w:val="21"/>
          <w:szCs w:val="21"/>
          <w14:textFill>
            <w14:solidFill>
              <w14:schemeClr w14:val="tx1"/>
            </w14:solidFill>
          </w14:textFill>
        </w:rPr>
        <w:t>份，并保证投标文件提供的数据和材料是真实、准确的。否则，愿承担《政府采购法》</w:t>
      </w:r>
      <w:r>
        <w:rPr>
          <w:rFonts w:hint="eastAsia" w:ascii="宋体" w:hAnsi="宋体"/>
          <w:bCs/>
          <w:color w:val="000000" w:themeColor="text1"/>
          <w:sz w:val="21"/>
          <w:szCs w:val="21"/>
          <w14:textFill>
            <w14:solidFill>
              <w14:schemeClr w14:val="tx1"/>
            </w14:solidFill>
          </w14:textFill>
        </w:rPr>
        <w:t>第七十七条规定的法律责任。</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三、我方愿意向贵方提供任何与本项采购有关的数据、情况和技术资料。若贵方需要，我方愿意提供我方作出的一切承诺的证明材料。</w:t>
      </w:r>
    </w:p>
    <w:p>
      <w:pPr>
        <w:pStyle w:val="26"/>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四、我方承诺遵守《政府采购法》的有关规定，保证在获得中标资格后，按照招标文件确定的事项签订政府采购合同，履行双方所签订的合同，并承担合同规定的责任和义务。</w:t>
      </w:r>
    </w:p>
    <w:p>
      <w:pPr>
        <w:pStyle w:val="26"/>
        <w:adjustRightInd w:val="0"/>
        <w:snapToGrid w:val="0"/>
        <w:spacing w:line="360" w:lineRule="auto"/>
        <w:ind w:firstLine="480" w:firstLineChars="200"/>
        <w:rPr>
          <w:rFonts w:ascii="宋体" w:hAnsi="宋体" w:cs="宋体"/>
          <w:color w:val="000000" w:themeColor="text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附件1：</w:t>
      </w:r>
      <w:r>
        <w:rPr>
          <w:rFonts w:hint="eastAsia" w:ascii="宋体" w:hAnsi="宋体" w:cs="宋体"/>
          <w:color w:val="000000" w:themeColor="text1"/>
          <w:szCs w:val="21"/>
          <w14:textFill>
            <w14:solidFill>
              <w14:schemeClr w14:val="tx1"/>
            </w14:solidFill>
          </w14:textFill>
        </w:rPr>
        <w:t>法定代表人身份证明(法定代表人参加招标)</w:t>
      </w: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附件2</w:t>
      </w:r>
      <w:r>
        <w:rPr>
          <w:rFonts w:hint="eastAsia" w:ascii="宋体" w:hAnsi="宋体" w:cs="宋体"/>
          <w:color w:val="000000" w:themeColor="text1"/>
          <w:szCs w:val="21"/>
          <w14:textFill>
            <w14:solidFill>
              <w14:schemeClr w14:val="tx1"/>
            </w14:solidFill>
          </w14:textFill>
        </w:rPr>
        <w:t>：法定代表人授权书(委托代理人参加招标)</w:t>
      </w:r>
    </w:p>
    <w:p>
      <w:pPr>
        <w:pStyle w:val="26"/>
        <w:adjustRightInd w:val="0"/>
        <w:snapToGrid w:val="0"/>
        <w:spacing w:line="360" w:lineRule="auto"/>
        <w:rPr>
          <w:rFonts w:ascii="宋体" w:hAnsi="宋体" w:cs="宋体"/>
          <w:color w:val="000000" w:themeColor="text1"/>
          <w14:textFill>
            <w14:solidFill>
              <w14:schemeClr w14:val="tx1"/>
            </w14:solidFill>
          </w14:textFill>
        </w:rPr>
      </w:pPr>
    </w:p>
    <w:p>
      <w:pPr>
        <w:pStyle w:val="26"/>
        <w:adjustRightInd w:val="0"/>
        <w:snapToGrid w:val="0"/>
        <w:spacing w:line="360" w:lineRule="auto"/>
        <w:rPr>
          <w:rFonts w:ascii="宋体" w:hAnsi="宋体" w:cs="宋体"/>
          <w:color w:val="000000" w:themeColor="text1"/>
          <w14:textFill>
            <w14:solidFill>
              <w14:schemeClr w14:val="tx1"/>
            </w14:solidFill>
          </w14:textFill>
        </w:rPr>
      </w:pPr>
    </w:p>
    <w:p>
      <w:pPr>
        <w:pStyle w:val="26"/>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color w:val="000000" w:themeColor="text1"/>
          <w:sz w:val="32"/>
          <w:szCs w:val="32"/>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附件8</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投标人基本情况表</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盖投标人单位章</w:t>
      </w:r>
    </w:p>
    <w:tbl>
      <w:tblPr>
        <w:tblStyle w:val="46"/>
        <w:tblW w:w="8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777"/>
        <w:gridCol w:w="163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组织机构代码</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上年营业收入</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固定电话</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1409" w:type="dxa"/>
            <w:vAlign w:val="center"/>
          </w:tcPr>
          <w:p>
            <w:pPr>
              <w:topLinePunct/>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w:t>
            </w: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注册号码</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发证日期</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营业范围</w:t>
            </w:r>
          </w:p>
        </w:tc>
        <w:tc>
          <w:tcPr>
            <w:tcW w:w="5555" w:type="dxa"/>
            <w:gridSpan w:val="6"/>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基本账户开户行及帐号</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税务登记机关</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资质名称</w:t>
            </w: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等级</w:t>
            </w: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7060" w:type="dxa"/>
            <w:gridSpan w:val="8"/>
            <w:vAlign w:val="center"/>
          </w:tcPr>
          <w:p>
            <w:pPr>
              <w:topLinePunct/>
              <w:spacing w:line="44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jc w:val="center"/>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32"/>
          <w:szCs w:val="32"/>
          <w14:textFill>
            <w14:solidFill>
              <w14:schemeClr w14:val="tx1"/>
            </w14:solidFill>
          </w14:textFill>
        </w:r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pStyle w:val="4"/>
        <w:rPr>
          <w:rFonts w:hint="eastAsia" w:ascii="宋体" w:hAnsi="宋体" w:cs="宋体"/>
          <w:bCs/>
          <w:color w:val="000000" w:themeColor="text1"/>
          <w:szCs w:val="21"/>
          <w14:textFill>
            <w14:solidFill>
              <w14:schemeClr w14:val="tx1"/>
            </w14:solidFill>
          </w14:textFill>
        </w:rPr>
      </w:pPr>
    </w:p>
    <w:p>
      <w:r>
        <w:br w:type="page"/>
      </w:r>
    </w:p>
    <w:p>
      <w:pPr>
        <w:adjustRightInd w:val="0"/>
        <w:snapToGrid w:val="0"/>
        <w:rPr>
          <w:rFonts w:hint="default" w:ascii="宋体" w:hAnsi="宋体" w:eastAsia="宋体" w:cs="宋体"/>
          <w:b/>
          <w:color w:val="000000"/>
          <w:sz w:val="28"/>
          <w:szCs w:val="28"/>
          <w:lang w:val="en-US" w:eastAsia="zh-CN"/>
        </w:rPr>
      </w:pPr>
      <w:r>
        <w:rPr>
          <w:rFonts w:hint="eastAsia" w:ascii="宋体" w:hAnsi="宋体" w:cs="宋体"/>
          <w:color w:val="000000" w:themeColor="text1"/>
          <w:sz w:val="24"/>
          <w14:textFill>
            <w14:solidFill>
              <w14:schemeClr w14:val="tx1"/>
            </w14:solidFill>
          </w14:textFill>
        </w:rPr>
        <w:t>附件9</w:t>
      </w:r>
      <w:r>
        <w:rPr>
          <w:rFonts w:hint="eastAsia" w:ascii="宋体" w:hAnsi="宋体" w:cs="宋体"/>
          <w:color w:val="000000" w:themeColor="text1"/>
          <w:sz w:val="24"/>
          <w:lang w:val="en-US" w:eastAsia="zh-CN"/>
          <w14:textFill>
            <w14:solidFill>
              <w14:schemeClr w14:val="tx1"/>
            </w14:solidFill>
          </w14:textFill>
        </w:rPr>
        <w:t>-1</w:t>
      </w:r>
    </w:p>
    <w:p>
      <w:pPr>
        <w:adjustRightInd w:val="0"/>
        <w:snapToGrid w:val="0"/>
        <w:spacing w:line="360" w:lineRule="auto"/>
        <w:ind w:firstLine="562" w:firstLineChars="200"/>
        <w:jc w:val="center"/>
        <w:rPr>
          <w:rFonts w:ascii="宋体" w:hAnsi="宋体" w:cs="宋体"/>
          <w:b/>
          <w:color w:val="000000"/>
          <w:sz w:val="28"/>
          <w:szCs w:val="28"/>
        </w:rPr>
      </w:pPr>
      <w:r>
        <w:rPr>
          <w:rFonts w:hint="eastAsia" w:ascii="宋体" w:hAnsi="宋体" w:cs="宋体"/>
          <w:b/>
          <w:color w:val="000000"/>
          <w:sz w:val="28"/>
          <w:szCs w:val="28"/>
        </w:rPr>
        <w:t>无</w:t>
      </w:r>
      <w:r>
        <w:rPr>
          <w:rFonts w:hint="eastAsia" w:ascii="宋体" w:hAnsi="宋体" w:cs="宋体"/>
          <w:b/>
          <w:color w:val="000000"/>
          <w:sz w:val="28"/>
          <w:szCs w:val="28"/>
          <w:lang w:eastAsia="zh-CN"/>
        </w:rPr>
        <w:t>质量安全事故</w:t>
      </w:r>
      <w:r>
        <w:rPr>
          <w:rFonts w:hint="eastAsia" w:ascii="宋体" w:hAnsi="宋体" w:cs="宋体"/>
          <w:b/>
          <w:color w:val="000000"/>
          <w:sz w:val="28"/>
          <w:szCs w:val="28"/>
        </w:rPr>
        <w:t>声明书</w:t>
      </w:r>
    </w:p>
    <w:p>
      <w:pPr>
        <w:widowControl/>
        <w:adjustRightInd w:val="0"/>
        <w:snapToGrid w:val="0"/>
        <w:spacing w:line="360" w:lineRule="auto"/>
        <w:jc w:val="center"/>
        <w:rPr>
          <w:rFonts w:ascii="宋体" w:hAnsi="宋体" w:cs="宋体"/>
          <w:color w:val="000000"/>
          <w:szCs w:val="21"/>
        </w:rPr>
      </w:pPr>
    </w:p>
    <w:p>
      <w:pPr>
        <w:adjustRightInd w:val="0"/>
        <w:snapToGrid w:val="0"/>
        <w:spacing w:line="360" w:lineRule="auto"/>
        <w:rPr>
          <w:rFonts w:ascii="宋体" w:hAnsi="宋体" w:cs="宋体"/>
          <w:color w:val="000000"/>
          <w:szCs w:val="21"/>
        </w:rPr>
      </w:pPr>
      <w:r>
        <w:rPr>
          <w:rFonts w:hint="eastAsia" w:ascii="宋体" w:hAnsi="宋体" w:cs="宋体"/>
          <w:color w:val="000000"/>
          <w:szCs w:val="21"/>
          <w:u w:val="single"/>
        </w:rPr>
        <w:t xml:space="preserve">（采购人）         </w:t>
      </w:r>
      <w:r>
        <w:rPr>
          <w:rFonts w:hint="eastAsia" w:ascii="宋体" w:hAnsi="宋体" w:cs="宋体"/>
          <w:color w:val="000000"/>
          <w:szCs w:val="21"/>
        </w:rPr>
        <w:t>：</w:t>
      </w:r>
    </w:p>
    <w:p>
      <w:pPr>
        <w:adjustRightInd w:val="0"/>
        <w:snapToGrid w:val="0"/>
        <w:spacing w:line="360" w:lineRule="auto"/>
        <w:ind w:firstLine="420" w:firstLineChars="200"/>
        <w:rPr>
          <w:rFonts w:ascii="宋体" w:hAnsi="宋体" w:cs="宋体"/>
          <w:color w:val="000000"/>
          <w:szCs w:val="21"/>
        </w:rPr>
      </w:pP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我公司参与</w:t>
      </w:r>
      <w:r>
        <w:rPr>
          <w:rFonts w:hint="eastAsia" w:ascii="宋体" w:hAnsi="宋体" w:cs="宋体"/>
          <w:color w:val="000000"/>
          <w:szCs w:val="21"/>
          <w:u w:val="single"/>
        </w:rPr>
        <w:t xml:space="preserve">                          （</w:t>
      </w:r>
      <w:r>
        <w:rPr>
          <w:rFonts w:hint="eastAsia" w:ascii="宋体" w:hAnsi="宋体" w:cs="宋体"/>
          <w:color w:val="000000"/>
          <w:szCs w:val="21"/>
        </w:rPr>
        <w:t>项目名称、编号）招标，本公司郑重声明，我方参加本项目政府采购活动前三年内</w:t>
      </w:r>
      <w:r>
        <w:rPr>
          <w:rFonts w:hint="eastAsia" w:ascii="Times New Roman" w:hAnsi="Times New Roman" w:eastAsia="宋体" w:cs="Times New Roman"/>
          <w:i w:val="0"/>
          <w:iCs w:val="0"/>
          <w:color w:val="auto"/>
          <w:kern w:val="2"/>
          <w:sz w:val="21"/>
          <w:szCs w:val="24"/>
          <w:highlight w:val="none"/>
          <w:lang w:val="en-US" w:eastAsia="zh-CN" w:bidi="ar-SA"/>
        </w:rPr>
        <w:t>液态奶产品无</w:t>
      </w:r>
      <w:r>
        <w:rPr>
          <w:rFonts w:hint="eastAsia" w:cs="Times New Roman"/>
          <w:i w:val="0"/>
          <w:iCs w:val="0"/>
          <w:color w:val="auto"/>
          <w:kern w:val="2"/>
          <w:sz w:val="21"/>
          <w:szCs w:val="24"/>
          <w:highlight w:val="none"/>
          <w:lang w:val="en-US" w:eastAsia="zh-CN" w:bidi="ar-SA"/>
        </w:rPr>
        <w:t>质量安全</w:t>
      </w:r>
      <w:r>
        <w:rPr>
          <w:rFonts w:hint="eastAsia" w:ascii="Times New Roman" w:hAnsi="Times New Roman" w:eastAsia="宋体" w:cs="Times New Roman"/>
          <w:i w:val="0"/>
          <w:iCs w:val="0"/>
          <w:color w:val="auto"/>
          <w:kern w:val="2"/>
          <w:sz w:val="21"/>
          <w:szCs w:val="24"/>
          <w:highlight w:val="none"/>
          <w:lang w:val="en-US" w:eastAsia="zh-CN" w:bidi="ar-SA"/>
        </w:rPr>
        <w:t>事故</w:t>
      </w:r>
      <w:r>
        <w:rPr>
          <w:rFonts w:hint="eastAsia" w:ascii="宋体" w:hAnsi="宋体" w:cs="宋体"/>
          <w:color w:val="000000"/>
          <w:szCs w:val="21"/>
          <w:highlight w:val="none"/>
        </w:rPr>
        <w:t>，符合《政府采购法》规定的投标单位条件。若贵方在本项目采购过程中发现我方政府采购活动前三年内有</w:t>
      </w:r>
      <w:r>
        <w:rPr>
          <w:rFonts w:hint="eastAsia" w:ascii="Times New Roman" w:hAnsi="Times New Roman" w:eastAsia="宋体" w:cs="Times New Roman"/>
          <w:i w:val="0"/>
          <w:iCs w:val="0"/>
          <w:color w:val="auto"/>
          <w:kern w:val="2"/>
          <w:sz w:val="21"/>
          <w:szCs w:val="24"/>
          <w:highlight w:val="none"/>
          <w:lang w:val="en-US" w:eastAsia="zh-CN" w:bidi="ar-SA"/>
        </w:rPr>
        <w:t>液态奶产品</w:t>
      </w:r>
      <w:r>
        <w:rPr>
          <w:rFonts w:hint="eastAsia" w:cs="Times New Roman"/>
          <w:i w:val="0"/>
          <w:iCs w:val="0"/>
          <w:color w:val="auto"/>
          <w:kern w:val="2"/>
          <w:sz w:val="21"/>
          <w:szCs w:val="24"/>
          <w:highlight w:val="none"/>
          <w:lang w:val="en-US" w:eastAsia="zh-CN" w:bidi="ar-SA"/>
        </w:rPr>
        <w:t>质量安全</w:t>
      </w:r>
      <w:r>
        <w:rPr>
          <w:rFonts w:hint="eastAsia" w:ascii="Times New Roman" w:hAnsi="Times New Roman" w:eastAsia="宋体" w:cs="Times New Roman"/>
          <w:i w:val="0"/>
          <w:iCs w:val="0"/>
          <w:color w:val="auto"/>
          <w:kern w:val="2"/>
          <w:sz w:val="21"/>
          <w:szCs w:val="24"/>
          <w:highlight w:val="none"/>
          <w:lang w:val="en-US" w:eastAsia="zh-CN" w:bidi="ar-SA"/>
        </w:rPr>
        <w:t>事故</w:t>
      </w:r>
      <w:r>
        <w:rPr>
          <w:rFonts w:hint="eastAsia" w:ascii="宋体" w:hAnsi="宋体" w:cs="宋体"/>
          <w:color w:val="000000"/>
          <w:szCs w:val="21"/>
          <w:highlight w:val="none"/>
        </w:rPr>
        <w:t>，我公司</w:t>
      </w:r>
      <w:r>
        <w:rPr>
          <w:rFonts w:hint="eastAsia" w:ascii="宋体" w:hAnsi="宋体" w:cs="宋体"/>
          <w:color w:val="000000"/>
          <w:szCs w:val="21"/>
        </w:rPr>
        <w:t>将无条件退出本项目的招标，并承担因此引起的一切后果。我方对此声明负全部法律责任。</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特此声明  </w:t>
      </w:r>
    </w:p>
    <w:p>
      <w:pPr>
        <w:adjustRightInd w:val="0"/>
        <w:snapToGrid w:val="0"/>
        <w:spacing w:line="360" w:lineRule="auto"/>
        <w:ind w:firstLine="420" w:firstLineChars="200"/>
        <w:rPr>
          <w:rFonts w:ascii="宋体" w:hAnsi="宋体" w:cs="宋体"/>
          <w:color w:val="000000"/>
          <w:szCs w:val="21"/>
        </w:rPr>
      </w:pPr>
    </w:p>
    <w:p>
      <w:pPr>
        <w:adjustRightInd w:val="0"/>
        <w:snapToGrid w:val="0"/>
        <w:spacing w:line="360" w:lineRule="auto"/>
        <w:ind w:firstLine="420" w:firstLineChars="200"/>
        <w:rPr>
          <w:rFonts w:ascii="宋体" w:hAnsi="宋体" w:cs="宋体"/>
          <w:color w:val="000000"/>
          <w:szCs w:val="21"/>
        </w:rPr>
      </w:pPr>
    </w:p>
    <w:p>
      <w:pPr>
        <w:adjustRightInd w:val="0"/>
        <w:snapToGrid w:val="0"/>
        <w:spacing w:line="360" w:lineRule="auto"/>
        <w:ind w:firstLine="420" w:firstLineChars="200"/>
        <w:rPr>
          <w:rFonts w:ascii="宋体" w:hAnsi="宋体" w:cs="宋体"/>
          <w:color w:val="000000"/>
          <w:szCs w:val="21"/>
        </w:rPr>
      </w:pPr>
    </w:p>
    <w:p>
      <w:pPr>
        <w:adjustRightInd w:val="0"/>
        <w:snapToGrid w:val="0"/>
        <w:spacing w:line="360" w:lineRule="auto"/>
        <w:ind w:firstLine="420" w:firstLineChars="200"/>
        <w:rPr>
          <w:rFonts w:ascii="宋体" w:hAnsi="宋体" w:cs="宋体"/>
          <w:color w:val="000000"/>
          <w:szCs w:val="21"/>
        </w:rPr>
      </w:pPr>
    </w:p>
    <w:p>
      <w:pPr>
        <w:adjustRightInd w:val="0"/>
        <w:snapToGrid w:val="0"/>
        <w:spacing w:line="360" w:lineRule="auto"/>
        <w:ind w:firstLine="420" w:firstLineChars="200"/>
        <w:rPr>
          <w:rFonts w:ascii="宋体" w:hAnsi="宋体" w:cs="宋体"/>
          <w:bCs/>
          <w:color w:val="000000"/>
          <w:szCs w:val="21"/>
        </w:rPr>
      </w:pPr>
    </w:p>
    <w:p>
      <w:pPr>
        <w:adjustRightInd w:val="0"/>
        <w:snapToGrid w:val="0"/>
        <w:spacing w:line="360" w:lineRule="auto"/>
        <w:ind w:firstLine="2723" w:firstLineChars="1297"/>
        <w:rPr>
          <w:rFonts w:ascii="宋体" w:hAnsi="宋体" w:cs="宋体"/>
          <w:color w:val="000000"/>
          <w:szCs w:val="21"/>
        </w:rPr>
      </w:pPr>
    </w:p>
    <w:p>
      <w:pPr>
        <w:adjustRightInd w:val="0"/>
        <w:snapToGrid w:val="0"/>
        <w:spacing w:line="360" w:lineRule="auto"/>
        <w:rPr>
          <w:rFonts w:ascii="宋体" w:hAnsi="宋体" w:cs="宋体"/>
          <w:color w:val="000000"/>
          <w:szCs w:val="21"/>
        </w:rPr>
      </w:pPr>
      <w:r>
        <w:rPr>
          <w:rFonts w:hint="eastAsia" w:ascii="宋体" w:hAnsi="宋体" w:cs="宋体"/>
          <w:color w:val="000000"/>
          <w:szCs w:val="21"/>
        </w:rPr>
        <w:t>投标单位（盖单位章）：</w:t>
      </w:r>
    </w:p>
    <w:p>
      <w:pPr>
        <w:adjustRightInd w:val="0"/>
        <w:snapToGrid w:val="0"/>
        <w:spacing w:line="360" w:lineRule="auto"/>
        <w:rPr>
          <w:rFonts w:ascii="宋体" w:hAnsi="宋体" w:cs="宋体"/>
          <w:color w:val="000000"/>
          <w:szCs w:val="21"/>
        </w:rPr>
      </w:pPr>
      <w:r>
        <w:rPr>
          <w:rFonts w:hint="eastAsia" w:ascii="宋体" w:hAnsi="宋体" w:cs="宋体"/>
          <w:color w:val="000000"/>
          <w:szCs w:val="21"/>
        </w:rPr>
        <w:t>法定代表人或其委托代理人（签字）：</w:t>
      </w:r>
      <w:r>
        <w:rPr>
          <w:rFonts w:hint="eastAsia" w:ascii="宋体" w:hAnsi="宋体" w:cs="宋体"/>
          <w:color w:val="000000"/>
          <w:szCs w:val="21"/>
          <w:u w:val="single"/>
        </w:rPr>
        <w:t xml:space="preserve">               </w:t>
      </w:r>
    </w:p>
    <w:p>
      <w:pPr>
        <w:adjustRightInd w:val="0"/>
        <w:snapToGrid w:val="0"/>
        <w:spacing w:line="360" w:lineRule="auto"/>
        <w:rPr>
          <w:rFonts w:ascii="宋体" w:hAnsi="宋体" w:cs="宋体"/>
          <w:bCs/>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bCs/>
          <w:color w:val="000000"/>
          <w:szCs w:val="21"/>
        </w:rPr>
        <w:t>日</w:t>
      </w:r>
    </w:p>
    <w:p>
      <w:pPr>
        <w:spacing w:line="360" w:lineRule="auto"/>
        <w:ind w:firstLine="3502" w:firstLineChars="1668"/>
        <w:rPr>
          <w:rFonts w:ascii="宋体" w:hAnsi="宋体" w:cs="宋体"/>
          <w:color w:val="000000"/>
          <w:szCs w:val="21"/>
        </w:rPr>
      </w:pPr>
    </w:p>
    <w:p>
      <w:pPr>
        <w:spacing w:line="360" w:lineRule="auto"/>
        <w:ind w:firstLine="3502" w:firstLineChars="1668"/>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rPr>
        <w:t>附注：近三年：成立三年以上的，为提交首次投标文件截止时间前三年内；成立不足三年的，为实际时间</w:t>
      </w:r>
      <w:r>
        <w:rPr>
          <w:rFonts w:hint="eastAsia" w:ascii="宋体" w:hAnsi="宋体" w:cs="宋体"/>
          <w:color w:val="000000"/>
          <w:szCs w:val="21"/>
        </w:rPr>
        <w:t>。</w:t>
      </w:r>
    </w:p>
    <w:p>
      <w:pPr>
        <w:pStyle w:val="4"/>
        <w:sectPr>
          <w:pgSz w:w="11906" w:h="16838"/>
          <w:pgMar w:top="1440" w:right="1797" w:bottom="1440" w:left="1797" w:header="851" w:footer="992" w:gutter="0"/>
          <w:cols w:space="720" w:num="1"/>
          <w:docGrid w:linePitch="312" w:charSpace="0"/>
        </w:sectPr>
      </w:pPr>
      <w:r>
        <w:rPr>
          <w:rFonts w:hint="eastAsia" w:ascii="宋体" w:hAnsi="宋体" w:cs="宋体"/>
          <w:bCs/>
          <w:color w:val="000000"/>
          <w:sz w:val="28"/>
          <w:szCs w:val="28"/>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附件10</w:t>
      </w:r>
    </w:p>
    <w:p>
      <w:pPr>
        <w:pStyle w:val="22"/>
        <w:ind w:left="0" w:leftChars="0" w:firstLine="0" w:firstLineChars="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参数偏离表（商务、技术）</w:t>
      </w:r>
    </w:p>
    <w:p>
      <w:pPr>
        <w:pStyle w:val="22"/>
        <w:ind w:left="0" w:leftChars="0" w:firstLine="0" w:firstLineChars="0"/>
        <w:jc w:val="center"/>
        <w:rPr>
          <w:rFonts w:ascii="宋体" w:hAnsi="宋体" w:cs="宋体"/>
          <w:color w:val="000000"/>
          <w:szCs w:val="21"/>
        </w:rPr>
      </w:pPr>
      <w:r>
        <w:rPr>
          <w:rFonts w:hint="eastAsia" w:ascii="宋体" w:hAnsi="宋体" w:cs="宋体"/>
          <w:color w:val="000000"/>
          <w:szCs w:val="21"/>
        </w:rPr>
        <w:t>（此页需关联至评分项“产品配置、技术参数”中）</w:t>
      </w:r>
    </w:p>
    <w:p>
      <w:pPr>
        <w:autoSpaceDE w:val="0"/>
        <w:autoSpaceDN w:val="0"/>
        <w:ind w:right="471"/>
        <w:textAlignment w:val="bottom"/>
        <w:rPr>
          <w:rFonts w:ascii="宋体" w:hAnsi="宋体" w:cs="Arial"/>
          <w:color w:val="000000" w:themeColor="text1"/>
          <w:u w:val="single"/>
          <w14:textFill>
            <w14:solidFill>
              <w14:schemeClr w14:val="tx1"/>
            </w14:solidFill>
          </w14:textFill>
        </w:rPr>
      </w:pPr>
    </w:p>
    <w:tbl>
      <w:tblPr>
        <w:tblStyle w:val="46"/>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hint="eastAsia" w:ascii="宋体" w:hAnsi="宋体" w:eastAsia="宋体" w:cs="宋体"/>
                <w:i/>
                <w:iCs/>
                <w:szCs w:val="21"/>
                <w:lang w:eastAsia="zh-CN"/>
              </w:rPr>
            </w:pPr>
            <w:r>
              <w:rPr>
                <w:rFonts w:hint="eastAsia" w:ascii="宋体" w:hAnsi="宋体"/>
                <w:szCs w:val="21"/>
              </w:rPr>
              <w:t>第二章第1.5款：</w:t>
            </w:r>
            <w:r>
              <w:rPr>
                <w:rFonts w:hint="eastAsia" w:ascii="宋体" w:hAnsi="宋体"/>
                <w:lang w:eastAsia="zh-CN"/>
              </w:rPr>
              <w:t>履约期限</w:t>
            </w:r>
          </w:p>
        </w:tc>
        <w:tc>
          <w:tcPr>
            <w:tcW w:w="1994" w:type="dxa"/>
            <w:vAlign w:val="center"/>
          </w:tcPr>
          <w:p>
            <w:pPr>
              <w:shd w:val="clear" w:color="auto" w:fill="FFFFFF"/>
              <w:spacing w:line="400" w:lineRule="exact"/>
              <w:ind w:left="-88" w:leftChars="-42"/>
              <w:jc w:val="center"/>
              <w:rPr>
                <w:rFonts w:hint="eastAsia" w:ascii="宋体" w:hAnsi="宋体" w:eastAsia="宋体"/>
                <w:lang w:eastAsia="zh-CN"/>
              </w:rPr>
            </w:pPr>
            <w:r>
              <w:rPr>
                <w:rFonts w:hint="eastAsia"/>
                <w:color w:val="FF0000"/>
              </w:rPr>
              <w:t>★</w:t>
            </w:r>
            <w:r>
              <w:rPr>
                <w:rFonts w:hint="eastAsia" w:ascii="宋体" w:hAnsi="宋体" w:cs="宋体"/>
                <w:color w:val="FF0000"/>
                <w:kern w:val="0"/>
                <w:szCs w:val="21"/>
                <w:lang w:eastAsia="zh-CN"/>
              </w:rPr>
              <w:t>合同签订后一年内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第二章第10.1款：</w:t>
            </w:r>
            <w:r>
              <w:rPr>
                <w:rFonts w:hint="eastAsia" w:ascii="宋体" w:hAnsi="宋体"/>
              </w:rPr>
              <w:t>质保期</w:t>
            </w:r>
          </w:p>
        </w:tc>
        <w:tc>
          <w:tcPr>
            <w:tcW w:w="1994" w:type="dxa"/>
            <w:vAlign w:val="center"/>
          </w:tcPr>
          <w:p>
            <w:pPr>
              <w:rPr>
                <w:rFonts w:ascii="宋体" w:hAnsi="宋体"/>
              </w:rPr>
            </w:pPr>
            <w:r>
              <w:rPr>
                <w:rFonts w:hint="eastAsia"/>
                <w:color w:val="FF0000"/>
              </w:rPr>
              <w:t>★</w:t>
            </w:r>
            <w:r>
              <w:rPr>
                <w:rFonts w:hint="eastAsia" w:ascii="宋体" w:hAnsi="宋体"/>
                <w:bCs/>
                <w:color w:val="FF0000"/>
                <w:szCs w:val="21"/>
                <w:lang w:eastAsia="zh-CN"/>
              </w:rPr>
              <w:t>保质期≥45天，保证所提供的商品每批次均合格，牛奶完好率为100%,保证食品卫生安全。</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hint="eastAsia" w:ascii="宋体" w:hAnsi="宋体" w:eastAsia="宋体"/>
                <w:lang w:eastAsia="zh-CN"/>
              </w:rPr>
            </w:pPr>
            <w:r>
              <w:rPr>
                <w:rFonts w:hint="eastAsia" w:ascii="宋体" w:hAnsi="宋体"/>
              </w:rPr>
              <w:t>第五章第1款：</w:t>
            </w:r>
            <w:r>
              <w:rPr>
                <w:rFonts w:hint="eastAsia" w:ascii="宋体" w:hAnsi="宋体"/>
                <w:lang w:eastAsia="zh-CN"/>
              </w:rPr>
              <w:t>纯牛奶</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djustRightInd w:val="0"/>
        <w:snapToGrid w:val="0"/>
        <w:spacing w:line="360" w:lineRule="auto"/>
        <w:rPr>
          <w:rFonts w:hint="eastAsia" w:ascii="宋体" w:hAnsi="宋体" w:cs="宋体"/>
          <w:color w:val="000000"/>
          <w:szCs w:val="21"/>
        </w:rPr>
      </w:pPr>
    </w:p>
    <w:p>
      <w:pPr>
        <w:adjustRightInd w:val="0"/>
        <w:snapToGrid w:val="0"/>
        <w:spacing w:line="360" w:lineRule="auto"/>
        <w:rPr>
          <w:rFonts w:hint="eastAsia" w:ascii="宋体" w:hAnsi="宋体" w:cs="宋体"/>
          <w:color w:val="000000"/>
          <w:szCs w:val="21"/>
        </w:rPr>
      </w:pPr>
    </w:p>
    <w:p>
      <w:pPr>
        <w:adjustRightInd w:val="0"/>
        <w:snapToGrid w:val="0"/>
        <w:spacing w:line="360" w:lineRule="auto"/>
        <w:rPr>
          <w:rFonts w:ascii="宋体" w:hAnsi="宋体" w:cs="宋体"/>
          <w:color w:val="000000"/>
          <w:szCs w:val="21"/>
        </w:rPr>
      </w:pPr>
      <w:r>
        <w:rPr>
          <w:rFonts w:hint="eastAsia" w:ascii="宋体" w:hAnsi="宋体" w:cs="宋体"/>
          <w:color w:val="000000"/>
          <w:szCs w:val="21"/>
        </w:rPr>
        <w:t>投标单位（盖单位章）：</w:t>
      </w:r>
    </w:p>
    <w:p>
      <w:pPr>
        <w:adjustRightInd w:val="0"/>
        <w:snapToGrid w:val="0"/>
        <w:spacing w:line="360" w:lineRule="auto"/>
        <w:rPr>
          <w:rFonts w:ascii="宋体" w:hAnsi="宋体" w:cs="宋体"/>
          <w:color w:val="000000"/>
          <w:szCs w:val="21"/>
        </w:rPr>
      </w:pPr>
      <w:r>
        <w:rPr>
          <w:rFonts w:hint="eastAsia" w:ascii="宋体" w:hAnsi="宋体" w:cs="宋体"/>
          <w:color w:val="000000"/>
          <w:szCs w:val="21"/>
        </w:rPr>
        <w:t>法定代表人或其委托代理人（签字）：</w:t>
      </w:r>
      <w:r>
        <w:rPr>
          <w:rFonts w:hint="eastAsia" w:ascii="宋体" w:hAnsi="宋体" w:cs="宋体"/>
          <w:color w:val="000000"/>
          <w:szCs w:val="21"/>
          <w:u w:val="single"/>
        </w:rPr>
        <w:t xml:space="preserve">               </w:t>
      </w:r>
    </w:p>
    <w:p>
      <w:pPr>
        <w:adjustRightInd w:val="0"/>
        <w:snapToGrid w:val="0"/>
        <w:spacing w:line="360" w:lineRule="auto"/>
        <w:rPr>
          <w:rFonts w:ascii="宋体" w:hAnsi="宋体" w:cs="宋体"/>
          <w:bCs/>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bCs/>
          <w:color w:val="000000"/>
          <w:szCs w:val="21"/>
        </w:rPr>
        <w:t>日</w:t>
      </w:r>
    </w:p>
    <w:p>
      <w:pPr>
        <w:spacing w:line="360" w:lineRule="auto"/>
        <w:ind w:firstLine="3502" w:firstLineChars="1668"/>
        <w:rPr>
          <w:rFonts w:ascii="宋体" w:hAnsi="宋体" w:cs="宋体"/>
          <w:color w:val="000000"/>
          <w:szCs w:val="21"/>
        </w:rPr>
      </w:pPr>
    </w:p>
    <w:p>
      <w:pPr>
        <w:autoSpaceDE w:val="0"/>
        <w:autoSpaceDN w:val="0"/>
        <w:spacing w:line="360" w:lineRule="auto"/>
        <w:ind w:right="471"/>
        <w:textAlignment w:val="bottom"/>
        <w:rPr>
          <w:rFonts w:ascii="宋体" w:hAnsi="宋体" w:cs="Arial"/>
        </w:rPr>
      </w:pPr>
      <w:r>
        <w:rPr>
          <w:rFonts w:hint="eastAsia" w:ascii="宋体" w:hAnsi="宋体" w:cs="Arial"/>
        </w:rPr>
        <w:t>注：</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1、投标单位应在响应技术文件中对本技术规格书逐条按顺序响应，做出必要的解释并列出技术偏差表。而不应完全复制招标文件中技术参数要求，统一回答“响应”“无偏离”“正偏离”等。</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2、此表1-2项均为实质性要求，不得存在负偏离，否则视同为无效投标。</w:t>
      </w:r>
    </w:p>
    <w:p>
      <w:pPr>
        <w:autoSpaceDE w:val="0"/>
        <w:autoSpaceDN w:val="0"/>
        <w:spacing w:line="360" w:lineRule="auto"/>
        <w:ind w:right="471"/>
        <w:textAlignment w:val="bottom"/>
        <w:rPr>
          <w:rFonts w:ascii="宋体" w:hAnsi="宋体" w:cs="Arial"/>
          <w:szCs w:val="21"/>
          <w:lang w:val="zh-CN"/>
        </w:rPr>
      </w:pPr>
      <w:r>
        <w:rPr>
          <w:rFonts w:hint="eastAsia" w:ascii="宋体" w:hAnsi="宋体" w:cs="Arial"/>
          <w:b/>
          <w:bCs/>
          <w:szCs w:val="21"/>
        </w:rPr>
        <w:t>3、此表3项往后，请</w:t>
      </w:r>
      <w:r>
        <w:rPr>
          <w:rFonts w:hint="eastAsia" w:ascii="宋体" w:hAnsi="宋体" w:cs="Arial"/>
          <w:b/>
          <w:bCs/>
          <w:szCs w:val="21"/>
          <w:lang w:val="zh-CN"/>
        </w:rPr>
        <w:t>供应商应根据投标</w:t>
      </w:r>
      <w:r>
        <w:rPr>
          <w:rFonts w:hint="eastAsia" w:ascii="宋体" w:hAnsi="宋体" w:cs="Arial"/>
          <w:b/>
          <w:bCs/>
          <w:szCs w:val="21"/>
        </w:rPr>
        <w:t>货物</w:t>
      </w:r>
      <w:r>
        <w:rPr>
          <w:rFonts w:hint="eastAsia" w:ascii="宋体" w:hAnsi="宋体" w:cs="Arial"/>
          <w:b/>
          <w:bCs/>
          <w:szCs w:val="21"/>
          <w:lang w:val="zh-CN"/>
        </w:rPr>
        <w:t>的性能指标、对照文件中“</w:t>
      </w:r>
      <w:r>
        <w:rPr>
          <w:rFonts w:hint="eastAsia" w:ascii="宋体" w:hAnsi="宋体" w:cs="Arial"/>
          <w:b/>
          <w:bCs/>
          <w:szCs w:val="21"/>
        </w:rPr>
        <w:t>第五部分 采购需求</w:t>
      </w:r>
      <w:r>
        <w:rPr>
          <w:rFonts w:hint="eastAsia" w:ascii="宋体" w:hAnsi="宋体" w:cs="Arial"/>
          <w:b/>
          <w:bCs/>
          <w:szCs w:val="21"/>
          <w:lang w:val="zh-CN"/>
        </w:rPr>
        <w:t>”中的</w:t>
      </w:r>
      <w:r>
        <w:rPr>
          <w:rFonts w:hint="eastAsia" w:ascii="宋体" w:hAnsi="宋体" w:cs="Arial"/>
          <w:b/>
          <w:bCs/>
          <w:szCs w:val="21"/>
        </w:rPr>
        <w:t>所有</w:t>
      </w:r>
      <w:r>
        <w:rPr>
          <w:rFonts w:hint="eastAsia" w:ascii="宋体" w:hAnsi="宋体" w:cs="Arial"/>
          <w:b/>
          <w:bCs/>
          <w:szCs w:val="21"/>
          <w:lang w:val="zh-CN"/>
        </w:rPr>
        <w:t>参数要求，如实逐条一一对应填写响应情况。</w:t>
      </w:r>
    </w:p>
    <w:p>
      <w:pPr>
        <w:autoSpaceDE w:val="0"/>
        <w:autoSpaceDN w:val="0"/>
        <w:spacing w:line="360" w:lineRule="auto"/>
        <w:ind w:right="471"/>
        <w:textAlignment w:val="bottom"/>
      </w:pPr>
      <w:r>
        <w:rPr>
          <w:rFonts w:hint="eastAsia" w:ascii="宋体" w:hAnsi="宋体" w:cs="Arial"/>
          <w:szCs w:val="21"/>
        </w:rPr>
        <w:t>4、请依照实际投标参数填写，验收时如发现为谋取中标而填写虚假信息，将上报失信名单并追究相关责任</w:t>
      </w:r>
      <w:r>
        <w:rPr>
          <w:rFonts w:hint="eastAsia" w:ascii="宋体" w:hAnsi="宋体" w:cs="Arial"/>
          <w:szCs w:val="21"/>
          <w:lang w:eastAsia="zh-CN"/>
        </w:rPr>
        <w:t>，并取消中标资格，由此产生的不利后果由投标人承担</w:t>
      </w:r>
      <w:r>
        <w:rPr>
          <w:rFonts w:hint="eastAsia" w:ascii="宋体" w:hAnsi="宋体" w:cs="Arial"/>
          <w:szCs w:val="21"/>
        </w:rPr>
        <w:t>。</w:t>
      </w:r>
    </w:p>
    <w:p>
      <w:pPr>
        <w:numPr>
          <w:ilvl w:val="0"/>
          <w:numId w:val="7"/>
        </w:numPr>
        <w:autoSpaceDE w:val="0"/>
        <w:autoSpaceDN w:val="0"/>
        <w:spacing w:line="360" w:lineRule="auto"/>
        <w:ind w:right="471"/>
        <w:textAlignment w:val="bottom"/>
        <w:rPr>
          <w:rFonts w:ascii="宋体" w:hAnsi="宋体" w:cs="Arial"/>
          <w:color w:val="000000" w:themeColor="text1"/>
          <w:szCs w:val="21"/>
          <w14:textFill>
            <w14:solidFill>
              <w14:schemeClr w14:val="tx1"/>
            </w14:solidFill>
          </w14:textFill>
        </w:rPr>
      </w:pPr>
      <w:r>
        <w:rPr>
          <w:rFonts w:hint="eastAsia" w:ascii="宋体" w:hAnsi="宋体" w:cs="Arial"/>
          <w:szCs w:val="21"/>
        </w:rPr>
        <w:br w:type="page"/>
      </w:r>
    </w:p>
    <w:p>
      <w:pPr>
        <w:adjustRightInd w:val="0"/>
        <w:snapToGrid w:val="0"/>
        <w:spacing w:line="360" w:lineRule="auto"/>
        <w:rPr>
          <w:rFonts w:ascii="宋体" w:hAnsi="宋体"/>
          <w:bCs/>
          <w:color w:val="000000" w:themeColor="text1"/>
          <w:sz w:val="28"/>
          <w:szCs w:val="28"/>
          <w14:textFill>
            <w14:solidFill>
              <w14:schemeClr w14:val="tx1"/>
            </w14:solidFill>
          </w14:textFill>
        </w:rPr>
      </w:pPr>
      <w:r>
        <w:rPr>
          <w:rFonts w:hint="eastAsia" w:hAnsi="宋体"/>
          <w:bCs/>
          <w:color w:val="000000" w:themeColor="text1"/>
          <w:sz w:val="28"/>
          <w:szCs w:val="28"/>
          <w14:textFill>
            <w14:solidFill>
              <w14:schemeClr w14:val="tx1"/>
            </w14:solidFill>
          </w14:textFill>
        </w:rPr>
        <w:t>附件11</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近三年同类项目业绩表</w:t>
      </w:r>
    </w:p>
    <w:p>
      <w:pPr>
        <w:tabs>
          <w:tab w:val="left" w:pos="3600"/>
        </w:tabs>
        <w:adjustRightInd w:val="0"/>
        <w:snapToGrid w:val="0"/>
        <w:jc w:val="center"/>
        <w:rPr>
          <w:rFonts w:ascii="宋体" w:hAnsi="宋体" w:cs="宋体"/>
          <w:b/>
          <w:bCs/>
          <w:color w:val="000000" w:themeColor="text1"/>
          <w:spacing w:val="6"/>
          <w:kern w:val="0"/>
          <w:szCs w:val="21"/>
          <w14:textFill>
            <w14:solidFill>
              <w14:schemeClr w14:val="tx1"/>
            </w14:solidFill>
          </w14:textFill>
        </w:rPr>
      </w:pPr>
    </w:p>
    <w:p>
      <w:pPr>
        <w:tabs>
          <w:tab w:val="left" w:pos="5580"/>
        </w:tabs>
        <w:spacing w:before="1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近三年(2020年1月1日至今）</w:t>
      </w:r>
      <w:r>
        <w:rPr>
          <w:rFonts w:hint="eastAsia" w:ascii="宋体" w:hAnsi="宋体" w:cs="宋体"/>
          <w:b/>
          <w:bCs/>
          <w:color w:val="000000" w:themeColor="text1"/>
          <w:szCs w:val="21"/>
          <w14:textFill>
            <w14:solidFill>
              <w14:schemeClr w14:val="tx1"/>
            </w14:solidFill>
          </w14:textFill>
        </w:rPr>
        <w:t>同类项目</w:t>
      </w:r>
      <w:r>
        <w:rPr>
          <w:rFonts w:hint="eastAsia" w:ascii="宋体" w:hAnsi="宋体" w:cs="宋体"/>
          <w:color w:val="000000" w:themeColor="text1"/>
          <w:szCs w:val="21"/>
          <w14:textFill>
            <w14:solidFill>
              <w14:schemeClr w14:val="tx1"/>
            </w14:solidFill>
          </w14:textFill>
        </w:rPr>
        <w:t>业绩统计：</w:t>
      </w:r>
    </w:p>
    <w:tbl>
      <w:tblPr>
        <w:tblStyle w:val="4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区</w:t>
            </w:r>
          </w:p>
        </w:tc>
        <w:tc>
          <w:tcPr>
            <w:tcW w:w="2106" w:type="dxa"/>
            <w:vAlign w:val="center"/>
          </w:tcPr>
          <w:p>
            <w:pPr>
              <w:pStyle w:val="116"/>
              <w:spacing w:line="320" w:lineRule="exact"/>
              <w:ind w:right="-107" w:rightChars="-5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项目名称</w:t>
            </w:r>
          </w:p>
        </w:tc>
        <w:tc>
          <w:tcPr>
            <w:tcW w:w="1841"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中标日期或</w:t>
            </w:r>
          </w:p>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合同签订日期</w:t>
            </w:r>
          </w:p>
        </w:tc>
        <w:tc>
          <w:tcPr>
            <w:tcW w:w="15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中标金额</w:t>
            </w:r>
          </w:p>
        </w:tc>
        <w:tc>
          <w:tcPr>
            <w:tcW w:w="16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bl>
    <w:p>
      <w:pPr>
        <w:tabs>
          <w:tab w:val="left" w:pos="5580"/>
        </w:tabs>
        <w:spacing w:before="120" w:line="360" w:lineRule="auto"/>
        <w:ind w:firstLine="210" w:firstLineChars="100"/>
        <w:rPr>
          <w:rFonts w:ascii="宋体" w:hAnsi="宋体" w:cs="宋体"/>
          <w:b/>
          <w:bCs/>
          <w:sz w:val="24"/>
          <w:u w:val="single"/>
        </w:rPr>
      </w:pPr>
      <w:r>
        <w:rPr>
          <w:rFonts w:hint="eastAsia" w:ascii="宋体" w:hAnsi="宋体" w:cs="宋体"/>
          <w:color w:val="000000" w:themeColor="text1"/>
          <w:szCs w:val="21"/>
          <w14:textFill>
            <w14:solidFill>
              <w14:schemeClr w14:val="tx1"/>
            </w14:solidFill>
          </w14:textFill>
        </w:rPr>
        <w:t>注：1、此表可向下延伸</w:t>
      </w:r>
      <w:r>
        <w:rPr>
          <w:rFonts w:hint="eastAsia" w:ascii="宋体" w:hAnsi="宋体" w:cs="宋体"/>
          <w:szCs w:val="21"/>
        </w:rPr>
        <w:t>，</w:t>
      </w:r>
      <w:r>
        <w:rPr>
          <w:rFonts w:hint="eastAsia" w:ascii="宋体" w:hAnsi="宋体" w:cs="宋体"/>
          <w:b/>
          <w:bCs/>
          <w:sz w:val="24"/>
          <w:u w:val="single"/>
        </w:rPr>
        <w:t>后附中标通知书或合同扫描件作为业绩评审资料，提供资料中须包含中标金额及日期。</w:t>
      </w:r>
    </w:p>
    <w:p>
      <w:pPr>
        <w:pStyle w:val="25"/>
        <w:tabs>
          <w:tab w:val="left" w:pos="1470"/>
          <w:tab w:val="right" w:leader="dot" w:pos="8296"/>
        </w:tabs>
        <w:spacing w:line="360" w:lineRule="auto"/>
        <w:ind w:left="0" w:firstLine="630" w:firstLineChars="300"/>
        <w:rPr>
          <w:rFonts w:ascii="宋体" w:hAnsi="宋体" w:cs="宋体"/>
          <w:i w:val="0"/>
          <w:iCs w:val="0"/>
          <w:sz w:val="21"/>
          <w:szCs w:val="21"/>
        </w:rPr>
      </w:pPr>
      <w:r>
        <w:rPr>
          <w:rFonts w:hint="eastAsia" w:ascii="宋体" w:hAnsi="宋体" w:cs="宋体"/>
          <w:i w:val="0"/>
          <w:iCs w:val="0"/>
          <w:sz w:val="21"/>
          <w:szCs w:val="21"/>
        </w:rPr>
        <w:t>2、表格内需提供同类项目业绩，请勿提供其他无关项目业绩影响评分，</w:t>
      </w:r>
    </w:p>
    <w:p>
      <w:pPr>
        <w:tabs>
          <w:tab w:val="left" w:pos="5580"/>
        </w:tabs>
        <w:spacing w:before="120"/>
        <w:ind w:firstLine="454"/>
        <w:rPr>
          <w:rFonts w:ascii="宋体" w:hAnsi="宋体" w:cs="宋体"/>
          <w:color w:val="000000" w:themeColor="text1"/>
          <w:szCs w:val="21"/>
          <w14:textFill>
            <w14:solidFill>
              <w14:schemeClr w14:val="tx1"/>
            </w14:solidFill>
          </w14:textFill>
        </w:rPr>
      </w:pPr>
    </w:p>
    <w:p>
      <w:pPr>
        <w:tabs>
          <w:tab w:val="left" w:pos="5580"/>
        </w:tabs>
        <w:spacing w:before="120"/>
        <w:ind w:firstLine="45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兹证明上述声明是真实、正确的，我们同意遵照贵方要求出示有关证明文件。</w:t>
      </w:r>
    </w:p>
    <w:p>
      <w:pPr>
        <w:tabs>
          <w:tab w:val="left" w:pos="5580"/>
        </w:tabs>
        <w:spacing w:before="120"/>
        <w:rPr>
          <w:rFonts w:ascii="宋体" w:hAnsi="宋体" w:cs="宋体"/>
          <w:color w:val="000000" w:themeColor="text1"/>
          <w:szCs w:val="21"/>
          <w14:textFill>
            <w14:solidFill>
              <w14:schemeClr w14:val="tx1"/>
            </w14:solidFill>
          </w14:textFill>
        </w:rPr>
      </w:pP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投标单位授权代表(签字)：________________________________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投标单位授权代表的职务：________________________________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签章：__________________________________________</w:t>
      </w:r>
    </w:p>
    <w:p>
      <w:pPr>
        <w:adjustRightInd w:val="0"/>
        <w:snapToGrid w:val="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附件12</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拟投入本项目的服务人员一览表</w:t>
      </w:r>
    </w:p>
    <w:p>
      <w:pPr>
        <w:spacing w:line="420" w:lineRule="exact"/>
        <w:jc w:val="center"/>
        <w:rPr>
          <w:rFonts w:ascii="宋体" w:hAnsi="宋体"/>
          <w:b/>
          <w:color w:val="000000" w:themeColor="text1"/>
          <w:szCs w:val="21"/>
          <w14:textFill>
            <w14:solidFill>
              <w14:schemeClr w14:val="tx1"/>
            </w14:solidFill>
          </w14:textFill>
        </w:rPr>
      </w:pPr>
    </w:p>
    <w:tbl>
      <w:tblPr>
        <w:tblStyle w:val="46"/>
        <w:tblW w:w="8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3"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pStyle w:val="149"/>
              <w:keepNext w:val="0"/>
              <w:adjustRightInd/>
              <w:spacing w:before="0" w:after="0" w:line="240" w:lineRule="auto"/>
              <w:textAlignment w:val="auto"/>
              <w:rPr>
                <w:rFonts w:ascii="宋体" w:hAnsi="宋体"/>
                <w:snapToGrid/>
                <w:color w:val="000000" w:themeColor="text1"/>
                <w:spacing w:val="0"/>
                <w:kern w:val="2"/>
                <w:szCs w:val="24"/>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ind w:firstLine="12"/>
              <w:jc w:val="center"/>
              <w:rPr>
                <w:rFonts w:ascii="宋体" w:hAnsi="宋体"/>
                <w:color w:val="000000" w:themeColor="text1"/>
                <w14:textFill>
                  <w14:solidFill>
                    <w14:schemeClr w14:val="tx1"/>
                  </w14:solidFill>
                </w14:textFill>
              </w:rPr>
            </w:pPr>
          </w:p>
        </w:tc>
        <w:tc>
          <w:tcPr>
            <w:tcW w:w="1142" w:type="dxa"/>
            <w:vAlign w:val="center"/>
          </w:tcPr>
          <w:p>
            <w:pPr>
              <w:ind w:firstLine="12"/>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color w:val="000000" w:themeColor="text1"/>
                <w14:textFill>
                  <w14:solidFill>
                    <w14:schemeClr w14:val="tx1"/>
                  </w14:solidFill>
                </w14:textFill>
              </w:rPr>
            </w:pP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83"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exact"/>
          <w:jc w:val="center"/>
        </w:trPr>
        <w:tc>
          <w:tcPr>
            <w:tcW w:w="8512" w:type="dxa"/>
            <w:gridSpan w:val="7"/>
            <w:tcBorders>
              <w:top w:val="single" w:color="auto" w:sz="4" w:space="0"/>
              <w:bottom w:val="single" w:color="auto" w:sz="4" w:space="0"/>
            </w:tcBorders>
            <w:vAlign w:val="center"/>
          </w:tcPr>
          <w:p>
            <w:pPr>
              <w:jc w:val="center"/>
            </w:pPr>
            <w:r>
              <w:rPr>
                <w:rFonts w:hint="eastAsia"/>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28"/>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附件13</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售后服务附表</w:t>
      </w:r>
    </w:p>
    <w:p>
      <w:pPr>
        <w:topLinePunct/>
        <w:spacing w:line="440" w:lineRule="exact"/>
        <w:rPr>
          <w:rFonts w:ascii="宋体" w:hAnsi="宋体"/>
          <w:b/>
          <w:color w:val="000000" w:themeColor="text1"/>
          <w:szCs w:val="21"/>
          <w14:textFill>
            <w14:solidFill>
              <w14:schemeClr w14:val="tx1"/>
            </w14:solidFill>
          </w14:textFill>
        </w:rPr>
      </w:pPr>
    </w:p>
    <w:p>
      <w:pPr>
        <w:topLinePunct/>
        <w:spacing w:line="440" w:lineRule="exact"/>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项目编号：</w:t>
      </w:r>
      <w:r>
        <w:rPr>
          <w:rFonts w:hint="eastAsia" w:ascii="宋体" w:hAnsi="宋体"/>
          <w:b/>
          <w:color w:val="000000" w:themeColor="text1"/>
          <w:szCs w:val="21"/>
          <w:u w:val="single"/>
          <w14:textFill>
            <w14:solidFill>
              <w14:schemeClr w14:val="tx1"/>
            </w14:solidFill>
          </w14:textFill>
        </w:rPr>
        <w:t xml:space="preserve">                           </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p>
    <w:tbl>
      <w:tblPr>
        <w:tblStyle w:val="4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本地化（伊犁州、霍尔果斯）售后服务协议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注:如外地企业在伊犁州或霍尔果斯有本地售后服务机构可提供相关证明材料。本地企业可不填写。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ind w:firstLine="210" w:firstLineChars="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w:t>
            </w:r>
            <w:r>
              <w:rPr>
                <w:rFonts w:ascii="宋体" w:hAnsi="宋体"/>
                <w:color w:val="000000" w:themeColor="text1"/>
                <w:szCs w:val="21"/>
                <w14:textFill>
                  <w14:solidFill>
                    <w14:schemeClr w14:val="tx1"/>
                  </w14:solidFill>
                </w14:textFill>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2"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r>
    </w:tbl>
    <w:p>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备注：售后服务、售后计划等方案可另起页说明。</w:t>
      </w:r>
    </w:p>
    <w:p>
      <w:pPr>
        <w:pStyle w:val="28"/>
        <w:adjustRightInd w:val="0"/>
        <w:snapToGrid w:val="0"/>
        <w:spacing w:line="360" w:lineRule="auto"/>
        <w:rPr>
          <w:rFonts w:ascii="宋体" w:hAnsi="宋体"/>
          <w:color w:val="000000" w:themeColor="text1"/>
          <w:sz w:val="21"/>
          <w:szCs w:val="21"/>
          <w14:textFill>
            <w14:solidFill>
              <w14:schemeClr w14:val="tx1"/>
            </w14:solidFill>
          </w14:textFill>
        </w:rPr>
      </w:pPr>
    </w:p>
    <w:p>
      <w:pPr>
        <w:pStyle w:val="28"/>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topLinePunct/>
        <w:spacing w:line="44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日          期：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年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月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日</w:t>
      </w:r>
    </w:p>
    <w:p>
      <w:pPr>
        <w:jc w:val="center"/>
        <w:rPr>
          <w:rFonts w:ascii="宋体" w:hAnsi="宋体"/>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商务技术响应文件说明</w:t>
      </w:r>
    </w:p>
    <w:p>
      <w:pPr>
        <w:adjustRightInd w:val="0"/>
        <w:snapToGrid w:val="0"/>
        <w:spacing w:line="360" w:lineRule="auto"/>
        <w:ind w:left="-88" w:leftChars="-42" w:firstLine="210" w:firstLineChars="100"/>
        <w:rPr>
          <w:rFonts w:ascii="宋体" w:hAnsi="宋体" w:cs="宋体"/>
          <w:color w:val="000000" w:themeColor="text1"/>
          <w:szCs w:val="21"/>
          <w14:textFill>
            <w14:solidFill>
              <w14:schemeClr w14:val="tx1"/>
            </w14:solidFill>
          </w14:textFill>
        </w:rPr>
      </w:pPr>
    </w:p>
    <w:p>
      <w:pPr>
        <w:adjustRightInd w:val="0"/>
        <w:snapToGrid w:val="0"/>
        <w:spacing w:line="360" w:lineRule="auto"/>
        <w:ind w:left="-88" w:leftChars="-42" w:firstLine="211" w:firstLineChars="1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商务技术响应文件</w:t>
      </w:r>
      <w:r>
        <w:rPr>
          <w:rFonts w:hint="eastAsia" w:ascii="宋体" w:hAnsi="宋体" w:cs="宋体"/>
          <w:b/>
          <w:color w:val="000000" w:themeColor="text1"/>
          <w:szCs w:val="21"/>
          <w:highlight w:val="yellow"/>
          <w14:textFill>
            <w14:solidFill>
              <w14:schemeClr w14:val="tx1"/>
            </w14:solidFill>
          </w14:textFill>
        </w:rPr>
        <w:t>可依照项目具体要求灵活提供</w:t>
      </w:r>
      <w:r>
        <w:rPr>
          <w:rFonts w:hint="eastAsia" w:ascii="宋体" w:hAnsi="宋体" w:cs="宋体"/>
          <w:b/>
          <w:color w:val="000000" w:themeColor="text1"/>
          <w:szCs w:val="21"/>
          <w14:textFill>
            <w14:solidFill>
              <w14:schemeClr w14:val="tx1"/>
            </w14:solidFill>
          </w14:textFill>
        </w:rPr>
        <w:t>：</w:t>
      </w:r>
    </w:p>
    <w:p>
      <w:pPr>
        <w:pStyle w:val="2"/>
      </w:pPr>
    </w:p>
    <w:p>
      <w:pPr>
        <w:adjustRightInd w:val="0"/>
        <w:snapToGrid w:val="0"/>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附件14</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投标报价明细表</w:t>
      </w:r>
    </w:p>
    <w:p>
      <w:pPr>
        <w:adjustRightInd w:val="0"/>
        <w:snapToGrid w:val="0"/>
        <w:spacing w:line="360" w:lineRule="auto"/>
        <w:jc w:val="center"/>
      </w:pPr>
      <w:r>
        <w:rPr>
          <w:rFonts w:hint="eastAsia" w:ascii="宋体" w:hAnsi="宋体" w:cs="宋体"/>
          <w:bCs/>
          <w:szCs w:val="21"/>
        </w:rPr>
        <w:t>（此</w:t>
      </w:r>
      <w:r>
        <w:rPr>
          <w:rFonts w:hint="eastAsia" w:ascii="宋体" w:hAnsi="宋体"/>
          <w:bCs/>
          <w:sz w:val="24"/>
        </w:rPr>
        <w:t>表将公示于中标结果公告中</w:t>
      </w:r>
      <w:r>
        <w:rPr>
          <w:rFonts w:hint="eastAsia" w:ascii="宋体" w:hAnsi="宋体" w:cs="宋体"/>
          <w:bCs/>
          <w:szCs w:val="21"/>
        </w:rPr>
        <w:t>）</w:t>
      </w:r>
      <w:r>
        <w:rPr>
          <w:rFonts w:hint="eastAsia" w:ascii="宋体" w:hAnsi="宋体" w:cs="宋体"/>
          <w:b/>
          <w:sz w:val="28"/>
          <w:szCs w:val="28"/>
        </w:rPr>
        <w:t xml:space="preserve">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46"/>
        <w:tblW w:w="85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货物名称</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制造商、原产地</w:t>
            </w: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品牌型号</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总报价</w:t>
            </w:r>
          </w:p>
        </w:tc>
        <w:tc>
          <w:tcPr>
            <w:tcW w:w="6875"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left"/>
              <w:rPr>
                <w:rFonts w:ascii="宋体" w:hAnsi="宋体" w:cs="宋体"/>
                <w:szCs w:val="21"/>
              </w:rPr>
            </w:pPr>
            <w:r>
              <w:rPr>
                <w:rFonts w:hint="eastAsia" w:ascii="宋体" w:hAnsi="宋体" w:cs="宋体"/>
                <w:szCs w:val="21"/>
              </w:rPr>
              <w:t>大写：</w:t>
            </w:r>
          </w:p>
          <w:p>
            <w:pPr>
              <w:tabs>
                <w:tab w:val="left" w:pos="1418"/>
              </w:tabs>
              <w:snapToGrid w:val="0"/>
              <w:spacing w:before="50" w:after="50"/>
              <w:jc w:val="left"/>
              <w:rPr>
                <w:rFonts w:ascii="宋体" w:hAnsi="宋体" w:cs="宋体"/>
                <w:szCs w:val="21"/>
              </w:rPr>
            </w:pPr>
          </w:p>
          <w:p>
            <w:pPr>
              <w:tabs>
                <w:tab w:val="left" w:pos="1418"/>
              </w:tabs>
              <w:snapToGrid w:val="0"/>
              <w:spacing w:before="50" w:after="50"/>
              <w:jc w:val="left"/>
            </w:pPr>
            <w:r>
              <w:rPr>
                <w:rFonts w:hint="eastAsia" w:ascii="宋体" w:hAnsi="宋体" w:cs="宋体"/>
                <w:szCs w:val="21"/>
              </w:rPr>
              <w:t>小写：</w:t>
            </w: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注：1、投标人可在此表后附其报价详细说明。</w:t>
      </w: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bookmarkEnd w:id="0"/>
    <w:bookmarkEnd w:id="196"/>
    <w:bookmarkEnd w:id="197"/>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w:t>
      </w:r>
    </w:p>
    <w:p>
      <w:pPr>
        <w:tabs>
          <w:tab w:val="left" w:pos="3600"/>
        </w:tabs>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中小企业声明函（货物）</w:t>
      </w:r>
    </w:p>
    <w:p>
      <w:pPr>
        <w:autoSpaceDE w:val="0"/>
        <w:autoSpaceDN w:val="0"/>
        <w:spacing w:line="500" w:lineRule="exact"/>
        <w:ind w:firstLine="480" w:firstLineChars="200"/>
        <w:jc w:val="left"/>
        <w:rPr>
          <w:rFonts w:ascii="宋体" w:hAnsi="宋体" w:cs="宋体"/>
          <w:sz w:val="24"/>
        </w:rPr>
      </w:pPr>
    </w:p>
    <w:p>
      <w:pPr>
        <w:autoSpaceDE w:val="0"/>
        <w:autoSpaceDN w:val="0"/>
        <w:spacing w:line="500" w:lineRule="exact"/>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采购活动，提 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ascii="宋体" w:hAnsi="宋体" w:cs="宋体"/>
          <w:szCs w:val="21"/>
          <w:u w:val="single"/>
        </w:rPr>
      </w:pPr>
      <w:r>
        <w:rPr>
          <w:rFonts w:ascii="宋体" w:hAnsi="宋体" w:cs="宋体"/>
          <w:sz w:val="24"/>
        </w:rPr>
        <w:t>1.</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cs="宋体"/>
          <w:sz w:val="24"/>
        </w:rPr>
        <w:t>本企业对上述声明内容的真实性负责。如有虚假，将依法承担相应责任。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ascii="宋体" w:hAnsi="宋体" w:cs="宋体"/>
          <w:sz w:val="24"/>
        </w:rPr>
      </w:pPr>
      <w:r>
        <w:rPr>
          <w:rFonts w:hint="eastAsia" w:ascii="宋体" w:hAnsi="宋体" w:cs="宋体"/>
          <w:color w:val="333333"/>
          <w:kern w:val="0"/>
          <w:szCs w:val="21"/>
          <w:shd w:val="clear" w:color="auto" w:fill="FFFFFF"/>
          <w:lang w:bidi="ar"/>
        </w:rPr>
        <w:t xml:space="preserve">                                            </w:t>
      </w:r>
      <w:r>
        <w:rPr>
          <w:rFonts w:hint="eastAsia" w:ascii="宋体" w:hAnsi="宋体" w:cs="宋体"/>
          <w:sz w:val="24"/>
        </w:rPr>
        <w:t>企业名称（盖章）：</w:t>
      </w:r>
    </w:p>
    <w:p>
      <w:pPr>
        <w:widowControl/>
        <w:shd w:val="clear" w:color="auto" w:fill="FFFFFF"/>
        <w:spacing w:beforeAutospacing="1" w:afterAutospacing="1" w:line="348" w:lineRule="atLeast"/>
        <w:ind w:firstLine="5040" w:firstLineChars="2100"/>
        <w:jc w:val="left"/>
        <w:rPr>
          <w:rFonts w:ascii="宋体" w:hAnsi="宋体" w:cs="宋体"/>
          <w:sz w:val="24"/>
        </w:rPr>
      </w:pPr>
      <w:r>
        <w:rPr>
          <w:rFonts w:hint="eastAsia" w:ascii="宋体" w:hAnsi="宋体" w:cs="宋体"/>
          <w:sz w:val="24"/>
        </w:rPr>
        <w:t>日 期：</w:t>
      </w:r>
    </w:p>
    <w:p>
      <w:pPr>
        <w:adjustRightInd w:val="0"/>
        <w:snapToGrid w:val="0"/>
        <w:spacing w:line="360" w:lineRule="auto"/>
        <w:ind w:firstLine="420" w:firstLineChars="200"/>
        <w:rPr>
          <w:rFonts w:ascii="宋体" w:hAnsi="宋体"/>
          <w:szCs w:val="21"/>
        </w:rPr>
      </w:pPr>
      <w:r>
        <w:rPr>
          <w:rFonts w:hint="eastAsia" w:ascii="宋体" w:hAnsi="宋体"/>
          <w:szCs w:val="21"/>
        </w:rPr>
        <w:t>说明：（1）本声明函所称中小企业，是指在中华人民共和国境内依法设立，依据国务院批准的 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3</w:t>
      </w:r>
      <w:r>
        <w:rPr>
          <w:rFonts w:hint="eastAsia" w:ascii="宋体" w:hAnsi="宋体"/>
          <w:color w:val="auto"/>
          <w:sz w:val="21"/>
          <w:szCs w:val="21"/>
          <w:lang w:eastAsia="zh-CN"/>
        </w:rPr>
        <w:t>）</w:t>
      </w:r>
      <w:r>
        <w:rPr>
          <w:rFonts w:hint="eastAsia" w:ascii="宋体" w:hAnsi="宋体"/>
          <w:color w:val="auto"/>
          <w:sz w:val="21"/>
          <w:szCs w:val="21"/>
        </w:rPr>
        <w:t>中标人为中小企业的，本声明函将随中标结果同时公告</w:t>
      </w:r>
      <w:r>
        <w:rPr>
          <w:rFonts w:hint="eastAsia" w:ascii="宋体" w:hAnsi="宋体"/>
          <w:color w:val="auto"/>
          <w:sz w:val="21"/>
          <w:szCs w:val="21"/>
          <w:lang w:eastAsia="zh-CN"/>
        </w:rPr>
        <w:t>，</w:t>
      </w:r>
      <w:r>
        <w:rPr>
          <w:rFonts w:hint="eastAsia" w:ascii="宋体" w:hAnsi="宋体"/>
          <w:color w:val="auto"/>
          <w:sz w:val="21"/>
          <w:szCs w:val="21"/>
          <w:lang w:val="en-US" w:eastAsia="zh-CN"/>
        </w:rPr>
        <w:t>接受社会监督</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涉及本项目的行业标准：</w:t>
      </w:r>
    </w:p>
    <w:p>
      <w:pPr>
        <w:pStyle w:val="21"/>
        <w:keepNext w:val="0"/>
        <w:keepLines w:val="0"/>
        <w:pageBreakBefore w:val="0"/>
        <w:widowControl w:val="0"/>
        <w:kinsoku/>
        <w:wordWrap/>
        <w:overflowPunct/>
        <w:topLinePunct w:val="0"/>
        <w:autoSpaceDE/>
        <w:autoSpaceDN/>
        <w:bidi w:val="0"/>
        <w:snapToGrid/>
        <w:spacing w:line="240" w:lineRule="auto"/>
        <w:ind w:left="0" w:leftChars="0"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1"/>
        <w:ind w:left="0" w:leftChars="0" w:firstLine="422" w:firstLineChars="200"/>
        <w:rPr>
          <w:rFonts w:hint="default"/>
          <w:highlight w:val="yellow"/>
          <w:lang w:val="en-US"/>
        </w:rPr>
      </w:pPr>
      <w:r>
        <w:rPr>
          <w:rFonts w:hint="eastAsia" w:ascii="宋体" w:hAnsi="宋体"/>
          <w:b/>
          <w:bCs/>
          <w:i w:val="0"/>
          <w:iCs w:val="0"/>
          <w:color w:val="000000" w:themeColor="text1"/>
          <w:sz w:val="21"/>
          <w:szCs w:val="21"/>
          <w:highlight w:val="none"/>
          <w:lang w:eastAsia="zh-CN"/>
          <w14:textFill>
            <w14:solidFill>
              <w14:schemeClr w14:val="tx1"/>
            </w14:solidFill>
          </w14:textFill>
        </w:rPr>
        <w:t>（</w:t>
      </w:r>
      <w:r>
        <w:rPr>
          <w:rFonts w:hint="eastAsia" w:ascii="宋体" w:hAnsi="宋体"/>
          <w:b/>
          <w:bCs/>
          <w:i w:val="0"/>
          <w:iCs w:val="0"/>
          <w:color w:val="000000" w:themeColor="text1"/>
          <w:sz w:val="21"/>
          <w:szCs w:val="21"/>
          <w:highlight w:val="none"/>
          <w:lang w:val="en-US" w:eastAsia="zh-CN"/>
          <w14:textFill>
            <w14:solidFill>
              <w14:schemeClr w14:val="tx1"/>
            </w14:solidFill>
          </w14:textFill>
        </w:rPr>
        <w:t>5</w:t>
      </w:r>
      <w:r>
        <w:rPr>
          <w:rFonts w:hint="eastAsia" w:ascii="宋体" w:hAnsi="宋体"/>
          <w:b/>
          <w:bCs/>
          <w:i w:val="0"/>
          <w:iCs w:val="0"/>
          <w:color w:val="000000" w:themeColor="text1"/>
          <w:sz w:val="21"/>
          <w:szCs w:val="21"/>
          <w:highlight w:val="none"/>
          <w:lang w:eastAsia="zh-CN"/>
          <w14:textFill>
            <w14:solidFill>
              <w14:schemeClr w14:val="tx1"/>
            </w14:solidFill>
          </w14:textFill>
        </w:rPr>
        <w:t>）例：</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纯牛奶</w:t>
      </w:r>
      <w:r>
        <w:rPr>
          <w:rFonts w:hint="eastAsia" w:ascii="宋体" w:hAnsi="宋体"/>
          <w:b/>
          <w:bCs/>
          <w:i w:val="0"/>
          <w:iCs w:val="0"/>
          <w:color w:val="000000" w:themeColor="text1"/>
          <w:sz w:val="21"/>
          <w:szCs w:val="21"/>
          <w:highlight w:val="none"/>
          <w:lang w:eastAsia="zh-CN"/>
          <w14:textFill>
            <w14:solidFill>
              <w14:schemeClr w14:val="tx1"/>
            </w14:solidFill>
          </w14:textFill>
        </w:rPr>
        <w:t>，属于</w:t>
      </w:r>
      <w:r>
        <w:rPr>
          <w:rFonts w:hint="eastAsia" w:ascii="宋体" w:hAnsi="宋体"/>
          <w:b/>
          <w:bCs/>
          <w:i w:val="0"/>
          <w:iCs w:val="0"/>
          <w:color w:val="FF0000"/>
          <w:sz w:val="21"/>
          <w:szCs w:val="21"/>
          <w:highlight w:val="none"/>
          <w:u w:val="single"/>
          <w:lang w:val="en-US" w:eastAsia="zh-CN"/>
        </w:rPr>
        <w:t xml:space="preserve"> 批发业</w:t>
      </w:r>
      <w:r>
        <w:rPr>
          <w:rFonts w:hint="eastAsia" w:ascii="宋体" w:hAnsi="宋体"/>
          <w:b/>
          <w:bCs/>
          <w:i w:val="0"/>
          <w:iCs w:val="0"/>
          <w:color w:val="000000" w:themeColor="text1"/>
          <w:sz w:val="21"/>
          <w:szCs w:val="21"/>
          <w:highlight w:val="none"/>
          <w:lang w:eastAsia="zh-CN"/>
          <w14:textFill>
            <w14:solidFill>
              <w14:schemeClr w14:val="tx1"/>
            </w14:solidFill>
          </w14:textFill>
        </w:rPr>
        <w:t>；制造商为</w:t>
      </w:r>
      <w:r>
        <w:rPr>
          <w:rFonts w:hint="eastAsia" w:ascii="宋体" w:hAnsi="宋体"/>
          <w:b/>
          <w:bCs/>
          <w:i w:val="0"/>
          <w:iCs w:val="0"/>
          <w:color w:val="FF0000"/>
          <w:sz w:val="21"/>
          <w:szCs w:val="21"/>
          <w:highlight w:val="none"/>
          <w:u w:val="single"/>
          <w:lang w:eastAsia="zh-CN"/>
        </w:rPr>
        <w:t>***有限公司</w:t>
      </w:r>
      <w:r>
        <w:rPr>
          <w:rFonts w:hint="eastAsia" w:ascii="宋体" w:hAnsi="宋体"/>
          <w:b/>
          <w:bCs/>
          <w:i w:val="0"/>
          <w:iCs w:val="0"/>
          <w:color w:val="000000" w:themeColor="text1"/>
          <w:sz w:val="21"/>
          <w:szCs w:val="21"/>
          <w:highlight w:val="none"/>
          <w:lang w:eastAsia="zh-CN"/>
          <w14:textFill>
            <w14:solidFill>
              <w14:schemeClr w14:val="tx1"/>
            </w14:solidFill>
          </w14:textFill>
        </w:rPr>
        <w:t>，从业人员</w:t>
      </w:r>
      <w:r>
        <w:rPr>
          <w:rFonts w:hint="eastAsia" w:ascii="宋体" w:hAnsi="宋体"/>
          <w:b/>
          <w:bCs/>
          <w:i w:val="0"/>
          <w:iCs w:val="0"/>
          <w:color w:val="FF0000"/>
          <w:sz w:val="21"/>
          <w:szCs w:val="21"/>
          <w:highlight w:val="none"/>
          <w:u w:val="single"/>
          <w:lang w:eastAsia="zh-CN"/>
        </w:rPr>
        <w:t xml:space="preserve"> 30 </w:t>
      </w:r>
      <w:r>
        <w:rPr>
          <w:rFonts w:hint="eastAsia" w:ascii="宋体" w:hAnsi="宋体"/>
          <w:b/>
          <w:bCs/>
          <w:i w:val="0"/>
          <w:iCs w:val="0"/>
          <w:color w:val="000000" w:themeColor="text1"/>
          <w:sz w:val="21"/>
          <w:szCs w:val="21"/>
          <w:highlight w:val="none"/>
          <w:lang w:eastAsia="zh-CN"/>
          <w14:textFill>
            <w14:solidFill>
              <w14:schemeClr w14:val="tx1"/>
            </w14:solidFill>
          </w14:textFill>
        </w:rPr>
        <w:t>人，营业收入为</w:t>
      </w:r>
      <w:r>
        <w:rPr>
          <w:rFonts w:hint="eastAsia" w:ascii="宋体" w:hAnsi="宋体"/>
          <w:b/>
          <w:bCs/>
          <w:i w:val="0"/>
          <w:iCs w:val="0"/>
          <w:color w:val="FF0000"/>
          <w:sz w:val="21"/>
          <w:szCs w:val="21"/>
          <w:highlight w:val="none"/>
          <w:u w:val="single"/>
          <w:lang w:eastAsia="zh-CN"/>
        </w:rPr>
        <w:t xml:space="preserve"> </w:t>
      </w:r>
      <w:r>
        <w:rPr>
          <w:rFonts w:hint="eastAsia" w:ascii="宋体" w:hAnsi="宋体"/>
          <w:b/>
          <w:bCs/>
          <w:i w:val="0"/>
          <w:iCs w:val="0"/>
          <w:color w:val="FF0000"/>
          <w:sz w:val="21"/>
          <w:szCs w:val="21"/>
          <w:highlight w:val="none"/>
          <w:u w:val="single"/>
          <w:lang w:val="en-US" w:eastAsia="zh-CN"/>
        </w:rPr>
        <w:t>5</w:t>
      </w:r>
      <w:r>
        <w:rPr>
          <w:rFonts w:hint="eastAsia" w:ascii="宋体" w:hAnsi="宋体"/>
          <w:b/>
          <w:bCs/>
          <w:i w:val="0"/>
          <w:iCs w:val="0"/>
          <w:color w:val="FF0000"/>
          <w:sz w:val="21"/>
          <w:szCs w:val="21"/>
          <w:highlight w:val="none"/>
          <w:u w:val="single"/>
          <w:lang w:eastAsia="zh-CN"/>
        </w:rPr>
        <w:t xml:space="preserve">50 </w:t>
      </w:r>
      <w:r>
        <w:rPr>
          <w:rFonts w:hint="eastAsia" w:ascii="宋体" w:hAnsi="宋体"/>
          <w:b/>
          <w:bCs/>
          <w:i w:val="0"/>
          <w:iCs w:val="0"/>
          <w:color w:val="000000" w:themeColor="text1"/>
          <w:sz w:val="21"/>
          <w:szCs w:val="21"/>
          <w:highlight w:val="none"/>
          <w:lang w:eastAsia="zh-CN"/>
          <w14:textFill>
            <w14:solidFill>
              <w14:schemeClr w14:val="tx1"/>
            </w14:solidFill>
          </w14:textFill>
        </w:rPr>
        <w:t>万元，资产总额为</w:t>
      </w:r>
      <w:r>
        <w:rPr>
          <w:rFonts w:hint="eastAsia" w:ascii="宋体" w:hAnsi="宋体"/>
          <w:b/>
          <w:bCs/>
          <w:i w:val="0"/>
          <w:iCs w:val="0"/>
          <w:color w:val="FF0000"/>
          <w:sz w:val="21"/>
          <w:szCs w:val="21"/>
          <w:highlight w:val="none"/>
          <w:u w:val="single"/>
          <w:lang w:eastAsia="zh-CN"/>
        </w:rPr>
        <w:t xml:space="preserve"> 150 </w:t>
      </w:r>
      <w:r>
        <w:rPr>
          <w:rFonts w:hint="eastAsia" w:ascii="宋体" w:hAnsi="宋体"/>
          <w:b/>
          <w:bCs/>
          <w:i w:val="0"/>
          <w:iCs w:val="0"/>
          <w:color w:val="000000" w:themeColor="text1"/>
          <w:sz w:val="21"/>
          <w:szCs w:val="21"/>
          <w:highlight w:val="none"/>
          <w:lang w:eastAsia="zh-CN"/>
          <w14:textFill>
            <w14:solidFill>
              <w14:schemeClr w14:val="tx1"/>
            </w14:solidFill>
          </w14:textFill>
        </w:rPr>
        <w:t>万元，属于</w:t>
      </w:r>
      <w:r>
        <w:rPr>
          <w:rFonts w:hint="eastAsia" w:ascii="宋体" w:hAnsi="宋体"/>
          <w:b/>
          <w:bCs/>
          <w:i w:val="0"/>
          <w:iCs w:val="0"/>
          <w:color w:val="FF0000"/>
          <w:sz w:val="21"/>
          <w:szCs w:val="21"/>
          <w:highlight w:val="none"/>
          <w:u w:val="single"/>
          <w:lang w:eastAsia="zh-CN"/>
        </w:rPr>
        <w:t>微型企业</w:t>
      </w:r>
      <w:r>
        <w:rPr>
          <w:rFonts w:hint="eastAsia" w:ascii="宋体" w:hAnsi="宋体"/>
          <w:b/>
          <w:bCs/>
          <w:i w:val="0"/>
          <w:iCs w:val="0"/>
          <w:color w:val="000000" w:themeColor="text1"/>
          <w:sz w:val="21"/>
          <w:szCs w:val="21"/>
          <w:highlight w:val="none"/>
          <w:lang w:eastAsia="zh-CN"/>
          <w14:textFill>
            <w14:solidFill>
              <w14:schemeClr w14:val="tx1"/>
            </w14:solidFill>
          </w14:textFill>
        </w:rPr>
        <w:t>。</w:t>
      </w:r>
    </w:p>
    <w:p>
      <w:pPr>
        <w:adjustRightInd w:val="0"/>
        <w:snapToGrid w:val="0"/>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6）供应商填写中小企业声明函应根据标的物逐一填写，制造商具体信息投标人应根据实际情况据实填写，投标人自行承担因填写信息不真实、内容不齐全等原因造成的不利后果。</w:t>
      </w:r>
    </w:p>
    <w:p>
      <w:pPr>
        <w:rPr>
          <w:rFonts w:hint="default"/>
          <w:lang w:val="en-US" w:eastAsia="zh-CN"/>
        </w:rPr>
      </w:pPr>
      <w:r>
        <w:rPr>
          <w:rFonts w:hint="default"/>
          <w:lang w:val="en-US" w:eastAsia="zh-CN"/>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附件15-1</w:t>
      </w:r>
    </w:p>
    <w:p>
      <w:pPr>
        <w:tabs>
          <w:tab w:val="left" w:pos="3600"/>
        </w:tabs>
        <w:adjustRightInd w:val="0"/>
        <w:snapToGrid w:val="0"/>
        <w:jc w:val="center"/>
        <w:rPr>
          <w:rFonts w:ascii="宋体" w:hAnsi="宋体" w:cs="宋体"/>
          <w:b/>
          <w:bCs/>
          <w:spacing w:val="6"/>
          <w:kern w:val="0"/>
          <w:sz w:val="24"/>
        </w:rPr>
      </w:pPr>
      <w:r>
        <w:rPr>
          <w:rFonts w:hint="eastAsia" w:ascii="宋体" w:hAnsi="宋体" w:cs="宋体"/>
          <w:b/>
          <w:bCs/>
          <w:spacing w:val="6"/>
          <w:kern w:val="0"/>
          <w:sz w:val="24"/>
        </w:rPr>
        <w:t>残疾人福利性单位声明函</w:t>
      </w:r>
    </w:p>
    <w:p>
      <w:pPr>
        <w:spacing w:line="588" w:lineRule="exact"/>
        <w:rPr>
          <w:rFonts w:ascii="仿宋_GB2312" w:eastAsia="仿宋_GB2312"/>
          <w:b/>
          <w:spacing w:val="6"/>
          <w:sz w:val="30"/>
          <w:szCs w:val="30"/>
        </w:rPr>
      </w:pP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ascii="宋体" w:hAnsi="宋体" w:cs="宋体"/>
          <w:spacing w:val="6"/>
          <w:kern w:val="0"/>
          <w:szCs w:val="21"/>
        </w:rPr>
        <w:t>______</w:t>
      </w:r>
      <w:r>
        <w:rPr>
          <w:rFonts w:hint="eastAsia" w:ascii="宋体" w:hAnsi="宋体" w:cs="宋体"/>
          <w:spacing w:val="6"/>
          <w:kern w:val="0"/>
          <w:szCs w:val="21"/>
        </w:rPr>
        <w:t>单位的</w:t>
      </w:r>
      <w:r>
        <w:rPr>
          <w:rFonts w:ascii="宋体" w:hAnsi="宋体" w:cs="宋体"/>
          <w:spacing w:val="6"/>
          <w:kern w:val="0"/>
          <w:szCs w:val="21"/>
        </w:rPr>
        <w:t>______</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adjustRightInd w:val="0"/>
        <w:snapToGrid w:val="0"/>
        <w:spacing w:line="360" w:lineRule="auto"/>
        <w:ind w:firstLine="624" w:firstLineChars="200"/>
        <w:jc w:val="center"/>
        <w:rPr>
          <w:rFonts w:ascii="宋体" w:hAnsi="宋体" w:cs="宋体"/>
          <w:spacing w:val="6"/>
          <w:kern w:val="0"/>
          <w:szCs w:val="21"/>
        </w:rPr>
      </w:pPr>
      <w:r>
        <w:rPr>
          <w:rFonts w:ascii="仿宋_GB2312" w:eastAsia="仿宋_GB2312"/>
          <w:spacing w:val="6"/>
          <w:sz w:val="30"/>
          <w:szCs w:val="30"/>
        </w:rPr>
        <w:t xml:space="preserve">       </w:t>
      </w:r>
      <w:r>
        <w:rPr>
          <w:rFonts w:hint="eastAsia" w:ascii="宋体" w:hAnsi="宋体" w:cs="宋体"/>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szCs w:val="21"/>
        </w:rPr>
      </w:pPr>
      <w:r>
        <w:rPr>
          <w:rFonts w:hint="eastAsia" w:ascii="宋体" w:hAnsi="宋体" w:cs="宋体"/>
          <w:spacing w:val="6"/>
          <w:kern w:val="0"/>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
          <w:sz w:val="28"/>
          <w:szCs w:val="28"/>
        </w:rPr>
      </w:pPr>
    </w:p>
    <w:p>
      <w:pPr>
        <w:pStyle w:val="41"/>
        <w:spacing w:before="0" w:beforeAutospacing="0" w:after="0" w:afterAutospacing="0"/>
        <w:rPr>
          <w:spacing w:val="6"/>
          <w:sz w:val="21"/>
          <w:szCs w:val="21"/>
        </w:rPr>
      </w:pPr>
      <w:r>
        <w:rPr>
          <w:rFonts w:hint="eastAsia"/>
          <w:spacing w:val="6"/>
          <w:sz w:val="21"/>
          <w:szCs w:val="21"/>
        </w:rPr>
        <w:t>说明：</w:t>
      </w:r>
    </w:p>
    <w:p>
      <w:pPr>
        <w:pStyle w:val="41"/>
        <w:spacing w:before="0" w:beforeAutospacing="0" w:after="0" w:afterAutospacing="0"/>
        <w:ind w:firstLine="444" w:firstLineChars="200"/>
        <w:rPr>
          <w:spacing w:val="6"/>
          <w:sz w:val="21"/>
          <w:szCs w:val="21"/>
        </w:rPr>
      </w:pPr>
      <w:r>
        <w:rPr>
          <w:rFonts w:hint="eastAsia"/>
          <w:spacing w:val="6"/>
          <w:sz w:val="21"/>
          <w:szCs w:val="21"/>
        </w:rPr>
        <w:t>1、</w:t>
      </w:r>
      <w:r>
        <w:rPr>
          <w:rFonts w:hint="eastAsia"/>
          <w:b/>
          <w:bCs/>
          <w:spacing w:val="6"/>
          <w:sz w:val="21"/>
          <w:szCs w:val="21"/>
        </w:rPr>
        <w:t>残疾人福利性单位视同小微企业</w:t>
      </w:r>
      <w:r>
        <w:rPr>
          <w:rFonts w:hint="eastAsia"/>
          <w:spacing w:val="6"/>
          <w:sz w:val="21"/>
          <w:szCs w:val="21"/>
        </w:rPr>
        <w:t>，残疾人福利性单位应当同时满足以下条件：</w:t>
      </w:r>
    </w:p>
    <w:p>
      <w:pPr>
        <w:pStyle w:val="41"/>
        <w:spacing w:before="0" w:beforeAutospacing="0" w:after="0" w:afterAutospacing="0"/>
        <w:ind w:firstLine="444" w:firstLineChars="200"/>
        <w:rPr>
          <w:spacing w:val="6"/>
          <w:sz w:val="21"/>
          <w:szCs w:val="21"/>
        </w:rPr>
      </w:pPr>
      <w:r>
        <w:rPr>
          <w:rFonts w:hint="eastAsia"/>
          <w:spacing w:val="6"/>
          <w:sz w:val="21"/>
          <w:szCs w:val="21"/>
        </w:rPr>
        <w:t>①安置的残疾人占本单位在职职工人数的比例不低于25%（含25%），并且安置的残疾人人数不少于10人（含10人）；</w:t>
      </w:r>
    </w:p>
    <w:p>
      <w:pPr>
        <w:pStyle w:val="41"/>
        <w:spacing w:before="0" w:beforeAutospacing="0" w:after="0" w:afterAutospacing="0"/>
        <w:ind w:firstLine="444" w:firstLineChars="200"/>
        <w:rPr>
          <w:spacing w:val="6"/>
          <w:sz w:val="21"/>
          <w:szCs w:val="21"/>
        </w:rPr>
      </w:pPr>
      <w:r>
        <w:rPr>
          <w:rFonts w:hint="eastAsia"/>
          <w:spacing w:val="6"/>
          <w:sz w:val="21"/>
          <w:szCs w:val="21"/>
        </w:rPr>
        <w:t>②依法与安置的每位残疾人签订了一年以上（含一年）的劳动合同或服务协议；</w:t>
      </w:r>
    </w:p>
    <w:p>
      <w:pPr>
        <w:pStyle w:val="41"/>
        <w:spacing w:before="0" w:beforeAutospacing="0" w:after="0" w:afterAutospacing="0"/>
        <w:ind w:firstLine="444" w:firstLineChars="200"/>
        <w:rPr>
          <w:spacing w:val="6"/>
          <w:sz w:val="21"/>
          <w:szCs w:val="21"/>
        </w:rPr>
      </w:pPr>
      <w:r>
        <w:rPr>
          <w:rFonts w:hint="eastAsia"/>
          <w:spacing w:val="6"/>
          <w:sz w:val="21"/>
          <w:szCs w:val="21"/>
        </w:rPr>
        <w:t>③为安置的每位残疾人按月足额缴纳了基本养老保险、基本医疗保险、失业保险、工伤保险和生育保险等社会保险费；</w:t>
      </w:r>
    </w:p>
    <w:p>
      <w:pPr>
        <w:pStyle w:val="41"/>
        <w:spacing w:before="0" w:beforeAutospacing="0" w:after="0" w:afterAutospacing="0"/>
        <w:ind w:firstLine="444" w:firstLineChars="200"/>
        <w:rPr>
          <w:spacing w:val="6"/>
          <w:sz w:val="21"/>
          <w:szCs w:val="21"/>
        </w:rPr>
      </w:pPr>
      <w:r>
        <w:rPr>
          <w:rFonts w:hint="eastAsia"/>
          <w:spacing w:val="6"/>
          <w:sz w:val="21"/>
          <w:szCs w:val="21"/>
        </w:rPr>
        <w:t>④通过银行等金融机构向安置的每位残疾人，按月支付了不低于单位所在区县适用的经省级人民政府批准的月最低工资标准的工资；</w:t>
      </w:r>
    </w:p>
    <w:p>
      <w:pPr>
        <w:pStyle w:val="41"/>
        <w:spacing w:before="0" w:beforeAutospacing="0" w:after="0" w:afterAutospacing="0"/>
        <w:ind w:firstLine="444" w:firstLineChars="200"/>
        <w:rPr>
          <w:spacing w:val="6"/>
          <w:sz w:val="21"/>
          <w:szCs w:val="21"/>
        </w:rPr>
      </w:pPr>
      <w:r>
        <w:rPr>
          <w:rFonts w:hint="eastAsia"/>
          <w:spacing w:val="6"/>
          <w:sz w:val="21"/>
          <w:szCs w:val="21"/>
        </w:rPr>
        <w:t>⑤提供本单位制造的货物、承担的工程或者服务（以下简称产品），或者提供其他残疾人福利性单位制造的货物（不包括使用非残疾人福利性单位注册商标的货物）。</w:t>
      </w:r>
    </w:p>
    <w:p>
      <w:pPr>
        <w:pStyle w:val="41"/>
        <w:spacing w:before="0" w:beforeAutospacing="0" w:after="0" w:afterAutospacing="0"/>
        <w:rPr>
          <w:spacing w:val="6"/>
          <w:sz w:val="21"/>
          <w:szCs w:val="21"/>
        </w:rPr>
      </w:pPr>
    </w:p>
    <w:p>
      <w:pPr>
        <w:pStyle w:val="41"/>
        <w:spacing w:before="0" w:beforeAutospacing="0" w:after="0" w:afterAutospacing="0"/>
        <w:ind w:firstLine="444" w:firstLineChars="200"/>
        <w:rPr>
          <w:spacing w:val="6"/>
          <w:sz w:val="21"/>
          <w:szCs w:val="21"/>
        </w:rPr>
      </w:pPr>
    </w:p>
    <w:p>
      <w:pPr>
        <w:pStyle w:val="41"/>
        <w:spacing w:before="0" w:beforeAutospacing="0" w:after="0" w:afterAutospacing="0"/>
        <w:ind w:firstLine="444" w:firstLineChars="200"/>
        <w:rPr>
          <w:spacing w:val="6"/>
          <w:sz w:val="21"/>
          <w:szCs w:val="21"/>
        </w:rPr>
      </w:pPr>
      <w:r>
        <w:rPr>
          <w:rFonts w:hint="eastAsia"/>
          <w:spacing w:val="6"/>
          <w:sz w:val="21"/>
          <w:szCs w:val="21"/>
        </w:rPr>
        <w:t>2、</w:t>
      </w:r>
      <w:r>
        <w:rPr>
          <w:rFonts w:hint="eastAsia"/>
          <w:b/>
          <w:bCs/>
          <w:spacing w:val="6"/>
          <w:sz w:val="21"/>
          <w:szCs w:val="21"/>
        </w:rPr>
        <w:t>监狱企业视同为小微企业。</w:t>
      </w:r>
      <w:r>
        <w:rPr>
          <w:rFonts w:hint="eastAsia"/>
          <w:spacing w:val="6"/>
          <w:sz w:val="21"/>
          <w:szCs w:val="21"/>
        </w:rPr>
        <w:t>如属于监狱企业，需提供由省级以上监狱管理局、戒毒管理局（含新疆生产建设兵团）出具的属于监狱企业的证明文件。</w:t>
      </w:r>
    </w:p>
    <w:p>
      <w:pPr>
        <w:rPr>
          <w:rFonts w:hint="eastAsia"/>
          <w:spacing w:val="6"/>
          <w:sz w:val="21"/>
          <w:szCs w:val="21"/>
        </w:rPr>
      </w:pPr>
      <w:r>
        <w:rPr>
          <w:rFonts w:hint="eastAsia"/>
          <w:spacing w:val="6"/>
          <w:sz w:val="21"/>
          <w:szCs w:val="21"/>
        </w:rPr>
        <w:br w:type="page"/>
      </w:r>
    </w:p>
    <w:p>
      <w:pPr>
        <w:pStyle w:val="25"/>
        <w:ind w:left="0"/>
        <w:rPr>
          <w:rFonts w:hint="eastAsia" w:ascii="宋体" w:hAnsi="宋体" w:eastAsia="宋体" w:cs="宋体"/>
          <w:spacing w:val="6"/>
          <w:kern w:val="0"/>
          <w:sz w:val="21"/>
          <w:szCs w:val="21"/>
          <w:lang w:eastAsia="zh-CN"/>
        </w:rPr>
      </w:pPr>
      <w:r>
        <w:rPr>
          <w:rFonts w:hint="eastAsia" w:ascii="宋体" w:hAnsi="宋体"/>
          <w:bCs/>
          <w:i w:val="0"/>
          <w:iCs w:val="0"/>
          <w:color w:val="000000" w:themeColor="text1"/>
          <w:sz w:val="28"/>
          <w:szCs w:val="28"/>
          <w14:textFill>
            <w14:solidFill>
              <w14:schemeClr w14:val="tx1"/>
            </w14:solidFill>
          </w14:textFill>
        </w:rPr>
        <w:t>附件1</w:t>
      </w:r>
      <w:r>
        <w:rPr>
          <w:rFonts w:hint="eastAsia" w:ascii="宋体" w:hAnsi="宋体"/>
          <w:bCs/>
          <w:i w:val="0"/>
          <w:iCs w:val="0"/>
          <w:color w:val="000000" w:themeColor="text1"/>
          <w:sz w:val="28"/>
          <w:szCs w:val="28"/>
          <w:lang w:val="en-US" w:eastAsia="zh-CN"/>
          <w14:textFill>
            <w14:solidFill>
              <w14:schemeClr w14:val="tx1"/>
            </w14:solidFill>
          </w14:textFill>
        </w:rPr>
        <w:t>6</w:t>
      </w:r>
    </w:p>
    <w:p>
      <w:pPr>
        <w:autoSpaceDN w:val="0"/>
        <w:spacing w:line="360" w:lineRule="auto"/>
        <w:jc w:val="center"/>
        <w:rPr>
          <w:b/>
          <w:bCs/>
          <w:sz w:val="24"/>
        </w:rPr>
      </w:pPr>
      <w:r>
        <w:rPr>
          <w:rFonts w:hint="eastAsia"/>
          <w:b/>
          <w:bCs/>
          <w:sz w:val="24"/>
        </w:rPr>
        <w:t>实质性条款情况表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46"/>
        <w:tblW w:w="843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49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7" w:type="dxa"/>
            <w:gridSpan w:val="3"/>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ascii="宋体" w:hAnsi="宋体" w:cs="宋体"/>
                <w:szCs w:val="21"/>
                <w:lang w:val="en-GB"/>
              </w:rPr>
            </w:pPr>
            <w:r>
              <w:rPr>
                <w:rFonts w:hint="eastAsia" w:ascii="宋体" w:hAnsi="宋体" w:cs="宋体"/>
                <w:szCs w:val="21"/>
                <w:lang w:val="en-GB" w:eastAsia="zh-CN"/>
              </w:rPr>
              <w:t>条款</w:t>
            </w:r>
            <w:r>
              <w:rPr>
                <w:rFonts w:hint="eastAsia" w:ascii="宋体" w:hAnsi="宋体" w:cs="宋体"/>
                <w:szCs w:val="21"/>
                <w:lang w:val="en-GB"/>
              </w:rPr>
              <w:t>名称</w:t>
            </w:r>
          </w:p>
        </w:tc>
        <w:tc>
          <w:tcPr>
            <w:tcW w:w="4931"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实质性需求条款</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hint="eastAsia" w:ascii="宋体" w:hAnsi="宋体" w:eastAsia="宋体" w:cs="宋体"/>
                <w:szCs w:val="21"/>
                <w:lang w:val="en-GB" w:eastAsia="zh-CN"/>
              </w:rPr>
            </w:pPr>
            <w:r>
              <w:rPr>
                <w:rFonts w:hint="eastAsia" w:ascii="宋体" w:hAnsi="宋体" w:cs="宋体"/>
                <w:szCs w:val="21"/>
                <w:lang w:eastAsia="zh-CN"/>
              </w:rPr>
              <w:t>履约期限</w:t>
            </w:r>
          </w:p>
        </w:tc>
        <w:tc>
          <w:tcPr>
            <w:tcW w:w="4931" w:type="dxa"/>
            <w:shd w:val="clear" w:color="auto" w:fill="auto"/>
            <w:vAlign w:val="center"/>
          </w:tcPr>
          <w:p>
            <w:pPr>
              <w:adjustRightInd w:val="0"/>
              <w:snapToGrid w:val="0"/>
              <w:spacing w:line="400" w:lineRule="exact"/>
              <w:jc w:val="left"/>
              <w:rPr>
                <w:rFonts w:hint="eastAsia" w:ascii="宋体" w:hAnsi="宋体" w:eastAsia="宋体" w:cs="宋体"/>
                <w:color w:val="FF0000"/>
                <w:szCs w:val="21"/>
                <w:lang w:val="en-GB" w:eastAsia="zh-CN"/>
              </w:rPr>
            </w:pPr>
            <w:r>
              <w:rPr>
                <w:rFonts w:hint="eastAsia" w:ascii="宋体" w:hAnsi="宋体" w:cs="宋体"/>
                <w:color w:val="FF0000"/>
                <w:szCs w:val="21"/>
                <w:lang w:val="en-GB"/>
              </w:rPr>
              <w:t>★</w:t>
            </w:r>
            <w:r>
              <w:rPr>
                <w:rFonts w:hint="eastAsia" w:ascii="宋体" w:hAnsi="宋体" w:cs="宋体"/>
                <w:color w:val="FF0000"/>
                <w:szCs w:val="21"/>
                <w:lang w:eastAsia="zh-CN"/>
              </w:rPr>
              <w:t>合同签订后一年内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质保期</w:t>
            </w:r>
          </w:p>
        </w:tc>
        <w:tc>
          <w:tcPr>
            <w:tcW w:w="4931" w:type="dxa"/>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★验收合格后</w:t>
            </w:r>
            <w:r>
              <w:rPr>
                <w:rFonts w:hint="eastAsia" w:ascii="宋体" w:hAnsi="宋体" w:cs="宋体"/>
                <w:color w:val="FF0000"/>
                <w:szCs w:val="21"/>
                <w:lang w:val="en-US" w:eastAsia="zh-CN"/>
              </w:rPr>
              <w:t>1</w:t>
            </w:r>
            <w:r>
              <w:rPr>
                <w:rFonts w:hint="eastAsia" w:ascii="宋体" w:hAnsi="宋体" w:cs="宋体"/>
                <w:color w:val="FF0000"/>
                <w:szCs w:val="21"/>
              </w:rPr>
              <w:t>年</w:t>
            </w:r>
            <w:r>
              <w:rPr>
                <w:rFonts w:hint="eastAsia" w:ascii="宋体" w:hAnsi="宋体" w:cs="宋体"/>
                <w:color w:val="FF0000"/>
                <w:szCs w:val="21"/>
                <w:lang w:val="en-GB"/>
              </w:rPr>
              <w:t>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hint="default" w:ascii="宋体" w:hAnsi="宋体" w:eastAsia="宋体" w:cs="宋体"/>
                <w:szCs w:val="21"/>
                <w:lang w:val="en-US" w:eastAsia="zh-CN"/>
              </w:rPr>
            </w:pPr>
            <w:r>
              <w:rPr>
                <w:rFonts w:hint="eastAsia" w:ascii="宋体" w:hAnsi="宋体" w:cs="宋体"/>
                <w:szCs w:val="21"/>
                <w:lang w:eastAsia="zh-CN"/>
              </w:rPr>
              <w:t>第五章</w:t>
            </w:r>
            <w:r>
              <w:rPr>
                <w:rFonts w:hint="eastAsia" w:ascii="宋体" w:hAnsi="宋体" w:cs="宋体"/>
                <w:szCs w:val="21"/>
                <w:lang w:val="en-US" w:eastAsia="zh-CN"/>
              </w:rPr>
              <w:t xml:space="preserve"> 采购需求</w:t>
            </w:r>
          </w:p>
        </w:tc>
        <w:tc>
          <w:tcPr>
            <w:tcW w:w="4931" w:type="dxa"/>
            <w:shd w:val="clear" w:color="auto" w:fill="auto"/>
            <w:vAlign w:val="center"/>
          </w:tcPr>
          <w:p>
            <w:pPr>
              <w:adjustRightInd w:val="0"/>
              <w:snapToGrid w:val="0"/>
              <w:spacing w:line="400" w:lineRule="exact"/>
              <w:jc w:val="left"/>
              <w:rPr>
                <w:rFonts w:hint="eastAsia" w:ascii="宋体" w:hAnsi="宋体" w:cs="宋体"/>
                <w:color w:val="FF0000"/>
                <w:szCs w:val="21"/>
                <w:lang w:val="en-GB"/>
              </w:rPr>
            </w:pPr>
            <w:r>
              <w:rPr>
                <w:rFonts w:hint="eastAsia" w:ascii="宋体" w:hAnsi="宋体" w:cs="宋体"/>
                <w:color w:val="FF0000"/>
                <w:szCs w:val="21"/>
                <w:lang w:val="en-GB"/>
              </w:rPr>
              <w:t>★利乐枕包，≥200ml每袋，通过高温灭菌，保质期在45天以上（包含45天）。其中脂肪≥3.1；蛋白质≥3.0；非脂乳固体≥8.1；商业无菌。</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bl>
    <w:p>
      <w:pPr>
        <w:spacing w:line="460" w:lineRule="exac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rPr>
        <w:t>投标人</w:t>
      </w:r>
      <w:r>
        <w:rPr>
          <w:rFonts w:hint="eastAsia" w:ascii="宋体" w:hAnsi="宋体" w:cs="宋体"/>
          <w:szCs w:val="21"/>
        </w:rPr>
        <w:t>（盖单位章）：</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spacing w:line="460" w:lineRule="exact"/>
        <w:rPr>
          <w:rFonts w:hint="eastAsia" w:ascii="宋体" w:hAnsi="宋体" w:cs="宋体"/>
          <w:b/>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b/>
          <w:sz w:val="24"/>
        </w:rPr>
        <w:t xml:space="preserve"> </w:t>
      </w:r>
    </w:p>
    <w:p>
      <w:pPr>
        <w:pStyle w:val="4"/>
        <w:rPr>
          <w:rFonts w:hint="eastAsia" w:ascii="宋体" w:hAnsi="宋体" w:cs="宋体"/>
          <w:b/>
          <w:sz w:val="24"/>
        </w:rPr>
      </w:pPr>
    </w:p>
    <w:p>
      <w:pPr>
        <w:rPr>
          <w:rFonts w:hint="eastAsia"/>
          <w:lang w:eastAsia="zh-CN"/>
        </w:rPr>
      </w:pPr>
      <w:r>
        <w:rPr>
          <w:rFonts w:hint="eastAsia"/>
          <w:lang w:eastAsia="zh-CN"/>
        </w:rPr>
        <w:br w:type="page"/>
      </w:r>
    </w:p>
    <w:p>
      <w:pPr>
        <w:pStyle w:val="25"/>
        <w:ind w:left="0"/>
        <w:rPr>
          <w:rFonts w:hint="eastAsia" w:ascii="宋体" w:hAnsi="宋体" w:eastAsia="宋体" w:cs="宋体"/>
          <w:spacing w:val="6"/>
          <w:kern w:val="0"/>
          <w:sz w:val="21"/>
          <w:szCs w:val="21"/>
          <w:lang w:eastAsia="zh-CN"/>
        </w:rPr>
      </w:pPr>
      <w:r>
        <w:rPr>
          <w:rFonts w:hint="eastAsia" w:ascii="宋体" w:hAnsi="宋体"/>
          <w:bCs/>
          <w:i w:val="0"/>
          <w:iCs w:val="0"/>
          <w:color w:val="000000" w:themeColor="text1"/>
          <w:sz w:val="28"/>
          <w:szCs w:val="28"/>
          <w14:textFill>
            <w14:solidFill>
              <w14:schemeClr w14:val="tx1"/>
            </w14:solidFill>
          </w14:textFill>
        </w:rPr>
        <w:t>附件1</w:t>
      </w:r>
      <w:r>
        <w:rPr>
          <w:rFonts w:hint="eastAsia" w:ascii="宋体" w:hAnsi="宋体"/>
          <w:bCs/>
          <w:i w:val="0"/>
          <w:iCs w:val="0"/>
          <w:color w:val="000000" w:themeColor="text1"/>
          <w:sz w:val="28"/>
          <w:szCs w:val="28"/>
          <w:lang w:val="en-US" w:eastAsia="zh-CN"/>
          <w14:textFill>
            <w14:solidFill>
              <w14:schemeClr w14:val="tx1"/>
            </w14:solidFill>
          </w14:textFill>
        </w:rPr>
        <w:t>7</w:t>
      </w:r>
    </w:p>
    <w:p>
      <w:pPr>
        <w:autoSpaceDN w:val="0"/>
        <w:spacing w:line="360" w:lineRule="auto"/>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投保食品安全责任保险承诺函</w:t>
      </w:r>
    </w:p>
    <w:p>
      <w:pPr>
        <w:pStyle w:val="2"/>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承诺函内容投标人根据评分项及招标文件要求自拟。</w:t>
      </w:r>
    </w:p>
    <w:p>
      <w:pPr>
        <w:rPr>
          <w:rFonts w:hint="eastAsia" w:ascii="Times New Roman" w:hAnsi="Times New Roman" w:cs="Times New Roman"/>
          <w:b/>
          <w:bCs/>
          <w:sz w:val="24"/>
          <w:lang w:val="en-US" w:eastAsia="zh-CN"/>
        </w:rPr>
      </w:pPr>
    </w:p>
    <w:p>
      <w:pPr>
        <w:pStyle w:val="2"/>
        <w:rPr>
          <w:rFonts w:hint="eastAsia" w:ascii="Times New Roman" w:hAnsi="Times New Roman" w:cs="Times New Roman"/>
          <w:b/>
          <w:bCs/>
          <w:sz w:val="24"/>
          <w:lang w:val="en-US" w:eastAsia="zh-CN"/>
        </w:rPr>
      </w:pPr>
    </w:p>
    <w:p>
      <w:pPr>
        <w:rPr>
          <w:rFonts w:hint="eastAsia" w:ascii="Times New Roman" w:hAnsi="Times New Roman" w:cs="Times New Roman"/>
          <w:b/>
          <w:bCs/>
          <w:sz w:val="24"/>
          <w:lang w:val="en-US" w:eastAsia="zh-CN"/>
        </w:rPr>
      </w:pPr>
    </w:p>
    <w:p>
      <w:pPr>
        <w:pStyle w:val="2"/>
        <w:rPr>
          <w:rFonts w:hint="eastAsia" w:ascii="Times New Roman" w:hAnsi="Times New Roman" w:cs="Times New Roman"/>
          <w:b/>
          <w:bCs/>
          <w:sz w:val="24"/>
          <w:lang w:val="en-US" w:eastAsia="zh-CN"/>
        </w:rPr>
      </w:pPr>
    </w:p>
    <w:p>
      <w:pPr>
        <w:rPr>
          <w:rFonts w:hint="eastAsia" w:ascii="Times New Roman" w:hAnsi="Times New Roman" w:cs="Times New Roman"/>
          <w:b/>
          <w:bCs/>
          <w:sz w:val="24"/>
          <w:lang w:val="en-US" w:eastAsia="zh-CN"/>
        </w:rPr>
      </w:pPr>
    </w:p>
    <w:p>
      <w:pPr>
        <w:adjustRightInd w:val="0"/>
        <w:snapToGrid w:val="0"/>
        <w:spacing w:line="360" w:lineRule="auto"/>
        <w:ind w:left="0" w:leftChars="0" w:firstLine="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（盖单位章）：</w:t>
      </w:r>
    </w:p>
    <w:p>
      <w:pPr>
        <w:adjustRightInd w:val="0"/>
        <w:snapToGrid w:val="0"/>
        <w:spacing w:line="360" w:lineRule="auto"/>
        <w:ind w:left="0" w:leftChars="0" w:firstLine="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法定代表人或其委托代理人签字：</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spacing w:line="360" w:lineRule="auto"/>
        <w:ind w:left="0" w:leftChars="0" w:firstLine="0" w:firstLineChars="0"/>
        <w:rPr>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b/>
          <w:color w:val="000000" w:themeColor="text1"/>
          <w:sz w:val="24"/>
          <w14:textFill>
            <w14:solidFill>
              <w14:schemeClr w14:val="tx1"/>
            </w14:solidFill>
          </w14:textFill>
        </w:rPr>
        <w:t xml:space="preserve"> </w:t>
      </w:r>
    </w:p>
    <w:p>
      <w:pPr>
        <w:rPr>
          <w:rFonts w:hint="default"/>
          <w:lang w:val="en-US" w:eastAsia="zh-CN"/>
        </w:rPr>
      </w:pPr>
    </w:p>
    <w:p>
      <w:pPr>
        <w:pStyle w:val="2"/>
        <w:rPr>
          <w:rFonts w:hint="eastAsia"/>
          <w:lang w:eastAsia="zh-CN"/>
        </w:rPr>
      </w:pPr>
    </w:p>
    <w:sectPr>
      <w:headerReference r:id="rId2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40FCC41-DD48-4BC2-BC4D-F9C98975A957}"/>
  </w:font>
  <w:font w:name="黑体">
    <w:panose1 w:val="02010609060101010101"/>
    <w:charset w:val="86"/>
    <w:family w:val="auto"/>
    <w:pitch w:val="default"/>
    <w:sig w:usb0="800002BF" w:usb1="38CF7CFA" w:usb2="00000016" w:usb3="00000000" w:csb0="00040001" w:csb1="00000000"/>
    <w:embedRegular r:id="rId2" w:fontKey="{9273CDF0-DFE0-48E4-B7AC-5FB91839180A}"/>
  </w:font>
  <w:font w:name="Courier New">
    <w:panose1 w:val="02070309020205020404"/>
    <w:charset w:val="01"/>
    <w:family w:val="modern"/>
    <w:pitch w:val="default"/>
    <w:sig w:usb0="E0002AFF" w:usb1="C0007843" w:usb2="00000009" w:usb3="00000000" w:csb0="400001FF" w:csb1="FFFF0000"/>
    <w:embedRegular r:id="rId3" w:fontKey="{0DEF13A1-405C-431C-8E77-5B9B7B8224F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4" w:fontKey="{848A6037-1461-4F28-845F-A564AC0C1EA6}"/>
  </w:font>
  <w:font w:name="仿宋_GB2312">
    <w:panose1 w:val="02010609030101010101"/>
    <w:charset w:val="86"/>
    <w:family w:val="modern"/>
    <w:pitch w:val="default"/>
    <w:sig w:usb0="00000001" w:usb1="080E0000" w:usb2="00000000" w:usb3="00000000" w:csb0="00040000" w:csb1="00000000"/>
    <w:embedRegular r:id="rId5" w:fontKey="{083F85FE-0411-4EA1-BB20-817CBA81A73F}"/>
  </w:font>
  <w:font w:name="楷体_GB2312">
    <w:panose1 w:val="02010609030101010101"/>
    <w:charset w:val="86"/>
    <w:family w:val="modern"/>
    <w:pitch w:val="default"/>
    <w:sig w:usb0="00000001" w:usb1="080E0000" w:usb2="00000000" w:usb3="00000000" w:csb0="00040000" w:csb1="00000000"/>
    <w:embedRegular r:id="rId6" w:fontKey="{7A664311-28BB-4144-9800-21CF6A0E55FA}"/>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7" w:fontKey="{05CA3CB6-DAE0-49B9-9FF2-28CC4B5EA906}"/>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Arail">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embedRegular r:id="rId8" w:fontKey="{16B08400-21AC-434A-B12A-C232428A94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u5sKyAQAATAMAAA4AAABkcnMvZTJvRG9jLnhtbK1TwY7TMBC9&#10;I/EPlu80aaWyUdR0BVotQkKAtPABrmM3lmyP5fE26Q/AH3Diwp3v6ncwdtMughvi4oxnxm/mvZls&#10;bidn2UFFNOA7vlzUnCkvoTd+3/HPn+5fNJxhEr4XFrzq+FEhv90+f7YZQ6tWMIDtVWQE4rEdQ8eH&#10;lEJbVSgH5QQuIChPQQ3RiUTXuK/6KEZCd7Za1fXLaoTYhwhSIZL37hzk24KvtZLpg9aoErMdp95S&#10;OWM5d/msthvR7qMIg5FzG+IfunDCeCp6hboTSbDHaP6CckZGQNBpIcFVoLWRqnAgNsv6DzYPgwiq&#10;cCFxMFxlwv8HK98fPkZmepodZ144GtHp29fT95+nH1/Yerm6yQqNAVtKfAiUmqbXMOXs2Y/kzMQn&#10;HV3+EiVGcdL6eNVXTYnJ/KhZNU1NIUmxy4VwqqfnIWJ6o8CxbHQ80gCLruLwDtM59ZKSq3m4N9aS&#10;X7TWs5FQ183Nury4hgjdeiqSWZy7zVaadtNMYQf9kZiNtAUd97SmnNm3nkTOC3Mx4sXYzUauieHV&#10;Y6IWSmcZ9Qw1F6ORFW7zeuWd+P1esp5+g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mCS9MA&#10;AAAFAQAADwAAAAAAAAABACAAAAAiAAAAZHJzL2Rvd25yZXYueG1sUEsBAhQAFAAAAAgAh07iQPOu&#10;5sKyAQAATAMAAA4AAAAAAAAAAQAgAAAAIgEAAGRycy9lMm9Eb2MueG1sUEsFBgAAAAAGAAYAWQEA&#10;AEYFAAAAAA==&#10;">
              <v:fill on="f" focussize="0,0"/>
              <v:stroke on="f" weight="1.25pt"/>
              <v:imagedata o:title=""/>
              <o:lock v:ext="edit" aspectratio="f"/>
              <v:textbox inset="0mm,0mm,0mm,0mm" style="mso-fit-shape-to-text:t;">
                <w:txbxContent>
                  <w:p>
                    <w:pPr>
                      <w:pStyle w:val="31"/>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31"/>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DG5ylaswEAAEkDAAAOAAAAZHJzL2Uyb0RvYy54bWytU0tuGzEM3RfI&#10;HQTtY9kGHAcDj4MWQYIARRog7QFkjeQRoB8o2TO+QHODrrrJPufyOULJHqdNdkU3GoqkHt8jOYur&#10;3hqylRC1dzWdjMaUSCd8o926pj++35xfUhITdw033sma7mSkV8uzT4suVHLqW28aCQRBXKy6UNM2&#10;pVAxFkUrLY8jH6TDoPJgecIrrFkDvEN0a9h0PL5gnYcmgBcyRvReH4J0WfCVkiJ9UyrKRExNkVsq&#10;J5RzlU+2XPBqDTy0Whxp8H9gYbl2WPQEdc0TJxvQH6CsFuCjV2kkvGVeKS1k0YBqJuN3ah5bHmTR&#10;gs2J4dSm+P9gxf32AYhuajqlxHGLI9r/etr/ftk//ySz3J4uxAqzHgPmpf6L73HMgz+iM6vuFdj8&#10;RT0E49jo3am5sk9E5EeT2WyOEYGh6fxyflHQ2dvjADHdSm9JNmoKOLvSUr79GhMSwdQhJddy/kYb&#10;U+Zn3F8OTMwelpkfGGYr9av+KGflmx2q6XDsNXW4l5SYO4ddzRsyGDAYq8HYBNDrFqlNCq8YPm8S&#10;kijccoUD7LEwzqtQPu5WXog/7yXr7Q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lgM30QAA&#10;AAMBAAAPAAAAAAAAAAEAIAAAACIAAABkcnMvZG93bnJldi54bWxQSwECFAAUAAAACACHTuJAxucp&#10;WrMBAABJAwAADgAAAAAAAAABACAAAAAgAQAAZHJzL2Uyb0RvYy54bWxQSwUGAAAAAAYABgBZAQAA&#10;RQUAAAAA&#10;">
              <v:fill on="f" focussize="0,0"/>
              <v:stroke on="f"/>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bg2Im0AQAATAMAAA4AAABkcnMvZTJvRG9jLnhtbK1TwW7bMAy9&#10;D9g/CLovdtJlM4w4RYuiw4BhK5D1AxRZigVIoiCpsfMD2x/stMvu/a58xyjFTov2NuwikyL1yPdI&#10;ry4Ho8le+KDANnQ+KykRlkOr7K6h999v31WUhMhsyzRY0dCDCPRy/fbNqne1WEAHuhWeIIgNde8a&#10;2sXo6qIIvBOGhRk4YTEowRsW0fW7ovWsR3Sji0VZfih68K3zwEUIeHtzCtJ1xpdS8PhNyiAi0Q3F&#10;3mI+fT636SzWK1bvPHOd4mMb7B+6MExZLHqGumGRkQevXkEZxT0EkHHGwRQgpeIic0A28/IFm03H&#10;nMhcUJzgzjKF/wfLv+7vPFFtQ99TYpnBER1//Tz+fjz++UGW84uLpFDvQo2JG4epcbiGASc93Qe8&#10;TMQH6U36IiWCcdT6cNZXDJHw9KhaVFWJIY6xyUH84um58yF+EmBIMhrqcYBZV7b/EuIpdUpJ1Szc&#10;Kq3zELUlPaIuq4/L/OIcQnRtsUhiceo2WXHYDiO1LbQHZNbjFjTU4ppSoj9bFDktzGT4ydiORiof&#10;3NVDxBZyZwn1BDUWw5FlbuN6pZ147uesp59g/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JuDYibQBAABMAwAADgAAAAAAAAABACAAAAAiAQAAZHJzL2Uyb0RvYy54bWxQSwUGAAAAAAYABgBZ&#10;AQAASAU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TgZU60AQAATAMAAA4AAABkcnMvZTJvRG9jLnhtbK1TS27bMBDd&#10;F+gdCO5ryU7dCoLloEGQokDRBnB7AJoiLQL8gcNY8gXaG3TVTfc5l8+RIS05QbILuqFmOMM3896M&#10;VpeD0WQvAihnGzqflZQIy12r7K6hP3/cvKsogchsy7SzoqEHAfRy/fbNqve1WLjO6VYEgiAW6t43&#10;tIvR10UBvBOGwcx5YTEoXTAsoht2RRtYj+hGF4uy/FD0LrQ+OC4A8Pb6FKTrjC+l4PG7lCAi0Q3F&#10;3mI+Qz636SzWK1bvAvOd4mMb7BVdGKYsFj1DXbPIyF1QL6CM4sGBk3HGnSmclIqLzAHZzMtnbDYd&#10;8yJzQXHAn2WC/wfLv+1vA1FtQ5eUWGZwRMc/v49/74//fpHl/OJ9Uqj3UGPixmNqHK7cgJOe7gEv&#10;E/FBBpO+SIlgHLU+nPUVQyQ8PaoWVVViiGNschC/eHzuA8TPwhmSjIYGHGDWle2/QjylTimpmnU3&#10;Sus8RG1Jj6jL6uMyvziHEF1bLJJYnLpNVhy2w0ht69oDMutxCxpqcU0p0V8sipwWZjLCZGxHI5UH&#10;/+kuYgu5s4R6ghqL4cgyt3G90k489XPW40+w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FOBlTrQBAABMAwAADgAAAAAAAAABACAAAAAiAQAAZHJzL2Uyb0RvYy54bWxQSwUGAAAAAAYABgBZ&#10;AQAASAU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65cNOzAQAATAMAAA4AAABkcnMvZTJvRG9jLnhtbK1TS27bMBDd&#10;F8gdCO5ryQ6cCoLlIEWQoEDRBEhyAJoiLQL8gcNY8gXSG3SVTfc5l8/RIS3bRborsqFmOMM3896M&#10;FpeD0WQjAihnGzqdlJQIy12r7LqhT483nytKIDLbMu2saOhWAL1cnn1a9L4WM9c53YpAEMRC3fuG&#10;djH6uiiAd8IwmDgvLAalC4ZFdMO6aAPrEd3oYlaWF0XvQuuD4wIAb6/3QbrM+FIKHu+kBBGJbij2&#10;FvMZ8rlKZ7FcsHodmO8UH9tg/9GFYcpi0SPUNYuMPAf1D5RRPDhwMk64M4WTUnGROSCbafmOzUPH&#10;vMhcUBzwR5ng42D5j819IKpt6Dkllhkc0e7Xz93r2+73C5lPz7NCvYcaEx88psbhqxtw0km5dA94&#10;mYgPMpj0RUoE46j19qivGCLh6VE1q6oSQxxjBwdxitNzHyDeCmdIMhoacIBZV7b5DnGfekhJ1ay7&#10;UVrnIWpLekSdV1/m+cUxhOjaYpFTt8mKw2oYKaxcu0VmPW5BQy2uKSX6m0WR08IcjHAwVqORyoO/&#10;eo7YQu4soe6hxmI4ssxtXK+0E3/7Oev0E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pgkvT&#10;AAAABQEAAA8AAAAAAAAAAQAgAAAAIgAAAGRycy9kb3ducmV2LnhtbFBLAQIUABQAAAAIAIdO4kAu&#10;uXDTswEAAEwDAAAOAAAAAAAAAAEAIAAAACIBAABkcnMvZTJvRG9jLnhtbFBLBQYAAAAABgAGAFkB&#10;AABHBQ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C52C7"/>
    <w:multiLevelType w:val="singleLevel"/>
    <w:tmpl w:val="883C52C7"/>
    <w:lvl w:ilvl="0" w:tentative="0">
      <w:start w:val="5"/>
      <w:numFmt w:val="chineseCounting"/>
      <w:suff w:val="space"/>
      <w:lvlText w:val="第%1章"/>
      <w:lvlJc w:val="left"/>
      <w:rPr>
        <w:rFonts w:hint="eastAsia"/>
      </w:rPr>
    </w:lvl>
  </w:abstractNum>
  <w:abstractNum w:abstractNumId="1">
    <w:nsid w:val="E6ED2771"/>
    <w:multiLevelType w:val="singleLevel"/>
    <w:tmpl w:val="E6ED2771"/>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7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89"/>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46987AA2"/>
    <w:multiLevelType w:val="multilevel"/>
    <w:tmpl w:val="46987AA2"/>
    <w:lvl w:ilvl="0" w:tentative="0">
      <w:start w:val="1"/>
      <w:numFmt w:val="decimal"/>
      <w:pStyle w:val="15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A497B4"/>
    <w:multiLevelType w:val="singleLevel"/>
    <w:tmpl w:val="49A497B4"/>
    <w:lvl w:ilvl="0" w:tentative="0">
      <w:start w:val="1"/>
      <w:numFmt w:val="decimal"/>
      <w:lvlText w:val="%1."/>
      <w:lvlJc w:val="left"/>
      <w:pPr>
        <w:tabs>
          <w:tab w:val="left" w:pos="312"/>
        </w:tabs>
      </w:pPr>
    </w:lvl>
  </w:abstractNum>
  <w:abstractNum w:abstractNumId="6">
    <w:nsid w:val="569552D7"/>
    <w:multiLevelType w:val="singleLevel"/>
    <w:tmpl w:val="569552D7"/>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0AF0"/>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5760"/>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9DA"/>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4F71"/>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134A"/>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67FCA"/>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5E3"/>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17DF2"/>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0F72"/>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1078C7"/>
    <w:rsid w:val="01374999"/>
    <w:rsid w:val="0156739D"/>
    <w:rsid w:val="01EB2055"/>
    <w:rsid w:val="0225344D"/>
    <w:rsid w:val="022B3402"/>
    <w:rsid w:val="026833DE"/>
    <w:rsid w:val="026C25ED"/>
    <w:rsid w:val="02B27B76"/>
    <w:rsid w:val="02B95056"/>
    <w:rsid w:val="02F02A6C"/>
    <w:rsid w:val="03105481"/>
    <w:rsid w:val="031A1660"/>
    <w:rsid w:val="031C7316"/>
    <w:rsid w:val="03492409"/>
    <w:rsid w:val="034C7D17"/>
    <w:rsid w:val="034F0AEC"/>
    <w:rsid w:val="037A64E2"/>
    <w:rsid w:val="039362CF"/>
    <w:rsid w:val="03A44FE3"/>
    <w:rsid w:val="03B218ED"/>
    <w:rsid w:val="03CC366A"/>
    <w:rsid w:val="03E93513"/>
    <w:rsid w:val="03F82FC0"/>
    <w:rsid w:val="03F920AC"/>
    <w:rsid w:val="0404740B"/>
    <w:rsid w:val="040D28FD"/>
    <w:rsid w:val="043851AC"/>
    <w:rsid w:val="043869A1"/>
    <w:rsid w:val="043E78BF"/>
    <w:rsid w:val="0454284E"/>
    <w:rsid w:val="045D0679"/>
    <w:rsid w:val="04674227"/>
    <w:rsid w:val="047102F1"/>
    <w:rsid w:val="047C10E8"/>
    <w:rsid w:val="048512CB"/>
    <w:rsid w:val="04E424E1"/>
    <w:rsid w:val="04F32E5C"/>
    <w:rsid w:val="04FF2D6E"/>
    <w:rsid w:val="0514407E"/>
    <w:rsid w:val="0523234C"/>
    <w:rsid w:val="0579124F"/>
    <w:rsid w:val="05B15E0C"/>
    <w:rsid w:val="05C2270C"/>
    <w:rsid w:val="06087720"/>
    <w:rsid w:val="060E4295"/>
    <w:rsid w:val="060F21B4"/>
    <w:rsid w:val="065A06BB"/>
    <w:rsid w:val="066606B5"/>
    <w:rsid w:val="068F0E79"/>
    <w:rsid w:val="069D1A8E"/>
    <w:rsid w:val="069E6B28"/>
    <w:rsid w:val="06AA5A15"/>
    <w:rsid w:val="06B47275"/>
    <w:rsid w:val="06BD5DFB"/>
    <w:rsid w:val="06C76C7A"/>
    <w:rsid w:val="06D1503C"/>
    <w:rsid w:val="06D227CF"/>
    <w:rsid w:val="07051CE9"/>
    <w:rsid w:val="07136BF8"/>
    <w:rsid w:val="071F6359"/>
    <w:rsid w:val="0745760B"/>
    <w:rsid w:val="074B0FB1"/>
    <w:rsid w:val="076E14AC"/>
    <w:rsid w:val="07866291"/>
    <w:rsid w:val="07A83B64"/>
    <w:rsid w:val="07BF6290"/>
    <w:rsid w:val="07CA07CF"/>
    <w:rsid w:val="080121A1"/>
    <w:rsid w:val="08341DE6"/>
    <w:rsid w:val="085E6148"/>
    <w:rsid w:val="08943887"/>
    <w:rsid w:val="08B56EC4"/>
    <w:rsid w:val="08EF3E6E"/>
    <w:rsid w:val="08F07771"/>
    <w:rsid w:val="08FF26FB"/>
    <w:rsid w:val="090226A5"/>
    <w:rsid w:val="093D2DCA"/>
    <w:rsid w:val="094B5396"/>
    <w:rsid w:val="09770B79"/>
    <w:rsid w:val="098D613B"/>
    <w:rsid w:val="098D722C"/>
    <w:rsid w:val="099C54F8"/>
    <w:rsid w:val="09A11861"/>
    <w:rsid w:val="09A20317"/>
    <w:rsid w:val="09A66DDF"/>
    <w:rsid w:val="09A84F4C"/>
    <w:rsid w:val="09B54319"/>
    <w:rsid w:val="09F21854"/>
    <w:rsid w:val="0A1806FB"/>
    <w:rsid w:val="0A31473A"/>
    <w:rsid w:val="0A3B5C46"/>
    <w:rsid w:val="0A615BA7"/>
    <w:rsid w:val="0A6D20F4"/>
    <w:rsid w:val="0AD41965"/>
    <w:rsid w:val="0AD54E8D"/>
    <w:rsid w:val="0ADC1249"/>
    <w:rsid w:val="0AE10175"/>
    <w:rsid w:val="0AEA69B2"/>
    <w:rsid w:val="0AEC0CC2"/>
    <w:rsid w:val="0AFF78B9"/>
    <w:rsid w:val="0B116753"/>
    <w:rsid w:val="0B2076F7"/>
    <w:rsid w:val="0B3444FE"/>
    <w:rsid w:val="0B4565BF"/>
    <w:rsid w:val="0B474D69"/>
    <w:rsid w:val="0B5952AE"/>
    <w:rsid w:val="0B602A5E"/>
    <w:rsid w:val="0B6647F5"/>
    <w:rsid w:val="0B6D0673"/>
    <w:rsid w:val="0B8D64CA"/>
    <w:rsid w:val="0B972349"/>
    <w:rsid w:val="0BD22024"/>
    <w:rsid w:val="0BD46710"/>
    <w:rsid w:val="0BD55101"/>
    <w:rsid w:val="0BEB7903"/>
    <w:rsid w:val="0C231F55"/>
    <w:rsid w:val="0C28640C"/>
    <w:rsid w:val="0C3433EF"/>
    <w:rsid w:val="0C3C5271"/>
    <w:rsid w:val="0C4560CD"/>
    <w:rsid w:val="0C493EDF"/>
    <w:rsid w:val="0C850278"/>
    <w:rsid w:val="0C87019E"/>
    <w:rsid w:val="0CA1283B"/>
    <w:rsid w:val="0CA148D6"/>
    <w:rsid w:val="0CB67F0A"/>
    <w:rsid w:val="0CD36540"/>
    <w:rsid w:val="0CDB2AD7"/>
    <w:rsid w:val="0D0129A0"/>
    <w:rsid w:val="0D0E6815"/>
    <w:rsid w:val="0D107BB4"/>
    <w:rsid w:val="0D1268DA"/>
    <w:rsid w:val="0D1E479F"/>
    <w:rsid w:val="0D2F61FF"/>
    <w:rsid w:val="0D3D0944"/>
    <w:rsid w:val="0D4F7F66"/>
    <w:rsid w:val="0D554754"/>
    <w:rsid w:val="0D69521C"/>
    <w:rsid w:val="0D7B28D2"/>
    <w:rsid w:val="0DA1438C"/>
    <w:rsid w:val="0DEB3353"/>
    <w:rsid w:val="0E067D91"/>
    <w:rsid w:val="0E184FF9"/>
    <w:rsid w:val="0E2563B0"/>
    <w:rsid w:val="0E673CAF"/>
    <w:rsid w:val="0E6E4E48"/>
    <w:rsid w:val="0E9B4C0B"/>
    <w:rsid w:val="0EA155CB"/>
    <w:rsid w:val="0EC75F9B"/>
    <w:rsid w:val="0EE338A7"/>
    <w:rsid w:val="0EE91E83"/>
    <w:rsid w:val="0F212678"/>
    <w:rsid w:val="0F270BDB"/>
    <w:rsid w:val="0F2D7E66"/>
    <w:rsid w:val="0F576789"/>
    <w:rsid w:val="0F731D7F"/>
    <w:rsid w:val="0F791782"/>
    <w:rsid w:val="0F811194"/>
    <w:rsid w:val="0FA34AF5"/>
    <w:rsid w:val="0FD2577F"/>
    <w:rsid w:val="0FDE18AD"/>
    <w:rsid w:val="0FDE5D62"/>
    <w:rsid w:val="0FED109F"/>
    <w:rsid w:val="103233B6"/>
    <w:rsid w:val="10440C5D"/>
    <w:rsid w:val="1045133B"/>
    <w:rsid w:val="104706AA"/>
    <w:rsid w:val="10593979"/>
    <w:rsid w:val="10633BB0"/>
    <w:rsid w:val="106A486C"/>
    <w:rsid w:val="1071549B"/>
    <w:rsid w:val="10A02B30"/>
    <w:rsid w:val="10A9530F"/>
    <w:rsid w:val="10BA0625"/>
    <w:rsid w:val="10BF304F"/>
    <w:rsid w:val="10C20BDE"/>
    <w:rsid w:val="10E8616A"/>
    <w:rsid w:val="113136FB"/>
    <w:rsid w:val="1131673B"/>
    <w:rsid w:val="114E499C"/>
    <w:rsid w:val="11910393"/>
    <w:rsid w:val="1197535B"/>
    <w:rsid w:val="11977440"/>
    <w:rsid w:val="119F330A"/>
    <w:rsid w:val="11A35DB3"/>
    <w:rsid w:val="11A643DC"/>
    <w:rsid w:val="11B33C8B"/>
    <w:rsid w:val="11D05DBD"/>
    <w:rsid w:val="11D94D1F"/>
    <w:rsid w:val="11E36682"/>
    <w:rsid w:val="11E51D82"/>
    <w:rsid w:val="1201388A"/>
    <w:rsid w:val="12310AA0"/>
    <w:rsid w:val="12755493"/>
    <w:rsid w:val="12767E9C"/>
    <w:rsid w:val="12A62706"/>
    <w:rsid w:val="12C55F16"/>
    <w:rsid w:val="12CB4527"/>
    <w:rsid w:val="1304359F"/>
    <w:rsid w:val="13106C3E"/>
    <w:rsid w:val="135468A6"/>
    <w:rsid w:val="136B6282"/>
    <w:rsid w:val="137E0AD5"/>
    <w:rsid w:val="13C77038"/>
    <w:rsid w:val="13DF4D92"/>
    <w:rsid w:val="13E17B66"/>
    <w:rsid w:val="13E64D83"/>
    <w:rsid w:val="13F07B51"/>
    <w:rsid w:val="13FC6C2B"/>
    <w:rsid w:val="1400737E"/>
    <w:rsid w:val="14045069"/>
    <w:rsid w:val="142231E2"/>
    <w:rsid w:val="14244048"/>
    <w:rsid w:val="1426378D"/>
    <w:rsid w:val="142B6A9A"/>
    <w:rsid w:val="143C2AFF"/>
    <w:rsid w:val="144D2DA8"/>
    <w:rsid w:val="145C72EC"/>
    <w:rsid w:val="147132CB"/>
    <w:rsid w:val="14965417"/>
    <w:rsid w:val="14B20F69"/>
    <w:rsid w:val="14C307F1"/>
    <w:rsid w:val="14C66CB8"/>
    <w:rsid w:val="14C97064"/>
    <w:rsid w:val="14CB6FC4"/>
    <w:rsid w:val="151013FA"/>
    <w:rsid w:val="15186C7F"/>
    <w:rsid w:val="153A5F2D"/>
    <w:rsid w:val="155F54D6"/>
    <w:rsid w:val="1588061B"/>
    <w:rsid w:val="158846B5"/>
    <w:rsid w:val="1598292C"/>
    <w:rsid w:val="15B679C4"/>
    <w:rsid w:val="15C34826"/>
    <w:rsid w:val="15D01DD3"/>
    <w:rsid w:val="15F84ADF"/>
    <w:rsid w:val="16060668"/>
    <w:rsid w:val="16160871"/>
    <w:rsid w:val="161E60BA"/>
    <w:rsid w:val="162B0FD3"/>
    <w:rsid w:val="163043AC"/>
    <w:rsid w:val="16391F0E"/>
    <w:rsid w:val="165805A8"/>
    <w:rsid w:val="169125A9"/>
    <w:rsid w:val="16A24CA6"/>
    <w:rsid w:val="1763208E"/>
    <w:rsid w:val="17B317DF"/>
    <w:rsid w:val="17B649CE"/>
    <w:rsid w:val="17F6303F"/>
    <w:rsid w:val="180A4C18"/>
    <w:rsid w:val="1824593D"/>
    <w:rsid w:val="18480562"/>
    <w:rsid w:val="184A2F3D"/>
    <w:rsid w:val="18552E0A"/>
    <w:rsid w:val="18657D9B"/>
    <w:rsid w:val="18697D44"/>
    <w:rsid w:val="18804B27"/>
    <w:rsid w:val="18AC1764"/>
    <w:rsid w:val="18B758A9"/>
    <w:rsid w:val="18C64FE3"/>
    <w:rsid w:val="18CE61BD"/>
    <w:rsid w:val="18DD40DB"/>
    <w:rsid w:val="18DE6F13"/>
    <w:rsid w:val="18DF52AB"/>
    <w:rsid w:val="18FB6712"/>
    <w:rsid w:val="1909322E"/>
    <w:rsid w:val="19124B9E"/>
    <w:rsid w:val="192A6574"/>
    <w:rsid w:val="195D6EAA"/>
    <w:rsid w:val="197A146C"/>
    <w:rsid w:val="198E123C"/>
    <w:rsid w:val="19A22C78"/>
    <w:rsid w:val="19E938F2"/>
    <w:rsid w:val="19F87038"/>
    <w:rsid w:val="1A0221B6"/>
    <w:rsid w:val="1A1731E9"/>
    <w:rsid w:val="1A2244FD"/>
    <w:rsid w:val="1A43621A"/>
    <w:rsid w:val="1A46462D"/>
    <w:rsid w:val="1A5328A6"/>
    <w:rsid w:val="1AA51E34"/>
    <w:rsid w:val="1AD86BFF"/>
    <w:rsid w:val="1B18764C"/>
    <w:rsid w:val="1B866CAC"/>
    <w:rsid w:val="1B8C380D"/>
    <w:rsid w:val="1BF91AF2"/>
    <w:rsid w:val="1BFB31F6"/>
    <w:rsid w:val="1C097901"/>
    <w:rsid w:val="1C12601D"/>
    <w:rsid w:val="1C156B0E"/>
    <w:rsid w:val="1C173894"/>
    <w:rsid w:val="1C1D7ED3"/>
    <w:rsid w:val="1C273B5F"/>
    <w:rsid w:val="1C4F4F2E"/>
    <w:rsid w:val="1CAA1904"/>
    <w:rsid w:val="1CEF36DB"/>
    <w:rsid w:val="1D074838"/>
    <w:rsid w:val="1D087CBD"/>
    <w:rsid w:val="1D2C2A37"/>
    <w:rsid w:val="1D2E2452"/>
    <w:rsid w:val="1D3615E0"/>
    <w:rsid w:val="1D497F91"/>
    <w:rsid w:val="1DA64C20"/>
    <w:rsid w:val="1DBF33B9"/>
    <w:rsid w:val="1E183F7D"/>
    <w:rsid w:val="1E256945"/>
    <w:rsid w:val="1E265F76"/>
    <w:rsid w:val="1E5C7C81"/>
    <w:rsid w:val="1E672BF1"/>
    <w:rsid w:val="1E6E4079"/>
    <w:rsid w:val="1EC71AC1"/>
    <w:rsid w:val="1F44009F"/>
    <w:rsid w:val="1F5C0F91"/>
    <w:rsid w:val="1F6B6074"/>
    <w:rsid w:val="1FE81CE3"/>
    <w:rsid w:val="1FFF520E"/>
    <w:rsid w:val="203E38F2"/>
    <w:rsid w:val="206C0D0D"/>
    <w:rsid w:val="206C25F3"/>
    <w:rsid w:val="207C5644"/>
    <w:rsid w:val="209C715C"/>
    <w:rsid w:val="209D0D1F"/>
    <w:rsid w:val="20B229CF"/>
    <w:rsid w:val="20C056C0"/>
    <w:rsid w:val="20F621DE"/>
    <w:rsid w:val="21107C5B"/>
    <w:rsid w:val="21287782"/>
    <w:rsid w:val="21446D4E"/>
    <w:rsid w:val="21627873"/>
    <w:rsid w:val="21663B4F"/>
    <w:rsid w:val="21792A9A"/>
    <w:rsid w:val="21837197"/>
    <w:rsid w:val="218E0668"/>
    <w:rsid w:val="219A2D05"/>
    <w:rsid w:val="21AC7197"/>
    <w:rsid w:val="21DC4975"/>
    <w:rsid w:val="21F17A7A"/>
    <w:rsid w:val="21F17FDE"/>
    <w:rsid w:val="21F915FF"/>
    <w:rsid w:val="222873D6"/>
    <w:rsid w:val="225B679C"/>
    <w:rsid w:val="229C312B"/>
    <w:rsid w:val="22AD0A51"/>
    <w:rsid w:val="22B11F21"/>
    <w:rsid w:val="22BD1BBE"/>
    <w:rsid w:val="230B23E3"/>
    <w:rsid w:val="233F657B"/>
    <w:rsid w:val="2359506F"/>
    <w:rsid w:val="236A6209"/>
    <w:rsid w:val="2370574A"/>
    <w:rsid w:val="23731667"/>
    <w:rsid w:val="23A4414A"/>
    <w:rsid w:val="23AF41E6"/>
    <w:rsid w:val="23B56FA3"/>
    <w:rsid w:val="23B7221E"/>
    <w:rsid w:val="23D835E2"/>
    <w:rsid w:val="23DA134A"/>
    <w:rsid w:val="23FB54AD"/>
    <w:rsid w:val="23FE5D0F"/>
    <w:rsid w:val="240D1129"/>
    <w:rsid w:val="24266775"/>
    <w:rsid w:val="24456239"/>
    <w:rsid w:val="24620E1F"/>
    <w:rsid w:val="247359EA"/>
    <w:rsid w:val="249C5BA8"/>
    <w:rsid w:val="24A36A67"/>
    <w:rsid w:val="24D61270"/>
    <w:rsid w:val="24D765B0"/>
    <w:rsid w:val="24DD17A0"/>
    <w:rsid w:val="24E56460"/>
    <w:rsid w:val="24F24CF5"/>
    <w:rsid w:val="250739E9"/>
    <w:rsid w:val="250C24BD"/>
    <w:rsid w:val="252C0D36"/>
    <w:rsid w:val="25352B21"/>
    <w:rsid w:val="25493C7D"/>
    <w:rsid w:val="25650EC7"/>
    <w:rsid w:val="256D4C5A"/>
    <w:rsid w:val="25794E00"/>
    <w:rsid w:val="25974CB3"/>
    <w:rsid w:val="259F7409"/>
    <w:rsid w:val="25A71CF8"/>
    <w:rsid w:val="25AC6046"/>
    <w:rsid w:val="25C70F0A"/>
    <w:rsid w:val="25CE6C15"/>
    <w:rsid w:val="25D65F01"/>
    <w:rsid w:val="260610A5"/>
    <w:rsid w:val="26133EE0"/>
    <w:rsid w:val="261A1F06"/>
    <w:rsid w:val="26203A8A"/>
    <w:rsid w:val="265D7770"/>
    <w:rsid w:val="268607B1"/>
    <w:rsid w:val="26D162D0"/>
    <w:rsid w:val="26D835C6"/>
    <w:rsid w:val="26DE073C"/>
    <w:rsid w:val="26EA689B"/>
    <w:rsid w:val="26ED063E"/>
    <w:rsid w:val="26EE4083"/>
    <w:rsid w:val="26FA478D"/>
    <w:rsid w:val="27092480"/>
    <w:rsid w:val="27280F23"/>
    <w:rsid w:val="27315EE1"/>
    <w:rsid w:val="273419E0"/>
    <w:rsid w:val="275F557D"/>
    <w:rsid w:val="27701D9E"/>
    <w:rsid w:val="279F0337"/>
    <w:rsid w:val="27CE5AD6"/>
    <w:rsid w:val="27E06EEF"/>
    <w:rsid w:val="28085B7D"/>
    <w:rsid w:val="288742BE"/>
    <w:rsid w:val="2890758D"/>
    <w:rsid w:val="28982F99"/>
    <w:rsid w:val="28A131A7"/>
    <w:rsid w:val="28B26037"/>
    <w:rsid w:val="28C05E75"/>
    <w:rsid w:val="28C50E13"/>
    <w:rsid w:val="28C54C0D"/>
    <w:rsid w:val="28D54AB4"/>
    <w:rsid w:val="28ED2D2E"/>
    <w:rsid w:val="28FE2E2A"/>
    <w:rsid w:val="29496228"/>
    <w:rsid w:val="295D61C1"/>
    <w:rsid w:val="297A561D"/>
    <w:rsid w:val="298C2462"/>
    <w:rsid w:val="29994C34"/>
    <w:rsid w:val="29A21154"/>
    <w:rsid w:val="29AD2097"/>
    <w:rsid w:val="29AF0D67"/>
    <w:rsid w:val="29C9356B"/>
    <w:rsid w:val="29DF2197"/>
    <w:rsid w:val="29EA30DE"/>
    <w:rsid w:val="2A1101F3"/>
    <w:rsid w:val="2A1251F8"/>
    <w:rsid w:val="2A587767"/>
    <w:rsid w:val="2A686D4B"/>
    <w:rsid w:val="2A820D14"/>
    <w:rsid w:val="2A826EED"/>
    <w:rsid w:val="2A845BDC"/>
    <w:rsid w:val="2A917F56"/>
    <w:rsid w:val="2AA967A2"/>
    <w:rsid w:val="2AB96107"/>
    <w:rsid w:val="2AC11AAE"/>
    <w:rsid w:val="2ACF1CDE"/>
    <w:rsid w:val="2AE72F51"/>
    <w:rsid w:val="2B135780"/>
    <w:rsid w:val="2B296DC8"/>
    <w:rsid w:val="2B3037A3"/>
    <w:rsid w:val="2B5A2C7C"/>
    <w:rsid w:val="2B7C72ED"/>
    <w:rsid w:val="2B894FDF"/>
    <w:rsid w:val="2B9E72ED"/>
    <w:rsid w:val="2BA91F09"/>
    <w:rsid w:val="2BCF4DE2"/>
    <w:rsid w:val="2BDE7133"/>
    <w:rsid w:val="2BE53186"/>
    <w:rsid w:val="2BF4095A"/>
    <w:rsid w:val="2C3105E3"/>
    <w:rsid w:val="2C38077F"/>
    <w:rsid w:val="2C5A4A93"/>
    <w:rsid w:val="2C5E41DE"/>
    <w:rsid w:val="2C6650F6"/>
    <w:rsid w:val="2C7E26DD"/>
    <w:rsid w:val="2C871290"/>
    <w:rsid w:val="2C9666B5"/>
    <w:rsid w:val="2CA6179A"/>
    <w:rsid w:val="2CA7123F"/>
    <w:rsid w:val="2CB047AC"/>
    <w:rsid w:val="2CB53C8E"/>
    <w:rsid w:val="2CB75A97"/>
    <w:rsid w:val="2CDB5D69"/>
    <w:rsid w:val="2D045273"/>
    <w:rsid w:val="2D4D13D7"/>
    <w:rsid w:val="2D66545A"/>
    <w:rsid w:val="2D7B0E76"/>
    <w:rsid w:val="2D8D2E08"/>
    <w:rsid w:val="2DD117A1"/>
    <w:rsid w:val="2DDE3FEB"/>
    <w:rsid w:val="2DF6381D"/>
    <w:rsid w:val="2E002782"/>
    <w:rsid w:val="2E0C76F0"/>
    <w:rsid w:val="2E513149"/>
    <w:rsid w:val="2E514088"/>
    <w:rsid w:val="2E624259"/>
    <w:rsid w:val="2E8E49B8"/>
    <w:rsid w:val="2E8F0E6F"/>
    <w:rsid w:val="2EA014A9"/>
    <w:rsid w:val="2EB15F6F"/>
    <w:rsid w:val="2ED65046"/>
    <w:rsid w:val="2EE10F5B"/>
    <w:rsid w:val="2F0A271E"/>
    <w:rsid w:val="2F101F2F"/>
    <w:rsid w:val="2F10269B"/>
    <w:rsid w:val="2F2E07A5"/>
    <w:rsid w:val="2F355B4F"/>
    <w:rsid w:val="2F497843"/>
    <w:rsid w:val="2F5E40B2"/>
    <w:rsid w:val="2F643BAC"/>
    <w:rsid w:val="2F6D5E81"/>
    <w:rsid w:val="2F6F0265"/>
    <w:rsid w:val="2F940650"/>
    <w:rsid w:val="2F9F25B4"/>
    <w:rsid w:val="2FAF35CD"/>
    <w:rsid w:val="2FDA5B43"/>
    <w:rsid w:val="2FDE346C"/>
    <w:rsid w:val="2FE57299"/>
    <w:rsid w:val="2FEA1A4D"/>
    <w:rsid w:val="2FF37D41"/>
    <w:rsid w:val="300761B5"/>
    <w:rsid w:val="30145257"/>
    <w:rsid w:val="304C79CF"/>
    <w:rsid w:val="305722BA"/>
    <w:rsid w:val="306E65E1"/>
    <w:rsid w:val="30711DCA"/>
    <w:rsid w:val="30714F60"/>
    <w:rsid w:val="3081071C"/>
    <w:rsid w:val="308D1DAF"/>
    <w:rsid w:val="309C27EF"/>
    <w:rsid w:val="30A042C3"/>
    <w:rsid w:val="30C1666C"/>
    <w:rsid w:val="30C45D4E"/>
    <w:rsid w:val="30C7479B"/>
    <w:rsid w:val="30DC375D"/>
    <w:rsid w:val="30DC45D9"/>
    <w:rsid w:val="30E13887"/>
    <w:rsid w:val="310A0DB1"/>
    <w:rsid w:val="312B4C65"/>
    <w:rsid w:val="312D6459"/>
    <w:rsid w:val="3138453F"/>
    <w:rsid w:val="3145042C"/>
    <w:rsid w:val="3150593A"/>
    <w:rsid w:val="31833605"/>
    <w:rsid w:val="31872810"/>
    <w:rsid w:val="319F1533"/>
    <w:rsid w:val="31A825E0"/>
    <w:rsid w:val="31DD3C99"/>
    <w:rsid w:val="31E535E9"/>
    <w:rsid w:val="32002EBC"/>
    <w:rsid w:val="320D39F5"/>
    <w:rsid w:val="32162868"/>
    <w:rsid w:val="321C2A95"/>
    <w:rsid w:val="32255EF9"/>
    <w:rsid w:val="32274DD3"/>
    <w:rsid w:val="32354BE5"/>
    <w:rsid w:val="32620A3E"/>
    <w:rsid w:val="326C0E83"/>
    <w:rsid w:val="326D1A82"/>
    <w:rsid w:val="32923788"/>
    <w:rsid w:val="329A0A14"/>
    <w:rsid w:val="32B52611"/>
    <w:rsid w:val="32CF5E49"/>
    <w:rsid w:val="32CF5F60"/>
    <w:rsid w:val="32DA6624"/>
    <w:rsid w:val="32E0071A"/>
    <w:rsid w:val="32E12FEA"/>
    <w:rsid w:val="33156E95"/>
    <w:rsid w:val="33341186"/>
    <w:rsid w:val="33345F02"/>
    <w:rsid w:val="33416B88"/>
    <w:rsid w:val="33530283"/>
    <w:rsid w:val="335F150D"/>
    <w:rsid w:val="336A1D5B"/>
    <w:rsid w:val="33B455B4"/>
    <w:rsid w:val="33D57F7A"/>
    <w:rsid w:val="33EA5BD2"/>
    <w:rsid w:val="3401314D"/>
    <w:rsid w:val="342422C0"/>
    <w:rsid w:val="34296A63"/>
    <w:rsid w:val="34344FAE"/>
    <w:rsid w:val="34384482"/>
    <w:rsid w:val="344C2E2B"/>
    <w:rsid w:val="347F68D3"/>
    <w:rsid w:val="34AE0588"/>
    <w:rsid w:val="34F01505"/>
    <w:rsid w:val="34F933AE"/>
    <w:rsid w:val="35002ABB"/>
    <w:rsid w:val="35045C63"/>
    <w:rsid w:val="351146C3"/>
    <w:rsid w:val="35163C4E"/>
    <w:rsid w:val="35172F96"/>
    <w:rsid w:val="351F7903"/>
    <w:rsid w:val="35254470"/>
    <w:rsid w:val="35531910"/>
    <w:rsid w:val="35577DD4"/>
    <w:rsid w:val="355A28E3"/>
    <w:rsid w:val="355F2018"/>
    <w:rsid w:val="356D67DA"/>
    <w:rsid w:val="358B2FCE"/>
    <w:rsid w:val="358B5193"/>
    <w:rsid w:val="358E07DF"/>
    <w:rsid w:val="35906375"/>
    <w:rsid w:val="359B2592"/>
    <w:rsid w:val="35A609B2"/>
    <w:rsid w:val="35AC2172"/>
    <w:rsid w:val="35AD693D"/>
    <w:rsid w:val="35B00755"/>
    <w:rsid w:val="35C773D6"/>
    <w:rsid w:val="35E4260B"/>
    <w:rsid w:val="362D624A"/>
    <w:rsid w:val="36407CAD"/>
    <w:rsid w:val="36575075"/>
    <w:rsid w:val="36626153"/>
    <w:rsid w:val="36646BB9"/>
    <w:rsid w:val="36672BAD"/>
    <w:rsid w:val="3699368D"/>
    <w:rsid w:val="36A81661"/>
    <w:rsid w:val="36B275B6"/>
    <w:rsid w:val="36E3525A"/>
    <w:rsid w:val="36E96EE2"/>
    <w:rsid w:val="36F92459"/>
    <w:rsid w:val="36FB33D8"/>
    <w:rsid w:val="36FC517F"/>
    <w:rsid w:val="37001569"/>
    <w:rsid w:val="37052D23"/>
    <w:rsid w:val="3717270E"/>
    <w:rsid w:val="37255C51"/>
    <w:rsid w:val="374C1A9B"/>
    <w:rsid w:val="37566593"/>
    <w:rsid w:val="3768214D"/>
    <w:rsid w:val="376B2052"/>
    <w:rsid w:val="37931A55"/>
    <w:rsid w:val="37CC31C3"/>
    <w:rsid w:val="37E82428"/>
    <w:rsid w:val="37EB29D8"/>
    <w:rsid w:val="37F87429"/>
    <w:rsid w:val="381F2104"/>
    <w:rsid w:val="382864CB"/>
    <w:rsid w:val="383672B3"/>
    <w:rsid w:val="387362B6"/>
    <w:rsid w:val="389F03C0"/>
    <w:rsid w:val="38AA38FF"/>
    <w:rsid w:val="38C721F5"/>
    <w:rsid w:val="38C74734"/>
    <w:rsid w:val="38C9005C"/>
    <w:rsid w:val="393548CC"/>
    <w:rsid w:val="394E3ED6"/>
    <w:rsid w:val="39684483"/>
    <w:rsid w:val="39684EB4"/>
    <w:rsid w:val="39BA6B13"/>
    <w:rsid w:val="39BD2EB0"/>
    <w:rsid w:val="39E10297"/>
    <w:rsid w:val="39E3441A"/>
    <w:rsid w:val="3A122D27"/>
    <w:rsid w:val="3A6D5E23"/>
    <w:rsid w:val="3A7206CF"/>
    <w:rsid w:val="3AA40553"/>
    <w:rsid w:val="3AB03232"/>
    <w:rsid w:val="3ACE31C4"/>
    <w:rsid w:val="3AD26B6E"/>
    <w:rsid w:val="3AE448A5"/>
    <w:rsid w:val="3AEB37DF"/>
    <w:rsid w:val="3AF845D9"/>
    <w:rsid w:val="3B090D0F"/>
    <w:rsid w:val="3B2C087E"/>
    <w:rsid w:val="3B2C74EE"/>
    <w:rsid w:val="3B433C53"/>
    <w:rsid w:val="3B4723E0"/>
    <w:rsid w:val="3B5D1DC7"/>
    <w:rsid w:val="3B6D7A69"/>
    <w:rsid w:val="3B710EF3"/>
    <w:rsid w:val="3B7A06F2"/>
    <w:rsid w:val="3B8E376C"/>
    <w:rsid w:val="3BA37C08"/>
    <w:rsid w:val="3BA527DC"/>
    <w:rsid w:val="3BA70186"/>
    <w:rsid w:val="3BAD6B2E"/>
    <w:rsid w:val="3BC60A9D"/>
    <w:rsid w:val="3C215398"/>
    <w:rsid w:val="3C461E13"/>
    <w:rsid w:val="3C574A7F"/>
    <w:rsid w:val="3C70780D"/>
    <w:rsid w:val="3CBC6EBE"/>
    <w:rsid w:val="3CC2102C"/>
    <w:rsid w:val="3CD075B6"/>
    <w:rsid w:val="3CE47625"/>
    <w:rsid w:val="3CF31E2B"/>
    <w:rsid w:val="3D0A74C7"/>
    <w:rsid w:val="3D2F63EE"/>
    <w:rsid w:val="3D3227A3"/>
    <w:rsid w:val="3D33200E"/>
    <w:rsid w:val="3D3B0062"/>
    <w:rsid w:val="3D5A765E"/>
    <w:rsid w:val="3D612BD3"/>
    <w:rsid w:val="3D69430A"/>
    <w:rsid w:val="3D72628E"/>
    <w:rsid w:val="3D8448FD"/>
    <w:rsid w:val="3D915310"/>
    <w:rsid w:val="3DA32778"/>
    <w:rsid w:val="3DB868D1"/>
    <w:rsid w:val="3DC172E3"/>
    <w:rsid w:val="3DD0707B"/>
    <w:rsid w:val="3DF8153F"/>
    <w:rsid w:val="3DFC46DA"/>
    <w:rsid w:val="3E0128FA"/>
    <w:rsid w:val="3E1718BC"/>
    <w:rsid w:val="3E1E02D5"/>
    <w:rsid w:val="3E330BCB"/>
    <w:rsid w:val="3E4420C8"/>
    <w:rsid w:val="3E4619B8"/>
    <w:rsid w:val="3E504536"/>
    <w:rsid w:val="3E595488"/>
    <w:rsid w:val="3E6309B5"/>
    <w:rsid w:val="3E6640F9"/>
    <w:rsid w:val="3E6D02C8"/>
    <w:rsid w:val="3E8C2EE2"/>
    <w:rsid w:val="3E9D6613"/>
    <w:rsid w:val="3E9E51A8"/>
    <w:rsid w:val="3ECD4772"/>
    <w:rsid w:val="3EDB489A"/>
    <w:rsid w:val="3EED6609"/>
    <w:rsid w:val="3F0B4F6F"/>
    <w:rsid w:val="3F3E1875"/>
    <w:rsid w:val="3F6C5CC3"/>
    <w:rsid w:val="3F6E1604"/>
    <w:rsid w:val="3F75355D"/>
    <w:rsid w:val="3F832EE3"/>
    <w:rsid w:val="3F8669AB"/>
    <w:rsid w:val="3F88629F"/>
    <w:rsid w:val="3FBA566B"/>
    <w:rsid w:val="3FD53316"/>
    <w:rsid w:val="40093CF1"/>
    <w:rsid w:val="401470C0"/>
    <w:rsid w:val="401A27A9"/>
    <w:rsid w:val="402126D8"/>
    <w:rsid w:val="403378F8"/>
    <w:rsid w:val="406406DC"/>
    <w:rsid w:val="406F5BA7"/>
    <w:rsid w:val="408342FD"/>
    <w:rsid w:val="40B454EF"/>
    <w:rsid w:val="40BC700F"/>
    <w:rsid w:val="40DE3CAA"/>
    <w:rsid w:val="40F938F8"/>
    <w:rsid w:val="40FC7159"/>
    <w:rsid w:val="40FE4846"/>
    <w:rsid w:val="41322BD5"/>
    <w:rsid w:val="414D2426"/>
    <w:rsid w:val="417E482D"/>
    <w:rsid w:val="41867134"/>
    <w:rsid w:val="41947EA6"/>
    <w:rsid w:val="41AD6AD2"/>
    <w:rsid w:val="41B13116"/>
    <w:rsid w:val="41BB18BC"/>
    <w:rsid w:val="41C90E09"/>
    <w:rsid w:val="425B4FD2"/>
    <w:rsid w:val="425C3B2E"/>
    <w:rsid w:val="42613503"/>
    <w:rsid w:val="42634845"/>
    <w:rsid w:val="4279315E"/>
    <w:rsid w:val="42852F4A"/>
    <w:rsid w:val="428D556A"/>
    <w:rsid w:val="42A92B57"/>
    <w:rsid w:val="42A951BA"/>
    <w:rsid w:val="42AA56F1"/>
    <w:rsid w:val="42CE06C9"/>
    <w:rsid w:val="42D70AA8"/>
    <w:rsid w:val="42E3189D"/>
    <w:rsid w:val="42F8746F"/>
    <w:rsid w:val="43062D47"/>
    <w:rsid w:val="43325B44"/>
    <w:rsid w:val="43486B61"/>
    <w:rsid w:val="43813731"/>
    <w:rsid w:val="43A64154"/>
    <w:rsid w:val="43BB18DF"/>
    <w:rsid w:val="43BB4A6B"/>
    <w:rsid w:val="43BB7995"/>
    <w:rsid w:val="43E97A8D"/>
    <w:rsid w:val="43F333CB"/>
    <w:rsid w:val="44091ACF"/>
    <w:rsid w:val="441853A0"/>
    <w:rsid w:val="441D71ED"/>
    <w:rsid w:val="442D6535"/>
    <w:rsid w:val="44381BDD"/>
    <w:rsid w:val="44421CCE"/>
    <w:rsid w:val="447074F5"/>
    <w:rsid w:val="44974D8D"/>
    <w:rsid w:val="449E6E4E"/>
    <w:rsid w:val="44DD5FCC"/>
    <w:rsid w:val="450736A6"/>
    <w:rsid w:val="451543E4"/>
    <w:rsid w:val="45173EB4"/>
    <w:rsid w:val="453A7E6D"/>
    <w:rsid w:val="45424DB6"/>
    <w:rsid w:val="45530036"/>
    <w:rsid w:val="455343B1"/>
    <w:rsid w:val="457F05CA"/>
    <w:rsid w:val="459E4B6D"/>
    <w:rsid w:val="459F2FDB"/>
    <w:rsid w:val="45DD4E52"/>
    <w:rsid w:val="45ED7952"/>
    <w:rsid w:val="461924A5"/>
    <w:rsid w:val="46286C71"/>
    <w:rsid w:val="462A0FE0"/>
    <w:rsid w:val="46492E6C"/>
    <w:rsid w:val="46585B30"/>
    <w:rsid w:val="46A71357"/>
    <w:rsid w:val="46BE0184"/>
    <w:rsid w:val="46CC1167"/>
    <w:rsid w:val="4718229D"/>
    <w:rsid w:val="47203892"/>
    <w:rsid w:val="47283033"/>
    <w:rsid w:val="47443E74"/>
    <w:rsid w:val="474F3C06"/>
    <w:rsid w:val="4775369C"/>
    <w:rsid w:val="477810B1"/>
    <w:rsid w:val="47AB3E15"/>
    <w:rsid w:val="47AC0CF7"/>
    <w:rsid w:val="47D86555"/>
    <w:rsid w:val="47F24B53"/>
    <w:rsid w:val="48541414"/>
    <w:rsid w:val="485B27A2"/>
    <w:rsid w:val="48786A80"/>
    <w:rsid w:val="4886454F"/>
    <w:rsid w:val="48C72D96"/>
    <w:rsid w:val="48C91888"/>
    <w:rsid w:val="48CD5F8B"/>
    <w:rsid w:val="48D8234C"/>
    <w:rsid w:val="48EF4234"/>
    <w:rsid w:val="49144651"/>
    <w:rsid w:val="491D2237"/>
    <w:rsid w:val="49212350"/>
    <w:rsid w:val="49456604"/>
    <w:rsid w:val="49754B83"/>
    <w:rsid w:val="49A12081"/>
    <w:rsid w:val="49C81E89"/>
    <w:rsid w:val="49C85417"/>
    <w:rsid w:val="4A0D21F0"/>
    <w:rsid w:val="4A126AF2"/>
    <w:rsid w:val="4A207DAF"/>
    <w:rsid w:val="4A301E2A"/>
    <w:rsid w:val="4A37426C"/>
    <w:rsid w:val="4A4515E8"/>
    <w:rsid w:val="4A797DE0"/>
    <w:rsid w:val="4A7C3271"/>
    <w:rsid w:val="4A837AA7"/>
    <w:rsid w:val="4A87463D"/>
    <w:rsid w:val="4A897A9B"/>
    <w:rsid w:val="4A921BB5"/>
    <w:rsid w:val="4AE00116"/>
    <w:rsid w:val="4AF0272B"/>
    <w:rsid w:val="4B1E053C"/>
    <w:rsid w:val="4B3B68BB"/>
    <w:rsid w:val="4B4022CA"/>
    <w:rsid w:val="4B594EDF"/>
    <w:rsid w:val="4B6A06D7"/>
    <w:rsid w:val="4B735290"/>
    <w:rsid w:val="4BAF0CF3"/>
    <w:rsid w:val="4BBD36A5"/>
    <w:rsid w:val="4BD36E74"/>
    <w:rsid w:val="4BD56B0D"/>
    <w:rsid w:val="4BD86BCF"/>
    <w:rsid w:val="4BD94AE8"/>
    <w:rsid w:val="4BE807F1"/>
    <w:rsid w:val="4BFC24EE"/>
    <w:rsid w:val="4C204A5F"/>
    <w:rsid w:val="4C2B6270"/>
    <w:rsid w:val="4C395EA2"/>
    <w:rsid w:val="4C4F7238"/>
    <w:rsid w:val="4C5228AF"/>
    <w:rsid w:val="4C6C48AF"/>
    <w:rsid w:val="4C6C748E"/>
    <w:rsid w:val="4C862F35"/>
    <w:rsid w:val="4CC44709"/>
    <w:rsid w:val="4CF94F2A"/>
    <w:rsid w:val="4D0D2293"/>
    <w:rsid w:val="4D453EA9"/>
    <w:rsid w:val="4D5A1753"/>
    <w:rsid w:val="4D5C572C"/>
    <w:rsid w:val="4D64620A"/>
    <w:rsid w:val="4D67326A"/>
    <w:rsid w:val="4D762DFA"/>
    <w:rsid w:val="4D913434"/>
    <w:rsid w:val="4DB73025"/>
    <w:rsid w:val="4DC61011"/>
    <w:rsid w:val="4DCD449A"/>
    <w:rsid w:val="4DD91E2A"/>
    <w:rsid w:val="4DDA516B"/>
    <w:rsid w:val="4DE47EEE"/>
    <w:rsid w:val="4DFD1420"/>
    <w:rsid w:val="4E371081"/>
    <w:rsid w:val="4E415F53"/>
    <w:rsid w:val="4E437F61"/>
    <w:rsid w:val="4E8E65C1"/>
    <w:rsid w:val="4E9C2745"/>
    <w:rsid w:val="4EAA38DC"/>
    <w:rsid w:val="4EB57F69"/>
    <w:rsid w:val="4ED33D31"/>
    <w:rsid w:val="4EE1479C"/>
    <w:rsid w:val="4F243492"/>
    <w:rsid w:val="4F332395"/>
    <w:rsid w:val="4F375E64"/>
    <w:rsid w:val="4F5B7E39"/>
    <w:rsid w:val="4F647C31"/>
    <w:rsid w:val="4F900303"/>
    <w:rsid w:val="4F9B7A88"/>
    <w:rsid w:val="4FE7781D"/>
    <w:rsid w:val="50012D7C"/>
    <w:rsid w:val="500E369B"/>
    <w:rsid w:val="501B6D91"/>
    <w:rsid w:val="502B07C5"/>
    <w:rsid w:val="5035615B"/>
    <w:rsid w:val="50372296"/>
    <w:rsid w:val="505A4E4D"/>
    <w:rsid w:val="50847B34"/>
    <w:rsid w:val="50B32ADF"/>
    <w:rsid w:val="50EA0150"/>
    <w:rsid w:val="51095EC8"/>
    <w:rsid w:val="512572D9"/>
    <w:rsid w:val="51446493"/>
    <w:rsid w:val="514B67FD"/>
    <w:rsid w:val="51A32180"/>
    <w:rsid w:val="51A74466"/>
    <w:rsid w:val="51E5051C"/>
    <w:rsid w:val="51FC581B"/>
    <w:rsid w:val="520F10EE"/>
    <w:rsid w:val="52384225"/>
    <w:rsid w:val="523A1F04"/>
    <w:rsid w:val="524B75A8"/>
    <w:rsid w:val="525433AE"/>
    <w:rsid w:val="52783FF0"/>
    <w:rsid w:val="527C215F"/>
    <w:rsid w:val="527E5EED"/>
    <w:rsid w:val="52882463"/>
    <w:rsid w:val="528A2602"/>
    <w:rsid w:val="52BB11DC"/>
    <w:rsid w:val="52CB6EA0"/>
    <w:rsid w:val="52E678FD"/>
    <w:rsid w:val="52FF4591"/>
    <w:rsid w:val="531473B0"/>
    <w:rsid w:val="531B3A9C"/>
    <w:rsid w:val="5321243D"/>
    <w:rsid w:val="53431A96"/>
    <w:rsid w:val="53543569"/>
    <w:rsid w:val="53751745"/>
    <w:rsid w:val="53773018"/>
    <w:rsid w:val="537B18F4"/>
    <w:rsid w:val="53876BCA"/>
    <w:rsid w:val="53955ABA"/>
    <w:rsid w:val="53A67D82"/>
    <w:rsid w:val="53DE6642"/>
    <w:rsid w:val="53EF0739"/>
    <w:rsid w:val="540918A0"/>
    <w:rsid w:val="543A1E06"/>
    <w:rsid w:val="54522ADC"/>
    <w:rsid w:val="54697406"/>
    <w:rsid w:val="54755AA4"/>
    <w:rsid w:val="547938FD"/>
    <w:rsid w:val="54976648"/>
    <w:rsid w:val="54A011AE"/>
    <w:rsid w:val="54A10126"/>
    <w:rsid w:val="54A565DB"/>
    <w:rsid w:val="54B575F1"/>
    <w:rsid w:val="54B94986"/>
    <w:rsid w:val="54E7647B"/>
    <w:rsid w:val="54EF2699"/>
    <w:rsid w:val="55002B2F"/>
    <w:rsid w:val="55133BF8"/>
    <w:rsid w:val="552E5704"/>
    <w:rsid w:val="555D3430"/>
    <w:rsid w:val="555E3ADC"/>
    <w:rsid w:val="557F1C1A"/>
    <w:rsid w:val="55A5299F"/>
    <w:rsid w:val="55AB5EB5"/>
    <w:rsid w:val="55CE3B25"/>
    <w:rsid w:val="55D20EC3"/>
    <w:rsid w:val="55ED243A"/>
    <w:rsid w:val="55F43387"/>
    <w:rsid w:val="560257B6"/>
    <w:rsid w:val="56025C0C"/>
    <w:rsid w:val="56032A93"/>
    <w:rsid w:val="560E7C25"/>
    <w:rsid w:val="5620313B"/>
    <w:rsid w:val="56443F1D"/>
    <w:rsid w:val="564D5B7B"/>
    <w:rsid w:val="565B7ED3"/>
    <w:rsid w:val="56970EE5"/>
    <w:rsid w:val="56B25162"/>
    <w:rsid w:val="56B464CF"/>
    <w:rsid w:val="56B636B6"/>
    <w:rsid w:val="56F918AE"/>
    <w:rsid w:val="56F9392F"/>
    <w:rsid w:val="570B4455"/>
    <w:rsid w:val="573F7673"/>
    <w:rsid w:val="574137FA"/>
    <w:rsid w:val="575E09DA"/>
    <w:rsid w:val="576F6428"/>
    <w:rsid w:val="579B67A6"/>
    <w:rsid w:val="57A443F1"/>
    <w:rsid w:val="57AE3907"/>
    <w:rsid w:val="57F0169B"/>
    <w:rsid w:val="57F867D4"/>
    <w:rsid w:val="58094510"/>
    <w:rsid w:val="58342AEA"/>
    <w:rsid w:val="58355A1D"/>
    <w:rsid w:val="583640C7"/>
    <w:rsid w:val="584C6F04"/>
    <w:rsid w:val="58513B89"/>
    <w:rsid w:val="585D30A3"/>
    <w:rsid w:val="58603A1D"/>
    <w:rsid w:val="586E0D81"/>
    <w:rsid w:val="586E4313"/>
    <w:rsid w:val="58C37202"/>
    <w:rsid w:val="58C70A4C"/>
    <w:rsid w:val="58E754F6"/>
    <w:rsid w:val="591E6566"/>
    <w:rsid w:val="595266CF"/>
    <w:rsid w:val="59835FFD"/>
    <w:rsid w:val="59A36822"/>
    <w:rsid w:val="59A54EB4"/>
    <w:rsid w:val="59D64BE3"/>
    <w:rsid w:val="59E34EE1"/>
    <w:rsid w:val="59F730F0"/>
    <w:rsid w:val="5A0F6EA8"/>
    <w:rsid w:val="5A2A55E3"/>
    <w:rsid w:val="5A2B2D2C"/>
    <w:rsid w:val="5A4965A7"/>
    <w:rsid w:val="5A8754E4"/>
    <w:rsid w:val="5A935D25"/>
    <w:rsid w:val="5A9802B8"/>
    <w:rsid w:val="5AB1147E"/>
    <w:rsid w:val="5ABF7DCF"/>
    <w:rsid w:val="5AC47A09"/>
    <w:rsid w:val="5AE23BA6"/>
    <w:rsid w:val="5AE6129F"/>
    <w:rsid w:val="5AE63D9C"/>
    <w:rsid w:val="5B2C1016"/>
    <w:rsid w:val="5BC46468"/>
    <w:rsid w:val="5BDC46AC"/>
    <w:rsid w:val="5BFB013E"/>
    <w:rsid w:val="5C0E4B21"/>
    <w:rsid w:val="5C295EBD"/>
    <w:rsid w:val="5C2B59CA"/>
    <w:rsid w:val="5C3B325D"/>
    <w:rsid w:val="5C5A4B5D"/>
    <w:rsid w:val="5C686014"/>
    <w:rsid w:val="5C696815"/>
    <w:rsid w:val="5CAF2F3F"/>
    <w:rsid w:val="5CC21EBE"/>
    <w:rsid w:val="5CC626AD"/>
    <w:rsid w:val="5D1C4604"/>
    <w:rsid w:val="5D412426"/>
    <w:rsid w:val="5D7325A7"/>
    <w:rsid w:val="5DC37E86"/>
    <w:rsid w:val="5E1A63C8"/>
    <w:rsid w:val="5E4808E0"/>
    <w:rsid w:val="5E581D9A"/>
    <w:rsid w:val="5E8A70A4"/>
    <w:rsid w:val="5E984253"/>
    <w:rsid w:val="5EB503FB"/>
    <w:rsid w:val="5EEC557A"/>
    <w:rsid w:val="5EF56103"/>
    <w:rsid w:val="5F15191F"/>
    <w:rsid w:val="5F213553"/>
    <w:rsid w:val="5F217EAB"/>
    <w:rsid w:val="5F2820D8"/>
    <w:rsid w:val="5F5F2403"/>
    <w:rsid w:val="5F6D31CF"/>
    <w:rsid w:val="5F81422C"/>
    <w:rsid w:val="5F8B33B2"/>
    <w:rsid w:val="5FA27873"/>
    <w:rsid w:val="5FB760DA"/>
    <w:rsid w:val="5FD83283"/>
    <w:rsid w:val="5FF61144"/>
    <w:rsid w:val="60142561"/>
    <w:rsid w:val="60146A0A"/>
    <w:rsid w:val="60194C8D"/>
    <w:rsid w:val="60233800"/>
    <w:rsid w:val="603A5FDA"/>
    <w:rsid w:val="60475E6F"/>
    <w:rsid w:val="604C0FCC"/>
    <w:rsid w:val="604D34AE"/>
    <w:rsid w:val="60530BE2"/>
    <w:rsid w:val="60757551"/>
    <w:rsid w:val="6076510A"/>
    <w:rsid w:val="60811859"/>
    <w:rsid w:val="60866B31"/>
    <w:rsid w:val="6097059A"/>
    <w:rsid w:val="609954A7"/>
    <w:rsid w:val="60A40029"/>
    <w:rsid w:val="610139B4"/>
    <w:rsid w:val="61044D9D"/>
    <w:rsid w:val="61076583"/>
    <w:rsid w:val="6117451E"/>
    <w:rsid w:val="61293E18"/>
    <w:rsid w:val="61307A04"/>
    <w:rsid w:val="61332F3B"/>
    <w:rsid w:val="613C2058"/>
    <w:rsid w:val="61444126"/>
    <w:rsid w:val="614632BC"/>
    <w:rsid w:val="614D6D74"/>
    <w:rsid w:val="615E6755"/>
    <w:rsid w:val="615F64AA"/>
    <w:rsid w:val="61722A56"/>
    <w:rsid w:val="61897B1C"/>
    <w:rsid w:val="619F4950"/>
    <w:rsid w:val="62090287"/>
    <w:rsid w:val="62353C0D"/>
    <w:rsid w:val="624F41B6"/>
    <w:rsid w:val="626A7D5A"/>
    <w:rsid w:val="62DE2DF3"/>
    <w:rsid w:val="62F612A3"/>
    <w:rsid w:val="62F95B8C"/>
    <w:rsid w:val="63100986"/>
    <w:rsid w:val="63253BF3"/>
    <w:rsid w:val="63911317"/>
    <w:rsid w:val="63945E28"/>
    <w:rsid w:val="63975A8A"/>
    <w:rsid w:val="63A46B8A"/>
    <w:rsid w:val="63AB687C"/>
    <w:rsid w:val="63B9109C"/>
    <w:rsid w:val="63D8215D"/>
    <w:rsid w:val="63DF2C7F"/>
    <w:rsid w:val="63E043BE"/>
    <w:rsid w:val="63FA4747"/>
    <w:rsid w:val="64184D8E"/>
    <w:rsid w:val="641B2C86"/>
    <w:rsid w:val="641C4869"/>
    <w:rsid w:val="64354398"/>
    <w:rsid w:val="64416D79"/>
    <w:rsid w:val="64535899"/>
    <w:rsid w:val="64956FE9"/>
    <w:rsid w:val="64BB2625"/>
    <w:rsid w:val="64D277E0"/>
    <w:rsid w:val="64D37E39"/>
    <w:rsid w:val="64EA5182"/>
    <w:rsid w:val="65122EE6"/>
    <w:rsid w:val="652371EE"/>
    <w:rsid w:val="654D0E1B"/>
    <w:rsid w:val="655443A7"/>
    <w:rsid w:val="6558144A"/>
    <w:rsid w:val="657E7978"/>
    <w:rsid w:val="65B3079D"/>
    <w:rsid w:val="65E7603D"/>
    <w:rsid w:val="66141426"/>
    <w:rsid w:val="662F0B5B"/>
    <w:rsid w:val="663D77BB"/>
    <w:rsid w:val="66410DD2"/>
    <w:rsid w:val="667444A2"/>
    <w:rsid w:val="66863968"/>
    <w:rsid w:val="668F31AA"/>
    <w:rsid w:val="66952D51"/>
    <w:rsid w:val="669E6F11"/>
    <w:rsid w:val="66AA1CAB"/>
    <w:rsid w:val="67151FB4"/>
    <w:rsid w:val="67256944"/>
    <w:rsid w:val="673A09E8"/>
    <w:rsid w:val="67601DF0"/>
    <w:rsid w:val="67756F44"/>
    <w:rsid w:val="677F4B46"/>
    <w:rsid w:val="67D07731"/>
    <w:rsid w:val="67D30D98"/>
    <w:rsid w:val="67D905AF"/>
    <w:rsid w:val="67DC2A62"/>
    <w:rsid w:val="67E765D9"/>
    <w:rsid w:val="6807561B"/>
    <w:rsid w:val="681A7B2C"/>
    <w:rsid w:val="683A0295"/>
    <w:rsid w:val="683A57FD"/>
    <w:rsid w:val="68630BDC"/>
    <w:rsid w:val="686A3FBE"/>
    <w:rsid w:val="68CA3301"/>
    <w:rsid w:val="68D41CEC"/>
    <w:rsid w:val="68D5023B"/>
    <w:rsid w:val="68DF0DA2"/>
    <w:rsid w:val="68EE4149"/>
    <w:rsid w:val="68F27E6D"/>
    <w:rsid w:val="68F9670E"/>
    <w:rsid w:val="69036901"/>
    <w:rsid w:val="693F3519"/>
    <w:rsid w:val="69461C0C"/>
    <w:rsid w:val="695957BD"/>
    <w:rsid w:val="69692CE5"/>
    <w:rsid w:val="69767ACB"/>
    <w:rsid w:val="69772A38"/>
    <w:rsid w:val="69834D81"/>
    <w:rsid w:val="69BC2922"/>
    <w:rsid w:val="69C20527"/>
    <w:rsid w:val="69CA1E3D"/>
    <w:rsid w:val="69F01770"/>
    <w:rsid w:val="6A0E1913"/>
    <w:rsid w:val="6A1F7362"/>
    <w:rsid w:val="6A2771FC"/>
    <w:rsid w:val="6A4E7A76"/>
    <w:rsid w:val="6A512508"/>
    <w:rsid w:val="6A8123F9"/>
    <w:rsid w:val="6A86611B"/>
    <w:rsid w:val="6A9A5AB8"/>
    <w:rsid w:val="6AA65AD0"/>
    <w:rsid w:val="6AC15313"/>
    <w:rsid w:val="6ADB59ED"/>
    <w:rsid w:val="6AF43AD4"/>
    <w:rsid w:val="6B002E1D"/>
    <w:rsid w:val="6B032473"/>
    <w:rsid w:val="6B0E11C2"/>
    <w:rsid w:val="6B1947DD"/>
    <w:rsid w:val="6B9F68DE"/>
    <w:rsid w:val="6BD60B25"/>
    <w:rsid w:val="6C2246B3"/>
    <w:rsid w:val="6C6275A3"/>
    <w:rsid w:val="6C691899"/>
    <w:rsid w:val="6C6E4322"/>
    <w:rsid w:val="6C6F382E"/>
    <w:rsid w:val="6C804D16"/>
    <w:rsid w:val="6C861AE2"/>
    <w:rsid w:val="6C8C54A7"/>
    <w:rsid w:val="6CED7757"/>
    <w:rsid w:val="6CFE7A1D"/>
    <w:rsid w:val="6D5D4E82"/>
    <w:rsid w:val="6D605355"/>
    <w:rsid w:val="6D70022B"/>
    <w:rsid w:val="6DC629D0"/>
    <w:rsid w:val="6DC81DD9"/>
    <w:rsid w:val="6DCF524F"/>
    <w:rsid w:val="6DCF7418"/>
    <w:rsid w:val="6DD85C34"/>
    <w:rsid w:val="6DE27D7D"/>
    <w:rsid w:val="6E026768"/>
    <w:rsid w:val="6E4F595C"/>
    <w:rsid w:val="6E60660F"/>
    <w:rsid w:val="6E891812"/>
    <w:rsid w:val="6E8A49EB"/>
    <w:rsid w:val="6E8C6D02"/>
    <w:rsid w:val="6EA116F1"/>
    <w:rsid w:val="6EB31AE7"/>
    <w:rsid w:val="6EC627E3"/>
    <w:rsid w:val="6EE24E2D"/>
    <w:rsid w:val="6F1218C9"/>
    <w:rsid w:val="6F4505D9"/>
    <w:rsid w:val="6F4932D2"/>
    <w:rsid w:val="6F6F56FA"/>
    <w:rsid w:val="6F7366D6"/>
    <w:rsid w:val="6F781500"/>
    <w:rsid w:val="6F7B2B66"/>
    <w:rsid w:val="6F9838A8"/>
    <w:rsid w:val="6FF03205"/>
    <w:rsid w:val="6FF06591"/>
    <w:rsid w:val="6FF27B0C"/>
    <w:rsid w:val="700B4959"/>
    <w:rsid w:val="70192C40"/>
    <w:rsid w:val="70230CE9"/>
    <w:rsid w:val="704B508B"/>
    <w:rsid w:val="70666050"/>
    <w:rsid w:val="707A6B92"/>
    <w:rsid w:val="707E3779"/>
    <w:rsid w:val="70DC1B60"/>
    <w:rsid w:val="70F15A31"/>
    <w:rsid w:val="70FC4E36"/>
    <w:rsid w:val="711B26AA"/>
    <w:rsid w:val="712E0333"/>
    <w:rsid w:val="712E42B7"/>
    <w:rsid w:val="715D5DDF"/>
    <w:rsid w:val="7191688A"/>
    <w:rsid w:val="71A66CC4"/>
    <w:rsid w:val="71C214A8"/>
    <w:rsid w:val="71E641B3"/>
    <w:rsid w:val="71F77ACE"/>
    <w:rsid w:val="71FD5C6E"/>
    <w:rsid w:val="720106F5"/>
    <w:rsid w:val="722B1E56"/>
    <w:rsid w:val="7235714F"/>
    <w:rsid w:val="723B7870"/>
    <w:rsid w:val="72787485"/>
    <w:rsid w:val="727E42BF"/>
    <w:rsid w:val="728E24C1"/>
    <w:rsid w:val="72AA5080"/>
    <w:rsid w:val="72E93CC5"/>
    <w:rsid w:val="72F56066"/>
    <w:rsid w:val="72FA6ACB"/>
    <w:rsid w:val="7313322C"/>
    <w:rsid w:val="73197BB8"/>
    <w:rsid w:val="73335381"/>
    <w:rsid w:val="734103B0"/>
    <w:rsid w:val="73487C44"/>
    <w:rsid w:val="735302BC"/>
    <w:rsid w:val="737C487D"/>
    <w:rsid w:val="738E5E7B"/>
    <w:rsid w:val="738F5872"/>
    <w:rsid w:val="73A37FFF"/>
    <w:rsid w:val="73BF0A26"/>
    <w:rsid w:val="73C64D7F"/>
    <w:rsid w:val="73C7191B"/>
    <w:rsid w:val="74074C5D"/>
    <w:rsid w:val="74143CF0"/>
    <w:rsid w:val="741702D0"/>
    <w:rsid w:val="74381A66"/>
    <w:rsid w:val="74477EFB"/>
    <w:rsid w:val="74617ED7"/>
    <w:rsid w:val="74832968"/>
    <w:rsid w:val="748849D8"/>
    <w:rsid w:val="749A745D"/>
    <w:rsid w:val="74CF28DE"/>
    <w:rsid w:val="74D151BA"/>
    <w:rsid w:val="751538B1"/>
    <w:rsid w:val="75344B8A"/>
    <w:rsid w:val="75516BF7"/>
    <w:rsid w:val="75606F89"/>
    <w:rsid w:val="758C2041"/>
    <w:rsid w:val="75B22ED4"/>
    <w:rsid w:val="75DB7C59"/>
    <w:rsid w:val="75DC0684"/>
    <w:rsid w:val="75DC65A5"/>
    <w:rsid w:val="75F22372"/>
    <w:rsid w:val="75F5786E"/>
    <w:rsid w:val="762659E2"/>
    <w:rsid w:val="7633523D"/>
    <w:rsid w:val="76396493"/>
    <w:rsid w:val="763B3A90"/>
    <w:rsid w:val="76457CEF"/>
    <w:rsid w:val="76547D85"/>
    <w:rsid w:val="76A8487B"/>
    <w:rsid w:val="76A86B70"/>
    <w:rsid w:val="76CD1AD4"/>
    <w:rsid w:val="76F20145"/>
    <w:rsid w:val="76FD3DD1"/>
    <w:rsid w:val="77464813"/>
    <w:rsid w:val="77646FFC"/>
    <w:rsid w:val="776B430B"/>
    <w:rsid w:val="77907B18"/>
    <w:rsid w:val="779C230C"/>
    <w:rsid w:val="77A34766"/>
    <w:rsid w:val="77C60E71"/>
    <w:rsid w:val="780305EB"/>
    <w:rsid w:val="78164A54"/>
    <w:rsid w:val="78276334"/>
    <w:rsid w:val="784E64C7"/>
    <w:rsid w:val="78561CE5"/>
    <w:rsid w:val="78793AAA"/>
    <w:rsid w:val="787F3F4C"/>
    <w:rsid w:val="7883590F"/>
    <w:rsid w:val="78A45043"/>
    <w:rsid w:val="78BC3509"/>
    <w:rsid w:val="78C240B9"/>
    <w:rsid w:val="78CC73B0"/>
    <w:rsid w:val="78E319A6"/>
    <w:rsid w:val="78E70FDC"/>
    <w:rsid w:val="78EA3C7B"/>
    <w:rsid w:val="79152AB8"/>
    <w:rsid w:val="791A766E"/>
    <w:rsid w:val="79487611"/>
    <w:rsid w:val="79592BCF"/>
    <w:rsid w:val="7982482F"/>
    <w:rsid w:val="79A23A3E"/>
    <w:rsid w:val="79B017A9"/>
    <w:rsid w:val="79B04E72"/>
    <w:rsid w:val="79D53D71"/>
    <w:rsid w:val="7A2B4D43"/>
    <w:rsid w:val="7A4E3A4A"/>
    <w:rsid w:val="7A5E5F9F"/>
    <w:rsid w:val="7A701FA7"/>
    <w:rsid w:val="7A871C04"/>
    <w:rsid w:val="7ABD1DB1"/>
    <w:rsid w:val="7AE92D09"/>
    <w:rsid w:val="7AFF101C"/>
    <w:rsid w:val="7AFF72EC"/>
    <w:rsid w:val="7B312D12"/>
    <w:rsid w:val="7B5103E9"/>
    <w:rsid w:val="7B5B5EAE"/>
    <w:rsid w:val="7B653879"/>
    <w:rsid w:val="7BAA48CF"/>
    <w:rsid w:val="7C1D1542"/>
    <w:rsid w:val="7C3969BF"/>
    <w:rsid w:val="7C6B3813"/>
    <w:rsid w:val="7C6F002E"/>
    <w:rsid w:val="7C7C7257"/>
    <w:rsid w:val="7C903534"/>
    <w:rsid w:val="7CA82DF0"/>
    <w:rsid w:val="7CB2404E"/>
    <w:rsid w:val="7CB24FDD"/>
    <w:rsid w:val="7CD35395"/>
    <w:rsid w:val="7CE26FAD"/>
    <w:rsid w:val="7D055DA1"/>
    <w:rsid w:val="7D2E4FD0"/>
    <w:rsid w:val="7D5E1A02"/>
    <w:rsid w:val="7D7A7B34"/>
    <w:rsid w:val="7D9F1046"/>
    <w:rsid w:val="7DD351FC"/>
    <w:rsid w:val="7DE4613C"/>
    <w:rsid w:val="7E090DBD"/>
    <w:rsid w:val="7E096C95"/>
    <w:rsid w:val="7E0B69E0"/>
    <w:rsid w:val="7E1F41D9"/>
    <w:rsid w:val="7E203B01"/>
    <w:rsid w:val="7E2D505E"/>
    <w:rsid w:val="7E542A80"/>
    <w:rsid w:val="7E596F70"/>
    <w:rsid w:val="7E5F603E"/>
    <w:rsid w:val="7E6C7907"/>
    <w:rsid w:val="7E73248E"/>
    <w:rsid w:val="7E8B00C3"/>
    <w:rsid w:val="7E9C09D1"/>
    <w:rsid w:val="7EA344A8"/>
    <w:rsid w:val="7EAD69D8"/>
    <w:rsid w:val="7ECB0595"/>
    <w:rsid w:val="7ED46C5A"/>
    <w:rsid w:val="7EFA07D4"/>
    <w:rsid w:val="7F033373"/>
    <w:rsid w:val="7F346AE5"/>
    <w:rsid w:val="7F354B02"/>
    <w:rsid w:val="7F467E6A"/>
    <w:rsid w:val="7F537AC8"/>
    <w:rsid w:val="7F7829B4"/>
    <w:rsid w:val="7F973987"/>
    <w:rsid w:val="7FA405C1"/>
    <w:rsid w:val="7FA5499A"/>
    <w:rsid w:val="7FB46CB9"/>
    <w:rsid w:val="7FBC1438"/>
    <w:rsid w:val="7FBD3D75"/>
    <w:rsid w:val="7FCC6DCE"/>
    <w:rsid w:val="7FF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4"/>
    <w:qFormat/>
    <w:uiPriority w:val="0"/>
    <w:pPr>
      <w:keepNext/>
      <w:jc w:val="center"/>
      <w:outlineLvl w:val="0"/>
    </w:pPr>
    <w:rPr>
      <w:rFonts w:ascii="Calibri" w:hAnsi="Calibri"/>
      <w:b/>
      <w:bCs/>
      <w:sz w:val="24"/>
      <w:szCs w:val="20"/>
    </w:rPr>
  </w:style>
  <w:style w:type="paragraph" w:styleId="4">
    <w:name w:val="heading 2"/>
    <w:basedOn w:val="1"/>
    <w:next w:val="1"/>
    <w:link w:val="303"/>
    <w:qFormat/>
    <w:uiPriority w:val="0"/>
    <w:pPr>
      <w:keepNext/>
      <w:keepLines/>
      <w:spacing w:line="360" w:lineRule="auto"/>
      <w:outlineLvl w:val="1"/>
    </w:pPr>
    <w:rPr>
      <w:rFonts w:ascii="Arial" w:hAnsi="Arial"/>
      <w:b/>
      <w:bCs/>
      <w:sz w:val="24"/>
      <w:szCs w:val="32"/>
    </w:rPr>
  </w:style>
  <w:style w:type="paragraph" w:styleId="5">
    <w:name w:val="heading 3"/>
    <w:basedOn w:val="1"/>
    <w:next w:val="1"/>
    <w:link w:val="274"/>
    <w:qFormat/>
    <w:uiPriority w:val="0"/>
    <w:pPr>
      <w:keepNext/>
      <w:keepLines/>
      <w:spacing w:before="260" w:after="260" w:line="416" w:lineRule="auto"/>
      <w:outlineLvl w:val="2"/>
    </w:pPr>
    <w:rPr>
      <w:rFonts w:ascii="Calibri" w:hAnsi="Calibri"/>
      <w:b/>
      <w:bCs/>
      <w:sz w:val="32"/>
      <w:szCs w:val="32"/>
    </w:rPr>
  </w:style>
  <w:style w:type="paragraph" w:styleId="2">
    <w:name w:val="heading 4"/>
    <w:basedOn w:val="1"/>
    <w:next w:val="1"/>
    <w:link w:val="28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11"/>
    <w:qFormat/>
    <w:uiPriority w:val="0"/>
    <w:pPr>
      <w:keepNext/>
      <w:keepLines/>
      <w:adjustRightInd w:val="0"/>
      <w:spacing w:before="280" w:after="290" w:line="376" w:lineRule="atLeast"/>
      <w:jc w:val="left"/>
      <w:textAlignment w:val="baseline"/>
      <w:outlineLvl w:val="4"/>
    </w:pPr>
    <w:rPr>
      <w:rFonts w:ascii="Calibri" w:hAnsi="Calibri"/>
      <w:b/>
      <w:bCs/>
      <w:kern w:val="0"/>
      <w:sz w:val="28"/>
      <w:szCs w:val="28"/>
    </w:rPr>
  </w:style>
  <w:style w:type="paragraph" w:styleId="7">
    <w:name w:val="heading 6"/>
    <w:basedOn w:val="1"/>
    <w:next w:val="1"/>
    <w:link w:val="29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213"/>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9">
    <w:name w:val="heading 8"/>
    <w:basedOn w:val="1"/>
    <w:next w:val="1"/>
    <w:link w:val="2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30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99"/>
    <w:pPr>
      <w:widowControl/>
      <w:adjustRightInd w:val="0"/>
      <w:snapToGrid w:val="0"/>
      <w:spacing w:after="200"/>
      <w:ind w:left="420" w:leftChars="200"/>
      <w:jc w:val="left"/>
    </w:pPr>
    <w:rPr>
      <w:rFonts w:ascii="Tahoma" w:hAnsi="Tahoma" w:eastAsia="微软雅黑"/>
      <w:kern w:val="0"/>
      <w:sz w:val="22"/>
      <w:szCs w:val="22"/>
    </w:rPr>
  </w:style>
  <w:style w:type="paragraph" w:styleId="13">
    <w:name w:val="Normal Indent"/>
    <w:basedOn w:val="1"/>
    <w:next w:val="14"/>
    <w:qFormat/>
    <w:uiPriority w:val="0"/>
    <w:pPr>
      <w:widowControl/>
      <w:ind w:firstLine="420"/>
      <w:jc w:val="left"/>
    </w:pPr>
    <w:rPr>
      <w:kern w:val="0"/>
      <w:sz w:val="20"/>
      <w:szCs w:val="20"/>
    </w:rPr>
  </w:style>
  <w:style w:type="paragraph" w:styleId="14">
    <w:name w:val="toc 4"/>
    <w:basedOn w:val="1"/>
    <w:next w:val="1"/>
    <w:qFormat/>
    <w:uiPriority w:val="0"/>
    <w:pPr>
      <w:ind w:left="630"/>
      <w:jc w:val="left"/>
    </w:pPr>
    <w:rPr>
      <w:sz w:val="18"/>
      <w:szCs w:val="18"/>
    </w:rPr>
  </w:style>
  <w:style w:type="paragraph" w:styleId="15">
    <w:name w:val="Document Map"/>
    <w:basedOn w:val="1"/>
    <w:semiHidden/>
    <w:qFormat/>
    <w:uiPriority w:val="0"/>
    <w:pPr>
      <w:shd w:val="clear" w:color="auto" w:fill="000080"/>
    </w:pPr>
  </w:style>
  <w:style w:type="paragraph" w:styleId="16">
    <w:name w:val="annotation text"/>
    <w:basedOn w:val="1"/>
    <w:link w:val="254"/>
    <w:semiHidden/>
    <w:qFormat/>
    <w:uiPriority w:val="0"/>
    <w:pPr>
      <w:jc w:val="left"/>
    </w:pPr>
    <w:rPr>
      <w:rFonts w:ascii="Calibri" w:hAnsi="Calibri"/>
    </w:r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qFormat/>
    <w:uiPriority w:val="0"/>
    <w:pPr>
      <w:spacing w:after="120"/>
    </w:pPr>
  </w:style>
  <w:style w:type="paragraph" w:styleId="20">
    <w:name w:val="toc 2"/>
    <w:basedOn w:val="1"/>
    <w:next w:val="1"/>
    <w:qFormat/>
    <w:uiPriority w:val="0"/>
    <w:pPr>
      <w:ind w:left="210"/>
      <w:jc w:val="left"/>
    </w:pPr>
    <w:rPr>
      <w:smallCaps/>
      <w:sz w:val="20"/>
      <w:szCs w:val="20"/>
    </w:rPr>
  </w:style>
  <w:style w:type="paragraph" w:styleId="21">
    <w:name w:val="Body Text Indent"/>
    <w:basedOn w:val="1"/>
    <w:next w:val="22"/>
    <w:link w:val="267"/>
    <w:qFormat/>
    <w:uiPriority w:val="0"/>
    <w:pPr>
      <w:spacing w:after="120"/>
      <w:ind w:left="420" w:leftChars="200"/>
    </w:pPr>
    <w:rPr>
      <w:rFonts w:ascii="Calibri" w:hAnsi="Calibri"/>
    </w:rPr>
  </w:style>
  <w:style w:type="paragraph" w:styleId="22">
    <w:name w:val="Body Text First Indent 2"/>
    <w:basedOn w:val="21"/>
    <w:next w:val="13"/>
    <w:unhideWhenUsed/>
    <w:qFormat/>
    <w:uiPriority w:val="99"/>
    <w:pPr>
      <w:ind w:firstLine="420" w:firstLineChars="200"/>
    </w:p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298"/>
    <w:qFormat/>
    <w:uiPriority w:val="0"/>
    <w:rPr>
      <w:rFonts w:ascii="Calibri" w:hAnsi="Calibri"/>
      <w:sz w:val="24"/>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250"/>
    <w:qFormat/>
    <w:uiPriority w:val="0"/>
    <w:rPr>
      <w:rFonts w:ascii="Calibri" w:hAnsi="Calibri"/>
      <w:sz w:val="18"/>
      <w:szCs w:val="18"/>
    </w:rPr>
  </w:style>
  <w:style w:type="paragraph" w:styleId="31">
    <w:name w:val="footer"/>
    <w:basedOn w:val="1"/>
    <w:link w:val="263"/>
    <w:qFormat/>
    <w:uiPriority w:val="0"/>
    <w:pPr>
      <w:tabs>
        <w:tab w:val="center" w:pos="4153"/>
        <w:tab w:val="right" w:pos="8306"/>
      </w:tabs>
      <w:snapToGrid w:val="0"/>
      <w:jc w:val="left"/>
    </w:pPr>
    <w:rPr>
      <w:rFonts w:ascii="Calibri" w:hAnsi="Calibri"/>
      <w:sz w:val="18"/>
      <w:szCs w:val="18"/>
    </w:rPr>
  </w:style>
  <w:style w:type="paragraph" w:styleId="32">
    <w:name w:val="header"/>
    <w:basedOn w:val="1"/>
    <w:link w:val="25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3">
    <w:name w:val="toc 1"/>
    <w:basedOn w:val="1"/>
    <w:next w:val="1"/>
    <w:semiHidden/>
    <w:qFormat/>
    <w:uiPriority w:val="0"/>
    <w:pPr>
      <w:spacing w:before="120" w:after="120"/>
      <w:jc w:val="left"/>
    </w:pPr>
    <w:rPr>
      <w:b/>
      <w:bCs/>
      <w:caps/>
      <w:sz w:val="20"/>
      <w:szCs w:val="20"/>
    </w:rPr>
  </w:style>
  <w:style w:type="paragraph" w:styleId="34">
    <w:name w:val="List"/>
    <w:basedOn w:val="1"/>
    <w:qFormat/>
    <w:uiPriority w:val="0"/>
    <w:pPr>
      <w:ind w:left="200" w:hanging="200" w:hangingChars="200"/>
    </w:pPr>
    <w:rPr>
      <w:sz w:val="28"/>
    </w:rPr>
  </w:style>
  <w:style w:type="paragraph" w:styleId="35">
    <w:name w:val="footnote text"/>
    <w:basedOn w:val="1"/>
    <w:qFormat/>
    <w:uiPriority w:val="99"/>
  </w:style>
  <w:style w:type="paragraph" w:styleId="36">
    <w:name w:val="toc 6"/>
    <w:basedOn w:val="1"/>
    <w:next w:val="1"/>
    <w:qFormat/>
    <w:uiPriority w:val="0"/>
    <w:pPr>
      <w:ind w:left="1050"/>
      <w:jc w:val="left"/>
    </w:pPr>
    <w:rPr>
      <w:sz w:val="18"/>
      <w:szCs w:val="18"/>
    </w:rPr>
  </w:style>
  <w:style w:type="paragraph" w:styleId="37">
    <w:name w:val="Body Text Indent 3"/>
    <w:basedOn w:val="1"/>
    <w:link w:val="300"/>
    <w:qFormat/>
    <w:uiPriority w:val="0"/>
    <w:pPr>
      <w:spacing w:after="120"/>
      <w:ind w:left="420" w:leftChars="200"/>
    </w:pPr>
    <w:rPr>
      <w:rFonts w:ascii="Calibri" w:hAnsi="Calibri"/>
      <w:sz w:val="16"/>
      <w:szCs w:val="16"/>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after="120" w:line="480" w:lineRule="auto"/>
    </w:pPr>
  </w:style>
  <w:style w:type="paragraph" w:styleId="40">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5"/>
    <w:qFormat/>
    <w:uiPriority w:val="0"/>
    <w:pPr>
      <w:spacing w:before="240" w:after="60"/>
      <w:jc w:val="center"/>
      <w:outlineLvl w:val="0"/>
    </w:pPr>
    <w:rPr>
      <w:rFonts w:ascii="Cambria" w:hAnsi="Cambria"/>
      <w:b/>
      <w:sz w:val="32"/>
    </w:rPr>
  </w:style>
  <w:style w:type="paragraph" w:styleId="44">
    <w:name w:val="annotation subject"/>
    <w:basedOn w:val="16"/>
    <w:next w:val="16"/>
    <w:link w:val="315"/>
    <w:qFormat/>
    <w:uiPriority w:val="0"/>
    <w:rPr>
      <w:b/>
      <w:bCs/>
    </w:rPr>
  </w:style>
  <w:style w:type="paragraph" w:styleId="45">
    <w:name w:val="Body Text First Indent"/>
    <w:basedOn w:val="19"/>
    <w:next w:val="1"/>
    <w:unhideWhenUsed/>
    <w:qFormat/>
    <w:uiPriority w:val="99"/>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basedOn w:val="48"/>
    <w:qFormat/>
    <w:uiPriority w:val="0"/>
    <w:rPr>
      <w:rFonts w:ascii="Times New Roman" w:hAnsi="Times New Roman" w:eastAsia="宋体" w:cs="Times New Roman"/>
      <w:b/>
      <w:bCs/>
    </w:rPr>
  </w:style>
  <w:style w:type="character" w:styleId="50">
    <w:name w:val="page number"/>
    <w:basedOn w:val="48"/>
    <w:qFormat/>
    <w:uiPriority w:val="0"/>
    <w:rPr>
      <w:rFonts w:ascii="宋体" w:hAnsi="宋体" w:eastAsia="宋体" w:cs="宋体"/>
      <w:sz w:val="24"/>
    </w:rPr>
  </w:style>
  <w:style w:type="character" w:styleId="51">
    <w:name w:val="FollowedHyperlink"/>
    <w:qFormat/>
    <w:uiPriority w:val="0"/>
    <w:rPr>
      <w:rFonts w:ascii="Times New Roman" w:hAnsi="Times New Roman" w:eastAsia="宋体" w:cs="Times New Roman"/>
      <w:color w:val="800080"/>
      <w:u w:val="single"/>
    </w:rPr>
  </w:style>
  <w:style w:type="character" w:styleId="52">
    <w:name w:val="Emphasis"/>
    <w:qFormat/>
    <w:uiPriority w:val="0"/>
    <w:rPr>
      <w:rFonts w:ascii="Times New Roman" w:hAnsi="Times New Roman" w:eastAsia="宋体" w:cs="Times New Roman"/>
    </w:rPr>
  </w:style>
  <w:style w:type="character" w:styleId="53">
    <w:name w:val="HTML Definition"/>
    <w:qFormat/>
    <w:uiPriority w:val="0"/>
    <w:rPr>
      <w:rFonts w:ascii="Times New Roman" w:hAnsi="Times New Roman" w:eastAsia="宋体" w:cs="Times New Roman"/>
    </w:rPr>
  </w:style>
  <w:style w:type="character" w:styleId="54">
    <w:name w:val="HTML Variable"/>
    <w:qFormat/>
    <w:uiPriority w:val="0"/>
    <w:rPr>
      <w:rFonts w:ascii="Times New Roman" w:hAnsi="Times New Roman" w:eastAsia="宋体" w:cs="Times New Roman"/>
    </w:rPr>
  </w:style>
  <w:style w:type="character" w:styleId="55">
    <w:name w:val="Hyperlink"/>
    <w:basedOn w:val="48"/>
    <w:qFormat/>
    <w:uiPriority w:val="99"/>
    <w:rPr>
      <w:rFonts w:ascii="Times New Roman" w:hAnsi="Times New Roman" w:eastAsia="宋体" w:cs="Times New Roman"/>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3">
    <w:name w:val="Style8"/>
    <w:basedOn w:val="1"/>
    <w:unhideWhenUsed/>
    <w:qFormat/>
    <w:uiPriority w:val="0"/>
    <w:pPr>
      <w:spacing w:line="566" w:lineRule="exact"/>
      <w:jc w:val="center"/>
    </w:p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5">
    <w:name w:val="Style74"/>
    <w:basedOn w:val="1"/>
    <w:unhideWhenUsed/>
    <w:qFormat/>
    <w:uiPriority w:val="0"/>
    <w:pPr>
      <w:spacing w:line="437" w:lineRule="exact"/>
    </w:pPr>
  </w:style>
  <w:style w:type="paragraph" w:customStyle="1" w:styleId="66">
    <w:name w:val="Style52"/>
    <w:basedOn w:val="1"/>
    <w:unhideWhenUsed/>
    <w:qFormat/>
    <w:uiPriority w:val="0"/>
    <w:pPr>
      <w:spacing w:line="682" w:lineRule="exact"/>
      <w:ind w:firstLine="557"/>
    </w:pPr>
  </w:style>
  <w:style w:type="paragraph" w:customStyle="1" w:styleId="67">
    <w:name w:val="_Style 39"/>
    <w:basedOn w:val="68"/>
    <w:qFormat/>
    <w:uiPriority w:val="0"/>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2"/>
    <w:basedOn w:val="43"/>
    <w:qFormat/>
    <w:uiPriority w:val="0"/>
    <w:pPr>
      <w:spacing w:after="240"/>
      <w:jc w:val="left"/>
    </w:pPr>
    <w:rPr>
      <w:sz w:val="30"/>
    </w:rPr>
  </w:style>
  <w:style w:type="paragraph" w:customStyle="1" w:styleId="70">
    <w:name w:val="Style44"/>
    <w:basedOn w:val="1"/>
    <w:unhideWhenUsed/>
    <w:qFormat/>
    <w:uiPriority w:val="0"/>
  </w:style>
  <w:style w:type="paragraph" w:customStyle="1" w:styleId="71">
    <w:name w:val="Style56"/>
    <w:basedOn w:val="1"/>
    <w:unhideWhenUsed/>
    <w:qFormat/>
    <w:uiPriority w:val="0"/>
  </w:style>
  <w:style w:type="paragraph" w:customStyle="1" w:styleId="72">
    <w:name w:val="Char1 Char Char Char"/>
    <w:basedOn w:val="1"/>
    <w:qFormat/>
    <w:uiPriority w:val="0"/>
    <w:pPr>
      <w:widowControl/>
      <w:spacing w:after="160" w:line="240" w:lineRule="exact"/>
      <w:jc w:val="left"/>
    </w:pPr>
    <w:rPr>
      <w:kern w:val="0"/>
      <w:sz w:val="24"/>
      <w:szCs w:val="20"/>
    </w:rPr>
  </w:style>
  <w:style w:type="paragraph" w:customStyle="1" w:styleId="7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74">
    <w:name w:val="表名称"/>
    <w:basedOn w:val="13"/>
    <w:qFormat/>
    <w:uiPriority w:val="0"/>
    <w:pPr>
      <w:numPr>
        <w:ilvl w:val="0"/>
        <w:numId w:val="1"/>
      </w:numPr>
      <w:ind w:firstLine="0"/>
      <w:jc w:val="center"/>
    </w:pPr>
  </w:style>
  <w:style w:type="paragraph" w:customStyle="1" w:styleId="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6">
    <w:name w:val="Char1 Char Char Char 字元 Char Char 字元 Char 字元 Char1 Char Char Char"/>
    <w:basedOn w:val="1"/>
    <w:qFormat/>
    <w:uiPriority w:val="0"/>
    <w:rPr>
      <w:szCs w:val="20"/>
    </w:rPr>
  </w:style>
  <w:style w:type="paragraph" w:customStyle="1" w:styleId="77">
    <w:name w:val="Style13"/>
    <w:basedOn w:val="1"/>
    <w:unhideWhenUsed/>
    <w:qFormat/>
    <w:uiPriority w:val="0"/>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79">
    <w:name w:val="Style69"/>
    <w:basedOn w:val="1"/>
    <w:unhideWhenUsed/>
    <w:qFormat/>
    <w:uiPriority w:val="0"/>
    <w:pPr>
      <w:spacing w:line="557" w:lineRule="exact"/>
      <w:ind w:firstLine="1666"/>
    </w:pPr>
  </w:style>
  <w:style w:type="paragraph" w:customStyle="1" w:styleId="80">
    <w:name w:val="Style10"/>
    <w:basedOn w:val="1"/>
    <w:unhideWhenUsed/>
    <w:qFormat/>
    <w:uiPriority w:val="0"/>
    <w:pPr>
      <w:spacing w:line="538" w:lineRule="exact"/>
    </w:pPr>
  </w:style>
  <w:style w:type="paragraph" w:customStyle="1" w:styleId="8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2">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1 Char Char Char Char"/>
    <w:basedOn w:val="1"/>
    <w:qFormat/>
    <w:uiPriority w:val="0"/>
  </w:style>
  <w:style w:type="paragraph" w:customStyle="1" w:styleId="86">
    <w:name w:val="默认段落字体 Para Char Char Char Char Char Char Char Char Char Char Char Char Char Char Char Char Char Char Char"/>
    <w:basedOn w:val="1"/>
    <w:qFormat/>
    <w:uiPriority w:val="0"/>
  </w:style>
  <w:style w:type="paragraph" w:customStyle="1" w:styleId="87">
    <w:name w:val="Style64"/>
    <w:basedOn w:val="1"/>
    <w:unhideWhenUsed/>
    <w:qFormat/>
    <w:uiPriority w:val="0"/>
  </w:style>
  <w:style w:type="paragraph" w:customStyle="1" w:styleId="88">
    <w:name w:val="附录标识"/>
    <w:basedOn w:val="61"/>
    <w:qFormat/>
    <w:uiPriority w:val="0"/>
    <w:pPr>
      <w:tabs>
        <w:tab w:val="left" w:pos="6405"/>
      </w:tabs>
      <w:spacing w:after="200"/>
    </w:pPr>
    <w:rPr>
      <w:sz w:val="21"/>
    </w:rPr>
  </w:style>
  <w:style w:type="paragraph" w:customStyle="1" w:styleId="89">
    <w:name w:val="Style60"/>
    <w:basedOn w:val="1"/>
    <w:unhideWhenUsed/>
    <w:qFormat/>
    <w:uiPriority w:val="0"/>
    <w:pPr>
      <w:spacing w:line="566" w:lineRule="exact"/>
    </w:pPr>
  </w:style>
  <w:style w:type="paragraph" w:customStyle="1" w:styleId="90">
    <w:name w:val="Style67"/>
    <w:basedOn w:val="1"/>
    <w:unhideWhenUsed/>
    <w:qFormat/>
    <w:uiPriority w:val="0"/>
    <w:pPr>
      <w:spacing w:line="566" w:lineRule="exact"/>
      <w:ind w:firstLine="552"/>
    </w:p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4">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har Char1 Char Char Char"/>
    <w:basedOn w:val="1"/>
    <w:qFormat/>
    <w:uiPriority w:val="0"/>
    <w:rPr>
      <w:kern w:val="0"/>
      <w:sz w:val="20"/>
      <w:szCs w:val="20"/>
    </w:rPr>
  </w:style>
  <w:style w:type="paragraph" w:customStyle="1" w:styleId="96">
    <w:name w:val="4号正文"/>
    <w:basedOn w:val="1"/>
    <w:qFormat/>
    <w:uiPriority w:val="0"/>
    <w:pPr>
      <w:spacing w:after="120"/>
      <w:ind w:firstLine="555" w:firstLineChars="196"/>
    </w:pPr>
    <w:rPr>
      <w:rFonts w:ascii="仿宋_GB2312" w:hAnsi="华文细黑" w:eastAsia="仿宋_GB2312"/>
      <w:spacing w:val="10"/>
      <w:sz w:val="28"/>
      <w:szCs w:val="20"/>
    </w:rPr>
  </w:style>
  <w:style w:type="paragraph" w:customStyle="1" w:styleId="97">
    <w:name w:val="索引 11"/>
    <w:basedOn w:val="1"/>
    <w:next w:val="1"/>
    <w:qFormat/>
    <w:uiPriority w:val="0"/>
    <w:pPr>
      <w:spacing w:line="360" w:lineRule="auto"/>
    </w:pPr>
    <w:rPr>
      <w:rFonts w:ascii="仿宋_GB2312" w:eastAsia="仿宋_GB2312"/>
      <w:sz w:val="24"/>
      <w:szCs w:val="20"/>
    </w:rPr>
  </w:style>
  <w:style w:type="paragraph" w:customStyle="1" w:styleId="9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99">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0">
    <w:name w:val="表格内容"/>
    <w:basedOn w:val="19"/>
    <w:qFormat/>
    <w:uiPriority w:val="0"/>
    <w:pPr>
      <w:suppressLineNumbers/>
      <w:suppressAutoHyphens/>
      <w:jc w:val="left"/>
    </w:pPr>
    <w:rPr>
      <w:rFonts w:cs="Tahoma"/>
      <w:kern w:val="0"/>
      <w:sz w:val="24"/>
    </w:rPr>
  </w:style>
  <w:style w:type="paragraph" w:customStyle="1" w:styleId="101">
    <w:name w:val="Style54"/>
    <w:basedOn w:val="1"/>
    <w:unhideWhenUsed/>
    <w:qFormat/>
    <w:uiPriority w:val="0"/>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Style11"/>
    <w:basedOn w:val="1"/>
    <w:unhideWhenUsed/>
    <w:qFormat/>
    <w:uiPriority w:val="0"/>
    <w:pPr>
      <w:spacing w:line="559" w:lineRule="exact"/>
      <w:ind w:firstLine="590"/>
    </w:p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7">
    <w:name w:val="Style48"/>
    <w:basedOn w:val="1"/>
    <w:unhideWhenUsed/>
    <w:qFormat/>
    <w:uiPriority w:val="0"/>
    <w:pPr>
      <w:spacing w:line="542" w:lineRule="exact"/>
      <w:jc w:val="right"/>
    </w:pPr>
  </w:style>
  <w:style w:type="paragraph" w:customStyle="1" w:styleId="108">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09">
    <w:name w:val="Char Char1 Char Char Char Char Char1 Char Char Char Char"/>
    <w:basedOn w:val="15"/>
    <w:qFormat/>
    <w:uiPriority w:val="0"/>
    <w:rPr>
      <w:rFonts w:ascii="Tahoma" w:hAnsi="Tahoma"/>
    </w:rPr>
  </w:style>
  <w:style w:type="paragraph" w:customStyle="1" w:styleId="110">
    <w:name w:val="Style80"/>
    <w:basedOn w:val="1"/>
    <w:unhideWhenUsed/>
    <w:qFormat/>
    <w:uiPriority w:val="0"/>
  </w:style>
  <w:style w:type="paragraph" w:customStyle="1" w:styleId="111">
    <w:name w:val="Style71"/>
    <w:basedOn w:val="1"/>
    <w:unhideWhenUsed/>
    <w:qFormat/>
    <w:uiPriority w:val="0"/>
    <w:pPr>
      <w:spacing w:line="538" w:lineRule="exact"/>
      <w:ind w:firstLine="101"/>
    </w:p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customStyle="1" w:styleId="113">
    <w:name w:val="Style34"/>
    <w:basedOn w:val="1"/>
    <w:unhideWhenUsed/>
    <w:qFormat/>
    <w:uiPriority w:val="0"/>
    <w:pPr>
      <w:spacing w:line="375" w:lineRule="exact"/>
    </w:pPr>
  </w:style>
  <w:style w:type="paragraph" w:customStyle="1" w:styleId="1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Style5"/>
    <w:basedOn w:val="1"/>
    <w:unhideWhenUsed/>
    <w:qFormat/>
    <w:uiPriority w:val="0"/>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1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3">
    <w:name w:val="Style4"/>
    <w:basedOn w:val="1"/>
    <w:unhideWhenUsed/>
    <w:qFormat/>
    <w:uiPriority w:val="0"/>
  </w:style>
  <w:style w:type="paragraph" w:customStyle="1" w:styleId="12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5">
    <w:name w:val="NO3"/>
    <w:basedOn w:val="1"/>
    <w:qFormat/>
    <w:uiPriority w:val="0"/>
    <w:pPr>
      <w:tabs>
        <w:tab w:val="left" w:pos="907"/>
      </w:tabs>
      <w:spacing w:line="360" w:lineRule="auto"/>
    </w:pPr>
    <w:rPr>
      <w:rFonts w:ascii="宋体" w:hAnsi="宋体"/>
      <w:sz w:val="24"/>
    </w:rPr>
  </w:style>
  <w:style w:type="paragraph" w:customStyle="1" w:styleId="126">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8">
    <w:name w:val="Style41"/>
    <w:basedOn w:val="1"/>
    <w:unhideWhenUsed/>
    <w:qFormat/>
    <w:uiPriority w:val="0"/>
    <w:pPr>
      <w:spacing w:line="542" w:lineRule="exact"/>
      <w:ind w:firstLine="125"/>
    </w:pPr>
  </w:style>
  <w:style w:type="paragraph" w:customStyle="1" w:styleId="129">
    <w:name w:val="1"/>
    <w:basedOn w:val="1"/>
    <w:qFormat/>
    <w:uiPriority w:val="0"/>
    <w:pPr>
      <w:spacing w:after="156" w:afterLines="50" w:line="360" w:lineRule="auto"/>
    </w:pPr>
    <w:rPr>
      <w:rFonts w:ascii="宋体" w:hAnsi="宋体"/>
      <w:b/>
      <w:sz w:val="30"/>
      <w:szCs w:val="21"/>
    </w:rPr>
  </w:style>
  <w:style w:type="paragraph" w:customStyle="1" w:styleId="130">
    <w:name w:val="Style53"/>
    <w:basedOn w:val="1"/>
    <w:unhideWhenUsed/>
    <w:qFormat/>
    <w:uiPriority w:val="0"/>
    <w:pPr>
      <w:spacing w:line="533" w:lineRule="exact"/>
      <w:ind w:firstLine="581"/>
    </w:pPr>
  </w:style>
  <w:style w:type="paragraph" w:customStyle="1" w:styleId="13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2">
    <w:name w:val="Char1 Char Char Char Char Char Char Char Char Char"/>
    <w:basedOn w:val="1"/>
    <w:qFormat/>
    <w:uiPriority w:val="0"/>
    <w:rPr>
      <w:szCs w:val="20"/>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4">
    <w:name w:val="Style46"/>
    <w:basedOn w:val="1"/>
    <w:unhideWhenUsed/>
    <w:qFormat/>
    <w:uiPriority w:val="0"/>
    <w:pPr>
      <w:spacing w:line="672" w:lineRule="exact"/>
    </w:pPr>
  </w:style>
  <w:style w:type="paragraph" w:customStyle="1" w:styleId="135">
    <w:name w:val="我的正文"/>
    <w:basedOn w:val="1"/>
    <w:link w:val="242"/>
    <w:qFormat/>
    <w:uiPriority w:val="0"/>
    <w:pPr>
      <w:spacing w:line="480" w:lineRule="exact"/>
      <w:ind w:firstLine="200" w:firstLineChars="200"/>
    </w:pPr>
    <w:rPr>
      <w:rFonts w:ascii="Arial" w:hAnsi="Arial" w:eastAsia="微软雅黑"/>
      <w:kern w:val="0"/>
      <w:sz w:val="24"/>
    </w:rPr>
  </w:style>
  <w:style w:type="paragraph" w:customStyle="1" w:styleId="136">
    <w:name w:val="纯文本1"/>
    <w:basedOn w:val="1"/>
    <w:link w:val="322"/>
    <w:qFormat/>
    <w:uiPriority w:val="0"/>
    <w:rPr>
      <w:rFonts w:ascii="宋体" w:hAnsi="Courier New" w:eastAsia="微软雅黑"/>
      <w:kern w:val="0"/>
      <w:sz w:val="20"/>
      <w:szCs w:val="20"/>
    </w:rPr>
  </w:style>
  <w:style w:type="paragraph" w:customStyle="1" w:styleId="13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Char Char Char1 Char Char Char Char Char Char Char"/>
    <w:basedOn w:val="1"/>
    <w:qFormat/>
    <w:uiPriority w:val="0"/>
    <w:pPr>
      <w:spacing w:line="360" w:lineRule="auto"/>
    </w:pPr>
    <w:rPr>
      <w:rFonts w:ascii="宋体" w:hAnsi="宋体" w:cs="宋体"/>
      <w:sz w:val="24"/>
    </w:rPr>
  </w:style>
  <w:style w:type="paragraph" w:customStyle="1" w:styleId="139">
    <w:name w:val="p18_1_2"/>
    <w:basedOn w:val="1"/>
    <w:qFormat/>
    <w:uiPriority w:val="0"/>
    <w:pPr>
      <w:widowControl/>
    </w:pPr>
    <w:rPr>
      <w:kern w:val="0"/>
      <w:szCs w:val="21"/>
    </w:rPr>
  </w:style>
  <w:style w:type="paragraph" w:customStyle="1" w:styleId="14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1">
    <w:name w:val="Style81"/>
    <w:basedOn w:val="1"/>
    <w:unhideWhenUsed/>
    <w:qFormat/>
    <w:uiPriority w:val="0"/>
    <w:pPr>
      <w:spacing w:line="547" w:lineRule="exact"/>
    </w:p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4">
    <w:name w:val="p16"/>
    <w:basedOn w:val="1"/>
    <w:qFormat/>
    <w:uiPriority w:val="0"/>
    <w:pPr>
      <w:widowControl/>
      <w:jc w:val="left"/>
    </w:pPr>
    <w:rPr>
      <w:kern w:val="0"/>
      <w:szCs w:val="21"/>
    </w:rPr>
  </w:style>
  <w:style w:type="paragraph" w:customStyle="1" w:styleId="145">
    <w:name w:val="标题 1 +"/>
    <w:basedOn w:val="3"/>
    <w:next w:val="1"/>
    <w:qFormat/>
    <w:uiPriority w:val="0"/>
    <w:pPr>
      <w:keepLines/>
      <w:spacing w:line="600" w:lineRule="auto"/>
    </w:pPr>
    <w:rPr>
      <w:rFonts w:eastAsia="黑体"/>
      <w:kern w:val="0"/>
      <w:sz w:val="32"/>
      <w:szCs w:val="32"/>
    </w:rPr>
  </w:style>
  <w:style w:type="paragraph" w:customStyle="1" w:styleId="14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7">
    <w:name w:val="Style45"/>
    <w:basedOn w:val="1"/>
    <w:unhideWhenUsed/>
    <w:qFormat/>
    <w:uiPriority w:val="0"/>
  </w:style>
  <w:style w:type="paragraph" w:customStyle="1" w:styleId="148">
    <w:name w:val="Style77"/>
    <w:basedOn w:val="1"/>
    <w:unhideWhenUsed/>
    <w:qFormat/>
    <w:uiPriority w:val="0"/>
  </w:style>
  <w:style w:type="paragraph" w:customStyle="1" w:styleId="1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0">
    <w:name w:val="正文1"/>
    <w:basedOn w:val="1"/>
    <w:qFormat/>
    <w:uiPriority w:val="0"/>
    <w:pPr>
      <w:numPr>
        <w:ilvl w:val="0"/>
        <w:numId w:val="2"/>
      </w:numPr>
      <w:tabs>
        <w:tab w:val="left" w:pos="2220"/>
      </w:tabs>
      <w:spacing w:line="360" w:lineRule="auto"/>
    </w:pPr>
    <w:rPr>
      <w:rFonts w:ascii="宋体" w:hAnsi="宋体"/>
    </w:rPr>
  </w:style>
  <w:style w:type="paragraph" w:customStyle="1" w:styleId="15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52">
    <w:name w:val="Style26"/>
    <w:basedOn w:val="1"/>
    <w:unhideWhenUsed/>
    <w:qFormat/>
    <w:uiPriority w:val="0"/>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4">
    <w:name w:val="Style63"/>
    <w:basedOn w:val="1"/>
    <w:unhideWhenUsed/>
    <w:qFormat/>
    <w:uiPriority w:val="0"/>
    <w:pPr>
      <w:spacing w:line="564" w:lineRule="exact"/>
      <w:ind w:firstLine="682"/>
    </w:pPr>
  </w:style>
  <w:style w:type="paragraph" w:customStyle="1" w:styleId="155">
    <w:name w:val="Style27"/>
    <w:basedOn w:val="1"/>
    <w:unhideWhenUsed/>
    <w:qFormat/>
    <w:uiPriority w:val="0"/>
  </w:style>
  <w:style w:type="paragraph" w:customStyle="1" w:styleId="156">
    <w:name w:val="Char"/>
    <w:basedOn w:val="1"/>
    <w:qFormat/>
    <w:uiPriority w:val="0"/>
    <w:pPr>
      <w:tabs>
        <w:tab w:val="left" w:pos="360"/>
      </w:tabs>
      <w:ind w:left="360" w:hanging="360" w:hangingChars="200"/>
    </w:pPr>
    <w:rPr>
      <w:sz w:val="24"/>
    </w:rPr>
  </w:style>
  <w:style w:type="paragraph" w:customStyle="1" w:styleId="157">
    <w:name w:val="Style29"/>
    <w:basedOn w:val="1"/>
    <w:unhideWhenUsed/>
    <w:qFormat/>
    <w:uiPriority w:val="0"/>
    <w:pPr>
      <w:spacing w:line="547" w:lineRule="exact"/>
      <w:ind w:firstLine="547"/>
    </w:pPr>
  </w:style>
  <w:style w:type="paragraph" w:customStyle="1" w:styleId="158">
    <w:name w:val="_Style 185"/>
    <w:qFormat/>
    <w:uiPriority w:val="0"/>
    <w:rPr>
      <w:rFonts w:ascii="Times New Roman" w:hAnsi="Times New Roman" w:eastAsia="宋体" w:cs="Times New Roman"/>
      <w:kern w:val="2"/>
      <w:sz w:val="21"/>
      <w:szCs w:val="24"/>
      <w:lang w:val="en-US" w:eastAsia="zh-CN" w:bidi="ar-SA"/>
    </w:rPr>
  </w:style>
  <w:style w:type="paragraph" w:customStyle="1" w:styleId="15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60">
    <w:name w:val="Style21"/>
    <w:basedOn w:val="1"/>
    <w:unhideWhenUsed/>
    <w:qFormat/>
    <w:uiPriority w:val="0"/>
    <w:pPr>
      <w:spacing w:line="566" w:lineRule="exact"/>
      <w:ind w:firstLine="682"/>
    </w:pPr>
  </w:style>
  <w:style w:type="paragraph" w:customStyle="1" w:styleId="161">
    <w:name w:val="Style12"/>
    <w:basedOn w:val="1"/>
    <w:unhideWhenUsed/>
    <w:qFormat/>
    <w:uiPriority w:val="0"/>
    <w:pPr>
      <w:spacing w:line="564" w:lineRule="exact"/>
      <w:ind w:hanging="115"/>
    </w:pPr>
  </w:style>
  <w:style w:type="paragraph" w:customStyle="1" w:styleId="162">
    <w:name w:val="List Paragraph1"/>
    <w:basedOn w:val="1"/>
    <w:link w:val="225"/>
    <w:qFormat/>
    <w:uiPriority w:val="0"/>
    <w:pPr>
      <w:ind w:firstLine="420" w:firstLineChars="200"/>
    </w:pPr>
    <w:rPr>
      <w:rFonts w:ascii="Calibri" w:hAnsi="Calibri" w:cs="Calibri"/>
      <w:szCs w:val="21"/>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5">
    <w:name w:val="Style72"/>
    <w:basedOn w:val="1"/>
    <w:unhideWhenUsed/>
    <w:qFormat/>
    <w:uiPriority w:val="0"/>
  </w:style>
  <w:style w:type="paragraph" w:customStyle="1" w:styleId="166">
    <w:name w:val="Style68"/>
    <w:basedOn w:val="1"/>
    <w:unhideWhenUsed/>
    <w:qFormat/>
    <w:uiPriority w:val="0"/>
    <w:pPr>
      <w:spacing w:line="547" w:lineRule="exact"/>
    </w:pPr>
  </w:style>
  <w:style w:type="paragraph" w:customStyle="1" w:styleId="167">
    <w:name w:val="p0"/>
    <w:basedOn w:val="1"/>
    <w:link w:val="209"/>
    <w:qFormat/>
    <w:uiPriority w:val="0"/>
    <w:pPr>
      <w:widowControl/>
    </w:pPr>
    <w:rPr>
      <w:rFonts w:ascii="Calibri" w:hAnsi="Calibri"/>
      <w:kern w:val="0"/>
      <w:szCs w:val="21"/>
    </w:rPr>
  </w:style>
  <w:style w:type="paragraph" w:customStyle="1" w:styleId="168">
    <w:name w:val="Style16"/>
    <w:basedOn w:val="1"/>
    <w:unhideWhenUsed/>
    <w:qFormat/>
    <w:uiPriority w:val="0"/>
    <w:pPr>
      <w:jc w:val="right"/>
    </w:pPr>
  </w:style>
  <w:style w:type="paragraph" w:customStyle="1" w:styleId="169">
    <w:name w:val="Style28"/>
    <w:basedOn w:val="1"/>
    <w:unhideWhenUsed/>
    <w:qFormat/>
    <w:uiPriority w:val="0"/>
    <w:pPr>
      <w:spacing w:line="552" w:lineRule="exact"/>
      <w:ind w:firstLine="547"/>
    </w:pPr>
  </w:style>
  <w:style w:type="paragraph" w:customStyle="1" w:styleId="17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1">
    <w:name w:val="Style15"/>
    <w:basedOn w:val="1"/>
    <w:unhideWhenUsed/>
    <w:qFormat/>
    <w:uiPriority w:val="0"/>
    <w:pPr>
      <w:spacing w:line="557" w:lineRule="exact"/>
      <w:ind w:firstLine="672"/>
    </w:pPr>
  </w:style>
  <w:style w:type="paragraph" w:customStyle="1" w:styleId="172">
    <w:name w:val="Table Paragraph"/>
    <w:basedOn w:val="1"/>
    <w:qFormat/>
    <w:uiPriority w:val="99"/>
    <w:rPr>
      <w:rFonts w:ascii="宋体" w:hAnsi="宋体" w:cs="宋体"/>
      <w:lang w:val="zh-CN"/>
    </w:rPr>
  </w:style>
  <w:style w:type="paragraph" w:customStyle="1" w:styleId="17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4">
    <w:name w:val="Style47"/>
    <w:basedOn w:val="1"/>
    <w:unhideWhenUsed/>
    <w:qFormat/>
    <w:uiPriority w:val="0"/>
  </w:style>
  <w:style w:type="paragraph" w:customStyle="1" w:styleId="175">
    <w:name w:val="Style78"/>
    <w:basedOn w:val="1"/>
    <w:unhideWhenUsed/>
    <w:qFormat/>
    <w:uiPriority w:val="0"/>
  </w:style>
  <w:style w:type="paragraph" w:customStyle="1" w:styleId="176">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Style9"/>
    <w:basedOn w:val="1"/>
    <w:unhideWhenUsed/>
    <w:qFormat/>
    <w:uiPriority w:val="0"/>
  </w:style>
  <w:style w:type="paragraph" w:customStyle="1" w:styleId="178">
    <w:name w:val="Style23"/>
    <w:basedOn w:val="1"/>
    <w:unhideWhenUsed/>
    <w:qFormat/>
    <w:uiPriority w:val="0"/>
  </w:style>
  <w:style w:type="paragraph" w:customStyle="1" w:styleId="179">
    <w:name w:val="Style59"/>
    <w:basedOn w:val="1"/>
    <w:unhideWhenUsed/>
    <w:qFormat/>
    <w:uiPriority w:val="0"/>
  </w:style>
  <w:style w:type="paragraph" w:customStyle="1" w:styleId="180">
    <w:name w:val="Char Char Char"/>
    <w:basedOn w:val="1"/>
    <w:qFormat/>
    <w:uiPriority w:val="0"/>
    <w:rPr>
      <w:rFonts w:ascii="宋体" w:hAnsi="宋体"/>
      <w:b/>
      <w:sz w:val="28"/>
      <w:szCs w:val="28"/>
    </w:rPr>
  </w:style>
  <w:style w:type="paragraph" w:customStyle="1" w:styleId="181">
    <w:name w:val="正文新"/>
    <w:basedOn w:val="1"/>
    <w:link w:val="282"/>
    <w:qFormat/>
    <w:uiPriority w:val="0"/>
    <w:pPr>
      <w:spacing w:line="336" w:lineRule="auto"/>
      <w:ind w:firstLine="200" w:firstLineChars="200"/>
    </w:pPr>
    <w:rPr>
      <w:rFonts w:ascii="Calibri" w:hAnsi="Calibri"/>
      <w:sz w:val="18"/>
      <w:szCs w:val="21"/>
    </w:rPr>
  </w:style>
  <w:style w:type="paragraph" w:customStyle="1" w:styleId="18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3">
    <w:name w:val="Style76"/>
    <w:basedOn w:val="1"/>
    <w:unhideWhenUsed/>
    <w:qFormat/>
    <w:uiPriority w:val="0"/>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5">
    <w:name w:val="Style62"/>
    <w:basedOn w:val="1"/>
    <w:unhideWhenUsed/>
    <w:qFormat/>
    <w:uiPriority w:val="0"/>
  </w:style>
  <w:style w:type="paragraph" w:customStyle="1" w:styleId="186">
    <w:name w:val="Style36"/>
    <w:basedOn w:val="1"/>
    <w:unhideWhenUsed/>
    <w:qFormat/>
    <w:uiPriority w:val="0"/>
  </w:style>
  <w:style w:type="paragraph" w:customStyle="1" w:styleId="187">
    <w:name w:val="Char Char1 Char Char Char Char Char Char Char"/>
    <w:basedOn w:val="1"/>
    <w:qFormat/>
    <w:uiPriority w:val="0"/>
    <w:pPr>
      <w:widowControl/>
      <w:spacing w:after="160" w:line="240" w:lineRule="exact"/>
      <w:jc w:val="left"/>
    </w:p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89">
    <w:name w:val="2 级标题"/>
    <w:basedOn w:val="4"/>
    <w:link w:val="256"/>
    <w:qFormat/>
    <w:uiPriority w:val="0"/>
    <w:pPr>
      <w:numPr>
        <w:ilvl w:val="1"/>
        <w:numId w:val="3"/>
      </w:numPr>
      <w:spacing w:before="120" w:after="120"/>
      <w:ind w:right="27" w:rightChars="13"/>
      <w:jc w:val="left"/>
    </w:pPr>
    <w:rPr>
      <w:rFonts w:ascii="Cambria" w:hAnsi="Cambria"/>
      <w:kern w:val="0"/>
      <w:sz w:val="32"/>
    </w:rPr>
  </w:style>
  <w:style w:type="paragraph" w:customStyle="1" w:styleId="190">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91">
    <w:name w:val="Style42"/>
    <w:basedOn w:val="1"/>
    <w:unhideWhenUsed/>
    <w:qFormat/>
    <w:uiPriority w:val="0"/>
    <w:pPr>
      <w:spacing w:line="542" w:lineRule="exact"/>
      <w:ind w:firstLine="547"/>
    </w:pPr>
  </w:style>
  <w:style w:type="paragraph" w:customStyle="1" w:styleId="192">
    <w:name w:val="正文缩进1"/>
    <w:basedOn w:val="1"/>
    <w:link w:val="313"/>
    <w:qFormat/>
    <w:uiPriority w:val="0"/>
    <w:pPr>
      <w:autoSpaceDE w:val="0"/>
      <w:autoSpaceDN w:val="0"/>
      <w:adjustRightInd w:val="0"/>
      <w:ind w:firstLine="420"/>
      <w:jc w:val="left"/>
    </w:pPr>
    <w:rPr>
      <w:rFonts w:ascii="宋体" w:hAnsi="Calibri" w:eastAsia="微软雅黑"/>
      <w:kern w:val="0"/>
      <w:sz w:val="24"/>
      <w:szCs w:val="20"/>
    </w:rPr>
  </w:style>
  <w:style w:type="paragraph" w:styleId="193">
    <w:name w:val="List Paragraph"/>
    <w:basedOn w:val="1"/>
    <w:qFormat/>
    <w:uiPriority w:val="99"/>
    <w:pPr>
      <w:ind w:firstLine="420" w:firstLineChars="200"/>
    </w:pPr>
    <w:rPr>
      <w:rFonts w:ascii="Calibri" w:hAnsi="Calibri"/>
      <w:szCs w:val="22"/>
    </w:rPr>
  </w:style>
  <w:style w:type="paragraph" w:customStyle="1" w:styleId="194">
    <w:name w:val="Style24"/>
    <w:basedOn w:val="1"/>
    <w:unhideWhenUsed/>
    <w:qFormat/>
    <w:uiPriority w:val="0"/>
  </w:style>
  <w:style w:type="paragraph" w:customStyle="1" w:styleId="195">
    <w:name w:val="Style61"/>
    <w:basedOn w:val="1"/>
    <w:unhideWhenUsed/>
    <w:qFormat/>
    <w:uiPriority w:val="0"/>
  </w:style>
  <w:style w:type="paragraph" w:customStyle="1" w:styleId="196">
    <w:name w:val="Style73"/>
    <w:basedOn w:val="1"/>
    <w:unhideWhenUsed/>
    <w:qFormat/>
    <w:uiPriority w:val="0"/>
    <w:pPr>
      <w:spacing w:line="538" w:lineRule="exact"/>
      <w:ind w:firstLine="533"/>
    </w:pPr>
  </w:style>
  <w:style w:type="paragraph" w:customStyle="1" w:styleId="197">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0">
    <w:name w:val="Style50"/>
    <w:basedOn w:val="1"/>
    <w:unhideWhenUsed/>
    <w:qFormat/>
    <w:uiPriority w:val="0"/>
  </w:style>
  <w:style w:type="paragraph" w:customStyle="1" w:styleId="201">
    <w:name w:val="Style58"/>
    <w:basedOn w:val="1"/>
    <w:unhideWhenUsed/>
    <w:qFormat/>
    <w:uiPriority w:val="0"/>
    <w:pPr>
      <w:spacing w:line="413" w:lineRule="exact"/>
    </w:pPr>
  </w:style>
  <w:style w:type="paragraph" w:customStyle="1" w:styleId="202">
    <w:name w:val="Char11"/>
    <w:basedOn w:val="1"/>
    <w:semiHidden/>
    <w:qFormat/>
    <w:uiPriority w:val="0"/>
    <w:rPr>
      <w:rFonts w:ascii="Tahoma" w:hAnsi="Tahoma" w:cs="仿宋_GB2312"/>
      <w:sz w:val="24"/>
      <w:szCs w:val="28"/>
    </w:rPr>
  </w:style>
  <w:style w:type="paragraph" w:customStyle="1" w:styleId="203">
    <w:name w:val="Style65"/>
    <w:basedOn w:val="1"/>
    <w:unhideWhenUsed/>
    <w:qFormat/>
    <w:uiPriority w:val="0"/>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70"/>
    <w:basedOn w:val="1"/>
    <w:unhideWhenUsed/>
    <w:qFormat/>
    <w:uiPriority w:val="0"/>
    <w:pPr>
      <w:spacing w:line="549" w:lineRule="exact"/>
      <w:ind w:firstLine="686"/>
    </w:pPr>
  </w:style>
  <w:style w:type="character" w:customStyle="1" w:styleId="206">
    <w:name w:val="apple-converted-space"/>
    <w:qFormat/>
    <w:uiPriority w:val="99"/>
    <w:rPr>
      <w:rFonts w:ascii="Tahoma" w:hAnsi="Tahoma" w:eastAsia="宋体" w:cs="仿宋_GB2312"/>
      <w:sz w:val="24"/>
      <w:szCs w:val="28"/>
    </w:rPr>
  </w:style>
  <w:style w:type="character" w:customStyle="1" w:styleId="207">
    <w:name w:val="font31"/>
    <w:qFormat/>
    <w:uiPriority w:val="0"/>
    <w:rPr>
      <w:rFonts w:hint="default" w:ascii="Arial" w:hAnsi="Arial" w:eastAsia="宋体" w:cs="Arial"/>
      <w:color w:val="000000"/>
      <w:sz w:val="22"/>
      <w:szCs w:val="22"/>
      <w:u w:val="none"/>
    </w:rPr>
  </w:style>
  <w:style w:type="character" w:customStyle="1" w:styleId="208">
    <w:name w:val="font11"/>
    <w:basedOn w:val="48"/>
    <w:qFormat/>
    <w:uiPriority w:val="0"/>
    <w:rPr>
      <w:rFonts w:hint="default" w:ascii="Times New Roman" w:hAnsi="Times New Roman" w:eastAsia="宋体" w:cs="Times New Roman"/>
      <w:b/>
      <w:color w:val="000000"/>
      <w:sz w:val="21"/>
      <w:szCs w:val="21"/>
      <w:u w:val="none"/>
    </w:rPr>
  </w:style>
  <w:style w:type="character" w:customStyle="1" w:styleId="209">
    <w:name w:val="p0 Char"/>
    <w:link w:val="167"/>
    <w:qFormat/>
    <w:uiPriority w:val="0"/>
    <w:rPr>
      <w:rFonts w:ascii="Times New Roman" w:hAnsi="Times New Roman" w:eastAsia="宋体" w:cs="Times New Roman"/>
      <w:sz w:val="21"/>
      <w:szCs w:val="21"/>
      <w:lang w:val="en-US" w:eastAsia="zh-CN" w:bidi="ar-SA"/>
    </w:rPr>
  </w:style>
  <w:style w:type="character" w:customStyle="1" w:styleId="210">
    <w:name w:val="Char Char16"/>
    <w:qFormat/>
    <w:uiPriority w:val="0"/>
    <w:rPr>
      <w:rFonts w:ascii="宋体" w:hAnsi="Times New Roman" w:eastAsia="宋体" w:cs="Times New Roman"/>
      <w:b/>
      <w:sz w:val="24"/>
      <w:lang w:val="en-US" w:eastAsia="zh-CN" w:bidi="ar-SA"/>
    </w:rPr>
  </w:style>
  <w:style w:type="character" w:customStyle="1" w:styleId="211">
    <w:name w:val="font61"/>
    <w:basedOn w:val="48"/>
    <w:qFormat/>
    <w:uiPriority w:val="0"/>
    <w:rPr>
      <w:rFonts w:hint="eastAsia" w:ascii="宋体" w:hAnsi="宋体" w:eastAsia="宋体" w:cs="宋体"/>
      <w:color w:val="333333"/>
      <w:sz w:val="18"/>
      <w:szCs w:val="18"/>
      <w:u w:val="none"/>
    </w:rPr>
  </w:style>
  <w:style w:type="character" w:customStyle="1" w:styleId="212">
    <w:name w:val="日期 Char"/>
    <w:qFormat/>
    <w:uiPriority w:val="0"/>
    <w:rPr>
      <w:rFonts w:ascii="Times New Roman" w:hAnsi="Times New Roman" w:eastAsia="宋体" w:cs="Times New Roman"/>
      <w:kern w:val="2"/>
      <w:sz w:val="21"/>
      <w:szCs w:val="24"/>
    </w:rPr>
  </w:style>
  <w:style w:type="character" w:customStyle="1" w:styleId="213">
    <w:name w:val="标题 7 字符"/>
    <w:link w:val="8"/>
    <w:qFormat/>
    <w:uiPriority w:val="0"/>
    <w:rPr>
      <w:rFonts w:ascii="Times New Roman" w:hAnsi="Times New Roman" w:eastAsia="宋体" w:cs="Times New Roman"/>
      <w:b/>
      <w:bCs/>
      <w:sz w:val="24"/>
      <w:szCs w:val="24"/>
      <w:lang w:val="en-US" w:eastAsia="zh-CN" w:bidi="ar-SA"/>
    </w:rPr>
  </w:style>
  <w:style w:type="character" w:customStyle="1" w:styleId="214">
    <w:name w:val="apple-style-span"/>
    <w:qFormat/>
    <w:uiPriority w:val="0"/>
    <w:rPr>
      <w:rFonts w:ascii="Tahoma" w:hAnsi="Tahoma" w:eastAsia="宋体" w:cs="仿宋_GB2312"/>
      <w:sz w:val="24"/>
      <w:szCs w:val="28"/>
    </w:rPr>
  </w:style>
  <w:style w:type="character" w:customStyle="1" w:styleId="215">
    <w:name w:val="标题 4 Char Char"/>
    <w:qFormat/>
    <w:uiPriority w:val="0"/>
    <w:rPr>
      <w:rFonts w:ascii="Arial" w:hAnsi="Arial" w:eastAsia="宋体" w:cs="Times New Roman"/>
      <w:b/>
      <w:bCs/>
      <w:kern w:val="2"/>
      <w:sz w:val="21"/>
      <w:szCs w:val="28"/>
      <w:lang w:val="en-US" w:eastAsia="zh-CN" w:bidi="ar-SA"/>
    </w:rPr>
  </w:style>
  <w:style w:type="character" w:customStyle="1" w:styleId="216">
    <w:name w:val="param-name"/>
    <w:qFormat/>
    <w:uiPriority w:val="0"/>
    <w:rPr>
      <w:rFonts w:ascii="Times New Roman" w:hAnsi="Times New Roman" w:eastAsia="宋体" w:cs="Times New Roman"/>
    </w:rPr>
  </w:style>
  <w:style w:type="character" w:customStyle="1" w:styleId="217">
    <w:name w:val="bds_nopic1"/>
    <w:qFormat/>
    <w:uiPriority w:val="0"/>
    <w:rPr>
      <w:rFonts w:ascii="Times New Roman" w:hAnsi="Times New Roman" w:eastAsia="宋体" w:cs="Times New Roman"/>
    </w:rPr>
  </w:style>
  <w:style w:type="character" w:customStyle="1" w:styleId="218">
    <w:name w:val="font71"/>
    <w:qFormat/>
    <w:uiPriority w:val="0"/>
    <w:rPr>
      <w:rFonts w:hint="default" w:ascii="Arial" w:hAnsi="Arial" w:eastAsia="宋体" w:cs="Arial"/>
      <w:color w:val="000000"/>
      <w:sz w:val="22"/>
      <w:szCs w:val="22"/>
      <w:u w:val="none"/>
    </w:rPr>
  </w:style>
  <w:style w:type="character" w:customStyle="1" w:styleId="219">
    <w:name w:val="批注框文本 Char"/>
    <w:qFormat/>
    <w:uiPriority w:val="0"/>
    <w:rPr>
      <w:rFonts w:ascii="Times New Roman" w:hAnsi="Times New Roman" w:eastAsia="宋体" w:cs="Times New Roman"/>
      <w:kern w:val="2"/>
      <w:sz w:val="18"/>
      <w:szCs w:val="18"/>
    </w:rPr>
  </w:style>
  <w:style w:type="character" w:customStyle="1" w:styleId="220">
    <w:name w:val="plus"/>
    <w:qFormat/>
    <w:uiPriority w:val="0"/>
    <w:rPr>
      <w:rFonts w:ascii="Times New Roman" w:hAnsi="Times New Roman" w:eastAsia="宋体" w:cs="Times New Roman"/>
      <w:b/>
      <w:vanish/>
      <w:color w:val="1F8DEF"/>
      <w:sz w:val="24"/>
      <w:szCs w:val="24"/>
    </w:rPr>
  </w:style>
  <w:style w:type="character" w:customStyle="1" w:styleId="221">
    <w:name w:val="Font Style131"/>
    <w:unhideWhenUsed/>
    <w:qFormat/>
    <w:uiPriority w:val="0"/>
    <w:rPr>
      <w:rFonts w:hint="eastAsia" w:ascii="Times New Roman" w:hAnsi="Times New Roman" w:eastAsia="Times New Roman" w:cs="Times New Roman"/>
      <w:sz w:val="18"/>
    </w:rPr>
  </w:style>
  <w:style w:type="character" w:customStyle="1" w:styleId="222">
    <w:name w:val="标题 6 Char"/>
    <w:qFormat/>
    <w:uiPriority w:val="0"/>
    <w:rPr>
      <w:rFonts w:ascii="Arial" w:hAnsi="Arial" w:eastAsia="黑体" w:cs="Times New Roman"/>
      <w:b/>
      <w:bCs/>
      <w:sz w:val="24"/>
      <w:szCs w:val="24"/>
    </w:rPr>
  </w:style>
  <w:style w:type="character" w:customStyle="1" w:styleId="223">
    <w:name w:val="标题 Char1"/>
    <w:qFormat/>
    <w:uiPriority w:val="0"/>
    <w:rPr>
      <w:rFonts w:ascii="Cambria" w:hAnsi="Cambria" w:eastAsia="宋体" w:cs="Times New Roman"/>
      <w:b/>
      <w:bCs/>
      <w:sz w:val="32"/>
      <w:szCs w:val="32"/>
    </w:rPr>
  </w:style>
  <w:style w:type="character" w:customStyle="1" w:styleId="224">
    <w:name w:val="Font Style117"/>
    <w:unhideWhenUsed/>
    <w:qFormat/>
    <w:uiPriority w:val="0"/>
    <w:rPr>
      <w:rFonts w:hint="eastAsia" w:ascii="宋体" w:hAnsi="宋体" w:eastAsia="宋体" w:cs="Times New Roman"/>
      <w:spacing w:val="20"/>
      <w:sz w:val="24"/>
    </w:rPr>
  </w:style>
  <w:style w:type="character" w:customStyle="1" w:styleId="225">
    <w:name w:val="List Paragraph Char"/>
    <w:link w:val="162"/>
    <w:qFormat/>
    <w:uiPriority w:val="0"/>
    <w:rPr>
      <w:rFonts w:ascii="Calibri" w:hAnsi="Calibri" w:eastAsia="宋体" w:cs="Calibri"/>
      <w:kern w:val="2"/>
      <w:sz w:val="21"/>
      <w:szCs w:val="21"/>
      <w:lang w:val="en-US" w:eastAsia="zh-CN" w:bidi="ar-SA"/>
    </w:rPr>
  </w:style>
  <w:style w:type="character" w:customStyle="1" w:styleId="226">
    <w:name w:val="正文文本缩进 3 Char"/>
    <w:qFormat/>
    <w:uiPriority w:val="0"/>
    <w:rPr>
      <w:rFonts w:ascii="宋体" w:hAnsi="MS Sans Serif" w:eastAsia="宋体" w:cs="Times New Roman"/>
      <w:color w:val="000000"/>
      <w:sz w:val="24"/>
    </w:rPr>
  </w:style>
  <w:style w:type="character" w:customStyle="1" w:styleId="227">
    <w:name w:val="ca-21"/>
    <w:qFormat/>
    <w:uiPriority w:val="0"/>
    <w:rPr>
      <w:rFonts w:hint="eastAsia" w:ascii="宋体-18030" w:hAnsi="宋体-18030" w:eastAsia="宋体-18030" w:cs="宋体-18030"/>
      <w:sz w:val="24"/>
      <w:szCs w:val="24"/>
    </w:rPr>
  </w:style>
  <w:style w:type="character" w:customStyle="1" w:styleId="228">
    <w:name w:val="标题 7 Char"/>
    <w:qFormat/>
    <w:uiPriority w:val="0"/>
    <w:rPr>
      <w:rFonts w:ascii="Times New Roman" w:hAnsi="Times New Roman" w:eastAsia="宋体" w:cs="Times New Roman"/>
      <w:b/>
      <w:bCs/>
      <w:sz w:val="24"/>
      <w:szCs w:val="24"/>
    </w:rPr>
  </w:style>
  <w:style w:type="character" w:customStyle="1" w:styleId="229">
    <w:name w:val="批注文字 Char Char"/>
    <w:qFormat/>
    <w:uiPriority w:val="0"/>
    <w:rPr>
      <w:rFonts w:ascii="Times New Roman" w:hAnsi="Times New Roman" w:eastAsia="宋体" w:cs="Times New Roman"/>
      <w:kern w:val="2"/>
      <w:sz w:val="21"/>
      <w:szCs w:val="24"/>
      <w:lang w:bidi="ar-SA"/>
    </w:rPr>
  </w:style>
  <w:style w:type="character" w:customStyle="1" w:styleId="230">
    <w:name w:val="Font Style104"/>
    <w:unhideWhenUsed/>
    <w:qFormat/>
    <w:uiPriority w:val="0"/>
    <w:rPr>
      <w:rFonts w:hint="eastAsia" w:ascii="宋体" w:hAnsi="宋体" w:eastAsia="宋体" w:cs="Times New Roman"/>
      <w:spacing w:val="30"/>
      <w:sz w:val="18"/>
    </w:rPr>
  </w:style>
  <w:style w:type="character" w:customStyle="1" w:styleId="231">
    <w:name w:val="标题 2 Char"/>
    <w:qFormat/>
    <w:uiPriority w:val="0"/>
    <w:rPr>
      <w:rFonts w:ascii="Cambria" w:hAnsi="Cambria" w:eastAsia="宋体" w:cs="Times New Roman"/>
      <w:b/>
      <w:bCs/>
      <w:kern w:val="2"/>
      <w:sz w:val="32"/>
      <w:szCs w:val="32"/>
    </w:rPr>
  </w:style>
  <w:style w:type="character" w:customStyle="1" w:styleId="232">
    <w:name w:val="morelink-item"/>
    <w:qFormat/>
    <w:uiPriority w:val="0"/>
    <w:rPr>
      <w:rFonts w:ascii="Times New Roman" w:hAnsi="Times New Roman" w:eastAsia="宋体" w:cs="Times New Roman"/>
    </w:rPr>
  </w:style>
  <w:style w:type="character" w:customStyle="1" w:styleId="233">
    <w:name w:val="普通文字 Char"/>
    <w:semiHidden/>
    <w:qFormat/>
    <w:uiPriority w:val="0"/>
    <w:rPr>
      <w:rFonts w:ascii="宋体" w:hAnsi="Courier New" w:eastAsia="宋体" w:cs="Courier New"/>
      <w:kern w:val="2"/>
      <w:sz w:val="21"/>
      <w:szCs w:val="21"/>
      <w:lang w:val="en-US" w:eastAsia="zh-CN" w:bidi="ar-SA"/>
    </w:rPr>
  </w:style>
  <w:style w:type="character" w:customStyle="1" w:styleId="234">
    <w:name w:val="sidecatalog-index1"/>
    <w:qFormat/>
    <w:uiPriority w:val="0"/>
    <w:rPr>
      <w:rFonts w:ascii="Arial" w:hAnsi="Arial" w:eastAsia="宋体" w:cs="Arial"/>
      <w:b/>
      <w:color w:val="999999"/>
      <w:sz w:val="21"/>
      <w:szCs w:val="21"/>
    </w:rPr>
  </w:style>
  <w:style w:type="character" w:customStyle="1" w:styleId="235">
    <w:name w:val="style81"/>
    <w:qFormat/>
    <w:uiPriority w:val="0"/>
    <w:rPr>
      <w:rFonts w:ascii="Times New Roman" w:hAnsi="Times New Roman" w:eastAsia="宋体" w:cs="Times New Roman"/>
      <w:sz w:val="21"/>
      <w:szCs w:val="21"/>
    </w:rPr>
  </w:style>
  <w:style w:type="character" w:customStyle="1" w:styleId="236">
    <w:name w:val="lemmatitleh12"/>
    <w:qFormat/>
    <w:uiPriority w:val="0"/>
    <w:rPr>
      <w:rFonts w:ascii="Times New Roman" w:hAnsi="Times New Roman" w:eastAsia="宋体" w:cs="Times New Roman"/>
    </w:rPr>
  </w:style>
  <w:style w:type="character" w:customStyle="1" w:styleId="237">
    <w:name w:val="sidecatalog-dot1"/>
    <w:qFormat/>
    <w:uiPriority w:val="0"/>
    <w:rPr>
      <w:rFonts w:ascii="Times New Roman" w:hAnsi="Times New Roman" w:eastAsia="宋体" w:cs="Times New Roman"/>
    </w:rPr>
  </w:style>
  <w:style w:type="character" w:customStyle="1" w:styleId="238">
    <w:name w:val="标题 5 Char"/>
    <w:qFormat/>
    <w:uiPriority w:val="0"/>
    <w:rPr>
      <w:rFonts w:ascii="Times New Roman" w:hAnsi="Times New Roman" w:eastAsia="宋体" w:cs="Times New Roman"/>
      <w:b/>
      <w:bCs/>
      <w:kern w:val="2"/>
      <w:sz w:val="28"/>
      <w:szCs w:val="28"/>
    </w:rPr>
  </w:style>
  <w:style w:type="character" w:customStyle="1" w:styleId="239">
    <w:name w:val="sidecatalog-dot"/>
    <w:qFormat/>
    <w:uiPriority w:val="0"/>
    <w:rPr>
      <w:rFonts w:ascii="Times New Roman" w:hAnsi="Times New Roman" w:eastAsia="宋体" w:cs="Times New Roman"/>
    </w:rPr>
  </w:style>
  <w:style w:type="character" w:customStyle="1" w:styleId="240">
    <w:name w:val="Font Style128"/>
    <w:unhideWhenUsed/>
    <w:qFormat/>
    <w:uiPriority w:val="0"/>
    <w:rPr>
      <w:rFonts w:hint="eastAsia" w:ascii="Times New Roman" w:hAnsi="Times New Roman" w:eastAsia="Times New Roman" w:cs="Times New Roman"/>
      <w:sz w:val="16"/>
    </w:rPr>
  </w:style>
  <w:style w:type="character" w:customStyle="1" w:styleId="241">
    <w:name w:val="Char Char6"/>
    <w:qFormat/>
    <w:uiPriority w:val="0"/>
    <w:rPr>
      <w:rFonts w:ascii="Arial" w:hAnsi="Arial" w:eastAsia="黑体" w:cs="Times New Roman"/>
      <w:sz w:val="24"/>
      <w:szCs w:val="24"/>
      <w:lang w:val="en-US" w:eastAsia="zh-CN" w:bidi="ar-SA"/>
    </w:rPr>
  </w:style>
  <w:style w:type="character" w:customStyle="1" w:styleId="242">
    <w:name w:val="我的正文[858D7CFB-ED40-4347-BF05-701D383B685F]"/>
    <w:link w:val="135"/>
    <w:qFormat/>
    <w:uiPriority w:val="0"/>
    <w:rPr>
      <w:rFonts w:ascii="Arial" w:hAnsi="Arial" w:eastAsia="宋体" w:cs="Times New Roman"/>
      <w:sz w:val="24"/>
      <w:szCs w:val="24"/>
    </w:rPr>
  </w:style>
  <w:style w:type="character" w:customStyle="1" w:styleId="243">
    <w:name w:val="纯文本 Char Char Char1"/>
    <w:qFormat/>
    <w:uiPriority w:val="0"/>
    <w:rPr>
      <w:rFonts w:ascii="Times New Roman" w:hAnsi="Times New Roman" w:eastAsia="宋体" w:cs="Times New Roman"/>
      <w:kern w:val="2"/>
      <w:sz w:val="24"/>
      <w:lang w:val="en-US" w:eastAsia="zh-CN" w:bidi="ar-SA"/>
    </w:rPr>
  </w:style>
  <w:style w:type="character" w:customStyle="1" w:styleId="244">
    <w:name w:val="批注文字 Char"/>
    <w:qFormat/>
    <w:uiPriority w:val="0"/>
    <w:rPr>
      <w:rFonts w:ascii="Times New Roman" w:hAnsi="Times New Roman" w:eastAsia="宋体" w:cs="Times New Roman"/>
      <w:kern w:val="2"/>
      <w:sz w:val="21"/>
      <w:szCs w:val="24"/>
    </w:rPr>
  </w:style>
  <w:style w:type="character" w:customStyle="1" w:styleId="245">
    <w:name w:val="bds_more7"/>
    <w:qFormat/>
    <w:uiPriority w:val="0"/>
    <w:rPr>
      <w:rFonts w:ascii="Times New Roman" w:hAnsi="Times New Roman" w:eastAsia="宋体" w:cs="Times New Roman"/>
    </w:rPr>
  </w:style>
  <w:style w:type="character" w:customStyle="1" w:styleId="246">
    <w:name w:val="标题 1 Char"/>
    <w:qFormat/>
    <w:uiPriority w:val="0"/>
    <w:rPr>
      <w:rFonts w:ascii="Cambria" w:hAnsi="Cambria" w:eastAsia="宋体" w:cs="Times New Roman"/>
      <w:b/>
      <w:bCs/>
      <w:kern w:val="32"/>
      <w:sz w:val="32"/>
      <w:szCs w:val="32"/>
    </w:rPr>
  </w:style>
  <w:style w:type="character" w:customStyle="1" w:styleId="247">
    <w:name w:val="Char Char14"/>
    <w:qFormat/>
    <w:uiPriority w:val="0"/>
    <w:rPr>
      <w:rFonts w:ascii="Arial" w:hAnsi="Arial" w:eastAsia="黑体" w:cs="Times New Roman"/>
      <w:b/>
      <w:bCs/>
      <w:sz w:val="28"/>
      <w:szCs w:val="28"/>
      <w:lang w:val="en-US" w:eastAsia="zh-CN" w:bidi="ar-SA"/>
    </w:rPr>
  </w:style>
  <w:style w:type="character" w:customStyle="1" w:styleId="248">
    <w:name w:val="Font Style121"/>
    <w:unhideWhenUsed/>
    <w:qFormat/>
    <w:uiPriority w:val="0"/>
    <w:rPr>
      <w:rFonts w:hint="eastAsia" w:ascii="宋体" w:hAnsi="宋体" w:eastAsia="宋体" w:cs="Times New Roman"/>
      <w:spacing w:val="-10"/>
      <w:sz w:val="30"/>
    </w:rPr>
  </w:style>
  <w:style w:type="character" w:customStyle="1" w:styleId="249">
    <w:name w:val="Font Style125"/>
    <w:unhideWhenUsed/>
    <w:qFormat/>
    <w:uiPriority w:val="0"/>
    <w:rPr>
      <w:rFonts w:hint="eastAsia" w:ascii="宋体" w:hAnsi="宋体" w:eastAsia="宋体" w:cs="Times New Roman"/>
      <w:b/>
      <w:sz w:val="26"/>
    </w:rPr>
  </w:style>
  <w:style w:type="character" w:customStyle="1" w:styleId="250">
    <w:name w:val="批注框文本 字符"/>
    <w:link w:val="30"/>
    <w:semiHidden/>
    <w:qFormat/>
    <w:uiPriority w:val="0"/>
    <w:rPr>
      <w:rFonts w:ascii="Calibri" w:hAnsi="Calibri" w:eastAsia="宋体" w:cs="Times New Roman"/>
      <w:kern w:val="2"/>
      <w:sz w:val="18"/>
      <w:szCs w:val="18"/>
      <w:lang w:val="en-US" w:eastAsia="zh-CN" w:bidi="ar-SA"/>
    </w:rPr>
  </w:style>
  <w:style w:type="character" w:customStyle="1" w:styleId="251">
    <w:name w:val="页眉 字符"/>
    <w:link w:val="32"/>
    <w:qFormat/>
    <w:uiPriority w:val="0"/>
    <w:rPr>
      <w:rFonts w:ascii="Times New Roman" w:hAnsi="Times New Roman" w:eastAsia="宋体" w:cs="Times New Roman"/>
      <w:kern w:val="2"/>
      <w:sz w:val="18"/>
      <w:szCs w:val="18"/>
      <w:lang w:val="en-US" w:eastAsia="zh-CN" w:bidi="ar-SA"/>
    </w:rPr>
  </w:style>
  <w:style w:type="character" w:customStyle="1" w:styleId="252">
    <w:name w:val="Font Style124"/>
    <w:unhideWhenUsed/>
    <w:qFormat/>
    <w:uiPriority w:val="0"/>
    <w:rPr>
      <w:rFonts w:hint="eastAsia" w:ascii="宋体" w:hAnsi="宋体" w:eastAsia="宋体" w:cs="Times New Roman"/>
      <w:spacing w:val="30"/>
      <w:sz w:val="24"/>
    </w:rPr>
  </w:style>
  <w:style w:type="character" w:customStyle="1" w:styleId="253">
    <w:name w:val="Font Style127"/>
    <w:unhideWhenUsed/>
    <w:qFormat/>
    <w:uiPriority w:val="0"/>
    <w:rPr>
      <w:rFonts w:hint="eastAsia" w:ascii="Times New Roman" w:hAnsi="Times New Roman" w:eastAsia="Times New Roman" w:cs="Times New Roman"/>
      <w:sz w:val="20"/>
    </w:rPr>
  </w:style>
  <w:style w:type="character" w:customStyle="1" w:styleId="254">
    <w:name w:val="批注文字 字符"/>
    <w:link w:val="16"/>
    <w:qFormat/>
    <w:uiPriority w:val="0"/>
    <w:rPr>
      <w:rFonts w:ascii="Times New Roman" w:hAnsi="Times New Roman" w:eastAsia="宋体" w:cs="Times New Roman"/>
      <w:kern w:val="2"/>
      <w:sz w:val="21"/>
      <w:szCs w:val="24"/>
      <w:lang w:val="en-US" w:eastAsia="zh-CN" w:bidi="ar-SA"/>
    </w:rPr>
  </w:style>
  <w:style w:type="character" w:customStyle="1" w:styleId="255">
    <w:name w:val="标题 字符"/>
    <w:link w:val="43"/>
    <w:qFormat/>
    <w:uiPriority w:val="0"/>
    <w:rPr>
      <w:rFonts w:ascii="Cambria" w:hAnsi="Cambria" w:eastAsia="宋体" w:cs="Times New Roman"/>
      <w:b/>
      <w:kern w:val="2"/>
      <w:sz w:val="32"/>
      <w:szCs w:val="24"/>
      <w:lang w:val="en-US" w:eastAsia="zh-CN" w:bidi="ar-SA"/>
    </w:rPr>
  </w:style>
  <w:style w:type="character" w:customStyle="1" w:styleId="256">
    <w:name w:val="2 级标题 Char"/>
    <w:link w:val="189"/>
    <w:qFormat/>
    <w:uiPriority w:val="0"/>
    <w:rPr>
      <w:rFonts w:ascii="Cambria" w:hAnsi="Cambria" w:eastAsia="宋体" w:cs="Times New Roman"/>
      <w:b/>
      <w:bCs/>
      <w:sz w:val="32"/>
      <w:szCs w:val="32"/>
      <w:lang w:val="en-US" w:eastAsia="zh-CN" w:bidi="ar-SA"/>
    </w:rPr>
  </w:style>
  <w:style w:type="character" w:customStyle="1" w:styleId="257">
    <w:name w:val="font01"/>
    <w:basedOn w:val="48"/>
    <w:qFormat/>
    <w:uiPriority w:val="0"/>
    <w:rPr>
      <w:rFonts w:hint="default" w:ascii="微软雅黑" w:hAnsi="微软雅黑" w:eastAsia="微软雅黑" w:cs="微软雅黑"/>
      <w:color w:val="1F497D"/>
      <w:sz w:val="24"/>
      <w:szCs w:val="24"/>
      <w:u w:val="none"/>
    </w:rPr>
  </w:style>
  <w:style w:type="character" w:customStyle="1" w:styleId="258">
    <w:name w:val="sort1"/>
    <w:qFormat/>
    <w:uiPriority w:val="0"/>
    <w:rPr>
      <w:rFonts w:ascii="Times New Roman" w:hAnsi="Times New Roman" w:eastAsia="宋体" w:cs="Times New Roman"/>
    </w:rPr>
  </w:style>
  <w:style w:type="character" w:customStyle="1" w:styleId="259">
    <w:name w:val="Font Style133"/>
    <w:unhideWhenUsed/>
    <w:qFormat/>
    <w:uiPriority w:val="0"/>
    <w:rPr>
      <w:rFonts w:hint="eastAsia" w:ascii="宋体" w:hAnsi="宋体" w:eastAsia="宋体" w:cs="Times New Roman"/>
      <w:spacing w:val="30"/>
      <w:sz w:val="24"/>
    </w:rPr>
  </w:style>
  <w:style w:type="character" w:customStyle="1" w:styleId="260">
    <w:name w:val="bds_more8"/>
    <w:qFormat/>
    <w:uiPriority w:val="0"/>
    <w:rPr>
      <w:rFonts w:ascii="Times New Roman" w:hAnsi="Times New Roman" w:eastAsia="宋体" w:cs="Times New Roman"/>
    </w:rPr>
  </w:style>
  <w:style w:type="character" w:customStyle="1" w:styleId="261">
    <w:name w:val="Font Style116"/>
    <w:unhideWhenUsed/>
    <w:qFormat/>
    <w:uiPriority w:val="0"/>
    <w:rPr>
      <w:rFonts w:hint="eastAsia" w:ascii="宋体" w:hAnsi="宋体" w:eastAsia="宋体" w:cs="Times New Roman"/>
      <w:spacing w:val="-20"/>
      <w:sz w:val="24"/>
    </w:rPr>
  </w:style>
  <w:style w:type="character" w:customStyle="1" w:styleId="262">
    <w:name w:val="批注主题 Char"/>
    <w:qFormat/>
    <w:uiPriority w:val="0"/>
    <w:rPr>
      <w:rFonts w:ascii="Times New Roman" w:hAnsi="Times New Roman" w:eastAsia="宋体" w:cs="Times New Roman"/>
      <w:b/>
      <w:bCs/>
      <w:kern w:val="2"/>
      <w:sz w:val="21"/>
      <w:szCs w:val="24"/>
    </w:rPr>
  </w:style>
  <w:style w:type="character" w:customStyle="1" w:styleId="263">
    <w:name w:val="页脚 字符"/>
    <w:link w:val="31"/>
    <w:qFormat/>
    <w:uiPriority w:val="0"/>
    <w:rPr>
      <w:rFonts w:ascii="Times New Roman" w:hAnsi="Times New Roman" w:eastAsia="宋体" w:cs="Times New Roman"/>
      <w:kern w:val="2"/>
      <w:sz w:val="18"/>
      <w:szCs w:val="18"/>
      <w:lang w:val="en-US" w:eastAsia="zh-CN" w:bidi="ar-SA"/>
    </w:rPr>
  </w:style>
  <w:style w:type="character" w:customStyle="1" w:styleId="264">
    <w:name w:val="标题 1 字符"/>
    <w:link w:val="3"/>
    <w:qFormat/>
    <w:uiPriority w:val="0"/>
    <w:rPr>
      <w:rFonts w:ascii="Times New Roman" w:hAnsi="Times New Roman" w:eastAsia="宋体" w:cs="Times New Roman"/>
      <w:b/>
      <w:bCs/>
      <w:kern w:val="2"/>
      <w:sz w:val="24"/>
      <w:lang w:val="en-US" w:eastAsia="zh-CN" w:bidi="ar-SA"/>
    </w:rPr>
  </w:style>
  <w:style w:type="character" w:customStyle="1" w:styleId="265">
    <w:name w:val="Char Char15"/>
    <w:qFormat/>
    <w:uiPriority w:val="0"/>
    <w:rPr>
      <w:rFonts w:ascii="Times New Roman" w:hAnsi="Times New Roman" w:eastAsia="宋体" w:cs="Times New Roman"/>
      <w:b/>
      <w:bCs/>
      <w:sz w:val="24"/>
      <w:szCs w:val="24"/>
    </w:rPr>
  </w:style>
  <w:style w:type="character" w:customStyle="1" w:styleId="266">
    <w:name w:val="sort"/>
    <w:qFormat/>
    <w:uiPriority w:val="0"/>
    <w:rPr>
      <w:rFonts w:ascii="Times New Roman" w:hAnsi="Times New Roman" w:eastAsia="宋体" w:cs="Times New Roman"/>
      <w:color w:val="FFFFFF"/>
      <w:bdr w:val="single" w:color="auto" w:sz="24" w:space="0"/>
    </w:rPr>
  </w:style>
  <w:style w:type="character" w:customStyle="1" w:styleId="267">
    <w:name w:val="正文文本缩进 字符"/>
    <w:link w:val="21"/>
    <w:qFormat/>
    <w:uiPriority w:val="0"/>
    <w:rPr>
      <w:rFonts w:ascii="Times New Roman" w:hAnsi="Times New Roman" w:eastAsia="宋体" w:cs="Times New Roman"/>
      <w:kern w:val="2"/>
      <w:sz w:val="21"/>
      <w:szCs w:val="24"/>
      <w:lang w:val="en-US" w:eastAsia="zh-CN" w:bidi="ar-SA"/>
    </w:rPr>
  </w:style>
  <w:style w:type="character" w:customStyle="1" w:styleId="268">
    <w:name w:val="bds_more10"/>
    <w:qFormat/>
    <w:uiPriority w:val="0"/>
    <w:rPr>
      <w:rFonts w:ascii="Times New Roman" w:hAnsi="Times New Roman" w:eastAsia="宋体" w:cs="Times New Roman"/>
    </w:rPr>
  </w:style>
  <w:style w:type="character" w:customStyle="1" w:styleId="269">
    <w:name w:val="Char Char19"/>
    <w:qFormat/>
    <w:uiPriority w:val="0"/>
    <w:rPr>
      <w:rFonts w:ascii="Arial" w:hAnsi="Arial" w:eastAsia="宋体" w:cs="Times New Roman"/>
      <w:b/>
      <w:bCs/>
      <w:kern w:val="2"/>
      <w:sz w:val="24"/>
      <w:szCs w:val="32"/>
      <w:lang w:val="en-US" w:eastAsia="zh-CN" w:bidi="ar-SA"/>
    </w:rPr>
  </w:style>
  <w:style w:type="character" w:customStyle="1" w:styleId="270">
    <w:name w:val="bds_nopic"/>
    <w:qFormat/>
    <w:uiPriority w:val="0"/>
    <w:rPr>
      <w:rFonts w:ascii="Times New Roman" w:hAnsi="Times New Roman" w:eastAsia="宋体" w:cs="Times New Roman"/>
    </w:rPr>
  </w:style>
  <w:style w:type="character" w:customStyle="1" w:styleId="271">
    <w:name w:val="Font Style122"/>
    <w:unhideWhenUsed/>
    <w:qFormat/>
    <w:uiPriority w:val="0"/>
    <w:rPr>
      <w:rFonts w:hint="eastAsia" w:ascii="宋体" w:hAnsi="宋体" w:eastAsia="宋体" w:cs="Times New Roman"/>
      <w:spacing w:val="20"/>
      <w:sz w:val="24"/>
    </w:rPr>
  </w:style>
  <w:style w:type="character" w:customStyle="1" w:styleId="272">
    <w:name w:val="10_2_2"/>
    <w:qFormat/>
    <w:uiPriority w:val="0"/>
    <w:rPr>
      <w:rFonts w:hint="default" w:ascii="Times New Roman" w:hAnsi="Times New Roman" w:eastAsia="宋体" w:cs="Times New Roman"/>
      <w:sz w:val="20"/>
      <w:szCs w:val="20"/>
    </w:rPr>
  </w:style>
  <w:style w:type="character" w:customStyle="1" w:styleId="273">
    <w:name w:val="font81"/>
    <w:qFormat/>
    <w:uiPriority w:val="0"/>
    <w:rPr>
      <w:rFonts w:hint="eastAsia" w:ascii="宋体" w:hAnsi="宋体" w:eastAsia="宋体" w:cs="宋体"/>
      <w:color w:val="000000"/>
      <w:sz w:val="22"/>
      <w:szCs w:val="22"/>
      <w:u w:val="none"/>
    </w:rPr>
  </w:style>
  <w:style w:type="character" w:customStyle="1" w:styleId="274">
    <w:name w:val="标题 3 字符"/>
    <w:link w:val="5"/>
    <w:qFormat/>
    <w:uiPriority w:val="0"/>
    <w:rPr>
      <w:rFonts w:ascii="Times New Roman" w:hAnsi="Times New Roman" w:eastAsia="宋体" w:cs="Times New Roman"/>
      <w:b/>
      <w:bCs/>
      <w:kern w:val="2"/>
      <w:sz w:val="32"/>
      <w:szCs w:val="32"/>
      <w:lang w:val="en-US" w:eastAsia="zh-CN" w:bidi="ar-SA"/>
    </w:rPr>
  </w:style>
  <w:style w:type="character" w:customStyle="1" w:styleId="275">
    <w:name w:val="标题 9 Char"/>
    <w:qFormat/>
    <w:uiPriority w:val="0"/>
    <w:rPr>
      <w:rFonts w:ascii="Arial" w:hAnsi="Arial" w:eastAsia="黑体" w:cs="Times New Roman"/>
      <w:sz w:val="21"/>
      <w:szCs w:val="21"/>
    </w:rPr>
  </w:style>
  <w:style w:type="character" w:customStyle="1" w:styleId="276">
    <w:name w:val="标题 4 Char"/>
    <w:qFormat/>
    <w:uiPriority w:val="0"/>
    <w:rPr>
      <w:rFonts w:ascii="Arial" w:hAnsi="Arial" w:eastAsia="宋体" w:cs="Times New Roman"/>
      <w:b/>
      <w:bCs/>
      <w:szCs w:val="28"/>
    </w:rPr>
  </w:style>
  <w:style w:type="character" w:customStyle="1" w:styleId="277">
    <w:name w:val="HTML 预设格式 字符"/>
    <w:link w:val="40"/>
    <w:qFormat/>
    <w:uiPriority w:val="99"/>
    <w:rPr>
      <w:rFonts w:ascii="Arial" w:hAnsi="Arial" w:eastAsia="宋体" w:cs="Arial"/>
      <w:sz w:val="24"/>
      <w:szCs w:val="24"/>
    </w:rPr>
  </w:style>
  <w:style w:type="character" w:customStyle="1" w:styleId="27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79">
    <w:name w:val="标题 8 Char"/>
    <w:qFormat/>
    <w:uiPriority w:val="0"/>
    <w:rPr>
      <w:rFonts w:ascii="Arial" w:hAnsi="Arial" w:eastAsia="黑体" w:cs="Times New Roman"/>
      <w:sz w:val="24"/>
      <w:szCs w:val="24"/>
    </w:rPr>
  </w:style>
  <w:style w:type="character" w:customStyle="1" w:styleId="280">
    <w:name w:val="Char Char17"/>
    <w:qFormat/>
    <w:uiPriority w:val="0"/>
    <w:rPr>
      <w:rFonts w:ascii="宋体" w:hAnsi="Times New Roman" w:eastAsia="宋体" w:cs="Times New Roman"/>
      <w:b/>
      <w:sz w:val="28"/>
      <w:lang w:val="en-US" w:eastAsia="zh-CN" w:bidi="ar-SA"/>
    </w:rPr>
  </w:style>
  <w:style w:type="character" w:customStyle="1" w:styleId="281">
    <w:name w:val="标题 4 字符"/>
    <w:link w:val="2"/>
    <w:qFormat/>
    <w:uiPriority w:val="0"/>
    <w:rPr>
      <w:rFonts w:ascii="Arial" w:hAnsi="Arial" w:eastAsia="黑体" w:cs="Times New Roman"/>
      <w:b/>
      <w:bCs/>
      <w:kern w:val="2"/>
      <w:sz w:val="28"/>
      <w:szCs w:val="28"/>
      <w:lang w:val="en-US" w:eastAsia="zh-CN" w:bidi="ar-SA"/>
    </w:rPr>
  </w:style>
  <w:style w:type="character" w:customStyle="1" w:styleId="282">
    <w:name w:val="正文新 Char"/>
    <w:link w:val="181"/>
    <w:qFormat/>
    <w:uiPriority w:val="0"/>
    <w:rPr>
      <w:rFonts w:ascii="Times New Roman" w:hAnsi="Times New Roman" w:eastAsia="宋体" w:cs="Times New Roman"/>
      <w:kern w:val="2"/>
      <w:sz w:val="18"/>
      <w:szCs w:val="21"/>
      <w:lang w:val="en-US" w:eastAsia="zh-CN" w:bidi="ar-SA"/>
    </w:rPr>
  </w:style>
  <w:style w:type="character" w:customStyle="1" w:styleId="283">
    <w:name w:val="Font Style119"/>
    <w:unhideWhenUsed/>
    <w:qFormat/>
    <w:uiPriority w:val="0"/>
    <w:rPr>
      <w:rFonts w:hint="eastAsia" w:ascii="宋体" w:hAnsi="宋体" w:eastAsia="宋体" w:cs="Times New Roman"/>
      <w:sz w:val="24"/>
    </w:rPr>
  </w:style>
  <w:style w:type="character" w:customStyle="1" w:styleId="284">
    <w:name w:val="Footer Char"/>
    <w:qFormat/>
    <w:uiPriority w:val="0"/>
    <w:rPr>
      <w:rFonts w:ascii="Times New Roman" w:hAnsi="Times New Roman" w:eastAsia="宋体" w:cs="Times New Roman"/>
      <w:sz w:val="18"/>
      <w:szCs w:val="18"/>
    </w:rPr>
  </w:style>
  <w:style w:type="character" w:customStyle="1" w:styleId="285">
    <w:name w:val="标题 8 字符"/>
    <w:link w:val="9"/>
    <w:qFormat/>
    <w:uiPriority w:val="0"/>
    <w:rPr>
      <w:rFonts w:ascii="Arial" w:hAnsi="Arial" w:eastAsia="黑体" w:cs="Times New Roman"/>
      <w:sz w:val="24"/>
      <w:szCs w:val="24"/>
      <w:lang w:val="en-US" w:eastAsia="zh-CN" w:bidi="ar-SA"/>
    </w:rPr>
  </w:style>
  <w:style w:type="character" w:customStyle="1" w:styleId="286">
    <w:name w:val="zzi1"/>
    <w:qFormat/>
    <w:uiPriority w:val="0"/>
    <w:rPr>
      <w:rFonts w:ascii="Tahoma" w:hAnsi="Tahoma" w:eastAsia="宋体" w:cs="仿宋_GB2312"/>
      <w:sz w:val="22"/>
      <w:szCs w:val="22"/>
    </w:rPr>
  </w:style>
  <w:style w:type="character" w:customStyle="1" w:styleId="287">
    <w:name w:val="ca-11"/>
    <w:qFormat/>
    <w:uiPriority w:val="0"/>
    <w:rPr>
      <w:rFonts w:hint="eastAsia" w:ascii="宋体" w:hAnsi="宋体" w:eastAsia="宋体" w:cs="Times New Roman"/>
      <w:sz w:val="24"/>
      <w:szCs w:val="24"/>
    </w:rPr>
  </w:style>
  <w:style w:type="character" w:customStyle="1" w:styleId="288">
    <w:name w:val="sidecatalog-index2"/>
    <w:qFormat/>
    <w:uiPriority w:val="0"/>
    <w:rPr>
      <w:rFonts w:ascii="Arail" w:hAnsi="Arail" w:eastAsia="Arail" w:cs="Arail"/>
      <w:color w:val="999999"/>
      <w:sz w:val="21"/>
      <w:szCs w:val="21"/>
    </w:rPr>
  </w:style>
  <w:style w:type="character" w:customStyle="1" w:styleId="289">
    <w:name w:val="标题 3 Char"/>
    <w:qFormat/>
    <w:uiPriority w:val="0"/>
    <w:rPr>
      <w:rFonts w:ascii="Times New Roman" w:hAnsi="Times New Roman" w:eastAsia="宋体" w:cs="Times New Roman"/>
      <w:b/>
      <w:bCs/>
      <w:sz w:val="24"/>
      <w:szCs w:val="24"/>
    </w:rPr>
  </w:style>
  <w:style w:type="character" w:customStyle="1" w:styleId="290">
    <w:name w:val="Font Style115"/>
    <w:unhideWhenUsed/>
    <w:qFormat/>
    <w:uiPriority w:val="0"/>
    <w:rPr>
      <w:rFonts w:hint="eastAsia" w:ascii="Times New Roman" w:hAnsi="Times New Roman" w:eastAsia="Times New Roman" w:cs="Times New Roman"/>
      <w:sz w:val="16"/>
    </w:rPr>
  </w:style>
  <w:style w:type="character" w:customStyle="1" w:styleId="291">
    <w:name w:val="标题 6 字符"/>
    <w:link w:val="7"/>
    <w:qFormat/>
    <w:uiPriority w:val="0"/>
    <w:rPr>
      <w:rFonts w:ascii="Arial" w:hAnsi="Arial" w:eastAsia="黑体" w:cs="Times New Roman"/>
      <w:b/>
      <w:bCs/>
      <w:sz w:val="24"/>
      <w:szCs w:val="24"/>
      <w:lang w:val="en-US" w:eastAsia="zh-CN" w:bidi="ar-SA"/>
    </w:rPr>
  </w:style>
  <w:style w:type="character" w:customStyle="1" w:styleId="292">
    <w:name w:val="font51"/>
    <w:basedOn w:val="48"/>
    <w:qFormat/>
    <w:uiPriority w:val="0"/>
    <w:rPr>
      <w:rFonts w:hint="eastAsia" w:ascii="宋体" w:hAnsi="宋体" w:eastAsia="宋体" w:cs="宋体"/>
      <w:b/>
      <w:color w:val="000000"/>
      <w:sz w:val="22"/>
      <w:szCs w:val="22"/>
      <w:u w:val="none"/>
    </w:rPr>
  </w:style>
  <w:style w:type="character" w:customStyle="1" w:styleId="293">
    <w:name w:val="font21"/>
    <w:basedOn w:val="48"/>
    <w:qFormat/>
    <w:uiPriority w:val="0"/>
    <w:rPr>
      <w:rFonts w:hint="eastAsia" w:ascii="宋体" w:hAnsi="宋体" w:eastAsia="宋体" w:cs="宋体"/>
      <w:color w:val="333333"/>
      <w:sz w:val="18"/>
      <w:szCs w:val="18"/>
      <w:u w:val="none"/>
      <w:vertAlign w:val="superscript"/>
    </w:rPr>
  </w:style>
  <w:style w:type="character" w:customStyle="1" w:styleId="294">
    <w:name w:val="p0 Char Char"/>
    <w:qFormat/>
    <w:uiPriority w:val="0"/>
    <w:rPr>
      <w:rFonts w:ascii="Times New Roman" w:hAnsi="Times New Roman" w:eastAsia="宋体" w:cs="Times New Roman"/>
      <w:kern w:val="2"/>
      <w:sz w:val="21"/>
      <w:szCs w:val="21"/>
      <w:lang w:val="en-US" w:eastAsia="zh-CN" w:bidi="ar-SA"/>
    </w:rPr>
  </w:style>
  <w:style w:type="character" w:customStyle="1" w:styleId="295">
    <w:name w:val="标题 Char"/>
    <w:qFormat/>
    <w:uiPriority w:val="0"/>
    <w:rPr>
      <w:rFonts w:ascii="Cambria" w:hAnsi="Cambria" w:eastAsia="宋体" w:cs="Times New Roman"/>
      <w:b/>
      <w:kern w:val="2"/>
      <w:sz w:val="32"/>
      <w:szCs w:val="24"/>
    </w:rPr>
  </w:style>
  <w:style w:type="character" w:customStyle="1" w:styleId="296">
    <w:name w:val="纯文本 Char Char Char2"/>
    <w:qFormat/>
    <w:uiPriority w:val="0"/>
    <w:rPr>
      <w:rFonts w:ascii="Times New Roman" w:hAnsi="Times New Roman" w:eastAsia="宋体" w:cs="Times New Roman"/>
      <w:kern w:val="2"/>
      <w:sz w:val="24"/>
      <w:lang w:val="en-US" w:eastAsia="zh-CN" w:bidi="ar-SA"/>
    </w:rPr>
  </w:style>
  <w:style w:type="character" w:customStyle="1" w:styleId="297">
    <w:name w:val="polysemyred"/>
    <w:qFormat/>
    <w:uiPriority w:val="0"/>
    <w:rPr>
      <w:rFonts w:ascii="Times New Roman" w:hAnsi="Times New Roman" w:eastAsia="宋体" w:cs="Times New Roman"/>
      <w:color w:val="FF6666"/>
      <w:sz w:val="18"/>
      <w:szCs w:val="18"/>
    </w:rPr>
  </w:style>
  <w:style w:type="character" w:customStyle="1" w:styleId="298">
    <w:name w:val="纯文本 字符"/>
    <w:link w:val="26"/>
    <w:qFormat/>
    <w:uiPriority w:val="0"/>
    <w:rPr>
      <w:rFonts w:ascii="Times New Roman" w:hAnsi="Times New Roman" w:eastAsia="宋体" w:cs="Times New Roman"/>
      <w:kern w:val="2"/>
      <w:sz w:val="24"/>
      <w:lang w:val="en-US" w:eastAsia="zh-CN" w:bidi="ar-SA"/>
    </w:rPr>
  </w:style>
  <w:style w:type="character" w:customStyle="1" w:styleId="299">
    <w:name w:val="breakword"/>
    <w:qFormat/>
    <w:uiPriority w:val="99"/>
    <w:rPr>
      <w:rFonts w:ascii="宋体" w:hAnsi="宋体" w:eastAsia="宋体" w:cs="Times New Roman"/>
      <w:sz w:val="24"/>
    </w:rPr>
  </w:style>
  <w:style w:type="character" w:customStyle="1" w:styleId="300">
    <w:name w:val="正文文本缩进 3 字符"/>
    <w:link w:val="37"/>
    <w:qFormat/>
    <w:uiPriority w:val="0"/>
    <w:rPr>
      <w:rFonts w:ascii="Times New Roman" w:hAnsi="Times New Roman" w:eastAsia="宋体" w:cs="Times New Roman"/>
      <w:kern w:val="2"/>
      <w:sz w:val="16"/>
      <w:szCs w:val="16"/>
      <w:lang w:val="en-US" w:eastAsia="zh-CN" w:bidi="ar-SA"/>
    </w:rPr>
  </w:style>
  <w:style w:type="character" w:customStyle="1" w:styleId="301">
    <w:name w:val="bds_more6"/>
    <w:qFormat/>
    <w:uiPriority w:val="0"/>
    <w:rPr>
      <w:rFonts w:hint="eastAsia" w:ascii="宋体" w:hAnsi="宋体" w:eastAsia="宋体" w:cs="宋体"/>
    </w:rPr>
  </w:style>
  <w:style w:type="character" w:customStyle="1" w:styleId="302">
    <w:name w:val="bds_more9"/>
    <w:qFormat/>
    <w:uiPriority w:val="0"/>
    <w:rPr>
      <w:rFonts w:ascii="Times New Roman" w:hAnsi="Times New Roman" w:eastAsia="宋体" w:cs="Times New Roman"/>
    </w:rPr>
  </w:style>
  <w:style w:type="character" w:customStyle="1" w:styleId="303">
    <w:name w:val="标题 2 字符"/>
    <w:link w:val="4"/>
    <w:qFormat/>
    <w:uiPriority w:val="0"/>
    <w:rPr>
      <w:rFonts w:ascii="Arial" w:hAnsi="Arial" w:eastAsia="宋体" w:cs="Times New Roman"/>
      <w:b/>
      <w:bCs/>
      <w:kern w:val="2"/>
      <w:sz w:val="24"/>
      <w:szCs w:val="32"/>
      <w:lang w:val="en-US" w:eastAsia="zh-CN" w:bidi="ar-SA"/>
    </w:rPr>
  </w:style>
  <w:style w:type="character" w:customStyle="1" w:styleId="304">
    <w:name w:val="Font Style94"/>
    <w:unhideWhenUsed/>
    <w:qFormat/>
    <w:uiPriority w:val="0"/>
    <w:rPr>
      <w:rFonts w:hint="eastAsia" w:ascii="Times New Roman" w:hAnsi="Times New Roman" w:eastAsia="Times New Roman" w:cs="Times New Roman"/>
      <w:sz w:val="28"/>
    </w:rPr>
  </w:style>
  <w:style w:type="character" w:customStyle="1" w:styleId="305">
    <w:name w:val="Font Style86"/>
    <w:unhideWhenUsed/>
    <w:qFormat/>
    <w:uiPriority w:val="0"/>
    <w:rPr>
      <w:rFonts w:hint="eastAsia" w:ascii="黑体" w:hAnsi="黑体" w:eastAsia="黑体" w:cs="Times New Roman"/>
      <w:spacing w:val="10"/>
      <w:sz w:val="30"/>
    </w:rPr>
  </w:style>
  <w:style w:type="character" w:customStyle="1" w:styleId="306">
    <w:name w:val="Font Style123"/>
    <w:unhideWhenUsed/>
    <w:qFormat/>
    <w:uiPriority w:val="0"/>
    <w:rPr>
      <w:rFonts w:hint="eastAsia" w:ascii="宋体" w:hAnsi="宋体" w:eastAsia="宋体" w:cs="Times New Roman"/>
      <w:b/>
      <w:sz w:val="32"/>
    </w:rPr>
  </w:style>
  <w:style w:type="character" w:customStyle="1" w:styleId="307">
    <w:name w:val="标题 9 字符"/>
    <w:link w:val="10"/>
    <w:qFormat/>
    <w:uiPriority w:val="0"/>
    <w:rPr>
      <w:rFonts w:ascii="Arial" w:hAnsi="Arial" w:eastAsia="黑体" w:cs="Times New Roman"/>
      <w:sz w:val="21"/>
      <w:szCs w:val="21"/>
      <w:lang w:val="en-US" w:eastAsia="zh-CN" w:bidi="ar-SA"/>
    </w:rPr>
  </w:style>
  <w:style w:type="character" w:customStyle="1" w:styleId="308">
    <w:name w:val="页眉 Char"/>
    <w:qFormat/>
    <w:uiPriority w:val="99"/>
    <w:rPr>
      <w:rFonts w:ascii="Times New Roman" w:hAnsi="Times New Roman" w:eastAsia="宋体" w:cs="Times New Roman"/>
      <w:kern w:val="2"/>
      <w:sz w:val="18"/>
      <w:szCs w:val="18"/>
    </w:rPr>
  </w:style>
  <w:style w:type="character" w:customStyle="1" w:styleId="309">
    <w:name w:val="bds_nopic2"/>
    <w:qFormat/>
    <w:uiPriority w:val="0"/>
    <w:rPr>
      <w:rFonts w:ascii="Times New Roman" w:hAnsi="Times New Roman" w:eastAsia="宋体" w:cs="Times New Roman"/>
    </w:rPr>
  </w:style>
  <w:style w:type="character" w:customStyle="1" w:styleId="310">
    <w:name w:val="Font Style105"/>
    <w:unhideWhenUsed/>
    <w:qFormat/>
    <w:uiPriority w:val="0"/>
    <w:rPr>
      <w:rFonts w:hint="eastAsia" w:ascii="Times New Roman" w:hAnsi="Times New Roman" w:eastAsia="Times New Roman" w:cs="Times New Roman"/>
      <w:w w:val="60"/>
      <w:sz w:val="26"/>
    </w:rPr>
  </w:style>
  <w:style w:type="character" w:customStyle="1" w:styleId="311">
    <w:name w:val="标题 5 字符"/>
    <w:link w:val="6"/>
    <w:qFormat/>
    <w:uiPriority w:val="0"/>
    <w:rPr>
      <w:rFonts w:ascii="Times New Roman" w:hAnsi="Times New Roman" w:eastAsia="宋体" w:cs="Times New Roman"/>
      <w:b/>
      <w:bCs/>
      <w:sz w:val="28"/>
      <w:szCs w:val="28"/>
      <w:lang w:val="en-US" w:eastAsia="zh-CN" w:bidi="ar-SA"/>
    </w:rPr>
  </w:style>
  <w:style w:type="character" w:customStyle="1" w:styleId="312">
    <w:name w:val="polysemyexp"/>
    <w:qFormat/>
    <w:uiPriority w:val="0"/>
    <w:rPr>
      <w:rFonts w:ascii="Times New Roman" w:hAnsi="Times New Roman" w:eastAsia="宋体" w:cs="Times New Roman"/>
      <w:color w:val="AAAAAA"/>
      <w:sz w:val="18"/>
      <w:szCs w:val="18"/>
    </w:rPr>
  </w:style>
  <w:style w:type="character" w:customStyle="1" w:styleId="313">
    <w:name w:val="正文缩进 Char1"/>
    <w:link w:val="192"/>
    <w:qFormat/>
    <w:uiPriority w:val="0"/>
    <w:rPr>
      <w:rFonts w:ascii="宋体" w:hAnsi="Times New Roman" w:eastAsia="宋体" w:cs="Times New Roman"/>
      <w:sz w:val="24"/>
      <w:lang w:bidi="ar-SA"/>
    </w:rPr>
  </w:style>
  <w:style w:type="character" w:customStyle="1" w:styleId="314">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5">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316">
    <w:name w:val="font41"/>
    <w:basedOn w:val="48"/>
    <w:qFormat/>
    <w:uiPriority w:val="0"/>
    <w:rPr>
      <w:rFonts w:hint="default" w:ascii="Arial Unicode MS" w:hAnsi="Arial Unicode MS" w:eastAsia="Arial Unicode MS" w:cs="Arial Unicode MS"/>
      <w:color w:val="000000"/>
      <w:sz w:val="20"/>
      <w:szCs w:val="20"/>
      <w:u w:val="none"/>
    </w:rPr>
  </w:style>
  <w:style w:type="character" w:customStyle="1" w:styleId="317">
    <w:name w:val="页脚 Char"/>
    <w:qFormat/>
    <w:uiPriority w:val="99"/>
    <w:rPr>
      <w:rFonts w:ascii="Times New Roman" w:hAnsi="Times New Roman" w:eastAsia="宋体" w:cs="Times New Roman"/>
      <w:kern w:val="2"/>
      <w:sz w:val="18"/>
      <w:szCs w:val="18"/>
    </w:rPr>
  </w:style>
  <w:style w:type="character" w:customStyle="1" w:styleId="318">
    <w:name w:val="Font Style126"/>
    <w:unhideWhenUsed/>
    <w:qFormat/>
    <w:uiPriority w:val="0"/>
    <w:rPr>
      <w:rFonts w:hint="eastAsia" w:ascii="宋体" w:hAnsi="宋体" w:eastAsia="宋体" w:cs="Times New Roman"/>
      <w:b/>
      <w:spacing w:val="-30"/>
      <w:sz w:val="28"/>
    </w:rPr>
  </w:style>
  <w:style w:type="character" w:customStyle="1" w:styleId="319">
    <w:name w:val="Font Style134"/>
    <w:unhideWhenUsed/>
    <w:qFormat/>
    <w:uiPriority w:val="0"/>
    <w:rPr>
      <w:rFonts w:hint="eastAsia" w:ascii="宋体" w:hAnsi="宋体" w:eastAsia="宋体" w:cs="Times New Roman"/>
      <w:spacing w:val="20"/>
      <w:sz w:val="22"/>
    </w:rPr>
  </w:style>
  <w:style w:type="character" w:customStyle="1" w:styleId="320">
    <w:name w:val="desc"/>
    <w:qFormat/>
    <w:uiPriority w:val="0"/>
    <w:rPr>
      <w:rFonts w:ascii="Times New Roman" w:hAnsi="Times New Roman" w:eastAsia="宋体" w:cs="Times New Roman"/>
      <w:color w:val="000000"/>
      <w:sz w:val="18"/>
      <w:szCs w:val="18"/>
    </w:rPr>
  </w:style>
  <w:style w:type="character" w:customStyle="1" w:styleId="321">
    <w:name w:val="Header Char"/>
    <w:qFormat/>
    <w:uiPriority w:val="0"/>
    <w:rPr>
      <w:rFonts w:ascii="Times New Roman" w:hAnsi="Times New Roman" w:eastAsia="宋体" w:cs="Times New Roman"/>
      <w:sz w:val="18"/>
      <w:szCs w:val="18"/>
    </w:rPr>
  </w:style>
  <w:style w:type="character" w:customStyle="1" w:styleId="322">
    <w:name w:val="纯文本 Char1"/>
    <w:link w:val="136"/>
    <w:qFormat/>
    <w:uiPriority w:val="0"/>
    <w:rPr>
      <w:rFonts w:ascii="宋体" w:hAnsi="Courier New" w:eastAsia="宋体" w:cs="Times New Roman"/>
      <w:lang w:bidi="ar-SA"/>
    </w:rPr>
  </w:style>
  <w:style w:type="character" w:customStyle="1" w:styleId="323">
    <w:name w:val="Font Style90"/>
    <w:unhideWhenUsed/>
    <w:qFormat/>
    <w:uiPriority w:val="0"/>
    <w:rPr>
      <w:rFonts w:hint="eastAsia" w:ascii="宋体" w:hAnsi="宋体" w:eastAsia="宋体" w:cs="Times New Roman"/>
      <w:b/>
      <w:spacing w:val="-20"/>
      <w:sz w:val="40"/>
    </w:rPr>
  </w:style>
  <w:style w:type="paragraph" w:customStyle="1" w:styleId="324">
    <w:name w:val="99-标书-正文"/>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5">
    <w:name w:val="_Style 14"/>
    <w:basedOn w:val="1"/>
    <w:next w:val="193"/>
    <w:qFormat/>
    <w:uiPriority w:val="99"/>
    <w:pPr>
      <w:ind w:firstLine="420" w:firstLineChars="200"/>
    </w:pPr>
  </w:style>
  <w:style w:type="paragraph" w:customStyle="1" w:styleId="3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2"/>
    <w:basedOn w:val="1"/>
    <w:qFormat/>
    <w:uiPriority w:val="0"/>
    <w:pPr>
      <w:ind w:firstLine="420"/>
    </w:pPr>
    <w:rPr>
      <w:rFonts w:ascii="等线" w:hAnsi="等线"/>
    </w:rPr>
  </w:style>
  <w:style w:type="character" w:customStyle="1" w:styleId="328">
    <w:name w:val="样式 仿宋"/>
    <w:qFormat/>
    <w:uiPriority w:val="0"/>
    <w:rPr>
      <w:rFonts w:ascii="仿宋" w:hAnsi="仿宋" w:eastAsia="仿宋"/>
      <w:kern w:val="1"/>
    </w:rPr>
  </w:style>
  <w:style w:type="paragraph" w:customStyle="1" w:styleId="329">
    <w:name w:val="Heading #1|1"/>
    <w:basedOn w:val="1"/>
    <w:qFormat/>
    <w:uiPriority w:val="0"/>
    <w:pPr>
      <w:spacing w:before="140" w:after="120"/>
      <w:jc w:val="center"/>
      <w:outlineLvl w:val="0"/>
    </w:pPr>
    <w:rPr>
      <w:rFonts w:ascii="宋体" w:hAnsi="宋体" w:cs="宋体"/>
      <w:sz w:val="30"/>
      <w:szCs w:val="30"/>
      <w:lang w:val="zh-TW" w:eastAsia="zh-TW" w:bidi="zh-TW"/>
    </w:rPr>
  </w:style>
  <w:style w:type="paragraph" w:customStyle="1" w:styleId="330">
    <w:name w:val="Other|1"/>
    <w:basedOn w:val="1"/>
    <w:qFormat/>
    <w:uiPriority w:val="0"/>
    <w:pPr>
      <w:spacing w:line="316" w:lineRule="exact"/>
    </w:pPr>
    <w:rPr>
      <w:rFonts w:ascii="宋体" w:hAnsi="宋体" w:cs="宋体"/>
      <w:sz w:val="19"/>
      <w:szCs w:val="19"/>
      <w:lang w:val="zh-TW" w:eastAsia="zh-TW" w:bidi="zh-TW"/>
    </w:rPr>
  </w:style>
  <w:style w:type="paragraph" w:customStyle="1" w:styleId="331">
    <w:name w:val="Style1"/>
    <w:basedOn w:val="1"/>
    <w:qFormat/>
    <w:uiPriority w:val="0"/>
    <w:pPr>
      <w:widowControl/>
      <w:tabs>
        <w:tab w:val="left" w:pos="-720"/>
      </w:tabs>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45987</Words>
  <Characters>53480</Characters>
  <Lines>423</Lines>
  <Paragraphs>119</Paragraphs>
  <TotalTime>15</TotalTime>
  <ScaleCrop>false</ScaleCrop>
  <LinksUpToDate>false</LinksUpToDate>
  <CharactersWithSpaces>57281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Administrator</cp:lastModifiedBy>
  <cp:lastPrinted>2023-04-11T13:41:00Z</cp:lastPrinted>
  <dcterms:modified xsi:type="dcterms:W3CDTF">2023-09-27T10:36:08Z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8C2474E6A77444AF96AB0F575B847CDB_13</vt:lpwstr>
  </property>
  <property fmtid="{D5CDD505-2E9C-101B-9397-08002B2CF9AE}" pid="4" name="KSOSaveFontToCloudKey">
    <vt:lpwstr>244531287_cloud</vt:lpwstr>
  </property>
</Properties>
</file>