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color w:val="auto"/>
          <w:sz w:val="24"/>
          <w:highlight w:val="none"/>
        </w:rPr>
      </w:pPr>
      <w:bookmarkStart w:id="46" w:name="_GoBack"/>
      <w:bookmarkEnd w:id="46"/>
      <w:r>
        <w:rPr>
          <w:rFonts w:hint="eastAsia" w:ascii="宋体"/>
          <w:b/>
          <w:color w:val="auto"/>
          <w:sz w:val="52"/>
          <w:szCs w:val="52"/>
          <w:highlight w:val="none"/>
          <w:lang w:val="en-US" w:eastAsia="zh-CN"/>
        </w:rPr>
        <w:t>沙雅县喷雾降尘设备增（改）装项目</w:t>
      </w:r>
    </w:p>
    <w:p>
      <w:pPr>
        <w:pStyle w:val="2"/>
        <w:rPr>
          <w:rFonts w:hint="eastAsia"/>
          <w:color w:val="auto"/>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7"/>
        <w:rPr>
          <w:rFonts w:hint="eastAsia"/>
          <w:color w:val="auto"/>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96"/>
          <w:szCs w:val="96"/>
          <w:highlight w:val="none"/>
        </w:rPr>
      </w:pPr>
      <w:r>
        <w:rPr>
          <w:rFonts w:hint="eastAsia" w:ascii="宋体" w:hAnsi="宋体" w:cs="宋体"/>
          <w:b/>
          <w:color w:val="auto"/>
          <w:sz w:val="96"/>
          <w:szCs w:val="96"/>
          <w:highlight w:val="none"/>
        </w:rPr>
        <w:t>招 标 文 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7"/>
        <w:rPr>
          <w:rFonts w:hint="eastAsia"/>
          <w:color w:val="auto"/>
        </w:rPr>
      </w:pPr>
    </w:p>
    <w:p>
      <w:pPr>
        <w:pStyle w:val="2"/>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新疆沙雅县住房和城乡建设局</w:t>
      </w:r>
    </w:p>
    <w:p>
      <w:pPr>
        <w:adjustRightInd w:val="0"/>
        <w:snapToGrid w:val="0"/>
        <w:spacing w:line="360" w:lineRule="auto"/>
        <w:ind w:firstLine="1285" w:firstLineChars="400"/>
        <w:outlineLvl w:val="0"/>
        <w:rPr>
          <w:rFonts w:hint="default"/>
          <w:color w:val="auto"/>
          <w:lang w:val="en-US" w:eastAsia="zh-CN"/>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XJFL-(2023)-CG061</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新疆峰澜工程项目管理有限公司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九</w:t>
      </w:r>
      <w:r>
        <w:rPr>
          <w:rFonts w:hint="eastAsia" w:ascii="宋体" w:hAnsi="宋体" w:cs="宋体"/>
          <w:b/>
          <w:bCs/>
          <w:color w:val="auto"/>
          <w:sz w:val="32"/>
          <w:szCs w:val="32"/>
          <w:highlight w:val="none"/>
        </w:rPr>
        <w:t>月</w:t>
      </w:r>
    </w:p>
    <w:p>
      <w:pPr>
        <w:pStyle w:val="13"/>
        <w:rPr>
          <w:rFonts w:hint="eastAsia" w:ascii="宋体" w:hAnsi="宋体" w:cs="宋体"/>
          <w:b/>
          <w:bCs/>
          <w:color w:val="auto"/>
          <w:sz w:val="32"/>
          <w:szCs w:val="32"/>
          <w:highlight w:val="none"/>
        </w:rPr>
      </w:pPr>
    </w:p>
    <w:p>
      <w:pPr>
        <w:pStyle w:val="13"/>
        <w:rPr>
          <w:rFonts w:hint="eastAsia" w:ascii="宋体" w:hAnsi="宋体" w:cs="宋体"/>
          <w:b/>
          <w:bCs/>
          <w:color w:val="auto"/>
          <w:sz w:val="32"/>
          <w:szCs w:val="32"/>
          <w:highlight w:val="none"/>
        </w:rPr>
      </w:pPr>
    </w:p>
    <w:p>
      <w:pPr>
        <w:pStyle w:val="13"/>
        <w:rPr>
          <w:rFonts w:hint="eastAsia" w:ascii="宋体" w:hAnsi="宋体" w:cs="宋体"/>
          <w:b/>
          <w:bCs/>
          <w:color w:val="auto"/>
          <w:sz w:val="32"/>
          <w:szCs w:val="32"/>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rPr>
          <w:rFonts w:hint="eastAsia"/>
          <w:color w:val="auto"/>
          <w:lang w:eastAsia="zh-CN"/>
        </w:rPr>
      </w:pPr>
    </w:p>
    <w:p>
      <w:pPr>
        <w:widowControl/>
        <w:spacing w:line="700" w:lineRule="exact"/>
        <w:ind w:left="3630" w:hanging="3630" w:hangingChars="825"/>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t>招标</w:t>
      </w:r>
      <w:r>
        <w:rPr>
          <w:rFonts w:hint="eastAsia" w:ascii="宋体" w:hAnsi="宋体" w:cs="宋体"/>
          <w:bCs/>
          <w:color w:val="auto"/>
          <w:sz w:val="44"/>
          <w:szCs w:val="44"/>
          <w:highlight w:val="none"/>
        </w:rPr>
        <w:t>文件</w:t>
      </w:r>
    </w:p>
    <w:p>
      <w:pPr>
        <w:pStyle w:val="2"/>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cs="宋体"/>
          <w:color w:val="auto"/>
          <w:sz w:val="28"/>
          <w:szCs w:val="28"/>
          <w:highlight w:val="none"/>
          <w:lang w:eastAsia="zh-CN"/>
        </w:rPr>
        <w:t>沙雅县喷雾降尘设备增（改）装项目</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w:t>
      </w:r>
      <w:r>
        <w:rPr>
          <w:rFonts w:hint="eastAsia" w:ascii="宋体" w:hAnsi="宋体" w:cs="宋体"/>
          <w:bCs/>
          <w:color w:val="auto"/>
          <w:sz w:val="28"/>
          <w:szCs w:val="28"/>
          <w:highlight w:val="none"/>
          <w:lang w:eastAsia="zh-CN"/>
        </w:rPr>
        <w:t>新疆沙雅县住房和城乡建设局</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jc w:val="left"/>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联系人：</w:t>
      </w:r>
      <w:r>
        <w:rPr>
          <w:rFonts w:hint="eastAsia" w:ascii="宋体" w:hAnsi="宋体" w:cs="宋体"/>
          <w:bCs/>
          <w:color w:val="auto"/>
          <w:sz w:val="28"/>
          <w:szCs w:val="28"/>
          <w:highlight w:val="none"/>
          <w:lang w:val="en-US" w:eastAsia="zh-CN"/>
        </w:rPr>
        <w:t>刘颖</w:t>
      </w:r>
    </w:p>
    <w:p>
      <w:pPr>
        <w:spacing w:line="600" w:lineRule="exact"/>
        <w:ind w:firstLine="560" w:firstLineChars="200"/>
        <w:outlineLvl w:val="1"/>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联系电话：</w:t>
      </w:r>
      <w:r>
        <w:rPr>
          <w:rFonts w:hint="eastAsia" w:ascii="宋体" w:hAnsi="宋体" w:cs="宋体"/>
          <w:bCs/>
          <w:color w:val="auto"/>
          <w:sz w:val="28"/>
          <w:szCs w:val="28"/>
          <w:highlight w:val="none"/>
          <w:lang w:val="en-US" w:eastAsia="zh-CN"/>
        </w:rPr>
        <w:t>0997-8398895</w:t>
      </w:r>
    </w:p>
    <w:p>
      <w:pPr>
        <w:spacing w:line="600" w:lineRule="exact"/>
        <w:ind w:firstLine="560" w:firstLineChars="200"/>
        <w:outlineLvl w:val="1"/>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  </w:t>
      </w: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bCs/>
          <w:color w:val="auto"/>
          <w:sz w:val="28"/>
          <w:szCs w:val="28"/>
          <w:highlight w:val="none"/>
          <w:lang w:eastAsia="zh-CN"/>
        </w:rPr>
        <w:t>新疆峰澜工程项目管理有限公司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联系人：</w:t>
      </w:r>
      <w:r>
        <w:rPr>
          <w:rFonts w:hint="eastAsia" w:ascii="宋体" w:hAnsi="宋体" w:cs="宋体"/>
          <w:color w:val="auto"/>
          <w:sz w:val="28"/>
          <w:szCs w:val="28"/>
          <w:highlight w:val="none"/>
          <w:lang w:val="en-US" w:eastAsia="zh-CN"/>
        </w:rPr>
        <w:t>张贺新</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联系电话：</w:t>
      </w:r>
      <w:r>
        <w:rPr>
          <w:rFonts w:hint="eastAsia" w:ascii="宋体" w:hAnsi="宋体" w:cs="宋体"/>
          <w:color w:val="auto"/>
          <w:sz w:val="28"/>
          <w:szCs w:val="28"/>
          <w:highlight w:val="none"/>
          <w:lang w:val="en-US" w:eastAsia="zh-CN"/>
        </w:rPr>
        <w:t>19316815901</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bCs/>
          <w:color w:val="auto"/>
          <w:sz w:val="28"/>
          <w:szCs w:val="28"/>
          <w:highlight w:val="none"/>
          <w:lang w:eastAsia="zh-CN"/>
        </w:rPr>
        <w:t>新疆阿克苏地区阿克苏市多浪片区管委会巴格莞社区江南商贸城B区22栋201号</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二〇二三年九月</w:t>
      </w:r>
    </w:p>
    <w:p>
      <w:pPr>
        <w:pStyle w:val="12"/>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p>
    <w:p>
      <w:pPr>
        <w:pStyle w:val="12"/>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6"/>
        <w:spacing w:line="360" w:lineRule="auto"/>
        <w:rPr>
          <w:rFonts w:hint="eastAsia"/>
          <w:color w:val="auto"/>
          <w:highlight w:val="none"/>
        </w:rPr>
      </w:pP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第五章 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formProt w:val="1"/>
          <w:titlePg/>
          <w:docGrid w:type="lines" w:linePitch="312" w:charSpace="0"/>
        </w:sect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keepNext/>
        <w:keepLines/>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color w:val="auto"/>
          <w:highlight w:val="none"/>
        </w:rPr>
      </w:pPr>
      <w:bookmarkStart w:id="0" w:name="_Toc9386"/>
      <w:r>
        <w:rPr>
          <w:rFonts w:hint="eastAsia" w:ascii="宋体" w:hAnsi="宋体" w:eastAsia="宋体" w:cs="宋体"/>
          <w:b/>
          <w:bCs/>
          <w:color w:val="auto"/>
          <w:kern w:val="0"/>
          <w:sz w:val="40"/>
          <w:szCs w:val="40"/>
          <w:highlight w:val="none"/>
          <w:shd w:val="clear" w:color="auto" w:fill="FFFFFF"/>
          <w:lang w:eastAsia="zh-CN"/>
        </w:rPr>
        <w:t>沙雅县喷雾降尘设备增（改）装项目</w:t>
      </w:r>
      <w:r>
        <w:rPr>
          <w:rFonts w:hint="eastAsia" w:ascii="宋体" w:hAnsi="宋体" w:eastAsia="宋体" w:cs="宋体"/>
          <w:b/>
          <w:bCs/>
          <w:color w:val="auto"/>
          <w:kern w:val="0"/>
          <w:sz w:val="40"/>
          <w:szCs w:val="40"/>
          <w:highlight w:val="none"/>
          <w:shd w:val="clear" w:color="auto" w:fill="FFFFFF"/>
          <w:lang w:val="en-US" w:eastAsia="zh-CN"/>
        </w:rPr>
        <w:t>公开</w:t>
      </w:r>
      <w:r>
        <w:rPr>
          <w:rFonts w:hint="eastAsia" w:ascii="宋体" w:hAnsi="宋体" w:eastAsia="宋体" w:cs="宋体"/>
          <w:b/>
          <w:bCs/>
          <w:color w:val="auto"/>
          <w:kern w:val="0"/>
          <w:sz w:val="40"/>
          <w:szCs w:val="40"/>
          <w:highlight w:val="none"/>
          <w:shd w:val="clear" w:color="auto" w:fill="FFFFFF"/>
        </w:rPr>
        <w:t>招标公告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沙雅县喷雾降尘设备增（改）装项目</w:t>
      </w:r>
      <w:r>
        <w:rPr>
          <w:rFonts w:hint="eastAsia" w:ascii="宋体" w:hAnsi="宋体" w:eastAsia="宋体" w:cs="宋体"/>
          <w:color w:val="auto"/>
          <w:sz w:val="28"/>
          <w:szCs w:val="28"/>
          <w:highlight w:val="none"/>
        </w:rPr>
        <w:t>的潜在供应商应在新疆政府采购网获取采购文件，并于</w:t>
      </w:r>
      <w:r>
        <w:rPr>
          <w:rFonts w:hint="eastAsia" w:ascii="宋体" w:hAnsi="宋体" w:eastAsia="宋体" w:cs="宋体"/>
          <w:color w:val="auto"/>
          <w:sz w:val="28"/>
          <w:szCs w:val="28"/>
          <w:highlight w:val="none"/>
          <w:lang w:eastAsia="zh-CN"/>
        </w:rPr>
        <w:t>2023</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0（北京时间）前提交响应文件。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XJFL-(2023)-CG061</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沙雅县喷雾降尘设备增（改）装项目</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采购方式：</w:t>
      </w:r>
      <w:r>
        <w:rPr>
          <w:rFonts w:hint="eastAsia" w:ascii="宋体" w:hAnsi="宋体" w:cs="宋体"/>
          <w:color w:val="auto"/>
          <w:sz w:val="28"/>
          <w:szCs w:val="28"/>
          <w:highlight w:val="none"/>
          <w:lang w:eastAsia="zh-CN"/>
        </w:rPr>
        <w:t>公开招标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预算金额（元）：</w:t>
      </w:r>
      <w:r>
        <w:rPr>
          <w:rFonts w:hint="eastAsia" w:ascii="宋体" w:hAnsi="宋体" w:cs="宋体"/>
          <w:color w:val="auto"/>
          <w:sz w:val="28"/>
          <w:szCs w:val="28"/>
          <w:highlight w:val="none"/>
          <w:lang w:val="en-US" w:eastAsia="zh-CN"/>
        </w:rPr>
        <w:t>2782568.50</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最高限价（元）：</w:t>
      </w:r>
      <w:r>
        <w:rPr>
          <w:rFonts w:hint="eastAsia" w:ascii="宋体" w:hAnsi="宋体" w:cs="宋体"/>
          <w:color w:val="auto"/>
          <w:sz w:val="28"/>
          <w:szCs w:val="28"/>
          <w:highlight w:val="none"/>
          <w:lang w:val="en-US" w:eastAsia="zh-CN"/>
        </w:rPr>
        <w:t>2782568.50</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标项名称:</w:t>
      </w:r>
      <w:r>
        <w:rPr>
          <w:rFonts w:hint="eastAsia" w:ascii="宋体" w:hAnsi="宋体" w:cs="宋体"/>
          <w:color w:val="auto"/>
          <w:sz w:val="28"/>
          <w:szCs w:val="28"/>
          <w:highlight w:val="none"/>
          <w:lang w:eastAsia="zh-CN"/>
        </w:rPr>
        <w:t>沙雅县喷雾降尘设备增（改）装项目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数量:</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预算金额（元）:</w:t>
      </w:r>
      <w:r>
        <w:rPr>
          <w:rFonts w:hint="eastAsia" w:ascii="宋体" w:hAnsi="宋体" w:cs="宋体"/>
          <w:color w:val="auto"/>
          <w:sz w:val="28"/>
          <w:szCs w:val="28"/>
          <w:highlight w:val="none"/>
          <w:lang w:val="en-US" w:eastAsia="zh-CN"/>
        </w:rPr>
        <w:t>2782568.50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w:t>
      </w:r>
      <w:r>
        <w:rPr>
          <w:rFonts w:hint="eastAsia" w:ascii="宋体" w:hAnsi="宋体" w:cs="宋体"/>
          <w:color w:val="auto"/>
          <w:sz w:val="28"/>
          <w:szCs w:val="28"/>
          <w:highlight w:val="none"/>
          <w:lang w:val="en-US" w:eastAsia="zh-CN"/>
        </w:rPr>
        <w:t>批</w:t>
      </w:r>
      <w:r>
        <w:rPr>
          <w:rFonts w:hint="eastAsia" w:ascii="宋体" w:hAnsi="宋体" w:eastAsia="宋体" w:cs="宋体"/>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w:t>
      </w:r>
      <w:r>
        <w:rPr>
          <w:rFonts w:hint="eastAsia" w:ascii="宋体" w:hAnsi="宋体" w:cs="宋体"/>
          <w:bCs/>
          <w:color w:val="auto"/>
          <w:sz w:val="28"/>
          <w:szCs w:val="28"/>
          <w:lang w:val="en-US" w:eastAsia="zh-CN"/>
        </w:rPr>
        <w:t>详见采购清单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合同履约期限：按照甲乙双方签订的合同日期执行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本项目</w:t>
      </w:r>
      <w:r>
        <w:rPr>
          <w:rFonts w:hint="eastAsia" w:ascii="宋体" w:hAnsi="宋体" w:cs="宋体"/>
          <w:color w:val="auto"/>
          <w:sz w:val="28"/>
          <w:szCs w:val="28"/>
          <w:highlight w:val="none"/>
          <w:lang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（1）具有独立承担民事责任的能力的供应商；</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（5）参加本次采购活动前三年内，在经营活动中没有重大违法记录；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5）财政部、工业和信息化部《关于印发《政府采购促进中小企业</w:t>
      </w:r>
      <w:r>
        <w:rPr>
          <w:rFonts w:hint="eastAsia" w:ascii="宋体" w:hAnsi="宋体" w:eastAsia="宋体" w:cs="宋体"/>
          <w:color w:val="auto"/>
          <w:sz w:val="28"/>
          <w:szCs w:val="28"/>
          <w:highlight w:val="none"/>
          <w:lang w:eastAsia="zh-CN"/>
        </w:rPr>
        <w:t>发展管理</w:t>
      </w:r>
      <w:r>
        <w:rPr>
          <w:rFonts w:hint="eastAsia" w:ascii="宋体" w:hAnsi="宋体" w:eastAsia="宋体" w:cs="宋体"/>
          <w:color w:val="auto"/>
          <w:sz w:val="28"/>
          <w:szCs w:val="28"/>
          <w:highlight w:val="none"/>
        </w:rPr>
        <w:t>办法》（财库[20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46</w:t>
      </w:r>
      <w:r>
        <w:rPr>
          <w:rFonts w:hint="eastAsia" w:ascii="宋体" w:hAnsi="宋体" w:eastAsia="宋体" w:cs="宋体"/>
          <w:color w:val="auto"/>
          <w:sz w:val="28"/>
          <w:szCs w:val="28"/>
          <w:highlight w:val="none"/>
        </w:rPr>
        <w:t>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6）财政部、民政部、中国残疾人联合会《关于促进残疾人就业政府采购政策的通知》（财库[2017]141号）</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3.本项目的特定资格要求：</w:t>
      </w:r>
      <w:r>
        <w:rPr>
          <w:rFonts w:hint="eastAsia" w:ascii="宋体" w:hAnsi="宋体" w:cs="宋体"/>
          <w:color w:val="auto"/>
          <w:sz w:val="28"/>
          <w:szCs w:val="28"/>
          <w:highlight w:val="none"/>
          <w:lang w:eastAsia="zh-CN"/>
        </w:rPr>
        <w:t>无</w:t>
      </w:r>
      <w:r>
        <w:rPr>
          <w:rFonts w:hint="eastAsia" w:ascii="宋体" w:hAnsi="宋体" w:eastAsia="宋体" w:cs="宋体"/>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w:t>
      </w:r>
      <w:r>
        <w:rPr>
          <w:rFonts w:hint="eastAsia" w:ascii="宋体" w:hAnsi="宋体" w:cs="宋体"/>
          <w:b/>
          <w:bCs/>
          <w:color w:val="auto"/>
          <w:sz w:val="28"/>
          <w:szCs w:val="28"/>
          <w:highlight w:val="none"/>
          <w:lang w:eastAsia="zh-CN"/>
        </w:rPr>
        <w:t>招标</w:t>
      </w:r>
      <w:r>
        <w:rPr>
          <w:rFonts w:hint="eastAsia" w:ascii="宋体" w:hAnsi="宋体" w:eastAsia="宋体" w:cs="宋体"/>
          <w:b/>
          <w:bCs/>
          <w:color w:val="auto"/>
          <w:sz w:val="28"/>
          <w:szCs w:val="28"/>
          <w:highlight w:val="none"/>
        </w:rPr>
        <w:t>文件</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2023年</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2023年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提交投标文件截止时间：2023年</w:t>
      </w:r>
      <w:r>
        <w:rPr>
          <w:rFonts w:hint="eastAsia" w:ascii="宋体" w:hAnsi="宋体" w:cs="宋体"/>
          <w:color w:val="auto"/>
          <w:sz w:val="28"/>
          <w:szCs w:val="28"/>
          <w:highlight w:val="none"/>
          <w:lang w:val="en-US" w:eastAsia="zh-CN"/>
        </w:rPr>
        <w:t>10月18日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CN"/>
        </w:rPr>
        <w:t>0（北京时间）</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投标地点：政采云一站式政府采购云平台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开标时间：2023年</w:t>
      </w:r>
      <w:r>
        <w:rPr>
          <w:rFonts w:hint="eastAsia" w:ascii="宋体" w:hAnsi="宋体" w:cs="宋体"/>
          <w:color w:val="auto"/>
          <w:sz w:val="28"/>
          <w:szCs w:val="28"/>
          <w:highlight w:val="none"/>
          <w:lang w:val="en-US" w:eastAsia="zh-CN"/>
        </w:rPr>
        <w:t>10月18日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CN"/>
        </w:rPr>
        <w:t>0（北京时间）</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六</w:t>
      </w:r>
      <w:r>
        <w:rPr>
          <w:rFonts w:hint="eastAsia" w:ascii="宋体" w:hAnsi="宋体" w:eastAsia="宋体" w:cs="宋体"/>
          <w:b/>
          <w:bCs/>
          <w:color w:val="auto"/>
          <w:sz w:val="28"/>
          <w:szCs w:val="28"/>
          <w:highlight w:val="none"/>
        </w:rPr>
        <w:t>、其他补充事宜</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1、本项目实行电子招投标，供应商须登录政采云平台申请获取采购文件，并需要使用CA锁，登录政采云电子投标客户端制作竞标文件，若供应商参与投标,自行承担与投标有关的一切费用。</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3、供应商可前往新疆政府采购网（http://www.ccgp-xinjiang.gov.cn/）下载专区，下载政采云电子投标客户端，安装完成后，可通过账号密码或CA登录客户端进行竞标文件制作。在使用政采云电子投标客户端时，建议使用WIN7及以上操作系统。如有问题可拨打政采云客户服务热线400-881-7190进行咨询。</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4、供应商在开标时须携带制作加密电子竞标文件所使用的CA锁，电脑须提前配置好浏览器（建议使用360浏览器或谷歌浏览器），以便开标时在线解密。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5、投标供应商应当在投标截止时间前，将生成的“电子加密竞标文件”上传递交至“政府采购云平台”，投标截止时间以后上传递交的竞标文件将被“政府采购云平台”拒收。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特别提示：</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名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称：</w:t>
      </w:r>
      <w:r>
        <w:rPr>
          <w:rFonts w:hint="eastAsia" w:ascii="宋体" w:hAnsi="宋体" w:cs="宋体"/>
          <w:color w:val="auto"/>
          <w:sz w:val="28"/>
          <w:szCs w:val="28"/>
          <w:highlight w:val="none"/>
          <w:lang w:eastAsia="zh-CN"/>
        </w:rPr>
        <w:t>新疆沙雅县住房和城乡建设局</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地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cs="宋体"/>
          <w:color w:val="auto"/>
          <w:sz w:val="28"/>
          <w:szCs w:val="28"/>
          <w:highlight w:val="none"/>
          <w:lang w:eastAsia="zh-CN"/>
        </w:rPr>
        <w:t>新疆维吾尔自治区阿克苏地区沙雅县北京西路联合办公楼3号楼</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bCs/>
          <w:color w:val="auto"/>
          <w:sz w:val="28"/>
          <w:szCs w:val="28"/>
          <w:highlight w:val="none"/>
          <w:lang w:val="en-US" w:eastAsia="zh-CN"/>
        </w:rPr>
        <w:t>0997-8398895</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w:t>
      </w:r>
      <w:r>
        <w:rPr>
          <w:rFonts w:hint="eastAsia" w:ascii="宋体" w:hAnsi="宋体" w:cs="宋体"/>
          <w:color w:val="auto"/>
          <w:sz w:val="28"/>
          <w:szCs w:val="28"/>
          <w:lang w:val="en-US" w:eastAsia="zh-CN"/>
        </w:rPr>
        <w:t>新疆峰澜工程项目管理有限公司</w:t>
      </w:r>
      <w:r>
        <w:rPr>
          <w:rFonts w:hint="eastAsia" w:ascii="宋体" w:hAnsi="宋体" w:eastAsia="宋体" w:cs="宋体"/>
          <w:color w:val="auto"/>
          <w:sz w:val="28"/>
          <w:szCs w:val="28"/>
          <w:lang w:val="en-US" w:eastAsia="zh-CN"/>
        </w:rPr>
        <w:t>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w:t>
      </w:r>
      <w:r>
        <w:rPr>
          <w:rFonts w:hint="eastAsia" w:ascii="宋体" w:hAnsi="宋体" w:cs="宋体"/>
          <w:color w:val="auto"/>
          <w:sz w:val="28"/>
          <w:szCs w:val="28"/>
          <w:lang w:val="en-US" w:eastAsia="zh-CN"/>
        </w:rPr>
        <w:t>新疆阿克苏地区阿克苏市多浪片区管委会巴格莞社区江南商贸城B区22栋201号</w:t>
      </w:r>
      <w:r>
        <w:rPr>
          <w:rFonts w:hint="eastAsia" w:ascii="宋体" w:hAnsi="宋体" w:eastAsia="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w:t>
      </w:r>
      <w:r>
        <w:rPr>
          <w:rFonts w:hint="eastAsia" w:ascii="宋体" w:hAnsi="宋体" w:cs="宋体"/>
          <w:color w:val="auto"/>
          <w:sz w:val="28"/>
          <w:szCs w:val="28"/>
          <w:lang w:val="en-US" w:eastAsia="zh-CN"/>
        </w:rPr>
        <w:t>张贺新</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color w:val="auto"/>
          <w:lang w:val="en-US"/>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19316815901</w:t>
      </w:r>
    </w:p>
    <w:p>
      <w:pPr>
        <w:pageBreakBefore w:val="0"/>
        <w:widowControl w:val="0"/>
        <w:kinsoku/>
        <w:wordWrap/>
        <w:overflowPunct/>
        <w:topLinePunct w:val="0"/>
        <w:autoSpaceDE/>
        <w:autoSpaceDN/>
        <w:bidi w:val="0"/>
        <w:adjustRightInd/>
        <w:snapToGrid/>
        <w:spacing w:line="400" w:lineRule="exact"/>
        <w:ind w:firstLine="422" w:firstLineChars="200"/>
        <w:textAlignment w:val="auto"/>
        <w:rPr>
          <w:color w:val="auto"/>
          <w:highlight w:val="none"/>
        </w:rPr>
      </w:pPr>
    </w:p>
    <w:p>
      <w:pPr>
        <w:pStyle w:val="3"/>
        <w:keepLines w:val="0"/>
        <w:pageBreakBefore/>
        <w:numPr>
          <w:ilvl w:val="0"/>
          <w:numId w:val="1"/>
        </w:numPr>
        <w:adjustRightInd w:val="0"/>
        <w:snapToGrid w:val="0"/>
        <w:spacing w:before="120" w:after="120" w:line="360" w:lineRule="auto"/>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 xml:space="preserve"> </w:t>
      </w:r>
      <w:bookmarkStart w:id="1" w:name="_Toc32321"/>
      <w:bookmarkStart w:id="2" w:name="_Toc10132"/>
      <w:bookmarkStart w:id="3" w:name="_Toc5463"/>
      <w:r>
        <w:rPr>
          <w:rFonts w:hint="eastAsia" w:ascii="宋体" w:hAnsi="宋体" w:eastAsia="宋体" w:cs="宋体"/>
          <w:b/>
          <w:bCs w:val="0"/>
          <w:color w:val="auto"/>
          <w:sz w:val="32"/>
          <w:szCs w:val="32"/>
          <w:highlight w:val="none"/>
        </w:rPr>
        <w:t>投标人须知</w:t>
      </w:r>
      <w:bookmarkEnd w:id="0"/>
      <w:bookmarkEnd w:id="1"/>
      <w:bookmarkEnd w:id="2"/>
      <w:bookmarkEnd w:id="3"/>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bookmarkStart w:id="4" w:name="_Toc179632545"/>
      <w:bookmarkStart w:id="5" w:name="_Toc152042304"/>
      <w:bookmarkStart w:id="6" w:name="_Toc152045528"/>
      <w:bookmarkStart w:id="7" w:name="_Toc13641"/>
      <w:bookmarkStart w:id="8" w:name="_Toc25446"/>
      <w:bookmarkStart w:id="9" w:name="_Toc144974496"/>
      <w:bookmarkStart w:id="10" w:name="_Toc665"/>
      <w:r>
        <w:rPr>
          <w:rFonts w:hint="eastAsia" w:ascii="宋体" w:hAnsi="宋体" w:eastAsia="宋体" w:cs="宋体"/>
          <w:bCs w:val="0"/>
          <w:color w:val="auto"/>
          <w:sz w:val="28"/>
          <w:szCs w:val="28"/>
          <w:highlight w:val="none"/>
        </w:rPr>
        <w:t>投标人须知前附表</w:t>
      </w:r>
      <w:bookmarkEnd w:id="4"/>
      <w:bookmarkEnd w:id="5"/>
      <w:bookmarkEnd w:id="6"/>
      <w:bookmarkEnd w:id="7"/>
      <w:bookmarkEnd w:id="8"/>
      <w:bookmarkEnd w:id="9"/>
      <w:bookmarkEnd w:id="10"/>
    </w:p>
    <w:tbl>
      <w:tblPr>
        <w:tblStyle w:val="15"/>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sz w:val="24"/>
                <w:highlight w:val="none"/>
              </w:rPr>
            </w:pPr>
            <w:bookmarkStart w:id="11" w:name="_Toc144974497"/>
            <w:bookmarkStart w:id="12" w:name="_Toc152042305"/>
            <w:bookmarkStart w:id="13" w:name="_Toc179632546"/>
            <w:bookmarkStart w:id="14" w:name="_Toc26931"/>
            <w:bookmarkStart w:id="15" w:name="_Toc21488"/>
            <w:bookmarkStart w:id="16" w:name="_Toc2427"/>
            <w:bookmarkStart w:id="17" w:name="_Toc152045529"/>
            <w:r>
              <w:rPr>
                <w:rFonts w:hint="eastAsia" w:ascii="宋体" w:hAnsi="宋体" w:cs="宋体"/>
                <w:color w:val="auto"/>
                <w:sz w:val="24"/>
                <w:highlight w:val="none"/>
              </w:rPr>
              <w:t>序号</w:t>
            </w:r>
          </w:p>
        </w:tc>
        <w:tc>
          <w:tcPr>
            <w:tcW w:w="930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303" w:type="dxa"/>
            <w:noWrap w:val="0"/>
            <w:vAlign w:val="center"/>
          </w:tcPr>
          <w:p>
            <w:pPr>
              <w:spacing w:line="360" w:lineRule="auto"/>
              <w:rPr>
                <w:rFonts w:hint="eastAsia" w:ascii="宋体" w:hAnsi="宋体" w:eastAsia="Times New Roman"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沙雅县喷雾降尘设备增（改）装项目</w:t>
            </w:r>
          </w:p>
          <w:p>
            <w:pPr>
              <w:spacing w:line="360" w:lineRule="auto"/>
              <w:rPr>
                <w:rFonts w:hint="default" w:ascii="宋体" w:hAnsi="宋体" w:eastAsia="宋体" w:cs="宋体"/>
                <w:b/>
                <w:bCs/>
                <w:color w:val="auto"/>
                <w:sz w:val="24"/>
                <w:highlight w:val="none"/>
                <w:lang w:val="en-US" w:eastAsia="zh-CN"/>
              </w:rPr>
            </w:pPr>
            <w:r>
              <w:rPr>
                <w:rFonts w:hint="eastAsia" w:ascii="宋体" w:hAnsi="宋体" w:cs="宋体"/>
                <w:color w:val="auto"/>
                <w:sz w:val="24"/>
                <w:highlight w:val="none"/>
              </w:rPr>
              <w:t>招标文件编号：</w:t>
            </w:r>
            <w:r>
              <w:rPr>
                <w:rFonts w:hint="eastAsia" w:ascii="宋体" w:hAnsi="宋体" w:cs="宋体"/>
                <w:color w:val="auto"/>
                <w:sz w:val="24"/>
                <w:highlight w:val="none"/>
                <w:lang w:eastAsia="zh-CN"/>
              </w:rPr>
              <w:t>XJFL-(2023)-CG061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新疆峰澜工程项目管理有限公司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303"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供货</w:t>
            </w:r>
            <w:r>
              <w:rPr>
                <w:rFonts w:hint="eastAsia" w:ascii="宋体" w:hAnsi="宋体" w:eastAsia="宋体" w:cs="宋体"/>
                <w:color w:val="auto"/>
                <w:sz w:val="24"/>
                <w:szCs w:val="24"/>
                <w:lang w:val="en-US" w:eastAsia="zh-CN"/>
              </w:rPr>
              <w:t>内容：详见采购需求</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2782568.50元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lang w:val="en-US" w:eastAsia="zh-CN"/>
              </w:rPr>
              <w:t>20日历天</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供货</w:t>
            </w:r>
            <w:r>
              <w:rPr>
                <w:rFonts w:hint="eastAsia" w:ascii="宋体" w:hAnsi="宋体" w:cs="宋体"/>
                <w:color w:val="auto"/>
                <w:sz w:val="24"/>
                <w:highlight w:val="none"/>
              </w:rPr>
              <w:t>地点：</w:t>
            </w:r>
            <w:r>
              <w:rPr>
                <w:rFonts w:hint="eastAsia" w:ascii="宋体" w:hAnsi="宋体" w:cs="宋体"/>
                <w:color w:val="auto"/>
                <w:sz w:val="24"/>
                <w:highlight w:val="none"/>
                <w:lang w:eastAsia="zh-CN"/>
              </w:rPr>
              <w:t>沙雅县</w:t>
            </w:r>
            <w:r>
              <w:rPr>
                <w:rFonts w:hint="eastAsia" w:ascii="宋体" w:hAnsi="宋体" w:cs="宋体"/>
                <w:color w:val="auto"/>
                <w:kern w:val="0"/>
                <w:sz w:val="24"/>
                <w:highlight w:val="none"/>
                <w:shd w:val="clear" w:color="auto" w:fill="FFFFFF"/>
                <w:lang w:eastAsia="zh-CN"/>
              </w:rPr>
              <w:t>（</w:t>
            </w:r>
            <w:r>
              <w:rPr>
                <w:rFonts w:hint="eastAsia" w:ascii="宋体" w:hAnsi="宋体" w:cs="宋体"/>
                <w:color w:val="auto"/>
                <w:kern w:val="0"/>
                <w:sz w:val="24"/>
                <w:highlight w:val="none"/>
                <w:shd w:val="clear" w:color="auto" w:fill="FFFFFF"/>
                <w:lang w:val="en-US" w:eastAsia="zh-CN"/>
              </w:rPr>
              <w:t>招标人指定地点</w:t>
            </w:r>
            <w:r>
              <w:rPr>
                <w:rFonts w:hint="eastAsia" w:ascii="宋体" w:hAnsi="宋体" w:cs="宋体"/>
                <w:color w:val="auto"/>
                <w:kern w:val="0"/>
                <w:sz w:val="24"/>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303"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投标人资格条件、能力和信誉：</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格条件：（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2"/>
              </w:numPr>
              <w:spacing w:line="360" w:lineRule="auto"/>
              <w:rPr>
                <w:rFonts w:hint="eastAsia"/>
                <w:color w:val="auto"/>
                <w:lang w:val="en-US" w:eastAsia="zh-CN"/>
              </w:rPr>
            </w:pPr>
            <w:r>
              <w:rPr>
                <w:rFonts w:hint="eastAsia" w:ascii="宋体" w:hAnsi="宋体" w:eastAsia="宋体" w:cs="宋体"/>
                <w:color w:val="auto"/>
                <w:sz w:val="24"/>
                <w:highlight w:val="none"/>
                <w:lang w:val="en-US" w:eastAsia="zh-CN"/>
              </w:rPr>
              <w:t>具备有效的营业执照；</w:t>
            </w:r>
          </w:p>
          <w:p>
            <w:pPr>
              <w:numPr>
                <w:ilvl w:val="0"/>
                <w:numId w:val="2"/>
              </w:num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法人代表或其委托代理人应提供本人身份证，委托代理人还应提供《法人代表授权委托书》；</w:t>
            </w:r>
          </w:p>
          <w:p>
            <w:pPr>
              <w:numPr>
                <w:ilvl w:val="0"/>
                <w:numId w:val="2"/>
              </w:num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近三年的财务审计报告（成立不足三年的提供成立至今的财务审计报告，成立不足一年的提供成立至今的财务报表，包含资产负债表、现金流量表、利润表）；近六个月（连续）的社保证明（需有相关人员的社保缴纳明细，退休人员需提供退休证明）和近六个月（连续）完税证明；</w:t>
            </w:r>
          </w:p>
          <w:p>
            <w:pPr>
              <w:numPr>
                <w:ilvl w:val="0"/>
                <w:numId w:val="2"/>
              </w:num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供应商如在</w:t>
            </w:r>
            <w:r>
              <w:rPr>
                <w:rFonts w:hint="eastAsia" w:ascii="宋体" w:hAnsi="宋体" w:cs="宋体"/>
                <w:color w:val="auto"/>
                <w:sz w:val="24"/>
                <w:highlight w:val="none"/>
                <w:lang w:val="en-US" w:eastAsia="zh-CN"/>
              </w:rPr>
              <w:t>“信用中国”网站查询截图和信用信息报告，国家企业信用信息公示系统查询截图和报告、中国政府采购网</w:t>
            </w:r>
            <w:r>
              <w:rPr>
                <w:rFonts w:hint="eastAsia" w:ascii="宋体" w:hAnsi="宋体" w:eastAsia="宋体" w:cs="宋体"/>
                <w:color w:val="auto"/>
                <w:sz w:val="24"/>
                <w:highlight w:val="none"/>
                <w:lang w:val="en-US" w:eastAsia="zh-CN"/>
              </w:rPr>
              <w:t>被列入严重违法失信行为记录名单的（尚在处罚期内的），将拒绝其参加本次政府采购活动﹙投标人网上自行打印后加盖投标单位公章﹚。</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（七）本项目不接受联合体投标。</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财务要求：财务状况良好。</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业绩要求：本项目不作强制要求。</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信誉要求：良好，无不良行为记录。</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其他要求：无</w:t>
            </w:r>
          </w:p>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r>
              <w:rPr>
                <w:rFonts w:hint="eastAsia" w:ascii="宋体" w:hAnsi="宋体" w:cs="宋体"/>
                <w:color w:val="auto"/>
                <w:sz w:val="24"/>
                <w:highlight w:val="none"/>
                <w:lang w:val="en-US" w:eastAsia="zh-CN"/>
              </w:rPr>
              <w:t>一年</w:t>
            </w:r>
            <w:r>
              <w:rPr>
                <w:rFonts w:hint="eastAsia" w:ascii="宋体" w:hAnsi="宋体" w:eastAsia="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投标保证金的递交时间：2023年10月18日16:00 前</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投标保证金的金额：</w:t>
            </w:r>
            <w:r>
              <w:rPr>
                <w:rFonts w:hint="eastAsia" w:ascii="宋体" w:hAnsi="宋体" w:cs="宋体"/>
                <w:color w:val="auto"/>
                <w:sz w:val="24"/>
                <w:highlight w:val="none"/>
                <w:lang w:val="en-US" w:eastAsia="zh-CN"/>
              </w:rPr>
              <w:t>40000.00</w:t>
            </w:r>
            <w:r>
              <w:rPr>
                <w:rFonts w:hint="eastAsia" w:ascii="宋体" w:hAnsi="宋体" w:eastAsia="宋体" w:cs="宋体"/>
                <w:color w:val="auto"/>
                <w:sz w:val="24"/>
                <w:highlight w:val="none"/>
                <w:lang w:val="en-US" w:eastAsia="zh-CN"/>
              </w:rPr>
              <w:t>元(肆万元整)</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投标保证金的形式：投标保证金应当以支票、汇票、本票或者金融机构、担保机构出具的保函等非现金形式提交。（须标注项目名称、编号）</w:t>
            </w:r>
          </w:p>
          <w:p>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账户名称：</w:t>
            </w:r>
            <w:r>
              <w:rPr>
                <w:rFonts w:hint="eastAsia" w:ascii="宋体" w:hAnsi="宋体" w:eastAsia="宋体" w:cs="宋体"/>
                <w:color w:val="auto"/>
                <w:sz w:val="24"/>
                <w:highlight w:val="none"/>
                <w:lang w:val="en-US" w:eastAsia="zh-CN"/>
              </w:rPr>
              <w:t>新疆峰澜工程项目管理有限公司</w:t>
            </w:r>
          </w:p>
          <w:p>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开户行：新疆阿克苏农村商业银行股份有限公司英阿瓦提路支行</w:t>
            </w:r>
          </w:p>
          <w:p>
            <w:pPr>
              <w:spacing w:line="360" w:lineRule="auto"/>
              <w:rPr>
                <w:rFonts w:hint="eastAsia"/>
                <w:color w:val="auto"/>
              </w:rPr>
            </w:pPr>
            <w:r>
              <w:rPr>
                <w:rFonts w:hint="default" w:ascii="宋体" w:hAnsi="宋体" w:eastAsia="宋体" w:cs="宋体"/>
                <w:color w:val="auto"/>
                <w:sz w:val="24"/>
                <w:highlight w:val="none"/>
                <w:lang w:val="en-US" w:eastAsia="zh-CN"/>
              </w:rPr>
              <w:t>账号：852130212010112465798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w:t>
            </w:r>
            <w:r>
              <w:rPr>
                <w:rFonts w:hint="eastAsia" w:ascii="宋体" w:hAnsi="宋体" w:eastAsia="宋体" w:cs="宋体"/>
                <w:color w:val="auto"/>
                <w:sz w:val="24"/>
                <w:highlight w:val="none"/>
                <w:shd w:val="clear" w:color="auto" w:fill="auto"/>
                <w:lang w:eastAsia="zh-CN"/>
              </w:rPr>
              <w:t>2023年</w:t>
            </w: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lang w:val="en-US" w:eastAsia="zh-CN"/>
              </w:rPr>
              <w:t>月</w:t>
            </w:r>
            <w:r>
              <w:rPr>
                <w:rFonts w:hint="eastAsia" w:ascii="宋体" w:hAnsi="宋体" w:cs="宋体"/>
                <w:color w:val="auto"/>
                <w:sz w:val="24"/>
                <w:highlight w:val="none"/>
                <w:shd w:val="clear" w:color="auto" w:fill="auto"/>
                <w:lang w:val="en-US" w:eastAsia="zh-CN"/>
              </w:rPr>
              <w:t>18</w:t>
            </w:r>
            <w:r>
              <w:rPr>
                <w:rFonts w:hint="eastAsia" w:ascii="宋体" w:hAnsi="宋体" w:eastAsia="宋体" w:cs="宋体"/>
                <w:color w:val="auto"/>
                <w:sz w:val="24"/>
                <w:highlight w:val="none"/>
                <w:shd w:val="clear" w:color="auto" w:fill="auto"/>
                <w:lang w:val="en-US" w:eastAsia="zh-CN"/>
              </w:rPr>
              <w:t>日1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eastAsia="zh-CN"/>
              </w:rPr>
              <w:t xml:space="preserve">0 </w:t>
            </w:r>
            <w:r>
              <w:rPr>
                <w:rFonts w:hint="eastAsia" w:ascii="宋体" w:hAnsi="宋体" w:cs="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投标文件递交地点：</w:t>
            </w:r>
            <w:r>
              <w:rPr>
                <w:rFonts w:hint="eastAsia" w:ascii="宋体" w:hAnsi="宋体" w:cs="宋体"/>
                <w:color w:val="auto"/>
                <w:sz w:val="24"/>
                <w:highlight w:val="none"/>
                <w:lang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303"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开标日期：</w:t>
            </w:r>
            <w:r>
              <w:rPr>
                <w:rFonts w:hint="eastAsia" w:ascii="宋体" w:hAnsi="宋体" w:eastAsia="宋体" w:cs="宋体"/>
                <w:color w:val="auto"/>
                <w:sz w:val="24"/>
                <w:highlight w:val="none"/>
                <w:shd w:val="clear" w:color="auto" w:fill="auto"/>
                <w:lang w:eastAsia="zh-CN"/>
              </w:rPr>
              <w:t>2023年</w:t>
            </w: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lang w:val="en-US" w:eastAsia="zh-CN"/>
              </w:rPr>
              <w:t>月</w:t>
            </w:r>
            <w:r>
              <w:rPr>
                <w:rFonts w:hint="eastAsia" w:ascii="宋体" w:hAnsi="宋体" w:cs="宋体"/>
                <w:color w:val="auto"/>
                <w:sz w:val="24"/>
                <w:highlight w:val="none"/>
                <w:shd w:val="clear" w:color="auto" w:fill="auto"/>
                <w:lang w:val="en-US" w:eastAsia="zh-CN"/>
              </w:rPr>
              <w:t>18</w:t>
            </w:r>
            <w:r>
              <w:rPr>
                <w:rFonts w:hint="eastAsia" w:ascii="宋体" w:hAnsi="宋体" w:eastAsia="宋体" w:cs="宋体"/>
                <w:color w:val="auto"/>
                <w:sz w:val="24"/>
                <w:highlight w:val="none"/>
                <w:shd w:val="clear" w:color="auto" w:fill="auto"/>
                <w:lang w:val="en-US" w:eastAsia="zh-CN"/>
              </w:rPr>
              <w:t>日1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eastAsia="zh-CN"/>
              </w:rPr>
              <w:t xml:space="preserve">0 </w:t>
            </w:r>
            <w:r>
              <w:rPr>
                <w:rFonts w:hint="eastAsia" w:ascii="宋体" w:hAnsi="宋体" w:cs="宋体"/>
                <w:color w:val="auto"/>
                <w:sz w:val="24"/>
                <w:highlight w:val="none"/>
              </w:rPr>
              <w:t>（北京时间）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w:t>
            </w:r>
            <w:r>
              <w:rPr>
                <w:rFonts w:hint="eastAsia" w:ascii="宋体" w:hAnsi="宋体" w:cs="宋体"/>
                <w:color w:val="auto"/>
                <w:sz w:val="24"/>
                <w:highlight w:val="none"/>
                <w:lang w:eastAsia="zh-CN"/>
              </w:rPr>
              <w:t>政采云一站式政府采购云平台</w:t>
            </w:r>
          </w:p>
          <w:p>
            <w:pPr>
              <w:spacing w:line="360" w:lineRule="auto"/>
              <w:rPr>
                <w:rFonts w:hint="eastAsia"/>
                <w:color w:val="auto"/>
              </w:rPr>
            </w:pPr>
            <w:r>
              <w:rPr>
                <w:rFonts w:hint="eastAsia" w:ascii="宋体" w:hAnsi="宋体" w:eastAsia="宋体" w:cs="宋体"/>
                <w:color w:val="auto"/>
                <w:sz w:val="24"/>
                <w:highlight w:val="none"/>
                <w:lang w:val="en-US" w:eastAsia="zh-CN"/>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投标文件的要求：</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4、供应商在开标时须携带制作加密电子投标文件所使用的CA锁，电脑须提前配置好浏览器（建议使用360浏览器或谷歌浏览器），以便开标时在线解密。</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5、投标供应商应当在投标截止时间前，将生成的“JMBS格式电子加密投标文件”上传递交至“政府采购云平台”，投标截止时间以后上传递交的投标文件将被“政府采购云平台”拒收。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贰份，电子标壹份（U盘）。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9303"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评标委员会的组建：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评标委员会由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5 </w:t>
            </w:r>
            <w:r>
              <w:rPr>
                <w:rFonts w:hint="eastAsia" w:ascii="宋体" w:hAnsi="宋体" w:cs="宋体"/>
                <w:color w:val="auto"/>
                <w:sz w:val="24"/>
                <w:highlight w:val="none"/>
              </w:rPr>
              <w:t>人构成其中招标人代表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人（应当具备评标专家相应的或者类似的条件），专家</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rPr>
              <w:t>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中标公示及中标公告媒介：</w:t>
            </w:r>
            <w:r>
              <w:rPr>
                <w:rFonts w:hint="eastAsia" w:ascii="宋体" w:hAnsi="宋体" w:cs="宋体"/>
                <w:color w:val="auto"/>
                <w:sz w:val="24"/>
                <w:highlight w:val="none"/>
                <w:lang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履约担保的形式：供应商应当以支票、汇票、本票或者金融机构、担保机构出具的保函等非现金形式提交。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履约保证金额：合同价款的5%；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履约担保的退还：合同验收后或阶段性验收后退还。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0" w:type="dxa"/>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场地使用费：投标人在提交投标文件时，需按交易场所的规定缴纳场地使用费。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投标人信用信息查询：</w:t>
            </w:r>
          </w:p>
          <w:p>
            <w:pPr>
              <w:numPr>
                <w:ilvl w:val="0"/>
                <w:numId w:val="3"/>
              </w:num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查询渠道：</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国家企业信用信息公示系统（http://www.gsxt.gov.cn/index.html）</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天眼查（https://www.tianyancha.com/） </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中国政府采购网（http://www.ccgp.gov.cn/）</w:t>
            </w:r>
            <w:r>
              <w:rPr>
                <w:rFonts w:hint="eastAsia" w:ascii="宋体" w:hAnsi="宋体" w:cs="宋体"/>
                <w:color w:val="auto"/>
                <w:sz w:val="24"/>
                <w:highlight w:val="none"/>
              </w:rPr>
              <w:t xml:space="preserve">          </w:t>
            </w:r>
          </w:p>
          <w:p>
            <w:pPr>
              <w:numPr>
                <w:ilvl w:val="0"/>
                <w:numId w:val="3"/>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信用信息查询记录和证据留存的方式：网页截图</w:t>
            </w:r>
          </w:p>
          <w:p>
            <w:pPr>
              <w:numPr>
                <w:ilvl w:val="0"/>
                <w:numId w:val="3"/>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信用信息的使用规则：经核查投标企业被列入失信被执行人、重大税收违法案件当事人名单、政府采购严重违法失信行为记录名单、经营异常名录等黑名单的将拒绝其投标。</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供应商在</w:t>
            </w:r>
            <w:r>
              <w:rPr>
                <w:rFonts w:hint="eastAsia" w:ascii="宋体" w:hAnsi="宋体" w:cs="宋体"/>
                <w:color w:val="auto"/>
                <w:sz w:val="24"/>
                <w:highlight w:val="none"/>
                <w:lang w:eastAsia="zh-CN"/>
              </w:rPr>
              <w:t>投标截止日</w:t>
            </w:r>
            <w:r>
              <w:rPr>
                <w:rFonts w:hint="eastAsia" w:ascii="宋体" w:hAnsi="宋体" w:cs="宋体"/>
                <w:color w:val="auto"/>
                <w:sz w:val="24"/>
                <w:highlight w:val="none"/>
                <w:lang w:val="en-US" w:eastAsia="zh-CN"/>
              </w:rPr>
              <w:t>期</w:t>
            </w:r>
            <w:r>
              <w:rPr>
                <w:rFonts w:hint="eastAsia" w:ascii="宋体" w:hAnsi="宋体" w:cs="宋体"/>
                <w:color w:val="auto"/>
                <w:sz w:val="24"/>
                <w:highlight w:val="none"/>
                <w:lang w:eastAsia="zh-CN"/>
              </w:rPr>
              <w:t>前</w:t>
            </w:r>
            <w:r>
              <w:rPr>
                <w:rFonts w:hint="eastAsia" w:ascii="宋体" w:hAnsi="宋体" w:cs="宋体"/>
                <w:color w:val="auto"/>
                <w:sz w:val="24"/>
                <w:highlight w:val="none"/>
                <w:lang w:val="en-US" w:eastAsia="zh-CN"/>
              </w:rPr>
              <w:t>的信用信息</w:t>
            </w:r>
            <w:r>
              <w:rPr>
                <w:rFonts w:hint="eastAsia" w:ascii="宋体" w:hAnsi="宋体" w:cs="宋体"/>
                <w:color w:val="auto"/>
                <w:sz w:val="24"/>
                <w:highlight w:val="none"/>
                <w:lang w:eastAsia="zh-CN"/>
              </w:rPr>
              <w:t>查询结果为准，如相关失信记录已失效，投标人需提供相关证明资料）</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1、政府采购强制采购：(1)标记*符号的节能产品；(2)其他。</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采购《节能产品政府采购清单》内的产品。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2、政府采购优先采购：(1)非标记*符号的节能产品；(2)环境标志产品；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3、采购产品为《节能产品政府采购清单》内非标记*符号的节能产品及《环境标志产品政府采购清单》内的产品：</w:t>
            </w:r>
          </w:p>
          <w:p>
            <w:pPr>
              <w:numPr>
                <w:ilvl w:val="0"/>
                <w:numId w:val="0"/>
              </w:num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303" w:type="dxa"/>
            <w:noWrap w:val="0"/>
            <w:vAlign w:val="center"/>
          </w:tcPr>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政府采购支持中小企业融资：有融资需求的，可查询相关业务。</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1.4.3 投标人不得存在下列情形之一：</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（1）与招标人存在利害关系且可能影响招标公正性；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（2）与本招标项目的其他投标人为同一个单位负责人；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（3）与本招标项目的其他投标人存在控股、管理关系；</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（4）被依法暂停或者取消投标资格；</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（5）被责令停产停业、暂扣或者吊销许可证、暂扣或者吊销执照；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（6）进入清算程序，或被宣告破产，或其他丧失履约能力的情形；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（7）被工商行政管理机关在全国企业信用信息公示系统中列入严重违法失信企业名单；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（8）被最高人民法院在“信用中国”网站（www.creditchina.gov.cn）或各级信用信息共享平台中列入失信被执行人名单；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（9）在近三年内投标人或其法定代表人、拟委任的项目负责人有行贿犯罪行为的（以检察机关职务犯罪预防部门出具的查询结果为准）；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9303" w:type="dxa"/>
            <w:noWrap w:val="0"/>
            <w:vAlign w:val="center"/>
          </w:tcPr>
          <w:p>
            <w:pPr>
              <w:spacing w:line="360" w:lineRule="auto"/>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低于成本价不正当竞争预防措施</w:t>
            </w:r>
            <w:r>
              <w:rPr>
                <w:rFonts w:hint="eastAsia" w:ascii="宋体" w:hAnsi="宋体" w:cs="宋体"/>
                <w:b/>
                <w:bCs/>
                <w:color w:val="auto"/>
                <w:sz w:val="24"/>
                <w:highlight w:val="none"/>
              </w:rPr>
              <w:t>：</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9303"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招标文件的澄清和质疑</w:t>
            </w:r>
          </w:p>
          <w:p>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1、综合说明</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2、对招标文件的澄清和质疑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val="en-US" w:eastAsia="zh-CN"/>
              </w:rPr>
              <w:t>(项目名称）</w:t>
            </w:r>
            <w:r>
              <w:rPr>
                <w:rFonts w:hint="eastAsia" w:ascii="宋体" w:hAnsi="宋体" w:cs="宋体"/>
                <w:bCs/>
                <w:color w:val="auto"/>
                <w:sz w:val="24"/>
                <w:highlight w:val="none"/>
              </w:rPr>
              <w:t>澄清或质疑使用”字样，并由身份证持有人签字确认。上述资料均须加盖公章。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3、对招标过程和拟中标结果的质疑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投标人认为招标过程和拟中标结果使自己的权益受到损害的，可以在投标人于</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eastAsia="zh-CN"/>
              </w:rPr>
              <w:t>（项目名称）</w:t>
            </w:r>
            <w:r>
              <w:rPr>
                <w:rFonts w:hint="eastAsia" w:ascii="宋体" w:hAnsi="宋体" w:cs="宋体"/>
                <w:bCs/>
                <w:color w:val="auto"/>
                <w:sz w:val="24"/>
                <w:highlight w:val="none"/>
              </w:rPr>
              <w:t>”字样，并由身份证持有人签字确认。上述资料均须加盖公章。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(一)不是参与该政府采购项目活动供应商的;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(二)被质疑人为采购人或政府采购代理机构之外的；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(三)所有质疑事项超过质疑有效期的；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(四)以具有法律效力的文书送达之外方式提出的；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(五) 未按上述规定递交澄清或质疑函的；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(六) 其它不符合受理条件的情形。</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5、其他</w:t>
            </w:r>
          </w:p>
          <w:p>
            <w:pPr>
              <w:spacing w:line="360" w:lineRule="auto"/>
              <w:rPr>
                <w:rFonts w:hint="eastAsia" w:ascii="宋体" w:hAnsi="宋体" w:cs="宋体"/>
                <w:bCs/>
                <w:color w:val="auto"/>
                <w:sz w:val="24"/>
                <w:highlight w:val="none"/>
                <w:lang w:eastAsia="zh-CN"/>
              </w:rPr>
            </w:pPr>
            <w:r>
              <w:rPr>
                <w:rFonts w:hint="eastAsia" w:ascii="宋体" w:hAnsi="宋体" w:cs="宋体"/>
                <w:bCs/>
                <w:color w:val="auto"/>
                <w:sz w:val="24"/>
                <w:highlight w:val="none"/>
              </w:rPr>
              <w:t>澄清或质疑函递交地点：</w:t>
            </w:r>
            <w:r>
              <w:rPr>
                <w:rStyle w:val="18"/>
                <w:rFonts w:hint="eastAsia" w:ascii="宋体" w:hAnsi="宋体" w:cs="宋体"/>
                <w:b w:val="0"/>
                <w:bCs w:val="0"/>
                <w:i w:val="0"/>
                <w:caps w:val="0"/>
                <w:color w:val="auto"/>
                <w:spacing w:val="0"/>
                <w:sz w:val="24"/>
                <w:szCs w:val="24"/>
                <w:highlight w:val="none"/>
                <w:lang w:val="en-US" w:eastAsia="zh-CN"/>
              </w:rPr>
              <w:t>新疆阿克苏地区阿克苏市多浪片区管委会巴格莞社区江南商贸城B区22栋201号</w:t>
            </w:r>
          </w:p>
          <w:p>
            <w:pPr>
              <w:spacing w:line="360" w:lineRule="auto"/>
              <w:rPr>
                <w:rFonts w:hint="default" w:ascii="宋体" w:hAnsi="宋体" w:cs="宋体"/>
                <w:bCs/>
                <w:color w:val="auto"/>
                <w:sz w:val="24"/>
                <w:highlight w:val="none"/>
                <w:lang w:val="en-US"/>
              </w:rPr>
            </w:pPr>
            <w:r>
              <w:rPr>
                <w:rFonts w:hint="eastAsia" w:ascii="宋体" w:hAnsi="宋体" w:cs="宋体"/>
                <w:bCs/>
                <w:color w:val="auto"/>
                <w:sz w:val="24"/>
                <w:highlight w:val="none"/>
              </w:rPr>
              <w:t>联系电话：</w:t>
            </w:r>
            <w:r>
              <w:rPr>
                <w:rFonts w:hint="eastAsia" w:ascii="宋体" w:hAnsi="宋体" w:cs="宋体"/>
                <w:bCs/>
                <w:color w:val="auto"/>
                <w:sz w:val="24"/>
                <w:highlight w:val="none"/>
                <w:lang w:val="en-US" w:eastAsia="zh-CN"/>
              </w:rPr>
              <w:t>19316815901</w:t>
            </w:r>
          </w:p>
        </w:tc>
      </w:tr>
    </w:tbl>
    <w:p>
      <w:pPr>
        <w:spacing w:line="240" w:lineRule="auto"/>
        <w:jc w:val="left"/>
        <w:rPr>
          <w:rFonts w:ascii="宋体" w:cs="宋体"/>
          <w:b/>
          <w:color w:val="auto"/>
          <w:sz w:val="28"/>
          <w:szCs w:val="28"/>
        </w:rPr>
      </w:pPr>
      <w:r>
        <w:rPr>
          <w:rFonts w:hint="eastAsia" w:ascii="宋体" w:hAnsi="宋体" w:eastAsia="宋体" w:cs="宋体"/>
          <w:color w:val="auto"/>
          <w:sz w:val="24"/>
          <w:szCs w:val="24"/>
        </w:rPr>
        <w:t>注：招标文件中若有和前附表不一致时以前附表为准。</w:t>
      </w:r>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br w:type="page"/>
      </w:r>
      <w:bookmarkEnd w:id="11"/>
      <w:bookmarkEnd w:id="12"/>
      <w:bookmarkEnd w:id="13"/>
      <w:bookmarkEnd w:id="14"/>
      <w:bookmarkEnd w:id="15"/>
      <w:bookmarkEnd w:id="16"/>
      <w:bookmarkEnd w:id="17"/>
      <w:r>
        <w:rPr>
          <w:rFonts w:hint="eastAsia" w:ascii="宋体" w:hAnsi="宋体" w:eastAsia="宋体" w:cs="宋体"/>
          <w:bCs w:val="0"/>
          <w:color w:val="auto"/>
          <w:sz w:val="28"/>
          <w:szCs w:val="28"/>
          <w:highlight w:val="none"/>
        </w:rPr>
        <w:t>投标人须知正文部分</w:t>
      </w:r>
    </w:p>
    <w:p>
      <w:pPr>
        <w:pStyle w:val="20"/>
        <w:jc w:val="center"/>
        <w:rPr>
          <w:rFonts w:hint="eastAsia"/>
          <w:b/>
          <w:bCs/>
          <w:color w:val="auto"/>
          <w:highlight w:val="none"/>
          <w:lang w:eastAsia="zh-CN"/>
        </w:rPr>
      </w:pPr>
      <w:r>
        <w:rPr>
          <w:rFonts w:hint="eastAsia"/>
          <w:b/>
          <w:bCs/>
          <w:color w:val="auto"/>
          <w:highlight w:val="none"/>
          <w:lang w:eastAsia="zh-CN"/>
        </w:rPr>
        <w:t>一、总则</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 合格的投标人</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符合《中华人民共和国政府采购法》第二十二条规定的条件，具备独立承担民事责任能力的在中华人民共和国境内注册的、三年内无违法违规记录、近三年内无法律诉讼纠纷、有承担本次招标采购项目服务能力的及符合条件的法人或其他组织。</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有效的营业执照；</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 xml:space="preserve"> 投标人在本次招标活动中，必须遵循《中华人民共和国招标投标法》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《中华人民共和国招标投标法</w:t>
      </w:r>
      <w:r>
        <w:rPr>
          <w:rFonts w:hint="eastAsia" w:ascii="宋体" w:hAnsi="宋体" w:eastAsia="宋体" w:cs="宋体"/>
          <w:b w:val="0"/>
          <w:bCs/>
          <w:color w:val="auto"/>
          <w:sz w:val="24"/>
          <w:szCs w:val="24"/>
          <w:highlight w:val="none"/>
          <w:lang w:eastAsia="zh-CN"/>
        </w:rPr>
        <w:t>实施条例</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《政府采购货物和服务招标投标管理办法》（财政部</w:t>
      </w:r>
      <w:r>
        <w:rPr>
          <w:rFonts w:hint="eastAsia" w:ascii="宋体" w:hAnsi="宋体" w:eastAsia="宋体" w:cs="宋体"/>
          <w:b w:val="0"/>
          <w:bCs/>
          <w:color w:val="auto"/>
          <w:sz w:val="24"/>
          <w:szCs w:val="24"/>
          <w:highlight w:val="none"/>
          <w:lang w:val="en-US" w:eastAsia="zh-CN"/>
        </w:rPr>
        <w:t>87</w:t>
      </w:r>
      <w:r>
        <w:rPr>
          <w:rFonts w:hint="eastAsia" w:ascii="宋体" w:hAnsi="宋体" w:eastAsia="宋体" w:cs="宋体"/>
          <w:b w:val="0"/>
          <w:bCs/>
          <w:color w:val="auto"/>
          <w:sz w:val="24"/>
          <w:szCs w:val="24"/>
          <w:highlight w:val="none"/>
        </w:rPr>
        <w:t>号令）</w:t>
      </w:r>
      <w:r>
        <w:rPr>
          <w:rFonts w:hint="eastAsia" w:ascii="宋体" w:hAnsi="宋体" w:eastAsia="宋体" w:cs="宋体"/>
          <w:b w:val="0"/>
          <w:bCs/>
          <w:color w:val="auto"/>
          <w:sz w:val="24"/>
          <w:szCs w:val="24"/>
          <w:highlight w:val="none"/>
          <w:lang w:eastAsia="zh-CN"/>
        </w:rPr>
        <w:t>等相关法律法规</w:t>
      </w:r>
      <w:r>
        <w:rPr>
          <w:rFonts w:hint="eastAsia" w:ascii="宋体" w:hAnsi="宋体" w:eastAsia="宋体" w:cs="宋体"/>
          <w:b w:val="0"/>
          <w:bCs/>
          <w:color w:val="auto"/>
          <w:sz w:val="24"/>
          <w:szCs w:val="24"/>
          <w:highlight w:val="none"/>
        </w:rPr>
        <w:t>的规定。</w:t>
      </w:r>
    </w:p>
    <w:p>
      <w:pPr>
        <w:pStyle w:val="21"/>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1.4投标人参加政府采购活动近三年内无违法违规记录和法律诉讼纠纷，须提供书面声明。</w:t>
      </w:r>
    </w:p>
    <w:p>
      <w:pPr>
        <w:pStyle w:val="21"/>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1.5 为保证政府采购活动公平、公正、诚实信用，投标人提供的材料及技术参数应真实有效，须提供书面诚信投标承诺书。</w:t>
      </w:r>
    </w:p>
    <w:p>
      <w:pPr>
        <w:pStyle w:val="21"/>
        <w:spacing w:line="360" w:lineRule="auto"/>
        <w:ind w:firstLine="567"/>
        <w:jc w:val="both"/>
        <w:rPr>
          <w:rFonts w:hint="default" w:ascii="宋体" w:hAnsi="宋体" w:eastAsia="宋体" w:cs="宋体"/>
          <w:b w:val="0"/>
          <w:bCs/>
          <w:color w:val="auto"/>
          <w:sz w:val="24"/>
          <w:szCs w:val="24"/>
          <w:highlight w:val="none"/>
          <w:lang w:val="en-US" w:eastAsia="zh-CN"/>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1"/>
        <w:keepLines w:val="0"/>
        <w:kinsoku/>
        <w:wordWrap/>
        <w:overflowPunct/>
        <w:bidi w:val="0"/>
        <w:spacing w:line="360" w:lineRule="auto"/>
        <w:ind w:left="563" w:leftChars="267" w:firstLine="2" w:firstLineChars="1"/>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不符合</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条款规定的投标人，其投标</w:t>
      </w:r>
      <w:r>
        <w:rPr>
          <w:rFonts w:hint="eastAsia" w:ascii="宋体" w:hAnsi="宋体" w:eastAsia="宋体" w:cs="宋体"/>
          <w:b w:val="0"/>
          <w:bCs/>
          <w:color w:val="auto"/>
          <w:sz w:val="24"/>
          <w:szCs w:val="24"/>
          <w:highlight w:val="none"/>
          <w:lang w:eastAsia="zh-CN"/>
        </w:rPr>
        <w:t>无效</w:t>
      </w:r>
      <w:r>
        <w:rPr>
          <w:rFonts w:hint="eastAsia" w:ascii="宋体" w:hAnsi="宋体" w:eastAsia="宋体" w:cs="宋体"/>
          <w:b w:val="0"/>
          <w:bCs/>
          <w:color w:val="auto"/>
          <w:sz w:val="24"/>
          <w:szCs w:val="24"/>
          <w:highlight w:val="none"/>
        </w:rPr>
        <w:t>。</w:t>
      </w:r>
    </w:p>
    <w:p>
      <w:pPr>
        <w:pStyle w:val="21"/>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2.1“采购代理机构”系指</w:t>
      </w:r>
      <w:r>
        <w:rPr>
          <w:rFonts w:hint="eastAsia" w:ascii="宋体" w:hAnsi="宋体" w:cs="宋体"/>
          <w:color w:val="auto"/>
          <w:sz w:val="24"/>
          <w:highlight w:val="none"/>
          <w:lang w:eastAsia="zh-CN"/>
        </w:rPr>
        <w:t>新疆峰澜工程项目管理有限公司</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2.2“投标人”系指向采购代理机构提交投标文件的货物</w:t>
      </w:r>
      <w:r>
        <w:rPr>
          <w:rFonts w:hint="eastAsia" w:ascii="宋体" w:hAnsi="宋体" w:eastAsia="宋体" w:cs="宋体"/>
          <w:color w:val="auto"/>
          <w:sz w:val="24"/>
          <w:szCs w:val="24"/>
          <w:highlight w:val="none"/>
          <w:lang w:eastAsia="zh-CN"/>
        </w:rPr>
        <w:t>制造商或代理商</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2.3“货物”系指卖方按合同要求，须向买方提供的设计文件、货物、机械、材料、备品、手册及其他技术资料和材料。详见《政府采购品目分类目录》(财库[2013]189号)。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2.4“服务”系指按合同规定卖方须承担的运输、装卸、安装调试、技术协助、培训和交付使用后保修期内应履行的义务及售后服务等其他类似的义务。</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2.5“卖方”系指提供合同货物和服务的经济实体。本次招标指中标人。</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2.6“买方”系指购买货物和服务的单位，即为本次招标的采购人。</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w:t>
      </w:r>
      <w:r>
        <w:rPr>
          <w:rFonts w:hint="eastAsia" w:ascii="宋体" w:hAnsi="宋体" w:eastAsia="宋体" w:cs="宋体"/>
          <w:color w:val="auto"/>
          <w:sz w:val="24"/>
          <w:szCs w:val="24"/>
          <w:highlight w:val="none"/>
          <w:lang w:eastAsia="zh-CN"/>
        </w:rPr>
        <w:t>最新一期</w:t>
      </w:r>
      <w:r>
        <w:rPr>
          <w:rFonts w:hint="eastAsia" w:ascii="宋体" w:hAnsi="宋体" w:eastAsia="宋体" w:cs="宋体"/>
          <w:color w:val="auto"/>
          <w:sz w:val="24"/>
          <w:szCs w:val="24"/>
          <w:highlight w:val="none"/>
        </w:rPr>
        <w:t>的《节能产品政府采购清单》或者《环境标志产品政府采购清单》的产品</w:t>
      </w:r>
      <w:r>
        <w:rPr>
          <w:rFonts w:hint="eastAsia" w:ascii="宋体" w:hAnsi="宋体" w:eastAsia="宋体" w:cs="宋体"/>
          <w:color w:val="auto"/>
          <w:sz w:val="24"/>
          <w:szCs w:val="24"/>
          <w:highlight w:val="none"/>
          <w:lang w:eastAsia="zh-CN"/>
        </w:rPr>
        <w:t>，可在中国政府采购网(www.ccgp.gov.cn)查询</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 w:val="24"/>
          <w:szCs w:val="24"/>
          <w:highlight w:val="none"/>
          <w:lang w:eastAsia="zh-CN"/>
        </w:rPr>
        <w:t>及《关于政府采购进口产品管理有关问题的通知》（财办库（2008）248号）</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 “</w:t>
      </w:r>
      <w:r>
        <w:rPr>
          <w:rFonts w:hint="eastAsia" w:ascii="宋体" w:hAnsi="宋体" w:eastAsia="宋体" w:cs="宋体"/>
          <w:color w:val="auto"/>
          <w:sz w:val="24"/>
          <w:szCs w:val="24"/>
          <w:highlight w:val="none"/>
        </w:rPr>
        <w:t>语言文字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招标投标文件使用的语言文字为中文。专用术语使用外文的，应附有中文注释。</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rPr>
        <w:t>计量单位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所有计量均采用中华人民共和国法定计量单位。</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其他要求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投标人应自行承担所有与本次招标投标有关的费用，而不论投标的结果如何。 </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采购进口产品</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除</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前附表另有规定外，本项目拒绝进口产品参加招标采购活动。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本章第4.1款规定同意购买进口产品的，本项目采购活动不限制满足招标文件要求的国内产品参与招标。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政府采购政策支持 </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同一项目中部分产品属于优先采购政策的，评审时只对该部分产品的报价实行价格优惠。</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为推进政府采购诚信体系建设，供应商在签署相关承诺，提供相关信息前，应认真阅读财政部门相关政策规定。</w:t>
      </w:r>
    </w:p>
    <w:p>
      <w:pPr>
        <w:pStyle w:val="20"/>
        <w:jc w:val="center"/>
        <w:rPr>
          <w:rFonts w:hint="eastAsia"/>
          <w:b/>
          <w:bCs/>
          <w:color w:val="auto"/>
          <w:highlight w:val="none"/>
          <w:lang w:eastAsia="zh-CN"/>
        </w:rPr>
      </w:pPr>
      <w:r>
        <w:rPr>
          <w:rFonts w:hint="eastAsia"/>
          <w:b/>
          <w:bCs/>
          <w:color w:val="auto"/>
          <w:highlight w:val="none"/>
          <w:lang w:eastAsia="zh-CN"/>
        </w:rPr>
        <w:t>二、招标文件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招标文件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招标文件用以阐明所需货物和服务、招标投标程序和合同条款。包括：</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招标</w:t>
      </w:r>
      <w:r>
        <w:rPr>
          <w:rFonts w:hint="eastAsia" w:ascii="宋体" w:hAnsi="宋体" w:eastAsia="宋体" w:cs="宋体"/>
          <w:color w:val="auto"/>
          <w:sz w:val="24"/>
          <w:szCs w:val="24"/>
          <w:highlight w:val="none"/>
          <w:lang w:eastAsia="zh-CN"/>
        </w:rPr>
        <w:t>公告</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eastAsia="zh-CN"/>
        </w:rPr>
        <w:t>投标人须知</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条款及格式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4.1.4 </w:t>
      </w:r>
      <w:r>
        <w:rPr>
          <w:rFonts w:hint="eastAsia" w:ascii="宋体" w:hAnsi="宋体" w:eastAsia="宋体" w:cs="宋体"/>
          <w:color w:val="auto"/>
          <w:sz w:val="24"/>
          <w:szCs w:val="24"/>
          <w:highlight w:val="none"/>
          <w:lang w:eastAsia="zh-CN"/>
        </w:rPr>
        <w:t>采购需求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4.1.5 投标文件格式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4.1.6 其他资料</w:t>
      </w:r>
    </w:p>
    <w:p>
      <w:pPr>
        <w:pStyle w:val="21"/>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投标人应认真阅读招标文件中所有的事项、格式、条款和规范等要求。如果没有按照招标文件要求提交全部资料或者投标文件没有对招标文件做出实质性响应，其投标将被拒绝。</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招标文件的澄清和修改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招标人如需对已发出的招标文件进行必要澄清或者修改的，招标代理机构将在招标文件要求提交投标文件截止时间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日前，以书面形式通知所有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。该澄清或者修改的内容为招标文件的组成部分。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延长开标时间</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招标人视采购具体情况如需延长投标截止时间和开标时间，招标代理机构将在招标文件要求提交投标文件的截止时间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w:t>
      </w:r>
    </w:p>
    <w:p>
      <w:pPr>
        <w:pStyle w:val="20"/>
        <w:jc w:val="center"/>
        <w:rPr>
          <w:rFonts w:hint="eastAsia"/>
          <w:b/>
          <w:bCs/>
          <w:color w:val="auto"/>
          <w:highlight w:val="none"/>
          <w:lang w:eastAsia="zh-CN"/>
        </w:rPr>
      </w:pPr>
      <w:r>
        <w:rPr>
          <w:rFonts w:hint="eastAsia"/>
          <w:b/>
          <w:bCs/>
          <w:color w:val="auto"/>
          <w:highlight w:val="none"/>
          <w:lang w:eastAsia="zh-CN"/>
        </w:rPr>
        <w:t>三、投标文件的编制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投标文件的编写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投标人应仔细阅读招标文件,了解招标文件的要求，并在充分理解招标文件提出的货物技术规范、服务和商务条款后的基础上制作投标文件。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投标的语言及计量单位</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投标文件中所使用的计量单位除招标文件中有特殊规定外，一律使用法定计量单位。</w:t>
      </w:r>
    </w:p>
    <w:p>
      <w:pPr>
        <w:pStyle w:val="21"/>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 投标文件构成</w:t>
      </w:r>
    </w:p>
    <w:p>
      <w:pPr>
        <w:pStyle w:val="21"/>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9.1  投标人编写的投标文件应包含以下内容:</w:t>
      </w:r>
    </w:p>
    <w:p>
      <w:pPr>
        <w:pStyle w:val="21"/>
        <w:spacing w:line="360" w:lineRule="auto"/>
        <w:ind w:firstLine="567"/>
        <w:jc w:val="both"/>
        <w:outlineLvl w:val="2"/>
        <w:rPr>
          <w:rFonts w:hint="eastAsia" w:ascii="宋体" w:hAnsi="宋体" w:cs="宋体"/>
          <w:b/>
          <w:bCs/>
          <w:color w:val="auto"/>
          <w:szCs w:val="24"/>
          <w:highlight w:val="none"/>
        </w:rPr>
      </w:pPr>
      <w:r>
        <w:rPr>
          <w:rFonts w:hint="eastAsia" w:ascii="宋体" w:hAnsi="宋体" w:cs="宋体"/>
          <w:b/>
          <w:bCs/>
          <w:color w:val="auto"/>
          <w:szCs w:val="24"/>
          <w:highlight w:val="none"/>
        </w:rPr>
        <w:t>9.1.1 资格、资信证明文件(以下文件必须在有效期内)</w:t>
      </w:r>
    </w:p>
    <w:p>
      <w:pPr>
        <w:pStyle w:val="21"/>
        <w:spacing w:line="360" w:lineRule="auto"/>
        <w:ind w:firstLine="471" w:firstLineChars="196"/>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企业营业执照</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法定代表人身份证明或授权委托人身份证明及授权委托书</w:t>
      </w:r>
    </w:p>
    <w:p>
      <w:pPr>
        <w:pStyle w:val="21"/>
        <w:spacing w:line="360" w:lineRule="auto"/>
        <w:ind w:firstLine="482" w:firstLineChars="200"/>
        <w:jc w:val="both"/>
        <w:rPr>
          <w:rFonts w:hint="default" w:ascii="宋体" w:hAnsi="宋体" w:eastAsia="宋体" w:cs="宋体"/>
          <w:b w:val="0"/>
          <w:bCs w:val="0"/>
          <w:color w:val="auto"/>
          <w:szCs w:val="24"/>
          <w:highlight w:val="none"/>
          <w:lang w:val="en-US" w:eastAsia="zh-CN"/>
        </w:rPr>
      </w:pPr>
      <w:r>
        <w:rPr>
          <w:rFonts w:hint="eastAsia" w:ascii="宋体" w:hAnsi="宋体" w:cs="宋体"/>
          <w:b w:val="0"/>
          <w:bCs w:val="0"/>
          <w:color w:val="auto"/>
          <w:szCs w:val="24"/>
          <w:highlight w:val="none"/>
        </w:rPr>
        <w:t>(3) 投标保证金</w:t>
      </w:r>
      <w:r>
        <w:rPr>
          <w:rFonts w:hint="eastAsia" w:ascii="宋体" w:hAnsi="宋体" w:cs="宋体"/>
          <w:b w:val="0"/>
          <w:bCs w:val="0"/>
          <w:color w:val="auto"/>
          <w:szCs w:val="24"/>
          <w:highlight w:val="none"/>
          <w:lang w:val="en-US" w:eastAsia="zh-CN"/>
        </w:rPr>
        <w:t>缴纳凭证</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xml:space="preserve">(4) </w:t>
      </w:r>
      <w:r>
        <w:rPr>
          <w:rFonts w:hint="eastAsia" w:ascii="宋体" w:hAnsi="宋体" w:cs="宋体"/>
          <w:b w:val="0"/>
          <w:bCs w:val="0"/>
          <w:color w:val="auto"/>
          <w:spacing w:val="-3"/>
          <w:szCs w:val="24"/>
          <w:highlight w:val="none"/>
        </w:rPr>
        <w:t>投标人认为有必要提供的声明及文件资料（包括但不限于近三年的财务审计报告（成立不足三年的提供成立至今的财务审计报告，成立不足一年的提供成立至今的财务报表，包含资产负债表、现金流量表、利润表）</w:t>
      </w:r>
      <w:r>
        <w:rPr>
          <w:rFonts w:hint="eastAsia" w:ascii="宋体" w:hAnsi="宋体" w:cs="宋体"/>
          <w:b w:val="0"/>
          <w:bCs w:val="0"/>
          <w:color w:val="auto"/>
          <w:spacing w:val="-3"/>
          <w:szCs w:val="24"/>
          <w:highlight w:val="none"/>
          <w:lang w:eastAsia="zh-CN"/>
        </w:rPr>
        <w:t>、近六个月（连续）的</w:t>
      </w:r>
      <w:r>
        <w:rPr>
          <w:rFonts w:hint="eastAsia" w:ascii="宋体" w:hAnsi="宋体" w:cs="宋体"/>
          <w:b w:val="0"/>
          <w:bCs w:val="0"/>
          <w:color w:val="auto"/>
          <w:spacing w:val="-3"/>
          <w:szCs w:val="24"/>
          <w:highlight w:val="none"/>
        </w:rPr>
        <w:t>完税证明、</w:t>
      </w:r>
      <w:r>
        <w:rPr>
          <w:rFonts w:hint="eastAsia" w:ascii="宋体" w:hAnsi="宋体" w:cs="宋体"/>
          <w:b w:val="0"/>
          <w:bCs w:val="0"/>
          <w:color w:val="auto"/>
          <w:spacing w:val="-3"/>
          <w:szCs w:val="24"/>
          <w:highlight w:val="none"/>
          <w:lang w:eastAsia="zh-CN"/>
        </w:rPr>
        <w:t>近六个月（连续）</w:t>
      </w:r>
      <w:r>
        <w:rPr>
          <w:rFonts w:hint="eastAsia" w:ascii="宋体" w:hAnsi="宋体" w:cs="宋体"/>
          <w:b w:val="0"/>
          <w:bCs w:val="0"/>
          <w:color w:val="auto"/>
          <w:spacing w:val="-3"/>
          <w:szCs w:val="24"/>
          <w:highlight w:val="none"/>
        </w:rPr>
        <w:t>社保</w:t>
      </w:r>
      <w:r>
        <w:rPr>
          <w:rFonts w:hint="eastAsia" w:ascii="宋体" w:hAnsi="宋体" w:cs="宋体"/>
          <w:b w:val="0"/>
          <w:bCs w:val="0"/>
          <w:color w:val="auto"/>
          <w:spacing w:val="-3"/>
          <w:szCs w:val="24"/>
          <w:highlight w:val="none"/>
          <w:lang w:val="en-US" w:eastAsia="zh-CN"/>
        </w:rPr>
        <w:t>（需有相关人员的社保缴纳明细，退休人员需提供退休证明）</w:t>
      </w:r>
      <w:r>
        <w:rPr>
          <w:rFonts w:hint="eastAsia" w:ascii="宋体" w:hAnsi="宋体" w:cs="宋体"/>
          <w:b w:val="0"/>
          <w:bCs w:val="0"/>
          <w:color w:val="auto"/>
          <w:spacing w:val="-3"/>
          <w:szCs w:val="24"/>
          <w:highlight w:val="none"/>
        </w:rPr>
        <w:t>缴纳记录</w:t>
      </w:r>
      <w:r>
        <w:rPr>
          <w:rFonts w:hint="eastAsia" w:ascii="宋体" w:hAnsi="宋体" w:cs="宋体"/>
          <w:b w:val="0"/>
          <w:bCs w:val="0"/>
          <w:color w:val="auto"/>
          <w:spacing w:val="-3"/>
          <w:szCs w:val="24"/>
          <w:highlight w:val="none"/>
          <w:lang w:val="en-US" w:eastAsia="zh-CN"/>
        </w:rPr>
        <w:t>等</w:t>
      </w:r>
      <w:r>
        <w:rPr>
          <w:rFonts w:hint="eastAsia" w:ascii="宋体" w:hAnsi="宋体" w:cs="宋体"/>
          <w:b w:val="0"/>
          <w:bCs w:val="0"/>
          <w:color w:val="auto"/>
          <w:spacing w:val="-3"/>
          <w:szCs w:val="24"/>
          <w:highlight w:val="none"/>
        </w:rPr>
        <w:t>）</w:t>
      </w:r>
    </w:p>
    <w:p>
      <w:pPr>
        <w:pStyle w:val="21"/>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9.1.2 商务文件</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投标函</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开标一览表</w:t>
      </w:r>
    </w:p>
    <w:p>
      <w:pPr>
        <w:pStyle w:val="21"/>
        <w:spacing w:line="360" w:lineRule="auto"/>
        <w:ind w:firstLine="47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pacing w:val="-3"/>
          <w:szCs w:val="24"/>
          <w:highlight w:val="none"/>
        </w:rPr>
        <w:t>(</w:t>
      </w:r>
      <w:r>
        <w:rPr>
          <w:rFonts w:hint="eastAsia" w:ascii="宋体" w:hAnsi="宋体" w:cs="宋体"/>
          <w:b w:val="0"/>
          <w:bCs w:val="0"/>
          <w:color w:val="auto"/>
          <w:spacing w:val="-3"/>
          <w:szCs w:val="24"/>
          <w:highlight w:val="none"/>
          <w:lang w:val="en-US" w:eastAsia="zh-CN"/>
        </w:rPr>
        <w:t>3</w:t>
      </w:r>
      <w:r>
        <w:rPr>
          <w:rFonts w:hint="eastAsia" w:ascii="宋体" w:hAnsi="宋体" w:cs="宋体"/>
          <w:b w:val="0"/>
          <w:bCs w:val="0"/>
          <w:color w:val="auto"/>
          <w:spacing w:val="-3"/>
          <w:szCs w:val="24"/>
          <w:highlight w:val="none"/>
        </w:rPr>
        <w:t xml:space="preserve">) </w:t>
      </w:r>
      <w:r>
        <w:rPr>
          <w:rFonts w:hint="eastAsia" w:ascii="宋体" w:hAnsi="宋体" w:cs="宋体"/>
          <w:b w:val="0"/>
          <w:bCs w:val="0"/>
          <w:color w:val="auto"/>
          <w:szCs w:val="24"/>
          <w:highlight w:val="none"/>
        </w:rPr>
        <w:t>售后服务方案</w:t>
      </w:r>
    </w:p>
    <w:p>
      <w:pPr>
        <w:pStyle w:val="22"/>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w:t>
      </w:r>
      <w:r>
        <w:rPr>
          <w:rFonts w:hint="eastAsia" w:ascii="宋体" w:hAnsi="宋体" w:eastAsia="宋体" w:cs="宋体"/>
          <w:b w:val="0"/>
          <w:bCs w:val="0"/>
          <w:color w:val="auto"/>
          <w:spacing w:val="-3"/>
          <w:sz w:val="24"/>
          <w:highlight w:val="none"/>
          <w:lang w:val="en-US" w:eastAsia="zh-CN"/>
        </w:rPr>
        <w:t>4</w:t>
      </w:r>
      <w:r>
        <w:rPr>
          <w:rFonts w:hint="eastAsia" w:ascii="宋体" w:hAnsi="宋体" w:eastAsia="宋体" w:cs="宋体"/>
          <w:b w:val="0"/>
          <w:bCs w:val="0"/>
          <w:color w:val="auto"/>
          <w:spacing w:val="-3"/>
          <w:sz w:val="24"/>
          <w:highlight w:val="none"/>
        </w:rPr>
        <w:t xml:space="preserve">) </w:t>
      </w:r>
      <w:r>
        <w:rPr>
          <w:rFonts w:hint="eastAsia" w:ascii="宋体" w:hAnsi="宋体" w:eastAsia="宋体" w:cs="宋体"/>
          <w:b w:val="0"/>
          <w:bCs w:val="0"/>
          <w:color w:val="auto"/>
          <w:sz w:val="24"/>
          <w:szCs w:val="24"/>
          <w:highlight w:val="none"/>
          <w:lang w:val="en-US" w:eastAsia="zh-CN" w:bidi="ar-SA"/>
        </w:rPr>
        <w:t>供应商“信用中国”网站查询截图和信用信息报告，国家企业信用信息公示系统查询截图和报告、中国政府采购网截图</w:t>
      </w:r>
    </w:p>
    <w:p>
      <w:pPr>
        <w:pStyle w:val="22"/>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w:t>
      </w:r>
      <w:r>
        <w:rPr>
          <w:rFonts w:hint="eastAsia" w:ascii="宋体" w:hAnsi="宋体" w:eastAsia="宋体" w:cs="宋体"/>
          <w:b w:val="0"/>
          <w:bCs w:val="0"/>
          <w:color w:val="auto"/>
          <w:spacing w:val="-3"/>
          <w:sz w:val="24"/>
          <w:highlight w:val="none"/>
          <w:lang w:val="en-US" w:eastAsia="zh-CN"/>
        </w:rPr>
        <w:t>5</w:t>
      </w:r>
      <w:r>
        <w:rPr>
          <w:rFonts w:hint="eastAsia" w:ascii="宋体" w:hAnsi="宋体" w:eastAsia="宋体" w:cs="宋体"/>
          <w:b w:val="0"/>
          <w:bCs w:val="0"/>
          <w:color w:val="auto"/>
          <w:spacing w:val="-3"/>
          <w:sz w:val="24"/>
          <w:highlight w:val="none"/>
        </w:rPr>
        <w:t>) 投标人认为有必要提供的声明及文件资料</w:t>
      </w:r>
    </w:p>
    <w:p>
      <w:pPr>
        <w:pStyle w:val="21"/>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9.1.3 技术文件</w:t>
      </w:r>
    </w:p>
    <w:p>
      <w:pPr>
        <w:pStyle w:val="21"/>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1</w:t>
      </w:r>
      <w:r>
        <w:rPr>
          <w:rFonts w:hint="eastAsia" w:ascii="宋体" w:hAnsi="宋体" w:cs="宋体"/>
          <w:b w:val="0"/>
          <w:bCs w:val="0"/>
          <w:color w:val="auto"/>
          <w:szCs w:val="24"/>
          <w:highlight w:val="none"/>
        </w:rPr>
        <w:t xml:space="preserve">) </w:t>
      </w:r>
      <w:r>
        <w:rPr>
          <w:rFonts w:hint="eastAsia" w:ascii="宋体" w:hAnsi="宋体" w:cs="宋体"/>
          <w:b w:val="0"/>
          <w:bCs w:val="0"/>
          <w:color w:val="auto"/>
          <w:szCs w:val="24"/>
          <w:highlight w:val="none"/>
          <w:lang w:val="en-US" w:eastAsia="zh-CN"/>
        </w:rPr>
        <w:t>供货实施方案</w:t>
      </w:r>
    </w:p>
    <w:p>
      <w:pPr>
        <w:pStyle w:val="21"/>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2</w:t>
      </w:r>
      <w:r>
        <w:rPr>
          <w:rFonts w:hint="eastAsia" w:ascii="宋体" w:hAnsi="宋体" w:cs="宋体"/>
          <w:b w:val="0"/>
          <w:bCs w:val="0"/>
          <w:color w:val="auto"/>
          <w:szCs w:val="24"/>
          <w:highlight w:val="none"/>
        </w:rPr>
        <w:t xml:space="preserve">) </w:t>
      </w:r>
      <w:r>
        <w:rPr>
          <w:rFonts w:hint="eastAsia" w:ascii="宋体" w:hAnsi="宋体" w:cs="宋体"/>
          <w:b w:val="0"/>
          <w:bCs w:val="0"/>
          <w:color w:val="auto"/>
          <w:szCs w:val="24"/>
          <w:highlight w:val="none"/>
          <w:lang w:eastAsia="zh-CN"/>
        </w:rPr>
        <w:t>货物的技术指标</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3</w:t>
      </w:r>
      <w:r>
        <w:rPr>
          <w:rFonts w:hint="eastAsia" w:ascii="宋体" w:hAnsi="宋体" w:cs="宋体"/>
          <w:b w:val="0"/>
          <w:bCs w:val="0"/>
          <w:color w:val="auto"/>
          <w:szCs w:val="24"/>
          <w:highlight w:val="none"/>
        </w:rPr>
        <w:t>) 投标人认为有必要提供的声明及文件资料</w:t>
      </w:r>
    </w:p>
    <w:p>
      <w:pPr>
        <w:pStyle w:val="21"/>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9.1.4 电子标书</w:t>
      </w:r>
    </w:p>
    <w:p>
      <w:pPr>
        <w:pStyle w:val="21"/>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本项目实行电子招投标，供应商需要使用CA锁，在新疆政府采购网--下载专区下载--供应商客户端制作投标文件，并生成JMBS格式加密文件，在投标截止前上传至政府采购云平台。</w:t>
      </w:r>
    </w:p>
    <w:p>
      <w:pPr>
        <w:pStyle w:val="21"/>
        <w:keepLines w:val="0"/>
        <w:kinsoku/>
        <w:wordWrap/>
        <w:overflowPunct/>
        <w:bidi w:val="0"/>
        <w:spacing w:line="360" w:lineRule="auto"/>
        <w:ind w:firstLine="525"/>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Cs w:val="24"/>
          <w:highlight w:val="none"/>
        </w:rPr>
        <w:t>9.</w:t>
      </w:r>
      <w:r>
        <w:rPr>
          <w:rFonts w:hint="eastAsia" w:ascii="宋体" w:hAnsi="宋体" w:cs="宋体"/>
          <w:b w:val="0"/>
          <w:bCs w:val="0"/>
          <w:color w:val="auto"/>
          <w:szCs w:val="24"/>
          <w:highlight w:val="none"/>
          <w:lang w:val="en-US" w:eastAsia="zh-CN"/>
        </w:rPr>
        <w:t>2</w:t>
      </w:r>
      <w:r>
        <w:rPr>
          <w:rFonts w:hint="eastAsia" w:ascii="宋体" w:hAnsi="宋体" w:cs="宋体"/>
          <w:b w:val="0"/>
          <w:bCs w:val="0"/>
          <w:color w:val="auto"/>
          <w:szCs w:val="24"/>
          <w:highlight w:val="none"/>
        </w:rPr>
        <w:t>投标人在投标中违反国家有关法律法规的强制性规定的，其投标按未满足招标文件实质性要求处理。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投标书格式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投标人应按招标文件提供的格式完整地填写所提供的货物、服务、数量及价格。</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投标报价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投标人应按招标文件所附的《开标一览表》和《投标产品名称、数量、规格及报价明细表》中的项目，标明拟提供货物和服务的单价和总价。如单价和总价不符，以单价累计为准。</w:t>
      </w:r>
    </w:p>
    <w:p>
      <w:pPr>
        <w:pStyle w:val="21"/>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 本标针对每种货物只接受一个报价，不接受备选方案，但不拒绝优惠声明。</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投标人应按招标文件的要求对有关设计</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、货物及其配套服务的全部内容进行报价。投标报价应包括：</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外购、外协、配套件、原材料及功能设计生产制造、检验、油漆、包装、保险、利税、管理、运杂、安装调试、人员培训等费用。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招标文件中特别要求的零</w:t>
      </w:r>
      <w:r>
        <w:rPr>
          <w:rFonts w:hint="eastAsia"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rPr>
        <w:t>、备</w:t>
      </w:r>
      <w:r>
        <w:rPr>
          <w:rFonts w:hint="eastAsia" w:ascii="宋体" w:hAnsi="宋体" w:eastAsia="宋体" w:cs="宋体"/>
          <w:color w:val="auto"/>
          <w:sz w:val="24"/>
          <w:szCs w:val="24"/>
          <w:highlight w:val="none"/>
          <w:lang w:eastAsia="zh-CN"/>
        </w:rPr>
        <w:t>品备</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分项报价明细表中特别要求的安装、调试、运输及培训</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1"/>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投标货币</w:t>
      </w:r>
    </w:p>
    <w:p>
      <w:pPr>
        <w:pStyle w:val="21"/>
        <w:keepLines w:val="0"/>
        <w:kinsoku/>
        <w:wordWrap/>
        <w:overflowPunct/>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本次投标货币为人民币。</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证明投标人合格和资格的文件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投标人应提交证明其有资格参加投标和一旦其投标被接受则有能力履行合同的文件，并作为其投标文件的一部分。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投标人应填写并提交招标文件所要求的资格证明类文件。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证明货物的合格性和符合招标文件规定的文件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投标人应提交招标文件要求的货物及其服务的合格性及符合招标文件规定的证明文件。证明文件可以是手册、图纸和资料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，并作为投标文件的一部分。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投标人应逐条阅读招标文件要求的技术规格条款要求，指出自己提供的货物和服务是否对招标文件做出实质性的响应，</w:t>
      </w:r>
      <w:r>
        <w:rPr>
          <w:rFonts w:hint="eastAsia" w:ascii="宋体" w:hAnsi="宋体" w:eastAsia="宋体" w:cs="宋体"/>
          <w:b/>
          <w:color w:val="auto"/>
          <w:sz w:val="24"/>
          <w:szCs w:val="24"/>
          <w:highlight w:val="none"/>
        </w:rPr>
        <w:t>并将不能响应之处在招标文件所附的“技术</w:t>
      </w:r>
      <w:r>
        <w:rPr>
          <w:rFonts w:hint="eastAsia" w:ascii="宋体" w:hAnsi="宋体" w:eastAsia="宋体" w:cs="宋体"/>
          <w:b/>
          <w:color w:val="auto"/>
          <w:sz w:val="24"/>
          <w:szCs w:val="24"/>
          <w:highlight w:val="none"/>
          <w:lang w:eastAsia="zh-CN"/>
        </w:rPr>
        <w:t>规格</w:t>
      </w:r>
      <w:r>
        <w:rPr>
          <w:rFonts w:hint="eastAsia" w:ascii="宋体" w:hAnsi="宋体" w:eastAsia="宋体" w:cs="宋体"/>
          <w:b/>
          <w:color w:val="auto"/>
          <w:sz w:val="24"/>
          <w:szCs w:val="24"/>
          <w:highlight w:val="none"/>
        </w:rPr>
        <w:t>偏离表”中一一列出。否则，将视为投标人同意、确认或接受招标文件的全部或相应部分的要求。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证明货物的合格性和符合招标文件规定的文件应包括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下列内容：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14.3.1  投标货物的试验</w:t>
      </w:r>
      <w:r>
        <w:rPr>
          <w:rFonts w:hint="eastAsia" w:ascii="宋体" w:hAnsi="宋体" w:eastAsia="宋体" w:cs="宋体"/>
          <w:color w:val="auto"/>
          <w:sz w:val="24"/>
          <w:szCs w:val="24"/>
          <w:highlight w:val="none"/>
          <w:lang w:eastAsia="zh-CN"/>
        </w:rPr>
        <w:t>检验</w:t>
      </w:r>
      <w:r>
        <w:rPr>
          <w:rFonts w:hint="eastAsia" w:ascii="宋体" w:hAnsi="宋体" w:eastAsia="宋体" w:cs="宋体"/>
          <w:color w:val="auto"/>
          <w:sz w:val="24"/>
          <w:szCs w:val="24"/>
          <w:highlight w:val="none"/>
        </w:rPr>
        <w:t>报告、鉴定证书（复印件）；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有关的产品样本、手册、图纸和资料；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投标人认为有必要提供的其它证明文件</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荣获国优、部优、省优荣誉证书</w:t>
      </w:r>
      <w:r>
        <w:rPr>
          <w:rFonts w:hint="eastAsia" w:ascii="宋体" w:hAnsi="宋体" w:eastAsia="宋体" w:cs="宋体"/>
          <w:color w:val="auto"/>
          <w:sz w:val="24"/>
          <w:szCs w:val="24"/>
          <w:highlight w:val="none"/>
          <w:lang w:eastAsia="zh-CN"/>
        </w:rPr>
        <w:t>等其他资料）</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投标文件的有效期</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15.1  投标文件从实际开标之日起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60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天内有效。</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 在原投标有效期届满之前，采购代理机构可与投标单位协商延长投标文件的有效期，并经投标方确认。</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 投标人在投标有效期内撤销投标文件的，采购代理机构可以不退还投标保证金。</w:t>
      </w:r>
    </w:p>
    <w:p>
      <w:pPr>
        <w:pStyle w:val="21"/>
        <w:spacing w:line="360" w:lineRule="auto"/>
        <w:ind w:firstLine="567"/>
        <w:jc w:val="both"/>
        <w:rPr>
          <w:rFonts w:hint="eastAsia" w:ascii="宋体" w:hAnsi="宋体" w:eastAsia="宋体" w:cs="宋体"/>
          <w:color w:val="auto"/>
          <w:szCs w:val="24"/>
          <w:lang w:val="en-US" w:eastAsia="zh-CN"/>
        </w:rPr>
      </w:pPr>
      <w:r>
        <w:rPr>
          <w:rFonts w:hint="eastAsia" w:ascii="宋体" w:hAnsi="宋体" w:cs="宋体"/>
          <w:color w:val="auto"/>
          <w:szCs w:val="24"/>
        </w:rPr>
        <w:t>16.  投标文件的书写要求、标记要求、签署及份数</w:t>
      </w:r>
      <w:r>
        <w:rPr>
          <w:rFonts w:hint="eastAsia" w:ascii="宋体" w:hAnsi="宋体" w:cs="宋体"/>
          <w:color w:val="auto"/>
          <w:szCs w:val="24"/>
          <w:lang w:eastAsia="zh-CN"/>
        </w:rPr>
        <w:t>，</w:t>
      </w:r>
      <w:r>
        <w:rPr>
          <w:rFonts w:hint="eastAsia" w:ascii="宋体" w:hAnsi="宋体" w:cs="宋体"/>
          <w:color w:val="auto"/>
          <w:szCs w:val="24"/>
          <w:lang w:val="en-US" w:eastAsia="zh-CN"/>
        </w:rPr>
        <w:t>未按要求编制，</w:t>
      </w:r>
      <w:r>
        <w:rPr>
          <w:rFonts w:hint="eastAsia" w:ascii="宋体" w:hAnsi="宋体" w:cs="宋体"/>
          <w:color w:val="auto"/>
          <w:szCs w:val="24"/>
        </w:rPr>
        <w:t>投标文件将不能通过符合性检查，按重大偏离处理</w:t>
      </w:r>
      <w:r>
        <w:rPr>
          <w:rFonts w:hint="eastAsia" w:ascii="宋体" w:hAnsi="宋体" w:cs="宋体"/>
          <w:color w:val="auto"/>
          <w:szCs w:val="24"/>
          <w:lang w:eastAsia="zh-CN"/>
        </w:rPr>
        <w:t>。</w:t>
      </w:r>
    </w:p>
    <w:p>
      <w:pPr>
        <w:spacing w:line="360" w:lineRule="auto"/>
        <w:ind w:firstLine="560"/>
        <w:rPr>
          <w:rFonts w:hint="eastAsia" w:ascii="宋体" w:hAnsi="宋体" w:cs="宋体"/>
          <w:color w:val="auto"/>
          <w:sz w:val="24"/>
        </w:rPr>
      </w:pPr>
      <w:r>
        <w:rPr>
          <w:rFonts w:hint="eastAsia" w:ascii="宋体" w:hAnsi="宋体" w:cs="宋体"/>
          <w:color w:val="auto"/>
          <w:sz w:val="24"/>
        </w:rPr>
        <w:t>16.2  投标文件的书写应清楚工整，修改处应由法定代表人或投标人授权代表</w:t>
      </w:r>
      <w:r>
        <w:rPr>
          <w:rFonts w:hint="eastAsia" w:ascii="宋体" w:hAnsi="宋体" w:cs="宋体"/>
          <w:color w:val="auto"/>
          <w:sz w:val="24"/>
          <w:lang w:val="en-US" w:eastAsia="zh-CN"/>
        </w:rPr>
        <w:t>签章</w:t>
      </w:r>
      <w:r>
        <w:rPr>
          <w:rFonts w:hint="eastAsia" w:ascii="宋体" w:hAnsi="宋体" w:cs="宋体"/>
          <w:color w:val="auto"/>
          <w:sz w:val="24"/>
        </w:rPr>
        <w:t>。</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16.3  未实质性响应招标文件、或者关键字迹潦草、关键内容表达不清、或者未按要求填写</w:t>
      </w:r>
      <w:r>
        <w:rPr>
          <w:rFonts w:hint="eastAsia" w:ascii="宋体" w:hAnsi="宋体" w:cs="宋体"/>
          <w:color w:val="auto"/>
          <w:szCs w:val="24"/>
          <w:lang w:val="en-US" w:eastAsia="zh-CN"/>
        </w:rPr>
        <w:t>编制</w:t>
      </w:r>
      <w:r>
        <w:rPr>
          <w:rFonts w:hint="eastAsia" w:ascii="宋体" w:hAnsi="宋体" w:cs="宋体"/>
          <w:color w:val="auto"/>
          <w:szCs w:val="24"/>
        </w:rPr>
        <w:t>、或者可能导致非唯一理解的投标文件</w:t>
      </w:r>
      <w:r>
        <w:rPr>
          <w:rFonts w:hint="eastAsia" w:ascii="宋体" w:hAnsi="宋体" w:cs="宋体"/>
          <w:color w:val="auto"/>
          <w:szCs w:val="24"/>
          <w:lang w:val="en-US" w:eastAsia="zh-CN"/>
        </w:rPr>
        <w:t>将被拒绝</w:t>
      </w:r>
      <w:r>
        <w:rPr>
          <w:rFonts w:hint="eastAsia" w:ascii="宋体" w:hAnsi="宋体" w:cs="宋体"/>
          <w:color w:val="auto"/>
          <w:szCs w:val="24"/>
        </w:rPr>
        <w:t>。</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16.4  投标文件具有法律效力,若投标文件与采购清单要求不一致，其内容影响成交结果时，责任由供应商自行承担。 </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16.5 为了保证投标文件的合法性、安全性和完整性，</w:t>
      </w:r>
      <w:r>
        <w:rPr>
          <w:rFonts w:hint="eastAsia" w:ascii="宋体" w:hAnsi="宋体" w:cs="宋体"/>
          <w:color w:val="auto"/>
          <w:szCs w:val="24"/>
          <w:lang w:eastAsia="zh-CN"/>
        </w:rPr>
        <w:t>投标文件</w:t>
      </w:r>
      <w:r>
        <w:rPr>
          <w:rFonts w:hint="eastAsia" w:ascii="宋体" w:hAnsi="宋体" w:cs="宋体"/>
          <w:color w:val="auto"/>
          <w:szCs w:val="24"/>
        </w:rPr>
        <w:t>由供应商逐页</w:t>
      </w:r>
      <w:r>
        <w:rPr>
          <w:rFonts w:hint="eastAsia" w:ascii="宋体" w:hAnsi="宋体" w:cs="宋体"/>
          <w:color w:val="auto"/>
          <w:szCs w:val="24"/>
          <w:lang w:eastAsia="zh-CN"/>
        </w:rPr>
        <w:t>加盖单位公章</w:t>
      </w:r>
      <w:r>
        <w:rPr>
          <w:rFonts w:hint="eastAsia" w:ascii="宋体" w:hAnsi="宋体" w:cs="宋体"/>
          <w:color w:val="auto"/>
          <w:szCs w:val="24"/>
        </w:rPr>
        <w:t>。授权代表须将 “法人授权书”附在投标文件中。</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16.6 除供应商对错处做必要修改外，投标文件不得行间插字、涂改或增删。如有修改错漏处，必须由投标文件签署人签字或盖章。</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16.7  投标文件的份数：详见《投标人须知前附表》。</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16.8  投标人可根据投标货物的具体需要自行编制其它文件纳入投标书中。</w:t>
      </w:r>
    </w:p>
    <w:p>
      <w:pPr>
        <w:pStyle w:val="21"/>
        <w:spacing w:line="360" w:lineRule="auto"/>
        <w:ind w:firstLine="567"/>
        <w:jc w:val="both"/>
        <w:rPr>
          <w:rFonts w:hint="eastAsia" w:ascii="宋体" w:hAnsi="宋体" w:cs="宋体"/>
          <w:bCs/>
          <w:color w:val="auto"/>
          <w:szCs w:val="24"/>
        </w:rPr>
      </w:pPr>
      <w:r>
        <w:rPr>
          <w:rFonts w:hint="eastAsia" w:ascii="宋体" w:hAnsi="宋体" w:cs="宋体"/>
          <w:bCs/>
          <w:color w:val="auto"/>
          <w:szCs w:val="24"/>
        </w:rPr>
        <w:t xml:space="preserve">16.9  </w:t>
      </w:r>
      <w:r>
        <w:rPr>
          <w:rFonts w:hint="eastAsia" w:ascii="宋体" w:hAnsi="宋体" w:cs="宋体"/>
          <w:bCs/>
          <w:color w:val="auto"/>
          <w:szCs w:val="24"/>
          <w:lang w:val="en-US" w:eastAsia="zh-CN"/>
        </w:rPr>
        <w:t>纸质版</w:t>
      </w:r>
      <w:r>
        <w:rPr>
          <w:rFonts w:hint="eastAsia" w:ascii="宋体" w:hAnsi="宋体" w:cs="宋体"/>
          <w:bCs/>
          <w:color w:val="auto"/>
          <w:szCs w:val="24"/>
        </w:rPr>
        <w:t>投标文件的装订必须采用死页胶粘本，不允许活页形式装订（非胶粘方式装订的投标书一律视同活页装订），活页方式装订视为投标无效。</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  投标保证金</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  投标保证金金额：</w:t>
      </w:r>
      <w:r>
        <w:rPr>
          <w:rFonts w:hint="eastAsia" w:ascii="宋体" w:hAnsi="宋体" w:eastAsia="宋体" w:cs="宋体"/>
          <w:b w:val="0"/>
          <w:bCs/>
          <w:color w:val="auto"/>
          <w:sz w:val="24"/>
          <w:szCs w:val="24"/>
          <w:highlight w:val="none"/>
          <w:lang w:eastAsia="zh-CN"/>
        </w:rPr>
        <w:t>详见投标人须知前附表规定。</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投标保证金用于保护本次招标免受投标人的违规、违约行为而引起的风险。</w:t>
      </w:r>
    </w:p>
    <w:p>
      <w:pPr>
        <w:pStyle w:val="21"/>
        <w:keepLines w:val="0"/>
        <w:kinsoku/>
        <w:wordWrap/>
        <w:overflowPunct/>
        <w:bidi w:val="0"/>
        <w:spacing w:line="360" w:lineRule="auto"/>
        <w:ind w:firstLine="567"/>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17.3  投标保证金应用人民币，由投标人按第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》中明确的银行、帐号</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lang w:eastAsia="zh-CN"/>
        </w:rPr>
        <w:t>开标</w:t>
      </w:r>
      <w:r>
        <w:rPr>
          <w:rFonts w:hint="eastAsia" w:ascii="宋体" w:hAnsi="宋体" w:eastAsia="宋体" w:cs="宋体"/>
          <w:b w:val="0"/>
          <w:bCs w:val="0"/>
          <w:color w:val="auto"/>
          <w:sz w:val="24"/>
          <w:szCs w:val="24"/>
          <w:highlight w:val="none"/>
          <w:lang w:eastAsia="zh-CN"/>
        </w:rPr>
        <w:t>前缴纳</w:t>
      </w:r>
      <w:r>
        <w:rPr>
          <w:rFonts w:hint="eastAsia" w:ascii="宋体" w:hAnsi="宋体" w:eastAsia="宋体" w:cs="宋体"/>
          <w:b w:val="0"/>
          <w:bCs w:val="0"/>
          <w:color w:val="auto"/>
          <w:sz w:val="24"/>
          <w:szCs w:val="24"/>
          <w:highlight w:val="none"/>
        </w:rPr>
        <w:t>。对未按要求提交投标保证金的投标书，采购代理机构将视为不响应投标而予以拒绝。</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投标保证金应以</w:t>
      </w:r>
      <w:r>
        <w:rPr>
          <w:rFonts w:hint="eastAsia" w:ascii="宋体" w:hAnsi="宋体" w:eastAsia="宋体" w:cs="宋体"/>
          <w:color w:val="auto"/>
          <w:sz w:val="24"/>
          <w:highlight w:val="none"/>
          <w:shd w:val="clear" w:color="auto" w:fill="auto"/>
          <w:lang w:eastAsia="zh-CN"/>
        </w:rPr>
        <w:t>以支票、汇票、本票或者金融机构、担保机构出具的保函等非现金形式提交</w:t>
      </w:r>
      <w:r>
        <w:rPr>
          <w:rFonts w:hint="eastAsia" w:ascii="宋体" w:hAnsi="宋体" w:eastAsia="宋体" w:cs="宋体"/>
          <w:color w:val="auto"/>
          <w:sz w:val="24"/>
          <w:szCs w:val="24"/>
          <w:highlight w:val="none"/>
        </w:rPr>
        <w:t>。投标保证金必须从各单位基本账户汇出。</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  中标人的投标保证金自采购合同签定之日起5个工作日内</w:t>
      </w:r>
      <w:r>
        <w:rPr>
          <w:rFonts w:hint="eastAsia" w:ascii="宋体" w:hAnsi="宋体" w:eastAsia="宋体" w:cs="宋体"/>
          <w:color w:val="auto"/>
          <w:sz w:val="24"/>
          <w:szCs w:val="24"/>
          <w:highlight w:val="none"/>
        </w:rPr>
        <w:t>不计利息予以退还</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未中标人的投标保证金，</w:t>
      </w:r>
      <w:r>
        <w:rPr>
          <w:rFonts w:hint="eastAsia" w:ascii="宋体" w:hAnsi="宋体" w:eastAsia="宋体" w:cs="宋体"/>
          <w:color w:val="auto"/>
          <w:sz w:val="24"/>
          <w:szCs w:val="24"/>
          <w:highlight w:val="none"/>
          <w:lang w:eastAsia="zh-CN"/>
        </w:rPr>
        <w:t>自中标通知书发出之日起</w:t>
      </w:r>
      <w:r>
        <w:rPr>
          <w:rFonts w:hint="eastAsia" w:ascii="宋体" w:hAnsi="宋体" w:eastAsia="宋体" w:cs="宋体"/>
          <w:color w:val="auto"/>
          <w:sz w:val="24"/>
          <w:szCs w:val="24"/>
          <w:highlight w:val="none"/>
          <w:lang w:val="en-US" w:eastAsia="zh-CN"/>
        </w:rPr>
        <w:t>5个工作日内</w:t>
      </w:r>
      <w:r>
        <w:rPr>
          <w:rFonts w:hint="eastAsia" w:ascii="宋体" w:hAnsi="宋体" w:eastAsia="宋体" w:cs="宋体"/>
          <w:color w:val="auto"/>
          <w:sz w:val="24"/>
          <w:szCs w:val="24"/>
          <w:highlight w:val="none"/>
        </w:rPr>
        <w:t>不计利息予以退还。</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  发生以下情况</w:t>
      </w:r>
      <w:r>
        <w:rPr>
          <w:rFonts w:hint="eastAsia" w:ascii="宋体" w:hAnsi="宋体" w:eastAsia="宋体" w:cs="宋体"/>
          <w:b w:val="0"/>
          <w:bCs w:val="0"/>
          <w:color w:val="auto"/>
          <w:sz w:val="24"/>
          <w:szCs w:val="24"/>
          <w:highlight w:val="none"/>
          <w:lang w:eastAsia="zh-CN"/>
        </w:rPr>
        <w:t>中标人的</w:t>
      </w:r>
      <w:r>
        <w:rPr>
          <w:rFonts w:hint="eastAsia" w:ascii="宋体" w:hAnsi="宋体" w:eastAsia="宋体" w:cs="宋体"/>
          <w:b w:val="0"/>
          <w:bCs w:val="0"/>
          <w:color w:val="auto"/>
          <w:sz w:val="24"/>
          <w:szCs w:val="24"/>
          <w:highlight w:val="none"/>
        </w:rPr>
        <w:t>投标保证金可能被没收：</w:t>
      </w:r>
    </w:p>
    <w:p>
      <w:pPr>
        <w:pStyle w:val="22"/>
        <w:keepLines w:val="0"/>
        <w:kinsoku/>
        <w:wordWrap/>
        <w:overflowPunct/>
        <w:bidi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17.7.1 未</w:t>
      </w:r>
      <w:r>
        <w:rPr>
          <w:rFonts w:hint="eastAsia" w:ascii="宋体" w:hAnsi="宋体" w:eastAsia="宋体" w:cs="宋体"/>
          <w:b w:val="0"/>
          <w:bCs w:val="0"/>
          <w:color w:val="auto"/>
          <w:sz w:val="24"/>
          <w:szCs w:val="24"/>
          <w:highlight w:val="none"/>
        </w:rPr>
        <w:t>按2</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条规定签定合同；</w:t>
      </w:r>
    </w:p>
    <w:p>
      <w:pPr>
        <w:pStyle w:val="22"/>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17.7.2 未按</w:t>
      </w:r>
      <w:r>
        <w:rPr>
          <w:rFonts w:hint="eastAsia" w:ascii="宋体" w:hAnsi="宋体" w:eastAsia="宋体" w:cs="宋体"/>
          <w:b w:val="0"/>
          <w:bCs w:val="0"/>
          <w:color w:val="auto"/>
          <w:sz w:val="24"/>
          <w:szCs w:val="24"/>
          <w:highlight w:val="none"/>
        </w:rPr>
        <w:t>第31条有关缴纳中标服务费的规定；</w:t>
      </w:r>
    </w:p>
    <w:p>
      <w:pPr>
        <w:pStyle w:val="22"/>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17.7.3 未</w:t>
      </w:r>
      <w:r>
        <w:rPr>
          <w:rFonts w:hint="eastAsia" w:ascii="宋体" w:hAnsi="宋体" w:eastAsia="宋体" w:cs="宋体"/>
          <w:b w:val="0"/>
          <w:bCs w:val="0"/>
          <w:color w:val="auto"/>
          <w:sz w:val="24"/>
          <w:szCs w:val="24"/>
          <w:highlight w:val="none"/>
        </w:rPr>
        <w:t>按招标文件要求提交合同履约保证金的。</w:t>
      </w:r>
    </w:p>
    <w:p>
      <w:pPr>
        <w:pStyle w:val="20"/>
        <w:jc w:val="center"/>
        <w:rPr>
          <w:rFonts w:hint="eastAsia"/>
          <w:b/>
          <w:bCs/>
          <w:color w:val="auto"/>
          <w:highlight w:val="none"/>
          <w:lang w:eastAsia="zh-CN"/>
        </w:rPr>
      </w:pPr>
      <w:r>
        <w:rPr>
          <w:rFonts w:hint="eastAsia"/>
          <w:b/>
          <w:bCs/>
          <w:color w:val="auto"/>
          <w:highlight w:val="none"/>
          <w:lang w:eastAsia="zh-CN"/>
        </w:rPr>
        <w:t>四、投标文件的递交</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投标文件</w:t>
      </w:r>
      <w:r>
        <w:rPr>
          <w:rFonts w:hint="eastAsia" w:ascii="宋体" w:hAnsi="宋体" w:eastAsia="宋体" w:cs="宋体"/>
          <w:color w:val="auto"/>
          <w:sz w:val="24"/>
          <w:szCs w:val="24"/>
          <w:highlight w:val="none"/>
          <w:lang w:val="en-US" w:eastAsia="zh-CN"/>
        </w:rPr>
        <w:t>递交的格式</w:t>
      </w:r>
    </w:p>
    <w:p>
      <w:pPr>
        <w:pStyle w:val="21"/>
        <w:keepLines w:val="0"/>
        <w:kinsoku/>
        <w:wordWrap/>
        <w:overflowPunct/>
        <w:bidi w:val="0"/>
        <w:spacing w:line="360" w:lineRule="auto"/>
        <w:ind w:firstLine="567"/>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18.1 </w:t>
      </w:r>
      <w:r>
        <w:rPr>
          <w:rFonts w:hint="eastAsia" w:ascii="宋体" w:hAnsi="宋体" w:cs="宋体"/>
          <w:color w:val="auto"/>
          <w:szCs w:val="24"/>
          <w:highlight w:val="none"/>
          <w:lang w:val="en-US" w:eastAsia="zh-CN"/>
        </w:rPr>
        <w:t>投标供应商应当在投标截止时间前，将生成的“JMBS格式电子加密投标文件”上传递交至“政府采购云平台”，投标截止时间以后上传递交的投标文件将被“政府采购云平台”拒收。</w:t>
      </w:r>
    </w:p>
    <w:p>
      <w:pPr>
        <w:pStyle w:val="21"/>
        <w:spacing w:line="360" w:lineRule="auto"/>
        <w:ind w:firstLine="567"/>
        <w:jc w:val="both"/>
        <w:rPr>
          <w:rFonts w:hint="eastAsia" w:ascii="宋体" w:hAnsi="宋体" w:eastAsia="宋体" w:cs="宋体"/>
          <w:color w:val="auto"/>
          <w:szCs w:val="24"/>
          <w:highlight w:val="none"/>
          <w:lang w:val="en-US" w:eastAsia="zh-CN"/>
        </w:rPr>
      </w:pPr>
      <w:r>
        <w:rPr>
          <w:rFonts w:hint="eastAsia" w:ascii="宋体" w:hAnsi="宋体" w:eastAsia="宋体" w:cs="宋体"/>
          <w:b w:val="0"/>
          <w:bCs w:val="0"/>
          <w:color w:val="auto"/>
          <w:sz w:val="24"/>
          <w:szCs w:val="24"/>
          <w:highlight w:val="none"/>
        </w:rPr>
        <w:t xml:space="preserve">18.2  </w:t>
      </w:r>
      <w:r>
        <w:rPr>
          <w:rFonts w:hint="eastAsia" w:ascii="宋体" w:hAnsi="宋体" w:eastAsia="宋体" w:cs="宋体"/>
          <w:color w:val="auto"/>
          <w:szCs w:val="24"/>
          <w:highlight w:val="none"/>
          <w:lang w:val="en-US" w:eastAsia="zh-CN"/>
        </w:rPr>
        <w:t>未按本须知要求投递投标文件，造成无法投标或投标失败等后果的由投标人自行承担。</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投标文件递交的截止日期</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19.1  投标人必须在《投标人须知前附表》中规定的时间之前将投标文件送达到规定的地点。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超过招标文件规定的投标截止时间送达的投标文件将不予接受。</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投标文件的修改和撤销</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投标人对其投标文件进行的修改或撤销应以书面形式并在招标文件规定的投标截止时间前送达采购代理机构手中。</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投标人对投标文件的修改或撤销应按第18和19条规定进行准备、标注和递交。</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投标截止时间以后，不允许对投标文件进行修改。</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投标人不得在投标截止时间起至投标文件有效期满前撤销投标文件</w:t>
      </w:r>
      <w:r>
        <w:rPr>
          <w:rFonts w:hint="eastAsia" w:ascii="宋体" w:hAnsi="宋体" w:eastAsia="宋体" w:cs="宋体"/>
          <w:color w:val="auto"/>
          <w:sz w:val="24"/>
          <w:szCs w:val="24"/>
          <w:highlight w:val="none"/>
          <w:lang w:eastAsia="zh-CN"/>
        </w:rPr>
        <w:t>。</w:t>
      </w:r>
    </w:p>
    <w:p>
      <w:pPr>
        <w:pStyle w:val="20"/>
        <w:jc w:val="center"/>
        <w:rPr>
          <w:rFonts w:hint="eastAsia"/>
          <w:b/>
          <w:bCs/>
          <w:color w:val="auto"/>
          <w:highlight w:val="none"/>
          <w:lang w:eastAsia="zh-CN"/>
        </w:rPr>
      </w:pPr>
      <w:r>
        <w:rPr>
          <w:rFonts w:hint="eastAsia"/>
          <w:b/>
          <w:bCs/>
          <w:color w:val="auto"/>
          <w:highlight w:val="none"/>
          <w:lang w:eastAsia="zh-CN"/>
        </w:rPr>
        <w:t>五、开标</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开标</w:t>
      </w:r>
    </w:p>
    <w:p>
      <w:pPr>
        <w:pStyle w:val="21"/>
        <w:keepLines w:val="0"/>
        <w:kinsoku/>
        <w:wordWrap/>
        <w:overflowPunct/>
        <w:bidi w:val="0"/>
        <w:spacing w:line="360" w:lineRule="auto"/>
        <w:ind w:left="1" w:firstLine="484" w:firstLineChars="201"/>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除非采购代理机构另外书面通知，本标将按本招标文件《投标人须知前附表》中规定的时间和地点开标。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val="en-US" w:eastAsia="zh-CN"/>
        </w:rPr>
        <w:t>开标时，招标人、监督部门、公证部门的工作人员将对开标会议到场监督。</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开标时，投标单位完成在线解密后，由工作人员开始唱标。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开标时唱《开标一览表》的内容。如投标人对投标价格有说明或调整的，须与《开标一览表》附在一起，在唱标时一并唱出。</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唱标完毕后，如果投标人对所唱《开标一览表》内容有异议，应当场立即提出。经现场监标人员确认，认为有必要重新唱标的，由唱标员重新唱标。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所有唱标均记录在案，并经监标人员或公证人员的签字，作为各投标人投标文件的组成部分。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  投标人代表对开标过程和开标记录有疑义，以及认为采购人、采购代理机构相关工作人员有需要回避的情形的，应当场提出询问或者回避申请。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  投标人未参加开标的，视同认可开标结果。</w:t>
      </w:r>
    </w:p>
    <w:p>
      <w:pPr>
        <w:pStyle w:val="20"/>
        <w:jc w:val="center"/>
        <w:rPr>
          <w:rFonts w:hint="eastAsia"/>
          <w:b/>
          <w:bCs/>
          <w:color w:val="auto"/>
          <w:highlight w:val="none"/>
          <w:lang w:eastAsia="zh-CN"/>
        </w:rPr>
      </w:pPr>
      <w:r>
        <w:rPr>
          <w:rFonts w:hint="eastAsia"/>
          <w:b/>
          <w:bCs/>
          <w:color w:val="auto"/>
          <w:highlight w:val="none"/>
          <w:lang w:eastAsia="zh-CN"/>
        </w:rPr>
        <w:t>六、评标和定标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评标原则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本标的评标遵循公平、公正、科学、择优的原则。</w:t>
      </w:r>
    </w:p>
    <w:p>
      <w:pPr>
        <w:pStyle w:val="21"/>
        <w:keepLines w:val="0"/>
        <w:kinsoku/>
        <w:wordWrap/>
        <w:overflowPunct/>
        <w:bidi w:val="0"/>
        <w:spacing w:line="360" w:lineRule="auto"/>
        <w:ind w:left="0" w:leftChars="0"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评标委员会将严格按照《中华人民共和国招标投标法》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sz w:val="24"/>
          <w:szCs w:val="24"/>
          <w:highlight w:val="none"/>
          <w:lang w:eastAsia="zh-CN"/>
        </w:rPr>
        <w:t>实施条例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w:t>
      </w: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号令）的规定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不徇私情，不明招暗定。</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资格审查合格的投标人，均有同等机会参加竞争。</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评标人员不得私自泄露评标内容，不得进行旨在影响评标结果公正、公平的任何活动。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  对于投标文件中含义不明确、同类问题表述不一致或者有明显文字和计算错误的内容，评标委员会应当以书面形式要求投标人作出必要的澄清、说明或者补正。</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评标方法</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采购代理机构将根据有关法律法规的规定组建本次招标的评标委员会。评标委员会成员由本行业相关技术、经济等方面的专家组成。其中，技术、经济等方面的专家不少于成员总人数的三分之二。</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评标的依据为招标文件和投标文件。根据相关法律法规的规定，评标委员会不以任何外部证据作为其评标的依据或标准。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评标过程将严格保密。开标后直到授予中标人合同止，凡是属于审查、澄清、评价和比较的有关评标资料以及授标建议等均不得向投标人或其他无关的人员透露。</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在评标的整个过程中，投标人所进行的旨在影响评标结果的活动，可能导致其投标被拒绝，或者被取消中标资格。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本次招标采用综合评分法进行评标。评标分初步评审和详细评审两个阶段。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23.5.1  初步评审分为资格性检查和符合性检查，只有通过初步评审的投标文件才可进入详细评审阶段。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23.5.2  详细评审分为</w:t>
      </w:r>
      <w:r>
        <w:rPr>
          <w:rFonts w:hint="eastAsia" w:ascii="宋体" w:hAnsi="宋体" w:eastAsia="宋体" w:cs="宋体"/>
          <w:color w:val="auto"/>
          <w:sz w:val="24"/>
          <w:szCs w:val="24"/>
          <w:highlight w:val="none"/>
          <w:lang w:eastAsia="zh-CN"/>
        </w:rPr>
        <w:t>经济报价部分和技术标评审两</w:t>
      </w:r>
      <w:r>
        <w:rPr>
          <w:rFonts w:hint="eastAsia" w:ascii="宋体" w:hAnsi="宋体" w:eastAsia="宋体" w:cs="宋体"/>
          <w:color w:val="auto"/>
          <w:sz w:val="24"/>
          <w:szCs w:val="24"/>
          <w:highlight w:val="none"/>
        </w:rPr>
        <w:t>个部分。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  初步评审</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资格性检查：依据法律法规和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中的资格证明、投标保证金等进行审查，以确定投标人是否具备投标资格。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具体评审内容系指：</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23.6.1  投标人满足本招标文件关于对合格投标人资格要求的规定；</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23.6.2  投标文件组成完整，主要内容未能按招标文件规定的内容、格式填写；</w:t>
      </w:r>
    </w:p>
    <w:p>
      <w:pPr>
        <w:adjustRightInd w:val="0"/>
        <w:snapToGrid w:val="0"/>
        <w:spacing w:line="360" w:lineRule="auto"/>
        <w:ind w:firstLine="482" w:firstLineChars="200"/>
        <w:rPr>
          <w:rFonts w:hint="default" w:ascii="宋体" w:hAnsi="宋体" w:cs="宋体"/>
          <w:color w:val="auto"/>
          <w:sz w:val="24"/>
          <w:lang w:val="en-US" w:eastAsia="zh-CN"/>
        </w:rPr>
      </w:pPr>
      <w:r>
        <w:rPr>
          <w:rFonts w:hint="eastAsia" w:ascii="宋体" w:hAnsi="宋体" w:cs="宋体"/>
          <w:color w:val="auto"/>
          <w:sz w:val="24"/>
          <w:lang w:val="en-US" w:eastAsia="zh-CN"/>
        </w:rPr>
        <w:t>23.6.3  投标人按照招标文件的要求提供投标保证金，所提供的投标保证金完整没有瑕疵；</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4</w:t>
      </w:r>
      <w:r>
        <w:rPr>
          <w:rFonts w:hint="eastAsia" w:ascii="宋体" w:hAnsi="宋体" w:cs="宋体"/>
          <w:color w:val="auto"/>
          <w:sz w:val="24"/>
        </w:rPr>
        <w:t xml:space="preserve">  投标文件的有效期满足招标文件的规定；</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 xml:space="preserve">5 </w:t>
      </w:r>
      <w:r>
        <w:rPr>
          <w:rFonts w:hint="eastAsia" w:ascii="宋体" w:hAnsi="宋体" w:cs="宋体"/>
          <w:color w:val="auto"/>
          <w:sz w:val="24"/>
        </w:rPr>
        <w:t xml:space="preserve"> 投标文件按照规定</w:t>
      </w:r>
      <w:r>
        <w:rPr>
          <w:rFonts w:hint="eastAsia" w:ascii="宋体" w:hAnsi="宋体" w:cs="宋体"/>
          <w:color w:val="auto"/>
          <w:sz w:val="24"/>
          <w:lang w:val="en-US" w:eastAsia="zh-CN"/>
        </w:rPr>
        <w:t>签章</w:t>
      </w:r>
      <w:r>
        <w:rPr>
          <w:rFonts w:hint="eastAsia" w:ascii="宋体" w:hAnsi="宋体" w:cs="宋体"/>
          <w:color w:val="auto"/>
          <w:sz w:val="24"/>
        </w:rPr>
        <w:t>的；</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6</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投标代表授权书由法定代表人签署；</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7</w:t>
      </w:r>
      <w:r>
        <w:rPr>
          <w:rFonts w:hint="eastAsia" w:ascii="宋体" w:hAnsi="宋体" w:cs="宋体"/>
          <w:color w:val="auto"/>
          <w:sz w:val="24"/>
        </w:rPr>
        <w:t xml:space="preserve">  投标文件针对每一种</w:t>
      </w:r>
      <w:r>
        <w:rPr>
          <w:rFonts w:hint="eastAsia" w:ascii="宋体" w:hAnsi="宋体" w:cs="宋体"/>
          <w:color w:val="auto"/>
          <w:sz w:val="24"/>
          <w:lang w:val="en-US" w:eastAsia="zh-CN"/>
        </w:rPr>
        <w:t>货物只提出一个报价，未</w:t>
      </w:r>
      <w:r>
        <w:rPr>
          <w:rFonts w:hint="eastAsia" w:ascii="宋体" w:hAnsi="宋体" w:cs="宋体"/>
          <w:color w:val="auto"/>
          <w:sz w:val="24"/>
        </w:rPr>
        <w:t>出现了两个或两个以上的报价；</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8</w:t>
      </w:r>
      <w:r>
        <w:rPr>
          <w:rFonts w:hint="eastAsia" w:ascii="宋体" w:hAnsi="宋体" w:cs="宋体"/>
          <w:color w:val="auto"/>
          <w:sz w:val="24"/>
        </w:rPr>
        <w:t xml:space="preserve">  </w:t>
      </w:r>
      <w:r>
        <w:rPr>
          <w:rFonts w:hint="eastAsia" w:ascii="宋体" w:hAnsi="宋体" w:cs="宋体"/>
          <w:color w:val="auto"/>
          <w:sz w:val="24"/>
          <w:lang w:val="en-US" w:eastAsia="zh-CN"/>
        </w:rPr>
        <w:t>投标报价未超过最高限价；</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9</w:t>
      </w:r>
      <w:r>
        <w:rPr>
          <w:rFonts w:hint="eastAsia" w:ascii="宋体" w:hAnsi="宋体" w:cs="宋体"/>
          <w:color w:val="auto"/>
          <w:sz w:val="24"/>
        </w:rPr>
        <w:t xml:space="preserve">  符合招标文件关于对招标技术</w:t>
      </w:r>
      <w:r>
        <w:rPr>
          <w:rFonts w:hint="eastAsia" w:ascii="宋体" w:hAnsi="宋体" w:cs="宋体"/>
          <w:color w:val="auto"/>
          <w:sz w:val="24"/>
          <w:lang w:val="en-US" w:eastAsia="zh-CN"/>
        </w:rPr>
        <w:t>服务</w:t>
      </w:r>
      <w:r>
        <w:rPr>
          <w:rFonts w:hint="eastAsia" w:ascii="宋体" w:hAnsi="宋体" w:cs="宋体"/>
          <w:color w:val="auto"/>
          <w:sz w:val="24"/>
        </w:rPr>
        <w:t>和标准的要求；按招标文件规定的格式填写，</w:t>
      </w:r>
      <w:r>
        <w:rPr>
          <w:rFonts w:hint="eastAsia" w:ascii="宋体" w:hAnsi="宋体" w:cs="宋体"/>
          <w:color w:val="auto"/>
          <w:sz w:val="24"/>
          <w:lang w:eastAsia="zh-CN"/>
        </w:rPr>
        <w:t>并无</w:t>
      </w:r>
      <w:r>
        <w:rPr>
          <w:rFonts w:hint="eastAsia" w:ascii="宋体" w:hAnsi="宋体" w:cs="宋体"/>
          <w:color w:val="auto"/>
          <w:sz w:val="24"/>
        </w:rPr>
        <w:t>内容不全或关键字迹模糊、无法辨认的；</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 xml:space="preserve">10 </w:t>
      </w:r>
      <w:r>
        <w:rPr>
          <w:rFonts w:hint="eastAsia" w:ascii="宋体" w:hAnsi="宋体" w:cs="宋体"/>
          <w:color w:val="auto"/>
          <w:sz w:val="24"/>
        </w:rPr>
        <w:t xml:space="preserve"> 投标文件载明的</w:t>
      </w:r>
      <w:r>
        <w:rPr>
          <w:rFonts w:hint="eastAsia" w:ascii="宋体" w:hAnsi="宋体" w:cs="宋体"/>
          <w:color w:val="auto"/>
          <w:sz w:val="24"/>
          <w:lang w:val="en-US" w:eastAsia="zh-CN"/>
        </w:rPr>
        <w:t>货物</w:t>
      </w:r>
      <w:r>
        <w:rPr>
          <w:rFonts w:hint="eastAsia" w:ascii="宋体" w:hAnsi="宋体" w:cs="宋体"/>
          <w:color w:val="auto"/>
          <w:sz w:val="24"/>
        </w:rPr>
        <w:t>范围、检验标准和方法等符合招标文件的要求；</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11  投标文件没有采购人不能接受的其他条件；</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12</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符合招标文件中规定的其他实质性要求。</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 对通过初步评审的投标文件，评标委员会将对其进行算术性修正。算术性修正是指对投标文件的报价明细进行校核，并对其算术上和运算上的差错给予修正。修正的原则如下：</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23.7.1  </w:t>
      </w:r>
      <w:r>
        <w:rPr>
          <w:rFonts w:hint="eastAsia" w:ascii="宋体" w:hAnsi="宋体" w:eastAsia="宋体" w:cs="宋体"/>
          <w:color w:val="auto"/>
          <w:sz w:val="24"/>
          <w:szCs w:val="24"/>
          <w:highlight w:val="none"/>
        </w:rPr>
        <w:t>大写金额和小写金额不一致的，以大写金额为准；</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lang w:val="en-US" w:eastAsia="zh-CN"/>
        </w:rPr>
        <w:t xml:space="preserve">23.7.2  </w:t>
      </w:r>
      <w:r>
        <w:rPr>
          <w:rFonts w:hint="eastAsia" w:ascii="宋体" w:hAnsi="宋体" w:cs="宋体"/>
          <w:color w:val="auto"/>
          <w:sz w:val="24"/>
        </w:rPr>
        <w:t>单价金额小数点或者百分比有明显错位的，以总价为准，并修改单价；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23.7.3  </w:t>
      </w:r>
      <w:r>
        <w:rPr>
          <w:rFonts w:hint="eastAsia" w:ascii="宋体" w:hAnsi="宋体" w:eastAsia="宋体" w:cs="宋体"/>
          <w:color w:val="auto"/>
          <w:sz w:val="24"/>
          <w:szCs w:val="24"/>
          <w:highlight w:val="none"/>
        </w:rPr>
        <w:t>总价金额与按单价汇总金额不一致的，以单价金额计算结果为准。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23.7.4  </w:t>
      </w:r>
      <w:r>
        <w:rPr>
          <w:rFonts w:hint="eastAsia" w:ascii="宋体" w:hAnsi="宋体" w:eastAsia="宋体" w:cs="宋体"/>
          <w:color w:val="auto"/>
          <w:sz w:val="24"/>
          <w:szCs w:val="24"/>
          <w:highlight w:val="none"/>
        </w:rPr>
        <w:t>同时出现两种以上不一致的，按照前款规定的顺序修正。修正后的报价</w:t>
      </w:r>
      <w:r>
        <w:rPr>
          <w:rFonts w:hint="eastAsia" w:ascii="宋体" w:hAnsi="宋体" w:eastAsia="宋体" w:cs="宋体"/>
          <w:color w:val="auto"/>
          <w:sz w:val="24"/>
          <w:szCs w:val="24"/>
          <w:highlight w:val="none"/>
          <w:lang w:eastAsia="zh-CN"/>
        </w:rPr>
        <w:t>需经</w:t>
      </w:r>
      <w:r>
        <w:rPr>
          <w:rFonts w:hint="eastAsia" w:ascii="宋体" w:hAnsi="宋体" w:eastAsia="宋体" w:cs="宋体"/>
          <w:color w:val="auto"/>
          <w:sz w:val="24"/>
          <w:szCs w:val="24"/>
          <w:highlight w:val="none"/>
        </w:rPr>
        <w:t>投标人确认后产生约束力，投标人不确认的，其投标无效。</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投标人的澄清、说明或者补正应当采用书面形式，并加盖公章，或者由法定代表人或其授权的代表签字。投标人的澄清、说明或者补正不得超出投标文件的范围或者改变投标文件的实质性内容。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对不同文字文本投标文件的解释发生异议的，以中文文本为准。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评标委员会将拒绝被定为实质上非响应性的投标，投标人不能通过修正或撤销不符之处而使其投标成为响应性投标。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23.7.6  评标委员会将允许投标中有微小的不正规、不一致或不规则，而该微小之处不构成重大偏离。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  通过初步评审及算术性修正的投标文件将进入详细评审阶段。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23.8.1  详细评审中，评标委员会将采用综合评估法中的打分法，以投标文件能最大限度地满足招标文件中规定的各项评价标准为依据，独立地对各投标文件进行评审和打分。</w:t>
      </w:r>
    </w:p>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评标委员会将对下述评审因素进行量化，并根据评委会每个成员对投标文件的评审和理解进行打分。</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pStyle w:val="24"/>
        <w:rPr>
          <w:rFonts w:hint="eastAsia" w:ascii="宋体" w:hAnsi="宋体" w:eastAsia="宋体" w:cs="宋体"/>
          <w:color w:val="auto"/>
          <w:sz w:val="24"/>
          <w:szCs w:val="24"/>
          <w:highlight w:val="none"/>
          <w:lang w:eastAsia="zh-CN"/>
        </w:rPr>
      </w:pPr>
    </w:p>
    <w:p>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初步评审标准</w:t>
      </w:r>
    </w:p>
    <w:tbl>
      <w:tblPr>
        <w:tblStyle w:val="15"/>
        <w:tblpPr w:leftFromText="180" w:rightFromText="180" w:vertAnchor="text" w:horzAnchor="page" w:tblpX="1104" w:tblpY="305"/>
        <w:tblOverlap w:val="never"/>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9545"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01" w:type="dxa"/>
            <w:vMerge w:val="continue"/>
            <w:noWrap w:val="0"/>
            <w:vAlign w:val="center"/>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投标人满足本招标文件关于对合格投标人资格要求的规定；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投标文件组成完整，主要内容按招标文件规定的内容、格式填写；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投标人按照招标文件的要求提供投标保证金，所提供的投标保证金</w:t>
            </w:r>
            <w:r>
              <w:rPr>
                <w:rFonts w:hint="eastAsia" w:ascii="宋体" w:hAnsi="宋体" w:cs="宋体"/>
                <w:color w:val="auto"/>
                <w:sz w:val="24"/>
                <w:lang w:eastAsia="zh-CN"/>
              </w:rPr>
              <w:t>完整没</w:t>
            </w:r>
            <w:r>
              <w:rPr>
                <w:rFonts w:hint="eastAsia" w:ascii="宋体" w:hAnsi="宋体" w:cs="宋体"/>
                <w:color w:val="auto"/>
                <w:sz w:val="24"/>
              </w:rPr>
              <w:t>有瑕疵；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投标文件按照规定</w:t>
            </w:r>
            <w:r>
              <w:rPr>
                <w:rFonts w:hint="eastAsia" w:ascii="宋体" w:hAnsi="宋体" w:cs="宋体"/>
                <w:color w:val="auto"/>
                <w:sz w:val="24"/>
                <w:lang w:val="en-US" w:eastAsia="zh-CN"/>
              </w:rPr>
              <w:t>签章</w:t>
            </w:r>
            <w:r>
              <w:rPr>
                <w:rFonts w:hint="eastAsia" w:ascii="宋体" w:hAnsi="宋体" w:cs="宋体"/>
                <w:color w:val="auto"/>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投标代表授权书由法定代表人签署；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投标文件针对每一种</w:t>
            </w:r>
            <w:r>
              <w:rPr>
                <w:rFonts w:hint="eastAsia" w:ascii="宋体" w:hAnsi="宋体" w:cs="宋体"/>
                <w:color w:val="auto"/>
                <w:sz w:val="24"/>
                <w:lang w:val="en-US" w:eastAsia="zh-CN"/>
              </w:rPr>
              <w:t>货物只提出一个报价，未</w:t>
            </w:r>
            <w:r>
              <w:rPr>
                <w:rFonts w:hint="eastAsia" w:ascii="宋体" w:hAnsi="宋体" w:cs="宋体"/>
                <w:color w:val="auto"/>
                <w:sz w:val="24"/>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8983" w:type="dxa"/>
            <w:noWrap w:val="0"/>
            <w:vAlign w:val="center"/>
          </w:tcPr>
          <w:p>
            <w:pPr>
              <w:spacing w:line="360" w:lineRule="auto"/>
              <w:rPr>
                <w:rFonts w:hint="eastAsia" w:ascii="宋体" w:hAnsi="宋体" w:cs="宋体"/>
                <w:color w:val="auto"/>
                <w:sz w:val="24"/>
              </w:rPr>
            </w:pPr>
            <w:r>
              <w:rPr>
                <w:rFonts w:hint="eastAsia" w:ascii="宋体" w:hAnsi="宋体" w:cs="宋体"/>
                <w:b w:val="0"/>
                <w:bCs w:val="0"/>
                <w:color w:val="auto"/>
                <w:sz w:val="24"/>
                <w:highlight w:val="none"/>
                <w:lang w:val="en-US" w:eastAsia="zh-CN"/>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符合招标文件关于对招标技术</w:t>
            </w:r>
            <w:r>
              <w:rPr>
                <w:rFonts w:hint="eastAsia" w:ascii="宋体" w:hAnsi="宋体" w:cs="宋体"/>
                <w:color w:val="auto"/>
                <w:sz w:val="24"/>
                <w:lang w:val="en-US" w:eastAsia="zh-CN"/>
              </w:rPr>
              <w:t>服务</w:t>
            </w:r>
            <w:r>
              <w:rPr>
                <w:rFonts w:hint="eastAsia" w:ascii="宋体" w:hAnsi="宋体" w:cs="宋体"/>
                <w:color w:val="auto"/>
                <w:sz w:val="24"/>
              </w:rPr>
              <w:t>和标准的要求；按招标文件规定的格式填写，</w:t>
            </w:r>
            <w:r>
              <w:rPr>
                <w:rFonts w:hint="eastAsia" w:ascii="宋体" w:hAnsi="宋体" w:cs="宋体"/>
                <w:color w:val="auto"/>
                <w:sz w:val="24"/>
                <w:lang w:eastAsia="zh-CN"/>
              </w:rPr>
              <w:t>并无</w:t>
            </w:r>
            <w:r>
              <w:rPr>
                <w:rFonts w:hint="eastAsia" w:ascii="宋体" w:hAnsi="宋体" w:cs="宋体"/>
                <w:color w:val="auto"/>
                <w:sz w:val="24"/>
              </w:rPr>
              <w:t>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投标文件载明的</w:t>
            </w:r>
            <w:r>
              <w:rPr>
                <w:rFonts w:hint="eastAsia" w:ascii="宋体" w:hAnsi="宋体" w:cs="宋体"/>
                <w:color w:val="auto"/>
                <w:sz w:val="24"/>
                <w:lang w:val="en-US" w:eastAsia="zh-CN"/>
              </w:rPr>
              <w:t>货物</w:t>
            </w:r>
            <w:r>
              <w:rPr>
                <w:rFonts w:hint="eastAsia" w:ascii="宋体" w:hAnsi="宋体" w:cs="宋体"/>
                <w:color w:val="auto"/>
                <w:sz w:val="24"/>
              </w:rPr>
              <w:t>范围、检验标准和方法等符合招标文件的要求；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983" w:type="dxa"/>
            <w:noWrap w:val="0"/>
            <w:vAlign w:val="center"/>
          </w:tcPr>
          <w:p>
            <w:pPr>
              <w:pStyle w:val="14"/>
              <w:spacing w:before="0" w:beforeAutospacing="0" w:after="0" w:afterAutospacing="0" w:line="360" w:lineRule="auto"/>
              <w:rPr>
                <w:rFonts w:hint="eastAsia" w:ascii="宋体" w:hAnsi="宋体" w:eastAsia="宋体" w:cs="宋体"/>
                <w:color w:val="auto"/>
                <w:sz w:val="24"/>
                <w:lang w:eastAsia="zh-CN"/>
              </w:rPr>
            </w:pPr>
            <w:r>
              <w:rPr>
                <w:rFonts w:hint="eastAsia" w:cs="宋体"/>
                <w:color w:val="auto"/>
              </w:rPr>
              <w:t>投标文件</w:t>
            </w:r>
            <w:r>
              <w:rPr>
                <w:rFonts w:hint="eastAsia" w:cs="宋体"/>
                <w:color w:val="auto"/>
                <w:lang w:eastAsia="zh-CN"/>
              </w:rPr>
              <w:t>没</w:t>
            </w:r>
            <w:r>
              <w:rPr>
                <w:rFonts w:hint="eastAsia" w:cs="宋体"/>
                <w:color w:val="auto"/>
              </w:rPr>
              <w:t>有采购人不能接受的其他条件；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8983" w:type="dxa"/>
            <w:noWrap w:val="0"/>
            <w:vAlign w:val="center"/>
          </w:tcPr>
          <w:p>
            <w:pPr>
              <w:pStyle w:val="14"/>
              <w:spacing w:before="0" w:beforeAutospacing="0" w:after="0" w:afterAutospacing="0" w:line="360" w:lineRule="auto"/>
              <w:rPr>
                <w:rFonts w:hint="eastAsia" w:ascii="宋体" w:hAnsi="宋体" w:eastAsia="宋体" w:cs="宋体"/>
                <w:color w:val="auto"/>
                <w:sz w:val="24"/>
                <w:lang w:eastAsia="zh-CN"/>
              </w:rPr>
            </w:pPr>
            <w:r>
              <w:rPr>
                <w:rFonts w:hint="eastAsia" w:cs="宋体"/>
                <w:color w:val="auto"/>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2"/>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2"/>
        <w:rPr>
          <w:rFonts w:hint="eastAsia" w:ascii="宋体" w:hAnsi="宋体" w:cs="宋体"/>
          <w:b/>
          <w:bCs/>
          <w:color w:val="auto"/>
          <w:sz w:val="24"/>
          <w:highlight w:val="none"/>
        </w:rPr>
      </w:pPr>
    </w:p>
    <w:p>
      <w:pPr>
        <w:rPr>
          <w:rFonts w:hint="eastAsia" w:ascii="宋体" w:hAnsi="宋体" w:cs="宋体"/>
          <w:b/>
          <w:bCs/>
          <w:color w:val="auto"/>
          <w:sz w:val="24"/>
          <w:highlight w:val="none"/>
        </w:rPr>
      </w:pPr>
    </w:p>
    <w:p>
      <w:pPr>
        <w:pStyle w:val="2"/>
        <w:rPr>
          <w:rFonts w:hint="eastAsia"/>
          <w:color w:val="auto"/>
        </w:rPr>
      </w:pPr>
    </w:p>
    <w:p>
      <w:pPr>
        <w:spacing w:line="360" w:lineRule="auto"/>
        <w:jc w:val="center"/>
        <w:outlineLvl w:val="2"/>
        <w:rPr>
          <w:rFonts w:hint="eastAsia" w:ascii="宋体" w:hAnsi="宋体" w:cs="宋体"/>
          <w:b/>
          <w:bCs/>
          <w:color w:val="auto"/>
          <w:sz w:val="24"/>
          <w:highlight w:val="none"/>
        </w:rPr>
      </w:pPr>
    </w:p>
    <w:p>
      <w:pPr>
        <w:spacing w:line="360" w:lineRule="auto"/>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5"/>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5"/>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5"/>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5"/>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3</w:t>
            </w:r>
            <w:r>
              <w:rPr>
                <w:rFonts w:hint="eastAsia" w:ascii="宋体" w:hAnsi="宋体" w:eastAsia="宋体" w:cs="宋体"/>
                <w:b w:val="0"/>
                <w:color w:val="auto"/>
                <w:spacing w:val="-3"/>
                <w:sz w:val="24"/>
                <w:highlight w:val="none"/>
              </w:rPr>
              <w:t>0%×100</w:t>
            </w:r>
          </w:p>
          <w:p>
            <w:pPr>
              <w:pStyle w:val="25"/>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5"/>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5"/>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5"/>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5"/>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5"/>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spacing w:line="360" w:lineRule="auto"/>
        <w:jc w:val="center"/>
        <w:rPr>
          <w:rFonts w:hint="eastAsia" w:ascii="宋体" w:hAnsi="宋体" w:cs="宋体"/>
          <w:b/>
          <w:color w:val="auto"/>
          <w:sz w:val="24"/>
          <w:highlight w:val="none"/>
        </w:rPr>
      </w:pPr>
    </w:p>
    <w:p>
      <w:pPr>
        <w:pStyle w:val="2"/>
        <w:rPr>
          <w:rFonts w:hint="eastAsia"/>
          <w:color w:val="auto"/>
        </w:rPr>
      </w:pPr>
    </w:p>
    <w:p>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460" w:lineRule="exact"/>
        <w:ind w:firstLine="722" w:firstLineChars="200"/>
        <w:jc w:val="center"/>
        <w:rPr>
          <w:rFonts w:hint="eastAsia"/>
          <w:color w:val="auto"/>
        </w:rPr>
      </w:pPr>
      <w:r>
        <w:rPr>
          <w:rFonts w:hint="eastAsia" w:ascii="宋体" w:hAnsi="宋体" w:cs="宋体"/>
          <w:b/>
          <w:color w:val="auto"/>
          <w:sz w:val="36"/>
          <w:szCs w:val="36"/>
          <w:highlight w:val="none"/>
        </w:rPr>
        <w:t>技术标评分标准</w:t>
      </w:r>
    </w:p>
    <w:tbl>
      <w:tblPr>
        <w:tblStyle w:val="15"/>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047"/>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6"/>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6"/>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047" w:type="dxa"/>
            <w:noWrap w:val="0"/>
            <w:vAlign w:val="center"/>
          </w:tcPr>
          <w:p>
            <w:pPr>
              <w:pStyle w:val="26"/>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74" w:type="dxa"/>
            <w:noWrap w:val="0"/>
            <w:vAlign w:val="center"/>
          </w:tcPr>
          <w:p>
            <w:pPr>
              <w:pStyle w:val="26"/>
              <w:spacing w:before="0" w:after="0" w:line="460" w:lineRule="exact"/>
              <w:ind w:firstLine="2486" w:firstLineChars="103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586" w:type="dxa"/>
            <w:gridSpan w:val="4"/>
            <w:tcBorders>
              <w:bottom w:val="single" w:color="auto" w:sz="4" w:space="0"/>
            </w:tcBorders>
            <w:noWrap w:val="0"/>
            <w:vAlign w:val="center"/>
          </w:tcPr>
          <w:p>
            <w:pPr>
              <w:pStyle w:val="26"/>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报价部分</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241"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519"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1047"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0-30</w:t>
            </w:r>
            <w:r>
              <w:rPr>
                <w:rFonts w:hint="eastAsia" w:ascii="宋体" w:hAnsi="宋体" w:eastAsia="宋体" w:cs="宋体"/>
                <w:color w:val="auto"/>
                <w:sz w:val="24"/>
                <w:highlight w:val="none"/>
              </w:rPr>
              <w:t>分</w:t>
            </w:r>
          </w:p>
        </w:tc>
        <w:tc>
          <w:tcPr>
            <w:tcW w:w="6274" w:type="dxa"/>
            <w:tcBorders>
              <w:top w:val="single" w:color="auto" w:sz="4" w:space="0"/>
              <w:bottom w:val="single" w:color="auto" w:sz="4" w:space="0"/>
            </w:tcBorders>
            <w:noWrap w:val="0"/>
            <w:vAlign w:val="top"/>
          </w:tcPr>
          <w:p>
            <w:pPr>
              <w:pStyle w:val="26"/>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586" w:type="dxa"/>
            <w:gridSpan w:val="4"/>
            <w:tcBorders>
              <w:top w:val="single" w:color="auto" w:sz="4" w:space="0"/>
              <w:bottom w:val="single" w:color="auto" w:sz="4" w:space="0"/>
            </w:tcBorders>
            <w:noWrap w:val="0"/>
            <w:vAlign w:val="center"/>
          </w:tcPr>
          <w:p>
            <w:pPr>
              <w:pStyle w:val="26"/>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47" w:hRule="atLeast"/>
          <w:jc w:val="center"/>
        </w:trPr>
        <w:tc>
          <w:tcPr>
            <w:tcW w:w="746" w:type="dxa"/>
            <w:vMerge w:val="restart"/>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p>
        </w:tc>
        <w:tc>
          <w:tcPr>
            <w:tcW w:w="1519" w:type="dxa"/>
            <w:vMerge w:val="restart"/>
            <w:tcBorders>
              <w:top w:val="single" w:color="auto" w:sz="4" w:space="0"/>
            </w:tcBorders>
            <w:noWrap w:val="0"/>
            <w:vAlign w:val="center"/>
          </w:tcPr>
          <w:p>
            <w:pPr>
              <w:spacing w:line="460" w:lineRule="exact"/>
              <w:ind w:firstLine="28"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rPr>
              <w:t>供货实施方案</w:t>
            </w:r>
          </w:p>
        </w:tc>
        <w:tc>
          <w:tcPr>
            <w:tcW w:w="1047" w:type="dxa"/>
            <w:vMerge w:val="restart"/>
            <w:tcBorders>
              <w:top w:val="single" w:color="auto" w:sz="4" w:space="0"/>
            </w:tcBorders>
            <w:noWrap w:val="0"/>
            <w:vAlign w:val="center"/>
          </w:tcPr>
          <w:p>
            <w:pPr>
              <w:pStyle w:val="25"/>
              <w:widowControl/>
              <w:spacing w:line="440" w:lineRule="exact"/>
              <w:ind w:firstLine="0" w:firstLineChars="0"/>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15</w:t>
            </w:r>
          </w:p>
        </w:tc>
        <w:tc>
          <w:tcPr>
            <w:tcW w:w="6274" w:type="dxa"/>
            <w:tcBorders>
              <w:top w:val="single" w:color="auto" w:sz="4" w:space="0"/>
              <w:bottom w:val="single" w:color="auto" w:sz="4" w:space="0"/>
            </w:tcBorders>
            <w:noWrap w:val="0"/>
            <w:vAlign w:val="center"/>
          </w:tcPr>
          <w:p>
            <w:pPr>
              <w:pStyle w:val="26"/>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根据供应商所提供项目实施方案中的人力资源安排、供货进度及质量保障措施及承诺、应急预案、组织验收流程及资料整理等（包含但不限于）内容。</w:t>
            </w:r>
          </w:p>
          <w:p>
            <w:pPr>
              <w:pStyle w:val="26"/>
              <w:spacing w:line="460" w:lineRule="exact"/>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 xml:space="preserve">1、项目实施方案中有具体的供货保障的人力资源安排方案，配备齐全、搭配合理且内容完善具有针对性，内容叙述条理清晰符合项目特点及需求的得 5 分；有供货保障 的人力资源安排方案，但内容简单条理混乱，无具体针对性，未根据项目具体内容编制供货保障的人力资源安排方案的得 3 分；未提供或明显套用其他项目内容不得分。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30" w:hRule="atLeast"/>
          <w:jc w:val="center"/>
        </w:trPr>
        <w:tc>
          <w:tcPr>
            <w:tcW w:w="746" w:type="dxa"/>
            <w:vMerge w:val="continue"/>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spacing w:line="460" w:lineRule="exact"/>
              <w:ind w:firstLine="28" w:firstLineChars="0"/>
              <w:jc w:val="center"/>
              <w:rPr>
                <w:rFonts w:hint="eastAsia" w:ascii="宋体" w:hAnsi="宋体" w:cs="宋体"/>
                <w:color w:val="auto"/>
                <w:sz w:val="24"/>
              </w:rPr>
            </w:pPr>
          </w:p>
        </w:tc>
        <w:tc>
          <w:tcPr>
            <w:tcW w:w="1047" w:type="dxa"/>
            <w:vMerge w:val="continue"/>
            <w:noWrap w:val="0"/>
            <w:vAlign w:val="center"/>
          </w:tcPr>
          <w:p>
            <w:pPr>
              <w:pStyle w:val="25"/>
              <w:widowControl/>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p>
        </w:tc>
        <w:tc>
          <w:tcPr>
            <w:tcW w:w="6274" w:type="dxa"/>
            <w:tcBorders>
              <w:top w:val="single" w:color="auto" w:sz="4" w:space="0"/>
              <w:bottom w:val="single" w:color="auto" w:sz="4" w:space="0"/>
            </w:tcBorders>
            <w:noWrap w:val="0"/>
            <w:vAlign w:val="center"/>
          </w:tcPr>
          <w:p>
            <w:pPr>
              <w:pStyle w:val="26"/>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2、项目实施方案中有供货进度及质量保障措施及承诺，内容具体完善，具有针对性，叙述条理清晰符合项目特点及需求的得 4 分；有供货进度及质量保障措施及承诺，但内容简单，只有框架性承诺无具体实质性响应内容，无具体针对性的得 2 分；未提供或明显套用其他项目内容不得分。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94" w:hRule="atLeast"/>
          <w:jc w:val="center"/>
        </w:trPr>
        <w:tc>
          <w:tcPr>
            <w:tcW w:w="746" w:type="dxa"/>
            <w:vMerge w:val="continue"/>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spacing w:line="460" w:lineRule="exact"/>
              <w:ind w:firstLine="28" w:firstLineChars="0"/>
              <w:jc w:val="center"/>
              <w:rPr>
                <w:rFonts w:hint="eastAsia" w:ascii="宋体" w:hAnsi="宋体" w:cs="宋体"/>
                <w:color w:val="auto"/>
                <w:sz w:val="24"/>
              </w:rPr>
            </w:pPr>
          </w:p>
        </w:tc>
        <w:tc>
          <w:tcPr>
            <w:tcW w:w="1047" w:type="dxa"/>
            <w:vMerge w:val="continue"/>
            <w:noWrap w:val="0"/>
            <w:vAlign w:val="center"/>
          </w:tcPr>
          <w:p>
            <w:pPr>
              <w:pStyle w:val="25"/>
              <w:widowControl/>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p>
        </w:tc>
        <w:tc>
          <w:tcPr>
            <w:tcW w:w="6274" w:type="dxa"/>
            <w:tcBorders>
              <w:top w:val="single" w:color="auto" w:sz="4" w:space="0"/>
              <w:bottom w:val="single" w:color="auto" w:sz="4" w:space="0"/>
            </w:tcBorders>
            <w:noWrap w:val="0"/>
            <w:vAlign w:val="center"/>
          </w:tcPr>
          <w:p>
            <w:pPr>
              <w:pStyle w:val="26"/>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3、项目实施方案中有应急预案，内容具体，覆盖完善，承诺内容具有针对性，叙述条理清晰符合项目特点及需求的得 3 分；有应急预案，预案内容简单覆盖不完善，承诺内容简单条理混乱，只有框架性承诺无具体实质性响应内容，无具体针对性的得 2 分；未提供或明显套用其他项目内容不得分。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61" w:hRule="atLeast"/>
          <w:jc w:val="center"/>
        </w:trPr>
        <w:tc>
          <w:tcPr>
            <w:tcW w:w="746" w:type="dxa"/>
            <w:vMerge w:val="continue"/>
            <w:tcBorders>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p>
        </w:tc>
        <w:tc>
          <w:tcPr>
            <w:tcW w:w="1519" w:type="dxa"/>
            <w:vMerge w:val="continue"/>
            <w:tcBorders>
              <w:bottom w:val="single" w:color="auto" w:sz="4" w:space="0"/>
            </w:tcBorders>
            <w:noWrap w:val="0"/>
            <w:vAlign w:val="center"/>
          </w:tcPr>
          <w:p>
            <w:pPr>
              <w:spacing w:line="460" w:lineRule="exact"/>
              <w:ind w:firstLine="28" w:firstLineChars="0"/>
              <w:jc w:val="center"/>
              <w:rPr>
                <w:rFonts w:hint="eastAsia" w:ascii="宋体" w:hAnsi="宋体" w:cs="宋体"/>
                <w:color w:val="auto"/>
                <w:sz w:val="24"/>
              </w:rPr>
            </w:pPr>
          </w:p>
        </w:tc>
        <w:tc>
          <w:tcPr>
            <w:tcW w:w="1047" w:type="dxa"/>
            <w:vMerge w:val="continue"/>
            <w:tcBorders>
              <w:bottom w:val="single" w:color="auto" w:sz="4" w:space="0"/>
            </w:tcBorders>
            <w:noWrap w:val="0"/>
            <w:vAlign w:val="center"/>
          </w:tcPr>
          <w:p>
            <w:pPr>
              <w:pStyle w:val="25"/>
              <w:widowControl/>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p>
        </w:tc>
        <w:tc>
          <w:tcPr>
            <w:tcW w:w="6274" w:type="dxa"/>
            <w:tcBorders>
              <w:top w:val="single" w:color="auto" w:sz="4" w:space="0"/>
              <w:bottom w:val="single" w:color="auto" w:sz="4" w:space="0"/>
            </w:tcBorders>
            <w:noWrap w:val="0"/>
            <w:vAlign w:val="center"/>
          </w:tcPr>
          <w:p>
            <w:pPr>
              <w:pStyle w:val="26"/>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4、项目实施方案中有组织验收流程及资料整理、与项目有关的其他注意事项，内容流程清晰，完善且具有针对性，符合项目特点及需求的得 3 分；内容不完善，只有框架性承诺无具体实质性响应内容的得 2 分；未提供或明显套用其他项目内容不得分。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1519" w:type="dxa"/>
            <w:tcBorders>
              <w:top w:val="single" w:color="auto" w:sz="4" w:space="0"/>
              <w:bottom w:val="single" w:color="auto" w:sz="4" w:space="0"/>
            </w:tcBorders>
            <w:noWrap w:val="0"/>
            <w:vAlign w:val="center"/>
          </w:tcPr>
          <w:p>
            <w:pPr>
              <w:spacing w:line="460" w:lineRule="exact"/>
              <w:ind w:firstLine="28" w:firstLineChars="0"/>
              <w:jc w:val="center"/>
              <w:rPr>
                <w:rFonts w:hint="eastAsia" w:ascii="宋体" w:hAnsi="宋体" w:cs="宋体"/>
                <w:color w:val="auto"/>
                <w:sz w:val="24"/>
              </w:rPr>
            </w:pPr>
            <w:r>
              <w:rPr>
                <w:rFonts w:hint="eastAsia" w:ascii="宋体" w:hAnsi="宋体" w:cs="宋体"/>
                <w:color w:val="auto"/>
                <w:sz w:val="24"/>
              </w:rPr>
              <w:t>投标货物的性能及技术指标</w:t>
            </w:r>
          </w:p>
        </w:tc>
        <w:tc>
          <w:tcPr>
            <w:tcW w:w="1047" w:type="dxa"/>
            <w:tcBorders>
              <w:top w:val="single" w:color="auto" w:sz="4" w:space="0"/>
              <w:bottom w:val="single" w:color="auto" w:sz="4" w:space="0"/>
            </w:tcBorders>
            <w:noWrap w:val="0"/>
            <w:vAlign w:val="center"/>
          </w:tcPr>
          <w:p>
            <w:pPr>
              <w:pStyle w:val="25"/>
              <w:widowControl/>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color w:val="auto"/>
                <w:sz w:val="24"/>
                <w:lang w:val="en-US" w:eastAsia="zh-CN"/>
              </w:rPr>
              <w:t>30</w:t>
            </w:r>
            <w:r>
              <w:rPr>
                <w:rFonts w:hint="eastAsia" w:ascii="宋体" w:hAnsi="宋体" w:eastAsia="宋体" w:cs="宋体"/>
                <w:b w:val="0"/>
                <w:color w:val="auto"/>
                <w:sz w:val="24"/>
              </w:rPr>
              <w:t>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根据投标人提供的物品性能质量、技术指标和系统功能要求进行评定，所投产品全部响应指标得20分；如有一项参数优于招标文件要求的</w:t>
            </w:r>
            <w:r>
              <w:rPr>
                <w:rFonts w:hint="eastAsia" w:ascii="宋体" w:hAnsi="宋体" w:cs="宋体"/>
                <w:color w:val="auto"/>
                <w:kern w:val="2"/>
                <w:sz w:val="24"/>
                <w:szCs w:val="24"/>
                <w:lang w:val="en-US" w:eastAsia="zh-CN" w:bidi="ar-SA"/>
              </w:rPr>
              <w:t>得</w:t>
            </w: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最高得10分。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vMerge w:val="restart"/>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519" w:type="dxa"/>
            <w:vMerge w:val="restart"/>
            <w:tcBorders>
              <w:top w:val="single" w:color="auto" w:sz="4" w:space="0"/>
            </w:tcBorders>
            <w:noWrap w:val="0"/>
            <w:vAlign w:val="center"/>
          </w:tcPr>
          <w:p>
            <w:pPr>
              <w:pStyle w:val="26"/>
              <w:spacing w:line="460" w:lineRule="exact"/>
              <w:ind w:firstLine="0" w:firstLineChars="0"/>
              <w:jc w:val="center"/>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售后服务承诺 </w:t>
            </w:r>
          </w:p>
        </w:tc>
        <w:tc>
          <w:tcPr>
            <w:tcW w:w="1047" w:type="dxa"/>
            <w:vMerge w:val="restart"/>
            <w:tcBorders>
              <w:top w:val="single" w:color="auto" w:sz="4" w:space="0"/>
            </w:tcBorders>
            <w:noWrap w:val="0"/>
            <w:vAlign w:val="center"/>
          </w:tcPr>
          <w:p>
            <w:pPr>
              <w:pStyle w:val="26"/>
              <w:spacing w:line="460" w:lineRule="exact"/>
              <w:ind w:firstLine="0" w:firstLineChars="0"/>
              <w:jc w:val="center"/>
              <w:rPr>
                <w:rFonts w:hint="eastAsia" w:ascii="宋体" w:hAnsi="宋体" w:cs="宋体"/>
                <w:color w:val="auto"/>
                <w:kern w:val="2"/>
                <w:sz w:val="24"/>
                <w:szCs w:val="24"/>
                <w:lang w:val="en-US" w:eastAsia="zh-CN" w:bidi="ar-SA"/>
              </w:rPr>
            </w:pPr>
            <w:r>
              <w:rPr>
                <w:rFonts w:hint="eastAsia" w:ascii="宋体" w:hAnsi="宋体" w:cs="宋体"/>
                <w:color w:val="auto"/>
                <w:szCs w:val="24"/>
                <w:lang w:val="en-US" w:eastAsia="zh-CN"/>
              </w:rPr>
              <w:t>10</w:t>
            </w:r>
            <w:r>
              <w:rPr>
                <w:rFonts w:hint="eastAsia" w:ascii="宋体" w:hAnsi="宋体" w:cs="宋体"/>
                <w:color w:val="auto"/>
                <w:szCs w:val="24"/>
              </w:rPr>
              <w:t>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根据供应商针对本项目的售后服务方案及承诺、售后服务体系和故障快速解决方案及流程、售后服务沟通渠道及沟通团队等（包含但不限于）内容。 </w:t>
            </w:r>
          </w:p>
          <w:p>
            <w:pPr>
              <w:pStyle w:val="26"/>
              <w:spacing w:line="460" w:lineRule="exact"/>
              <w:ind w:firstLine="0" w:firstLineChars="0"/>
              <w:jc w:val="both"/>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1、有售后服务方案及承诺、售后服务体系和故障快速解决方案</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内容详细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完整、合理有效、可行性高、内容叙述条理清晰符合项目特点及需求、</w:t>
            </w:r>
            <w:r>
              <w:rPr>
                <w:rFonts w:hint="eastAsia" w:ascii="宋体" w:hAnsi="宋体" w:cs="宋体"/>
                <w:color w:val="auto"/>
                <w:kern w:val="2"/>
                <w:sz w:val="24"/>
                <w:szCs w:val="24"/>
                <w:lang w:val="en-US" w:eastAsia="zh-CN" w:bidi="ar-SA"/>
              </w:rPr>
              <w:t>提供</w:t>
            </w:r>
            <w:r>
              <w:rPr>
                <w:rFonts w:hint="eastAsia" w:ascii="宋体" w:hAnsi="宋体" w:eastAsia="宋体" w:cs="宋体"/>
                <w:color w:val="auto"/>
                <w:kern w:val="2"/>
                <w:sz w:val="24"/>
                <w:szCs w:val="24"/>
                <w:lang w:val="en-US" w:eastAsia="zh-CN" w:bidi="ar-SA"/>
              </w:rPr>
              <w:t>人员调配</w:t>
            </w:r>
            <w:r>
              <w:rPr>
                <w:rFonts w:hint="eastAsia" w:ascii="宋体" w:hAnsi="宋体" w:cs="宋体"/>
                <w:color w:val="auto"/>
                <w:kern w:val="2"/>
                <w:sz w:val="24"/>
                <w:szCs w:val="24"/>
                <w:lang w:val="en-US" w:eastAsia="zh-CN" w:bidi="ar-SA"/>
              </w:rPr>
              <w:t>4-5</w:t>
            </w:r>
            <w:r>
              <w:rPr>
                <w:rFonts w:hint="eastAsia" w:ascii="宋体" w:hAnsi="宋体" w:eastAsia="宋体" w:cs="宋体"/>
                <w:color w:val="auto"/>
                <w:kern w:val="2"/>
                <w:sz w:val="24"/>
                <w:szCs w:val="24"/>
                <w:lang w:val="en-US" w:eastAsia="zh-CN" w:bidi="ar-SA"/>
              </w:rPr>
              <w:t>人得 5 分；有售后服务方案及承诺，但内容粗略，缺乏针对性、可行性低、人员调配</w:t>
            </w:r>
            <w:r>
              <w:rPr>
                <w:rFonts w:hint="eastAsia" w:ascii="宋体" w:hAnsi="宋体" w:cs="宋体"/>
                <w:color w:val="auto"/>
                <w:kern w:val="2"/>
                <w:sz w:val="24"/>
                <w:szCs w:val="24"/>
                <w:lang w:val="en-US" w:eastAsia="zh-CN" w:bidi="ar-SA"/>
              </w:rPr>
              <w:t>1-3人</w:t>
            </w:r>
            <w:r>
              <w:rPr>
                <w:rFonts w:hint="eastAsia" w:ascii="宋体" w:hAnsi="宋体" w:eastAsia="宋体" w:cs="宋体"/>
                <w:color w:val="auto"/>
                <w:kern w:val="2"/>
                <w:sz w:val="24"/>
                <w:szCs w:val="24"/>
                <w:lang w:val="en-US" w:eastAsia="zh-CN" w:bidi="ar-SA"/>
              </w:rPr>
              <w:t xml:space="preserve">得 </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 xml:space="preserve"> 分；未提供或明显套用其他项目内容不得分。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vMerge w:val="continue"/>
            <w:tcBorders>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p>
        </w:tc>
        <w:tc>
          <w:tcPr>
            <w:tcW w:w="1519" w:type="dxa"/>
            <w:vMerge w:val="continue"/>
            <w:tcBorders>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lang w:val="en-US" w:eastAsia="zh-CN" w:bidi="ar-SA"/>
              </w:rPr>
            </w:pPr>
          </w:p>
        </w:tc>
        <w:tc>
          <w:tcPr>
            <w:tcW w:w="1047" w:type="dxa"/>
            <w:vMerge w:val="continue"/>
            <w:tcBorders>
              <w:bottom w:val="single" w:color="auto" w:sz="4" w:space="0"/>
            </w:tcBorders>
            <w:noWrap w:val="0"/>
            <w:vAlign w:val="center"/>
          </w:tcPr>
          <w:p>
            <w:pPr>
              <w:pStyle w:val="26"/>
              <w:spacing w:line="460" w:lineRule="exact"/>
              <w:ind w:firstLine="0" w:firstLineChars="0"/>
              <w:jc w:val="center"/>
              <w:rPr>
                <w:rFonts w:hint="eastAsia" w:ascii="宋体" w:hAnsi="宋体" w:cs="宋体"/>
                <w:color w:val="auto"/>
                <w:szCs w:val="24"/>
              </w:rPr>
            </w:pP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有完整的故障快速解决方案及流程、售后服务沟通渠道及沟通团队,与项目有关的其他注意事项内容，内容详细、完整、合理有效、可行性高、内容叙述条理清晰符合项目特点及需求、能够贴合项目特点快速解决预想故障的得 </w:t>
            </w:r>
            <w:r>
              <w:rPr>
                <w:rFonts w:hint="eastAsia" w:ascii="宋体" w:hAnsi="宋体" w:cs="宋体"/>
                <w:color w:val="auto"/>
                <w:kern w:val="2"/>
                <w:sz w:val="24"/>
                <w:szCs w:val="24"/>
                <w:lang w:val="en-US" w:eastAsia="zh-CN" w:bidi="ar-SA"/>
              </w:rPr>
              <w:t xml:space="preserve">5 </w:t>
            </w:r>
            <w:r>
              <w:rPr>
                <w:rFonts w:hint="eastAsia" w:ascii="宋体" w:hAnsi="宋体" w:eastAsia="宋体" w:cs="宋体"/>
                <w:color w:val="auto"/>
                <w:kern w:val="2"/>
                <w:sz w:val="24"/>
                <w:szCs w:val="24"/>
                <w:lang w:val="en-US" w:eastAsia="zh-CN" w:bidi="ar-SA"/>
              </w:rPr>
              <w:t xml:space="preserve">分；有故障快速解决方案及流程、售后服务沟通渠道及沟通团队等内容，但内容粗略，缺乏针对性、可行性低、无法快速解决预想故障的得 </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 xml:space="preserve"> 分，未提供或明显套用其他项目内容不得分。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45" w:hRule="atLeast"/>
          <w:jc w:val="center"/>
        </w:trPr>
        <w:tc>
          <w:tcPr>
            <w:tcW w:w="746"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5</w:t>
            </w:r>
          </w:p>
        </w:tc>
        <w:tc>
          <w:tcPr>
            <w:tcW w:w="1519" w:type="dxa"/>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kern w:val="2"/>
                <w:sz w:val="24"/>
                <w:szCs w:val="24"/>
                <w:lang w:val="en-US" w:eastAsia="zh-CN" w:bidi="ar-SA"/>
              </w:rPr>
              <w:t>零配件供应的可靠性</w:t>
            </w:r>
          </w:p>
        </w:tc>
        <w:tc>
          <w:tcPr>
            <w:tcW w:w="1047" w:type="dxa"/>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lang w:val="en-US" w:eastAsia="zh-CN"/>
              </w:rPr>
              <w:t>5</w:t>
            </w:r>
            <w:r>
              <w:rPr>
                <w:rFonts w:hint="eastAsia" w:ascii="宋体" w:hAnsi="宋体" w:cs="宋体"/>
                <w:color w:val="auto"/>
                <w:szCs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有优质的零配件供应方案，有固定的零配件储存库</w:t>
            </w:r>
            <w:r>
              <w:rPr>
                <w:rFonts w:hint="eastAsia" w:ascii="宋体" w:hAnsi="宋体" w:cs="宋体"/>
                <w:color w:val="auto"/>
                <w:kern w:val="2"/>
                <w:sz w:val="24"/>
                <w:szCs w:val="24"/>
                <w:lang w:val="en-US" w:eastAsia="zh-CN" w:bidi="ar-SA"/>
              </w:rPr>
              <w:t>，提供库存清单，库存数量充足，</w:t>
            </w:r>
            <w:r>
              <w:rPr>
                <w:rFonts w:hint="eastAsia" w:ascii="宋体" w:hAnsi="宋体" w:eastAsia="宋体" w:cs="宋体"/>
                <w:color w:val="auto"/>
                <w:kern w:val="2"/>
                <w:sz w:val="24"/>
                <w:szCs w:val="24"/>
                <w:lang w:val="en-US" w:eastAsia="zh-CN" w:bidi="ar-SA"/>
              </w:rPr>
              <w:t>能够在</w:t>
            </w:r>
            <w:r>
              <w:rPr>
                <w:rFonts w:hint="eastAsia" w:ascii="宋体" w:hAnsi="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小时之内供应配货的得5分；</w:t>
            </w:r>
          </w:p>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有零配件供应方案，零配件储存库较远</w:t>
            </w:r>
            <w:r>
              <w:rPr>
                <w:rFonts w:hint="eastAsia" w:ascii="宋体" w:hAnsi="宋体" w:cs="宋体"/>
                <w:color w:val="auto"/>
                <w:kern w:val="2"/>
                <w:sz w:val="24"/>
                <w:szCs w:val="24"/>
                <w:lang w:val="en-US" w:eastAsia="zh-CN" w:bidi="ar-SA"/>
              </w:rPr>
              <w:t>，提供库存清单，有库存数量，</w:t>
            </w:r>
            <w:r>
              <w:rPr>
                <w:rFonts w:hint="eastAsia" w:ascii="宋体" w:hAnsi="宋体" w:eastAsia="宋体" w:cs="宋体"/>
                <w:color w:val="auto"/>
                <w:kern w:val="2"/>
                <w:sz w:val="24"/>
                <w:szCs w:val="24"/>
                <w:lang w:val="en-US" w:eastAsia="zh-CN" w:bidi="ar-SA"/>
              </w:rPr>
              <w:t>在24小时之内供应配货的的得3分；</w:t>
            </w:r>
          </w:p>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没有完整的零配件供应方案,无库存配件，不能及时供应</w:t>
            </w:r>
          </w:p>
          <w:p>
            <w:pPr>
              <w:pStyle w:val="26"/>
              <w:spacing w:line="460" w:lineRule="exact"/>
              <w:ind w:firstLine="0" w:firstLineChars="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lang w:val="en-US" w:eastAsia="zh-CN" w:bidi="ar-SA"/>
              </w:rPr>
              <w:t>配货的得0分。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3" w:hRule="atLeast"/>
          <w:jc w:val="center"/>
        </w:trPr>
        <w:tc>
          <w:tcPr>
            <w:tcW w:w="746"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6</w:t>
            </w:r>
          </w:p>
        </w:tc>
        <w:tc>
          <w:tcPr>
            <w:tcW w:w="1519" w:type="dxa"/>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rPr>
              <w:t>安装调试方案</w:t>
            </w:r>
          </w:p>
        </w:tc>
        <w:tc>
          <w:tcPr>
            <w:tcW w:w="1047" w:type="dxa"/>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lang w:val="en-US" w:eastAsia="zh-CN"/>
              </w:rPr>
              <w:t>10</w:t>
            </w:r>
            <w:r>
              <w:rPr>
                <w:rFonts w:hint="eastAsia" w:ascii="宋体" w:hAnsi="宋体" w:cs="宋体"/>
                <w:color w:val="auto"/>
                <w:szCs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安装调试方案明确具体，方案完善的完全满足安装调试要</w:t>
            </w:r>
          </w:p>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求的，安装调试方案符合项目需求切合实际，有具体的安</w:t>
            </w:r>
          </w:p>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装调试流程，有合理可行的安全保证措施，安装调试人员</w:t>
            </w:r>
          </w:p>
          <w:p>
            <w:pPr>
              <w:pStyle w:val="26"/>
              <w:spacing w:line="460" w:lineRule="exact"/>
              <w:ind w:firstLine="0" w:firstLineChars="0"/>
              <w:jc w:val="both"/>
              <w:rPr>
                <w:rFonts w:hint="eastAsia" w:ascii="宋体" w:hAnsi="宋体" w:eastAsia="宋体" w:cs="宋体"/>
                <w:color w:val="auto"/>
                <w:szCs w:val="24"/>
                <w:lang w:eastAsia="zh-CN"/>
              </w:rPr>
            </w:pPr>
            <w:r>
              <w:rPr>
                <w:rFonts w:hint="eastAsia" w:ascii="宋体" w:hAnsi="宋体" w:cs="宋体"/>
                <w:color w:val="auto"/>
                <w:szCs w:val="24"/>
              </w:rPr>
              <w:t>和调试设备配备合理充足得</w:t>
            </w:r>
            <w:r>
              <w:rPr>
                <w:rFonts w:hint="eastAsia" w:ascii="宋体" w:hAnsi="宋体" w:cs="宋体"/>
                <w:color w:val="auto"/>
                <w:szCs w:val="24"/>
                <w:lang w:val="en-US" w:eastAsia="zh-CN"/>
              </w:rPr>
              <w:t>10</w:t>
            </w:r>
            <w:r>
              <w:rPr>
                <w:rFonts w:hint="eastAsia" w:ascii="宋体" w:hAnsi="宋体" w:cs="宋体"/>
                <w:color w:val="auto"/>
                <w:szCs w:val="24"/>
              </w:rPr>
              <w:t>分</w:t>
            </w:r>
            <w:r>
              <w:rPr>
                <w:rFonts w:hint="eastAsia" w:ascii="宋体" w:hAnsi="宋体" w:cs="宋体"/>
                <w:color w:val="auto"/>
                <w:szCs w:val="24"/>
                <w:lang w:eastAsia="zh-CN"/>
              </w:rPr>
              <w:t>；</w:t>
            </w:r>
          </w:p>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安装调试方案基本符合项目需求切合实际，无具体的安装</w:t>
            </w:r>
          </w:p>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调试流程,无安全保证措施,安装调试人员和调试设备配</w:t>
            </w:r>
          </w:p>
          <w:p>
            <w:pPr>
              <w:pStyle w:val="26"/>
              <w:spacing w:line="460" w:lineRule="exact"/>
              <w:ind w:firstLine="0" w:firstLineChars="0"/>
              <w:jc w:val="both"/>
              <w:rPr>
                <w:rFonts w:hint="eastAsia" w:ascii="宋体" w:hAnsi="宋体" w:eastAsia="宋体" w:cs="宋体"/>
                <w:color w:val="auto"/>
                <w:szCs w:val="24"/>
                <w:lang w:eastAsia="zh-CN"/>
              </w:rPr>
            </w:pPr>
            <w:r>
              <w:rPr>
                <w:rFonts w:hint="eastAsia" w:ascii="宋体" w:hAnsi="宋体" w:cs="宋体"/>
                <w:color w:val="auto"/>
                <w:szCs w:val="24"/>
              </w:rPr>
              <w:t>备较少基本满足安装调试要求的得</w:t>
            </w:r>
            <w:r>
              <w:rPr>
                <w:rFonts w:hint="eastAsia" w:ascii="宋体" w:hAnsi="宋体" w:cs="宋体"/>
                <w:color w:val="auto"/>
                <w:szCs w:val="24"/>
                <w:lang w:val="en-US" w:eastAsia="zh-CN"/>
              </w:rPr>
              <w:t>5</w:t>
            </w:r>
            <w:r>
              <w:rPr>
                <w:rFonts w:hint="eastAsia" w:ascii="宋体" w:hAnsi="宋体" w:cs="宋体"/>
                <w:color w:val="auto"/>
                <w:szCs w:val="24"/>
              </w:rPr>
              <w:t>分</w:t>
            </w:r>
            <w:r>
              <w:rPr>
                <w:rFonts w:hint="eastAsia" w:ascii="宋体" w:hAnsi="宋体" w:cs="宋体"/>
                <w:color w:val="auto"/>
                <w:szCs w:val="24"/>
                <w:lang w:eastAsia="zh-CN"/>
              </w:rPr>
              <w:t>；</w:t>
            </w:r>
          </w:p>
          <w:p>
            <w:pPr>
              <w:pStyle w:val="26"/>
              <w:spacing w:line="460" w:lineRule="exact"/>
              <w:ind w:firstLine="0" w:firstLineChars="0"/>
              <w:jc w:val="both"/>
              <w:rPr>
                <w:rFonts w:hint="eastAsia" w:ascii="宋体" w:hAnsi="宋体" w:cs="宋体"/>
                <w:color w:val="auto"/>
                <w:szCs w:val="24"/>
              </w:rPr>
            </w:pPr>
            <w:r>
              <w:rPr>
                <w:rFonts w:hint="eastAsia" w:ascii="宋体" w:hAnsi="宋体" w:cs="宋体"/>
                <w:color w:val="auto"/>
                <w:szCs w:val="24"/>
              </w:rPr>
              <w:t>安装调试方案不切合项目实际情况，有明显缺陷，不满足</w:t>
            </w:r>
          </w:p>
          <w:p>
            <w:pPr>
              <w:pStyle w:val="26"/>
              <w:spacing w:line="460" w:lineRule="exact"/>
              <w:ind w:firstLine="0" w:firstLineChars="0"/>
              <w:jc w:val="both"/>
              <w:rPr>
                <w:rFonts w:hint="eastAsia" w:ascii="宋体" w:hAnsi="宋体" w:eastAsia="宋体" w:cs="宋体"/>
                <w:color w:val="auto"/>
                <w:szCs w:val="24"/>
                <w:highlight w:val="none"/>
                <w:lang w:val="en-US" w:eastAsia="zh-CN"/>
              </w:rPr>
            </w:pPr>
            <w:r>
              <w:rPr>
                <w:rFonts w:hint="eastAsia" w:ascii="宋体" w:hAnsi="宋体" w:cs="宋体"/>
                <w:color w:val="auto"/>
                <w:szCs w:val="24"/>
              </w:rPr>
              <w:t>安装调试要求的得</w:t>
            </w:r>
            <w:r>
              <w:rPr>
                <w:rFonts w:hint="eastAsia" w:ascii="宋体" w:hAnsi="宋体" w:cs="宋体"/>
                <w:color w:val="auto"/>
                <w:szCs w:val="24"/>
                <w:lang w:val="en-US" w:eastAsia="zh-CN"/>
              </w:rPr>
              <w:t>0</w:t>
            </w:r>
            <w:r>
              <w:rPr>
                <w:rFonts w:hint="eastAsia" w:ascii="宋体" w:hAnsi="宋体" w:cs="宋体"/>
                <w:color w:val="auto"/>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合计</w:t>
            </w:r>
          </w:p>
        </w:tc>
        <w:tc>
          <w:tcPr>
            <w:tcW w:w="1047" w:type="dxa"/>
            <w:tcBorders>
              <w:top w:val="single" w:color="auto" w:sz="4" w:space="0"/>
              <w:bottom w:val="single" w:color="auto" w:sz="4" w:space="0"/>
            </w:tcBorders>
            <w:noWrap w:val="0"/>
            <w:vAlign w:val="center"/>
          </w:tcPr>
          <w:p>
            <w:pPr>
              <w:pStyle w:val="26"/>
              <w:tabs>
                <w:tab w:val="center" w:pos="415"/>
              </w:tabs>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70分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left"/>
              <w:rPr>
                <w:rFonts w:hint="eastAsia" w:ascii="宋体" w:hAnsi="宋体" w:eastAsia="宋体" w:cs="宋体"/>
                <w:color w:val="auto"/>
                <w:szCs w:val="24"/>
                <w:highlight w:val="none"/>
              </w:rPr>
            </w:pPr>
          </w:p>
        </w:tc>
      </w:tr>
    </w:tbl>
    <w:p>
      <w:pPr>
        <w:pStyle w:val="25"/>
        <w:spacing w:line="360" w:lineRule="auto"/>
        <w:ind w:left="0" w:leftChars="0" w:firstLine="0" w:firstLineChars="0"/>
        <w:jc w:val="left"/>
        <w:rPr>
          <w:rFonts w:hint="eastAsia" w:ascii="宋体" w:hAnsi="宋体" w:eastAsia="宋体" w:cs="宋体"/>
          <w:b w:val="0"/>
          <w:color w:val="auto"/>
          <w:sz w:val="24"/>
          <w:highlight w:val="none"/>
        </w:rPr>
      </w:pPr>
    </w:p>
    <w:p>
      <w:pPr>
        <w:pStyle w:val="25"/>
        <w:spacing w:line="360" w:lineRule="auto"/>
        <w:ind w:firstLine="483"/>
        <w:jc w:val="both"/>
        <w:rPr>
          <w:rFonts w:hint="eastAsia" w:ascii="宋体" w:hAnsi="宋体" w:eastAsia="宋体" w:cs="宋体"/>
          <w:b w:val="0"/>
          <w:color w:val="auto"/>
          <w:sz w:val="24"/>
          <w:highlight w:val="none"/>
        </w:rPr>
      </w:pPr>
      <w:bookmarkStart w:id="18" w:name="_Toc152045772"/>
      <w:bookmarkStart w:id="19" w:name="_Toc144974834"/>
      <w:bookmarkStart w:id="20" w:name="_Toc27253"/>
      <w:bookmarkStart w:id="21" w:name="_Toc30045"/>
      <w:bookmarkStart w:id="22" w:name="_Toc5648"/>
      <w:bookmarkStart w:id="23" w:name="_Toc179632789"/>
      <w:bookmarkStart w:id="24" w:name="_Toc4547"/>
      <w:bookmarkStart w:id="25" w:name="_Toc152042554"/>
      <w:r>
        <w:rPr>
          <w:rFonts w:hint="eastAsia" w:ascii="宋体" w:hAnsi="宋体" w:eastAsia="宋体" w:cs="宋体"/>
          <w:b w:val="0"/>
          <w:color w:val="auto"/>
          <w:sz w:val="24"/>
          <w:highlight w:val="none"/>
        </w:rPr>
        <w:t>23.8.3  各评标委员会成员对每个投标人的经济报价和技术标的打分合计即为该投标人的评标总得分。</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计算公式为：总评标得分=F1+F2</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其中：F1、F2分别为经济报价、技术标得分</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23.8.5 评标委员会将按投标人得分顺序由高到低依次排名，得分相同的，按投标报价由低到高顺序排列。得分及报价相同的，按技术指标优劣顺序排列。得分最高的前一名至前三名投标人将成为中标候选人。</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23.8.6 评标委员会成员对需要共同认定的事项存在争议的，应当按照少数服从多数的原则作出结论。持不同意见的评标委员会成员应当在评标报告上签署不同意见及理由，否则视为同意评标报告。</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 投标文件的澄清</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24.1  评标委员会在评标过程中有权随时请投标人就投标文件中含混之处加以澄清或答疑。</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24.2  </w:t>
      </w:r>
      <w:r>
        <w:rPr>
          <w:rFonts w:hint="eastAsia" w:ascii="宋体" w:hAnsi="宋体" w:cs="宋体"/>
          <w:color w:val="auto"/>
          <w:szCs w:val="24"/>
          <w:highlight w:val="none"/>
        </w:rPr>
        <w:t>投标人的澄清、说明或者补正应当采用书面形式，并加盖公章，或者由法定代表人或其授权的代表签字。</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24.3  </w:t>
      </w:r>
      <w:r>
        <w:rPr>
          <w:rFonts w:hint="eastAsia" w:ascii="宋体" w:hAnsi="宋体" w:cs="宋体"/>
          <w:color w:val="auto"/>
          <w:szCs w:val="24"/>
          <w:highlight w:val="none"/>
        </w:rPr>
        <w:t>投标人的澄清、说明或者补正不得超出投标文件的范围或者改变投标文件的实质性内容。</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24.4  投标人的澄清文件是投标文件的组成部分，并取代投标文件中被澄清的部分。</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 中标人的确定</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1"/>
        <w:spacing w:line="360" w:lineRule="auto"/>
        <w:ind w:firstLine="482" w:firstLineChars="200"/>
        <w:jc w:val="both"/>
        <w:rPr>
          <w:rFonts w:hint="eastAsia" w:ascii="宋体" w:hAnsi="宋体" w:cs="宋体"/>
          <w:bCs/>
          <w:color w:val="auto"/>
          <w:szCs w:val="24"/>
          <w:highlight w:val="none"/>
        </w:rPr>
      </w:pPr>
      <w:r>
        <w:rPr>
          <w:rFonts w:hint="eastAsia" w:ascii="宋体" w:hAnsi="宋体" w:cs="宋体"/>
          <w:bCs/>
          <w:color w:val="auto"/>
          <w:szCs w:val="24"/>
          <w:highlight w:val="none"/>
        </w:rPr>
        <w:t>25.4  中标供应商拒绝与采购人签订合同的，采购人可以按照评审报告推荐的中标人名单排序，确定下一候选人为中标人，也可以重新开展政府采购活动。</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  中标通知</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26.1 在公告中标结果的同时，采购人或者采购代理机构向中标人发出中标通知书。</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26.2 </w:t>
      </w:r>
      <w:r>
        <w:rPr>
          <w:rFonts w:hint="eastAsia" w:ascii="宋体" w:hAnsi="宋体" w:cs="宋体"/>
          <w:color w:val="auto"/>
          <w:szCs w:val="24"/>
          <w:highlight w:val="none"/>
        </w:rPr>
        <w:t>对于所有投标人的投标文件均</w:t>
      </w:r>
      <w:r>
        <w:rPr>
          <w:rFonts w:hint="eastAsia" w:ascii="宋体" w:hAnsi="宋体" w:cs="宋体"/>
          <w:color w:val="auto"/>
          <w:szCs w:val="24"/>
          <w:highlight w:val="none"/>
          <w:shd w:val="clear" w:color="auto" w:fill="FFFFFF"/>
        </w:rPr>
        <w:t>不予以退还，但对其承担保密责任。</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 拒绝某些或所有投标的权力。</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27.1 采购人或采购代理机构有权在《中标通知书》发放之前的任何时候拒绝任何有不正当行为或扰乱正常招标工作的投标人，由此对相关投标人造成的损失不负责任。</w:t>
      </w:r>
    </w:p>
    <w:p>
      <w:pPr>
        <w:pStyle w:val="20"/>
        <w:jc w:val="center"/>
        <w:outlineLvl w:val="1"/>
        <w:rPr>
          <w:rFonts w:hint="eastAsia"/>
          <w:b/>
          <w:bCs/>
          <w:color w:val="auto"/>
          <w:highlight w:val="none"/>
        </w:rPr>
      </w:pPr>
      <w:r>
        <w:rPr>
          <w:rFonts w:hint="eastAsia"/>
          <w:b/>
          <w:bCs/>
          <w:color w:val="auto"/>
          <w:highlight w:val="none"/>
        </w:rPr>
        <w:t>七、授予合同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中标合同不得转让或分包。如需对合同的非主体部分进行转让或分包，投标人必须在投标文件中予以说明，并需经采购人同意。否则，采购人有权取消中标人的中标资格。</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pPr>
        <w:pStyle w:val="21"/>
        <w:spacing w:line="360" w:lineRule="auto"/>
        <w:ind w:firstLine="482"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29.1.1  招标文件及其附件、澄清文件；</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29.1.2  中标的投标文件及其他附件； </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20"/>
        <w:jc w:val="center"/>
        <w:outlineLvl w:val="1"/>
        <w:rPr>
          <w:rFonts w:hint="eastAsia"/>
          <w:b/>
          <w:bCs/>
          <w:color w:val="auto"/>
          <w:highlight w:val="none"/>
        </w:rPr>
      </w:pPr>
      <w:r>
        <w:rPr>
          <w:rFonts w:hint="eastAsia"/>
          <w:b/>
          <w:bCs/>
          <w:color w:val="auto"/>
          <w:highlight w:val="none"/>
        </w:rPr>
        <w:t>八、买方授标时更改采购货物数量的权利</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20"/>
        <w:jc w:val="center"/>
        <w:outlineLvl w:val="1"/>
        <w:rPr>
          <w:rFonts w:hint="eastAsia"/>
          <w:b/>
          <w:bCs/>
          <w:color w:val="auto"/>
          <w:highlight w:val="none"/>
        </w:rPr>
      </w:pPr>
      <w:r>
        <w:rPr>
          <w:rFonts w:hint="eastAsia"/>
          <w:b/>
          <w:bCs/>
          <w:color w:val="auto"/>
          <w:highlight w:val="none"/>
        </w:rPr>
        <w:t>九、其他事项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中标人应按本招标文件的规定，在《中标通知书》核发时至核发后3天内，向采购代理机构支付中标服务费。</w:t>
      </w:r>
    </w:p>
    <w:p>
      <w:pPr>
        <w:pStyle w:val="22"/>
        <w:spacing w:line="360" w:lineRule="auto"/>
        <w:ind w:firstLine="483"/>
        <w:rPr>
          <w:rFonts w:hint="eastAsia" w:ascii="宋体" w:hAnsi="宋体" w:eastAsia="宋体" w:cs="宋体"/>
          <w:color w:val="auto"/>
          <w:sz w:val="24"/>
          <w:highlight w:val="none"/>
        </w:rPr>
      </w:pPr>
      <w:bookmarkStart w:id="26" w:name="_Toc14033"/>
      <w:bookmarkStart w:id="27" w:name="_Toc19074"/>
      <w:r>
        <w:rPr>
          <w:rFonts w:hint="eastAsia" w:ascii="宋体" w:hAnsi="宋体" w:eastAsia="宋体" w:cs="宋体"/>
          <w:color w:val="auto"/>
          <w:sz w:val="24"/>
          <w:highlight w:val="none"/>
        </w:rPr>
        <w:t>31.2 中标服务费的计算基数是中标人投标报价的总金额，即中标通知书中载明的中标金额</w:t>
      </w:r>
      <w:bookmarkEnd w:id="26"/>
      <w:bookmarkEnd w:id="27"/>
      <w:r>
        <w:rPr>
          <w:rFonts w:hint="eastAsia" w:ascii="宋体" w:hAnsi="宋体" w:eastAsia="宋体" w:cs="宋体"/>
          <w:color w:val="auto"/>
          <w:sz w:val="24"/>
          <w:highlight w:val="none"/>
        </w:rPr>
        <w:t>。</w:t>
      </w:r>
    </w:p>
    <w:p>
      <w:pPr>
        <w:pStyle w:val="22"/>
        <w:spacing w:line="360" w:lineRule="auto"/>
        <w:ind w:firstLine="483"/>
        <w:rPr>
          <w:rFonts w:hint="eastAsia" w:ascii="宋体" w:hAnsi="宋体" w:eastAsia="宋体" w:cs="宋体"/>
          <w:color w:val="auto"/>
          <w:sz w:val="24"/>
          <w:highlight w:val="none"/>
        </w:rPr>
      </w:pPr>
      <w:bookmarkStart w:id="28"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28"/>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不同投标人的投标文件由同一单位或者个人编制；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不同投标人的投标文件载明的项目管理成员或者联系人员为同一人；</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不同投标人的投标文件异常一致或者投标报价呈规律性差异；</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不同投标人的投标文件相互混装；</w:t>
      </w:r>
    </w:p>
    <w:p>
      <w:pPr>
        <w:pStyle w:val="22"/>
        <w:spacing w:line="360" w:lineRule="auto"/>
        <w:ind w:firstLine="483"/>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33.6  不同投标人的投标保证金从同一单位或者个人的账户转出。</w:t>
      </w:r>
      <w:bookmarkStart w:id="29" w:name="_Toc14852"/>
      <w:bookmarkStart w:id="30" w:name="_Toc152042387"/>
      <w:bookmarkStart w:id="31" w:name="_Toc152045609"/>
      <w:bookmarkStart w:id="32" w:name="_Toc7110"/>
      <w:bookmarkStart w:id="33" w:name="_Toc29020"/>
      <w:bookmarkStart w:id="34" w:name="_Toc144974577"/>
      <w:bookmarkStart w:id="35" w:name="_Toc470"/>
      <w:bookmarkStart w:id="36" w:name="_Toc179632627"/>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pStyle w:val="3"/>
        <w:keepNext w:val="0"/>
        <w:keepLines w:val="0"/>
        <w:adjustRightInd w:val="0"/>
        <w:snapToGrid w:val="0"/>
        <w:spacing w:before="120" w:after="120" w:line="360" w:lineRule="auto"/>
        <w:jc w:val="both"/>
        <w:outlineLvl w:val="0"/>
        <w:rPr>
          <w:rFonts w:hint="eastAsia" w:ascii="宋体" w:hAnsi="宋体" w:eastAsia="宋体" w:cs="宋体"/>
          <w:b/>
          <w:bCs w:val="0"/>
          <w:color w:val="auto"/>
          <w:sz w:val="24"/>
          <w:szCs w:val="24"/>
          <w:highlight w:val="none"/>
        </w:rPr>
      </w:pPr>
    </w:p>
    <w:p>
      <w:pPr>
        <w:pStyle w:val="3"/>
        <w:keepNext w:val="0"/>
        <w:keepLines w:val="0"/>
        <w:adjustRightInd w:val="0"/>
        <w:snapToGrid w:val="0"/>
        <w:spacing w:before="120" w:after="120"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sz w:val="24"/>
          <w:szCs w:val="24"/>
          <w:highlight w:val="none"/>
        </w:rPr>
        <w:t>第三章 合同条款</w:t>
      </w:r>
      <w:bookmarkEnd w:id="29"/>
      <w:bookmarkEnd w:id="30"/>
      <w:bookmarkEnd w:id="31"/>
      <w:bookmarkEnd w:id="32"/>
      <w:bookmarkEnd w:id="33"/>
      <w:bookmarkEnd w:id="34"/>
      <w:bookmarkEnd w:id="35"/>
      <w:bookmarkEnd w:id="36"/>
      <w:bookmarkStart w:id="37" w:name="_Toc179632785"/>
      <w:bookmarkStart w:id="38" w:name="_Toc144974826"/>
      <w:bookmarkStart w:id="39" w:name="_Toc152042546"/>
      <w:bookmarkStart w:id="40" w:name="_Toc152045767"/>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仅供参考</w:t>
      </w:r>
      <w:r>
        <w:rPr>
          <w:rFonts w:hint="eastAsia" w:ascii="宋体" w:hAnsi="宋体" w:eastAsia="宋体" w:cs="宋体"/>
          <w:b/>
          <w:bCs w:val="0"/>
          <w:color w:val="auto"/>
          <w:sz w:val="24"/>
          <w:szCs w:val="24"/>
          <w:highlight w:val="none"/>
          <w:lang w:eastAsia="zh-CN"/>
        </w:rPr>
        <w:t>）</w:t>
      </w:r>
    </w:p>
    <w:bookmarkEnd w:id="37"/>
    <w:bookmarkEnd w:id="38"/>
    <w:bookmarkEnd w:id="39"/>
    <w:bookmarkEnd w:id="40"/>
    <w:p>
      <w:pPr>
        <w:numPr>
          <w:ilvl w:val="0"/>
          <w:numId w:val="4"/>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定义</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本合同下列术语应解释为：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1.1 “合同”系指买卖双方签署的、合同格式中载明的买卖双方所达成的协议,包括所有的附件、附录和上述文件所提到的构成合同的所有文件。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1.2 “合同价”系指根据合同规定卖方在正确地完全履行合同义务后买方应支付给卖方的价格。</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1.3 “货物” 系指卖方根据合同规定须向买方提供的一切材料、设备、机械、仪表、备件、工具或其它材料。</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1.4 “服务”系指根据合同规定卖方承担与供货有关的辅助服务，比如运输、保险、以及其它的伴随服务，比如安装、调试、提供技术援助、培训和合同中规定卖方应承担的其它义务。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 “买方”系指前附表中所述购买货物和服务的单位。</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 “卖方”系指前附表中所述提供货物和服务的公司或实体。</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1.7 “项目现场”系指合同条款前附表中指明的地点。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1.8 “天”指日历天数。</w:t>
      </w:r>
    </w:p>
    <w:p>
      <w:pPr>
        <w:numPr>
          <w:ilvl w:val="0"/>
          <w:numId w:val="4"/>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来源地</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2.1本条所述的“来源地”系指货物生产地或提供服务的来源地。</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3.技术规格</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3.1交付的货物的技术规格应与招标文件规定的技术规格相一致。</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3.2除技术规格另有规定外,计量单位应该使用公制。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4.专利权</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4.1卖方应保证买方在使用该货物或其任何一部分免受第三方提出侵犯其专利权、商标权或工业设计权的起诉。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5.包装要求</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5.1除合同另有规定外，卖方提供的全部货物均应按标准保护措施进行包装，这类包装应适应于远距离运输、防潮、防震、防锈和防野蛮装卸，以确保货物安全无损运抵指定现场。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5.2货物包装应附一份详细包装单和质量证书。</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6.包装标志</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6.1卖方应在每一包装用不褪色的、以醒目的中文字样做出下列标记:</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1、货物名称、品目号和规格：</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2、毛重/净重：</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3、生产日期</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4、行业规定的其它标识</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7.装运条件</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7.2如果是从国内供应的货物：</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 xml:space="preserve">7.2.1卖方应负责内陆运输；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7.2.2货物到达买方目的地，经验收合格，买方签字认可后的日期为交货日期。</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8.装运通知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8.2如果是从国内供应的货物，买方提前十四天制定需求计划给卖方: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8.2.1卖方应在合同规定的装运日期之前七(7)天内以电报或电传或传真形式将合同号、货物名称、数量和到货日期通知买方。同时，卖方应用挂号信把详细的货物清单一式两份，包括合同号、货物名称、规格、数量、待运日期和货物在运输、储存中的特殊要求和注意事项等通知买方。</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8.2.2卖方应在货物装完后24小时之内以电报或电传或传真形式将合同号、货物名称、数量、发票金额、运输工具名称及启运日期通知买方。</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9.付款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9.1本合同以人民币付款。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9.2卖方应按照双方签订的合同规定交货。交货后卖方应把下列单据提交给买方，买方按合同规定审核后付款。</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1.发票；</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2.装车单；</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3.出具的质量检验证书和数量证明书；以及国家省级以上质量监督部门对本货物的质量检验证书；</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4.验收证书。</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5.买方验收签证</w:t>
      </w:r>
    </w:p>
    <w:p>
      <w:pPr>
        <w:numPr>
          <w:ilvl w:val="0"/>
          <w:numId w:val="5"/>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9.3卖方应在每批货物到达买方目的地后，经验收数量与卖方提供的数量证明书一致后四十八（48）小时内将上述9.2条要求的单据给买方。</w:t>
      </w:r>
    </w:p>
    <w:p>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9.4付款方式：</w:t>
      </w:r>
      <w:r>
        <w:rPr>
          <w:rFonts w:hint="eastAsia" w:ascii="宋体" w:hAnsi="宋体" w:cs="宋体"/>
          <w:b/>
          <w:bCs/>
          <w:color w:val="auto"/>
          <w:sz w:val="24"/>
          <w:highlight w:val="none"/>
          <w:lang w:val="en-US" w:eastAsia="zh-CN"/>
        </w:rPr>
        <w:t>签订合同时与采购人约定。</w:t>
      </w:r>
    </w:p>
    <w:p>
      <w:pPr>
        <w:spacing w:line="360" w:lineRule="auto"/>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10. 质量保证</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10.1 质量要求、技术标准及卖方对质量负责的条件期限。</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10.2 卖方应严格按照设备制造国家标准和行业标准进行制造。出厂前卖方的质量检验部门应按照产品原产地国家制定的各项规定进行产品质量检验，检验合格后出具质量证明书后，方能出厂。</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10.3 卖方对货物制造质量负责，在买方按照使用维护说明书的规定正确的安装维护及存放的情况下，卖方应保证所供设备自正式投入运行之日起36个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10.4卖方应对所供应设备的外协、外购件质量负责，其负责期限和责任范围等同于1.2条款的约定。卖方在交货时应提供外购件的使用维护说明书及证明文件。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10.5卖方单位所提供产品的技术应是最新的,并且已有运行2年以上的成功经验,并附有证明文件。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10.6 运输方式、交货地点及到达项目现场费用负担</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10.7 运输方式由卖方决定、由卖方办理，运杂费用由卖方承担，产品包装应符合国家有关要求。</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11．技术培训要求</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11.1设备从到厂开始，希望调试人员在安装调试的全过程中对我单位保全及操作工培训。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11.2设备安装调试完毕后，对我单位相关人员进行系统培训。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11.3操作人员能够熟练掌握操作方法。</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11.4保全对设备有很好的认识，能够自行维修设备的一般故障，出现特殊故障时，保全能够通过电话沟通维修设备。</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12. 售后服务</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12.1在货物到达使用单位后，接到买方通知后，应在1天内派工程技术人员到达现场，在买方技术人员在场的情况下开箱清点货物，组织安装调试，并承担由此发生的一切费用，安装时间不长于7天。</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12.2设备安装后双方按国际和国家标准及本章第3条款的要求进行质量验收。卖方应向买方提供详细的验收标准、验收手册，免费提供验收所需的仪器，买方在验收合格后将仪器归还卖方。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12.3 在设备交付使用后，卖方应对保修期及其以后终身服务作出承诺，并具有切实可行的服务措施。卖方在疆应有常设或指派的法定售后服务机构，备品备件库（进口产品除外），安装维修人员应是卖方派出的具有一定专业技术水平的人员。</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12.4 对配套设备中的产品必须提供有关资料及售后服务承诺。</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13. 备品备件</w:t>
      </w:r>
    </w:p>
    <w:p>
      <w:pPr>
        <w:pStyle w:val="22"/>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13.1 应保证终身提供该设备的所有维修零备件。</w:t>
      </w:r>
    </w:p>
    <w:p>
      <w:pPr>
        <w:pStyle w:val="22"/>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13.2 卖方须提供备件的名称、价格及有效期，保证供货期等。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14．保修</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次招标采购的产品，要求质保期一年。质保期即自安装验收合格正式运行之日算起，至少12个月内无故障安全运行（如出现质量问题，卖方在保修期内免费更换部件及维修）。如果由于卖方责任致使系统不能验收，此保修期顺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15.检验</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11.1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15.2货物运抵买方目的地后，买方对货物的质量、规格、数量和重量进行检验，并出具检验证书。费用由卖方承担。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16.卖方履约延误</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16.1卖方应按照“货物需求一览表及技术规格要求”中买方规定的时间表交货和提供服务。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16.2如卖方无正当理由而拖延交货，将受到以下制裁：没收履约保证金，加收误期赔偿或违约终止合同。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16.3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17.误期赔偿</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17.1除合同第17条规定外，如果卖方没有按照合同规定的时间交货和提供服务，买方应从货款中扣除误期赔偿费而不影响合同项下的其他补救方法，赔偿费按每周迟交货物交货价或未提供服务费用的</w:t>
      </w:r>
      <w:r>
        <w:rPr>
          <w:rFonts w:hint="eastAsia" w:ascii="宋体" w:hAnsi="宋体" w:cs="宋体"/>
          <w:b/>
          <w:bCs/>
          <w:color w:val="auto"/>
          <w:sz w:val="24"/>
          <w:highlight w:val="none"/>
        </w:rPr>
        <w:t>千分之二（2‰）</w:t>
      </w:r>
      <w:r>
        <w:rPr>
          <w:rFonts w:hint="eastAsia" w:ascii="宋体" w:hAnsi="宋体" w:cs="宋体"/>
          <w:color w:val="auto"/>
          <w:sz w:val="24"/>
          <w:highlight w:val="none"/>
        </w:rPr>
        <w:t>计收,直至交货或提供服务为止。但误期赔偿费的最高限额不超过误期货物总价或服务合同价的百分之五（5%）。一周按七（7）天计算，不足七（7）天按一周计算。一旦达到误期赔偿的最高限额，买方可考虑终止合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18.不可抗力</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18.1如果卖方因不可抗力而导致合同实施延误或不能履行合同义务的话，买方不应没收履约保证金，卖方也不应该承担误期赔偿或终止合同的责任。</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18.2本条所述的“不可抗力”系指那些卖方无法控制，不可预见的事件，但不包括卖方的违约或疏忽。这些事件包括：战争、严重火灾、洪水、台风、地震以及其它经双方商定的事件。</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126）天，双方应通过友好协商在合理的时间内达成进一步履行合同的协议。</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19.税费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15.1卖方报价应包括货物送达买方目的地以前的所有税费。既与本合同有关的一切税费均应由卖方负担。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20.价格调整</w:t>
      </w:r>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20.1  物价波动引起的价格调整</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本工程工期较短，投标人应自行考虑项目实施过程中材料的价格波动。招标人对物价波动引起的价格不予调整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21．履约保证金</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21.1卖方应在收到中标通告书后七（7）天内，应按“投标人须知前附表”的要求向买方提供履约保证金。履约保证金的有效期到工程通过初步验收后28天时为止。</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21.2卖方提供的履约保证金应按招标文件所附的格式或买方可接受的其他格式提供，与此有关的费用均由卖方负担。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21.3如果卖方未能履行合同规定的任何义务，买方有权从履约保证金中得到补偿。</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22.争端的解决</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22.1买卖双方通过友好协商，解决在执行本合同中所发生的或与本合同有关的一切争端。如从协商开始二十八（28）天内仍不能解决，双方应将争端提交阿克苏地区行业主管部门寻求可能解决的办法。如果提交行业主管部门后二十八（28）天内仍得不到解决，则应提请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22.2仲裁应按照双方商定的仲裁委员会根据其仲裁程序进行仲裁；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22.3仲裁裁决应为最终裁决，对双方均具有约束力。</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22.4仲裁费除仲裁机关另有裁决外均应由败诉方负担。</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22.5在仲裁期间，除正在进行仲裁的部分外，本合同的其它部分应继续执行。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23.违约终止合同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23.1在买方对卖方违约而采取的任何补救措施对工程都受影响的情况下，买方可向卖方发出书面通知书，提出终止部分或全部合同。</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1、如果卖方未能在合同规定的期限或买方同意延长的期限内提供部分或全部货物；</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2、如果卖方未能履行合同规定的其它任何义务。</w:t>
      </w:r>
    </w:p>
    <w:p>
      <w:p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24.转让和分包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24.1除买方事先书面同意外，卖方不得部分转让或全部转让其应履行的合同义务。</w:t>
      </w:r>
    </w:p>
    <w:p>
      <w:pPr>
        <w:spacing w:line="360" w:lineRule="auto"/>
        <w:outlineLvl w:val="1"/>
        <w:rPr>
          <w:rFonts w:hint="eastAsia" w:ascii="宋体" w:hAnsi="宋体" w:cs="宋体"/>
          <w:color w:val="auto"/>
          <w:sz w:val="24"/>
          <w:highlight w:val="none"/>
        </w:rPr>
      </w:pPr>
      <w:r>
        <w:rPr>
          <w:rFonts w:hint="eastAsia" w:ascii="宋体" w:hAnsi="宋体" w:cs="宋体"/>
          <w:b/>
          <w:color w:val="auto"/>
          <w:sz w:val="24"/>
          <w:highlight w:val="none"/>
        </w:rPr>
        <w:t>25.适用法律</w:t>
      </w:r>
    </w:p>
    <w:p>
      <w:pPr>
        <w:spacing w:line="360" w:lineRule="auto"/>
        <w:ind w:firstLine="510"/>
        <w:outlineLvl w:val="2"/>
        <w:rPr>
          <w:rFonts w:hint="eastAsia" w:ascii="宋体" w:hAnsi="宋体" w:cs="宋体"/>
          <w:color w:val="auto"/>
          <w:sz w:val="24"/>
          <w:highlight w:val="none"/>
        </w:rPr>
      </w:pPr>
      <w:r>
        <w:rPr>
          <w:rFonts w:hint="eastAsia" w:ascii="宋体" w:hAnsi="宋体" w:cs="宋体"/>
          <w:color w:val="auto"/>
          <w:sz w:val="24"/>
          <w:highlight w:val="none"/>
        </w:rPr>
        <w:t>24.1本合同应按照中华人民共和国的现行法律进行解释。</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25.合同生效</w:t>
      </w:r>
    </w:p>
    <w:p>
      <w:pPr>
        <w:spacing w:line="360" w:lineRule="auto"/>
        <w:ind w:firstLine="510"/>
        <w:rPr>
          <w:rFonts w:hint="eastAsia"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.1本合同应在双方签字和买方收到卖方提供的履约保证金后生效。</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26.主导语言</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26.1本合同一式四份，以中文书写，买方执三份，卖方执一份。</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27.合同修改</w:t>
      </w:r>
    </w:p>
    <w:p>
      <w:p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27.1除了双方签署书面修改协议，并成为本合同不可分割的一部分的情况之外，本合同的条件不得有任何变化或修改。</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28. 其它事项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28.1 本合同所确定的价格为最终价格,已包含包装费、运杂费、保险费、卖方的现场验收、安装调试费、现场服务费等各项费用。</w:t>
      </w:r>
    </w:p>
    <w:p>
      <w:pPr>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29.  </w:t>
      </w:r>
      <w:r>
        <w:rPr>
          <w:rFonts w:hint="eastAsia" w:ascii="宋体" w:hAnsi="宋体" w:cs="宋体"/>
          <w:b/>
          <w:bCs/>
          <w:color w:val="auto"/>
          <w:sz w:val="24"/>
          <w:highlight w:val="none"/>
        </w:rPr>
        <w:t>其它要求</w:t>
      </w:r>
      <w:r>
        <w:rPr>
          <w:rFonts w:hint="eastAsia" w:ascii="宋体" w:hAnsi="宋体" w:cs="宋体"/>
          <w:b/>
          <w:bCs/>
          <w:color w:val="auto"/>
          <w:kern w:val="0"/>
          <w:sz w:val="24"/>
          <w:highlight w:val="none"/>
        </w:rPr>
        <w:t xml:space="preserve">  </w:t>
      </w:r>
    </w:p>
    <w:p>
      <w:pPr>
        <w:spacing w:line="360" w:lineRule="auto"/>
        <w:ind w:firstLine="482" w:firstLineChars="200"/>
        <w:rPr>
          <w:rFonts w:hint="eastAsia" w:ascii="宋体" w:hAnsi="宋体" w:cs="宋体"/>
          <w:b/>
          <w:bCs/>
          <w:color w:val="auto"/>
          <w:sz w:val="32"/>
          <w:szCs w:val="32"/>
          <w:highlight w:val="none"/>
        </w:rPr>
        <w:sectPr>
          <w:footerReference r:id="rId7" w:type="first"/>
          <w:footerReference r:id="rId6" w:type="default"/>
          <w:pgSz w:w="11849" w:h="16781"/>
          <w:pgMar w:top="1440" w:right="1080" w:bottom="1440" w:left="1080" w:header="851" w:footer="850" w:gutter="0"/>
          <w:cols w:space="720" w:num="1"/>
          <w:titlePg/>
          <w:docGrid w:type="linesAndChars" w:linePitch="320" w:charSpace="269"/>
        </w:sectPr>
      </w:pPr>
      <w:r>
        <w:rPr>
          <w:rFonts w:hint="eastAsia" w:ascii="宋体" w:hAnsi="宋体" w:cs="宋体"/>
          <w:color w:val="auto"/>
          <w:kern w:val="0"/>
          <w:sz w:val="24"/>
          <w:highlight w:val="none"/>
        </w:rPr>
        <w:t xml:space="preserve"> 质保期内，如有损坏，请按照合同规定及时派人到场</w:t>
      </w:r>
      <w:r>
        <w:rPr>
          <w:rFonts w:hint="eastAsia" w:ascii="宋体" w:hAnsi="宋体" w:cs="宋体"/>
          <w:color w:val="auto"/>
          <w:kern w:val="0"/>
          <w:sz w:val="24"/>
          <w:highlight w:val="none"/>
          <w:lang w:eastAsia="zh-CN"/>
        </w:rPr>
        <w:t>修缮</w:t>
      </w:r>
      <w:r>
        <w:rPr>
          <w:rFonts w:hint="eastAsia" w:ascii="宋体" w:hAnsi="宋体" w:cs="宋体"/>
          <w:color w:val="auto"/>
          <w:kern w:val="0"/>
          <w:sz w:val="24"/>
          <w:highlight w:val="none"/>
        </w:rPr>
        <w:t>。</w:t>
      </w:r>
    </w:p>
    <w:p>
      <w:pPr>
        <w:pStyle w:val="24"/>
        <w:numPr>
          <w:ilvl w:val="0"/>
          <w:numId w:val="6"/>
        </w:numPr>
        <w:jc w:val="center"/>
        <w:rPr>
          <w:rFonts w:hint="eastAsia"/>
          <w:b/>
          <w:bCs/>
          <w:color w:val="auto"/>
          <w:sz w:val="32"/>
          <w:szCs w:val="32"/>
          <w:highlight w:val="none"/>
        </w:rPr>
      </w:pPr>
      <w:r>
        <w:rPr>
          <w:rFonts w:hint="eastAsia"/>
          <w:b/>
          <w:bCs/>
          <w:color w:val="auto"/>
          <w:sz w:val="32"/>
          <w:szCs w:val="32"/>
          <w:highlight w:val="none"/>
        </w:rPr>
        <w:t>采购</w:t>
      </w:r>
      <w:r>
        <w:rPr>
          <w:rFonts w:hint="eastAsia"/>
          <w:b/>
          <w:bCs/>
          <w:color w:val="auto"/>
          <w:sz w:val="32"/>
          <w:szCs w:val="32"/>
          <w:highlight w:val="none"/>
          <w:lang w:val="en-US" w:eastAsia="zh-CN"/>
        </w:rPr>
        <w:t>清单</w:t>
      </w:r>
    </w:p>
    <w:bookmarkEnd w:id="18"/>
    <w:bookmarkEnd w:id="19"/>
    <w:bookmarkEnd w:id="20"/>
    <w:bookmarkEnd w:id="21"/>
    <w:bookmarkEnd w:id="22"/>
    <w:bookmarkEnd w:id="23"/>
    <w:bookmarkEnd w:id="24"/>
    <w:bookmarkEnd w:id="25"/>
    <w:p>
      <w:pPr>
        <w:tabs>
          <w:tab w:val="left" w:pos="3780"/>
        </w:tabs>
        <w:topLinePunct/>
        <w:adjustRightInd w:val="0"/>
        <w:snapToGrid w:val="0"/>
        <w:spacing w:line="360" w:lineRule="auto"/>
        <w:jc w:val="both"/>
        <w:outlineLvl w:val="0"/>
        <w:rPr>
          <w:rFonts w:hint="eastAsia" w:ascii="宋体" w:hAnsi="宋体" w:cs="宋体"/>
          <w:b/>
          <w:bCs/>
          <w:color w:val="auto"/>
          <w:sz w:val="24"/>
          <w:highlight w:val="none"/>
          <w:lang w:eastAsia="zh-CN"/>
        </w:rPr>
      </w:pPr>
      <w:bookmarkStart w:id="41" w:name="_Toc16742"/>
      <w:bookmarkStart w:id="42" w:name="_Toc31265"/>
      <w:bookmarkStart w:id="43" w:name="_Toc5416"/>
      <w:bookmarkStart w:id="44" w:name="_Toc3191"/>
      <w:bookmarkStart w:id="45" w:name="_Toc179632806"/>
    </w:p>
    <w:tbl>
      <w:tblPr>
        <w:tblStyle w:val="16"/>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590"/>
        <w:gridCol w:w="1875"/>
        <w:gridCol w:w="750"/>
        <w:gridCol w:w="615"/>
        <w:gridCol w:w="720"/>
        <w:gridCol w:w="720"/>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序号</w:t>
            </w:r>
          </w:p>
        </w:tc>
        <w:tc>
          <w:tcPr>
            <w:tcW w:w="1590"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产品名称</w:t>
            </w:r>
          </w:p>
        </w:tc>
        <w:tc>
          <w:tcPr>
            <w:tcW w:w="187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规格</w:t>
            </w:r>
          </w:p>
        </w:tc>
        <w:tc>
          <w:tcPr>
            <w:tcW w:w="750"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数量</w:t>
            </w:r>
          </w:p>
        </w:tc>
        <w:tc>
          <w:tcPr>
            <w:tcW w:w="61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单位</w:t>
            </w:r>
          </w:p>
        </w:tc>
        <w:tc>
          <w:tcPr>
            <w:tcW w:w="720"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单价 （元）</w:t>
            </w:r>
          </w:p>
        </w:tc>
        <w:tc>
          <w:tcPr>
            <w:tcW w:w="720"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金额（元）</w:t>
            </w: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tcPr>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w:t>
            </w:r>
          </w:p>
        </w:tc>
        <w:tc>
          <w:tcPr>
            <w:tcW w:w="1590" w:type="dxa"/>
            <w:vMerge w:val="restart"/>
          </w:tcPr>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智能高压雾桩旋转系统</w:t>
            </w:r>
          </w:p>
        </w:tc>
        <w:tc>
          <w:tcPr>
            <w:tcW w:w="1875" w:type="dxa"/>
            <w:vMerge w:val="restart"/>
          </w:tcPr>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功率：7.5KW/4级 外轴高压泵</w:t>
            </w: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电压：380v</w:t>
            </w: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主机，变频系统</w:t>
            </w:r>
          </w:p>
        </w:tc>
        <w:tc>
          <w:tcPr>
            <w:tcW w:w="750" w:type="dxa"/>
            <w:vMerge w:val="restart"/>
          </w:tcPr>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pStyle w:val="8"/>
              <w:rPr>
                <w:rFonts w:hint="eastAsia"/>
                <w:color w:val="auto"/>
                <w:lang w:val="en-US" w:eastAsia="zh-CN"/>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w:t>
            </w:r>
          </w:p>
        </w:tc>
        <w:tc>
          <w:tcPr>
            <w:tcW w:w="615" w:type="dxa"/>
            <w:vMerge w:val="restart"/>
          </w:tcPr>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p>
          <w:p>
            <w:pPr>
              <w:pStyle w:val="8"/>
              <w:ind w:left="0" w:leftChars="0" w:firstLine="0" w:firstLineChars="0"/>
              <w:rPr>
                <w:rFonts w:hint="eastAsia" w:ascii="宋体" w:hAnsi="宋体" w:eastAsia="宋体" w:cs="宋体"/>
                <w:color w:val="auto"/>
                <w:kern w:val="2"/>
                <w:sz w:val="18"/>
                <w:szCs w:val="18"/>
                <w:highlight w:val="none"/>
                <w:vertAlign w:val="baseline"/>
                <w:lang w:val="en-US" w:eastAsia="zh-CN" w:bidi="ar-SA"/>
              </w:rPr>
            </w:pPr>
          </w:p>
          <w:p>
            <w:pPr>
              <w:rPr>
                <w:rFonts w:hint="eastAsia" w:ascii="宋体" w:hAnsi="宋体" w:eastAsia="宋体" w:cs="宋体"/>
                <w:color w:val="auto"/>
                <w:kern w:val="2"/>
                <w:sz w:val="18"/>
                <w:szCs w:val="18"/>
                <w:highlight w:val="none"/>
                <w:vertAlign w:val="baseline"/>
                <w:lang w:val="en-US" w:eastAsia="zh-CN" w:bidi="ar-SA"/>
              </w:rPr>
            </w:pPr>
          </w:p>
          <w:p>
            <w:pPr>
              <w:pStyle w:val="8"/>
              <w:rPr>
                <w:rFonts w:hint="eastAsia" w:ascii="宋体" w:hAnsi="宋体" w:eastAsia="宋体" w:cs="宋体"/>
                <w:color w:val="auto"/>
                <w:kern w:val="2"/>
                <w:sz w:val="18"/>
                <w:szCs w:val="18"/>
                <w:highlight w:val="none"/>
                <w:vertAlign w:val="baseline"/>
                <w:lang w:val="en-US" w:eastAsia="zh-CN" w:bidi="ar-SA"/>
              </w:rPr>
            </w:pPr>
          </w:p>
          <w:p>
            <w:pPr>
              <w:pStyle w:val="8"/>
              <w:ind w:left="0" w:leftChars="0" w:firstLine="0" w:firstLineChars="0"/>
              <w:rPr>
                <w:rFonts w:hint="eastAsia" w:ascii="宋体" w:hAnsi="宋体" w:eastAsia="宋体" w:cs="宋体"/>
                <w:color w:val="auto"/>
                <w:kern w:val="2"/>
                <w:sz w:val="18"/>
                <w:szCs w:val="18"/>
                <w:highlight w:val="none"/>
                <w:vertAlign w:val="baseline"/>
                <w:lang w:val="en-US" w:eastAsia="zh-CN" w:bidi="ar-SA"/>
              </w:rPr>
            </w:pPr>
          </w:p>
          <w:p>
            <w:pPr>
              <w:rPr>
                <w:rFonts w:hint="eastAsia"/>
                <w:color w:val="auto"/>
                <w:lang w:val="en-US" w:eastAsia="zh-CN"/>
              </w:rPr>
            </w:pPr>
          </w:p>
          <w:p>
            <w:pPr>
              <w:pStyle w:val="8"/>
              <w:rPr>
                <w:rFonts w:hint="eastAsia"/>
                <w:color w:val="auto"/>
                <w:lang w:val="en-US" w:eastAsia="zh-CN"/>
              </w:rPr>
            </w:pPr>
          </w:p>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台</w:t>
            </w:r>
          </w:p>
        </w:tc>
        <w:tc>
          <w:tcPr>
            <w:tcW w:w="720" w:type="dxa"/>
            <w:vMerge w:val="restart"/>
          </w:tcPr>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pStyle w:val="8"/>
              <w:rPr>
                <w:rFonts w:hint="eastAsia"/>
                <w:color w:val="auto"/>
                <w:lang w:val="en-US" w:eastAsia="zh-CN"/>
              </w:rPr>
            </w:pPr>
          </w:p>
          <w:p>
            <w:pPr>
              <w:numPr>
                <w:ilvl w:val="0"/>
                <w:numId w:val="0"/>
              </w:numPr>
              <w:ind w:leftChars="0"/>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vMerge w:val="restart"/>
          </w:tcPr>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both"/>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eastAsia" w:ascii="宋体" w:hAnsi="宋体" w:cs="宋体"/>
                <w:color w:val="auto"/>
                <w:kern w:val="2"/>
                <w:sz w:val="18"/>
                <w:szCs w:val="18"/>
                <w:highlight w:val="none"/>
                <w:vertAlign w:val="baseline"/>
                <w:lang w:val="en-US" w:eastAsia="zh-CN" w:bidi="ar-SA"/>
              </w:rPr>
            </w:pPr>
          </w:p>
          <w:p>
            <w:pPr>
              <w:numPr>
                <w:ilvl w:val="0"/>
                <w:numId w:val="0"/>
              </w:numPr>
              <w:ind w:leftChars="0"/>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numPr>
                <w:ilvl w:val="0"/>
                <w:numId w:val="0"/>
              </w:numPr>
              <w:ind w:leftChars="0"/>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主机，180基座，物联网，变频系统，12-15米雾桩杆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智能一体机，专用触摸屏 PLC，单过滤，缺水报警智能恢复，分解综合压力，消除管道震动、噪音、磨损。                             手动/自动锁机功能. 带水箱、具有手动、自动、联控、通讯控制功能。可实时查看与上传设备实时状态，包括：电流、电压、机油寿命等参数以及多达8种可能出现的报警状态。多种控制模式选择，无需改装即可适应99%以上的应用场景。控制器与传感器均采用低压源，更安全、可靠、耐用、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主机运行参数实时监测、展示（如：电流、温度、机油寿命、累计运行时间、水位等缺水保护，供水异常，机油过期保护，过载保护，缺相保护，母线欠压保护及接地CF与负载短路保护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2</w:t>
            </w:r>
          </w:p>
        </w:tc>
        <w:tc>
          <w:tcPr>
            <w:tcW w:w="159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智能高压雾桩旋转系统</w:t>
            </w:r>
          </w:p>
        </w:tc>
        <w:tc>
          <w:tcPr>
            <w:tcW w:w="1875"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功率：5.5KW/4级外轴高压泵</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电压：380v           主机，变频系统</w:t>
            </w:r>
          </w:p>
        </w:tc>
        <w:tc>
          <w:tcPr>
            <w:tcW w:w="75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615" w:type="dxa"/>
            <w:vMerge w:val="restart"/>
          </w:tcPr>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台</w:t>
            </w:r>
          </w:p>
        </w:tc>
        <w:tc>
          <w:tcPr>
            <w:tcW w:w="720" w:type="dxa"/>
            <w:vMerge w:val="restart"/>
          </w:tcPr>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vMerge w:val="restart"/>
          </w:tcPr>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主机，140基座，物联网，变频系统，12-15米雾桩杆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智能一体机，专用LED液晶屏，缺水报警智能恢复，分解综合压力，消除管道震动、噪音、磨损。手动/自动锁机功能. 带水箱、具有手动、自动、联控、通讯控制功能。可实时查看与上传设备实时状态，包括：电流、电压、机油寿命等参数以及多达8种可能出现的报警状态。多种控制模式选择，无需改装即可适应99%以上的应用场景。控制器与传感器均采用低压源，更安全、可靠、耐用、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主机运行参数实时监测、展示（如：电流、温度、机油寿命、累计运行时间、水位等缺水保护，供水异常，机油过期保护，过载保护，缺相保护，母线欠压保护及接地CF与负载短路保护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bidi w:val="0"/>
              <w:jc w:val="center"/>
              <w:rPr>
                <w:rFonts w:hint="eastAsia" w:ascii="Times New Roman" w:hAnsi="Times New Roman"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both"/>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ind w:firstLine="315" w:firstLineChars="0"/>
              <w:jc w:val="center"/>
              <w:rPr>
                <w:rFonts w:hint="default"/>
                <w:color w:val="auto"/>
                <w:lang w:val="en-US" w:eastAsia="zh-CN"/>
              </w:rPr>
            </w:pPr>
            <w:r>
              <w:rPr>
                <w:rFonts w:hint="eastAsia"/>
                <w:color w:val="auto"/>
                <w:lang w:val="en-US" w:eastAsia="zh-CN"/>
              </w:rPr>
              <w:t>3</w:t>
            </w:r>
          </w:p>
        </w:tc>
        <w:tc>
          <w:tcPr>
            <w:tcW w:w="159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bidi w:val="0"/>
              <w:jc w:val="center"/>
              <w:rPr>
                <w:rFonts w:hint="eastAsia" w:ascii="Times New Roman" w:hAnsi="Times New Roman"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both"/>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r>
              <w:rPr>
                <w:rFonts w:hint="eastAsia" w:ascii="宋体" w:hAnsi="宋体" w:eastAsia="宋体" w:cs="宋体"/>
                <w:color w:val="auto"/>
                <w:kern w:val="2"/>
                <w:sz w:val="18"/>
                <w:szCs w:val="18"/>
                <w:highlight w:val="none"/>
                <w:vertAlign w:val="baseline"/>
                <w:lang w:val="en-US" w:eastAsia="zh-CN" w:bidi="ar-SA"/>
              </w:rPr>
              <w:t>智能高压喷雾降尘主机</w:t>
            </w:r>
          </w:p>
        </w:tc>
        <w:tc>
          <w:tcPr>
            <w:tcW w:w="1875"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功率：7.5KW/50L</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电压：380v</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主机，变频系统</w:t>
            </w:r>
          </w:p>
        </w:tc>
        <w:tc>
          <w:tcPr>
            <w:tcW w:w="75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w:t>
            </w:r>
          </w:p>
        </w:tc>
        <w:tc>
          <w:tcPr>
            <w:tcW w:w="615"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台</w:t>
            </w:r>
          </w:p>
        </w:tc>
        <w:tc>
          <w:tcPr>
            <w:tcW w:w="720"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一体机，专用LED液晶屏，缺水报警智能恢复，分解综合压力，消除管道震动、噪音、磨损。   手动/自动锁机功能. 带水箱、具有手动、自动、联控、通讯控制功能。可实时查看与上传设备实时状态，包括：电流、电压、机油寿命等参数以及多达8种可能出现的报警状态。多种控制模式选择，无需改装即可适应99%以上的应用场景。控制器与传感器均采用低压源，更安全、可靠、耐用、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主机运行参数实时监测、展示（如：电流、温度、机油寿命、累计运行时间、水位等缺水保护，供水异常，机油过期保护，过载保护，缺相保护，母线欠压保护及接地CF与负载短路保护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4</w:t>
            </w:r>
          </w:p>
        </w:tc>
        <w:tc>
          <w:tcPr>
            <w:tcW w:w="159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智能高压喷雾降尘主机</w:t>
            </w:r>
          </w:p>
        </w:tc>
        <w:tc>
          <w:tcPr>
            <w:tcW w:w="1875"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功率：4KW/18L</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电压：380v</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主机，变频系统</w:t>
            </w:r>
          </w:p>
        </w:tc>
        <w:tc>
          <w:tcPr>
            <w:tcW w:w="750"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615" w:type="dxa"/>
            <w:vMerge w:val="restart"/>
          </w:tcPr>
          <w:p>
            <w:pPr>
              <w:jc w:val="center"/>
              <w:rPr>
                <w:rFonts w:hint="eastAsia" w:ascii="宋体" w:hAnsi="宋体" w:eastAsia="宋体" w:cs="宋体"/>
                <w:color w:val="auto"/>
                <w:kern w:val="2"/>
                <w:sz w:val="18"/>
                <w:szCs w:val="18"/>
                <w:highlight w:val="none"/>
                <w:vertAlign w:val="baseline"/>
                <w:lang w:val="en-US" w:eastAsia="zh-CN" w:bidi="ar-SA"/>
              </w:rPr>
            </w:pPr>
          </w:p>
          <w:p>
            <w:pPr>
              <w:jc w:val="both"/>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台</w:t>
            </w:r>
          </w:p>
        </w:tc>
        <w:tc>
          <w:tcPr>
            <w:tcW w:w="720"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vMerge w:val="restart"/>
          </w:tcPr>
          <w:p>
            <w:pPr>
              <w:jc w:val="center"/>
              <w:rPr>
                <w:rFonts w:hint="eastAsia" w:ascii="宋体" w:hAnsi="宋体" w:cs="宋体"/>
                <w:color w:val="auto"/>
                <w:kern w:val="2"/>
                <w:sz w:val="18"/>
                <w:szCs w:val="18"/>
                <w:highlight w:val="none"/>
                <w:vertAlign w:val="baseline"/>
                <w:lang w:val="en-US" w:eastAsia="zh-CN" w:bidi="ar-SA"/>
              </w:rPr>
            </w:pPr>
          </w:p>
          <w:p>
            <w:pPr>
              <w:jc w:val="both"/>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智能一体机，专用LED液晶屏，缺水报警智能恢复，分解综合压力，消除管道震动、噪音、磨损。手动/自动锁机功能. 带水箱、具有手动、自动、联控、通讯控制功能。可实时查看与上传设备实时状态，包括：电流、电压、机油寿命等参数以及多达8种可能出现的报警状态。多种控制模式选择，无需改装即可适应99%以上的应用场景。控制器与传感器均采用低压源，更安全、可靠、耐用、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59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187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5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615"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720" w:type="dxa"/>
            <w:vMerge w:val="continue"/>
          </w:tcPr>
          <w:p>
            <w:pPr>
              <w:jc w:val="left"/>
              <w:rPr>
                <w:rFonts w:hint="eastAsia" w:ascii="宋体" w:hAnsi="宋体" w:eastAsia="宋体" w:cs="宋体"/>
                <w:color w:val="auto"/>
                <w:kern w:val="2"/>
                <w:sz w:val="18"/>
                <w:szCs w:val="18"/>
                <w:highlight w:val="none"/>
                <w:vertAlign w:val="baseline"/>
                <w:lang w:val="en-US" w:eastAsia="zh-CN" w:bidi="ar-SA"/>
              </w:rPr>
            </w:pP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主机运行参数实时监测、展示（如：电流、温度、机油寿命、累计运行时间、水位等缺水保护，供水异常，机油过期保护，过载保护，缺相保护，母线欠压保护及接地CF与负载短路保护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left"/>
              <w:rPr>
                <w:rFonts w:hint="eastAsia" w:ascii="宋体" w:hAnsi="宋体" w:cs="宋体"/>
                <w:color w:val="auto"/>
                <w:kern w:val="2"/>
                <w:sz w:val="18"/>
                <w:szCs w:val="18"/>
                <w:highlight w:val="none"/>
                <w:vertAlign w:val="baseline"/>
                <w:lang w:val="en-US" w:eastAsia="zh-CN" w:bidi="ar-SA"/>
              </w:rPr>
            </w:pPr>
          </w:p>
          <w:p>
            <w:pPr>
              <w:jc w:val="left"/>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5</w:t>
            </w:r>
          </w:p>
        </w:tc>
        <w:tc>
          <w:tcPr>
            <w:tcW w:w="1590" w:type="dxa"/>
          </w:tcPr>
          <w:p>
            <w:pPr>
              <w:jc w:val="left"/>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双过滤器</w:t>
            </w:r>
          </w:p>
        </w:tc>
        <w:tc>
          <w:tcPr>
            <w:tcW w:w="1875" w:type="dxa"/>
          </w:tcPr>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放置主机内，水质越好喷头使用寿命越长，效果越好。</w:t>
            </w:r>
          </w:p>
        </w:tc>
        <w:tc>
          <w:tcPr>
            <w:tcW w:w="750" w:type="dxa"/>
          </w:tcPr>
          <w:p>
            <w:pPr>
              <w:jc w:val="left"/>
              <w:rPr>
                <w:rFonts w:hint="eastAsia" w:ascii="宋体" w:hAnsi="宋体" w:eastAsia="宋体" w:cs="宋体"/>
                <w:color w:val="auto"/>
                <w:kern w:val="2"/>
                <w:sz w:val="18"/>
                <w:szCs w:val="18"/>
                <w:highlight w:val="none"/>
                <w:vertAlign w:val="baseline"/>
                <w:lang w:val="en-US" w:eastAsia="zh-CN" w:bidi="ar-SA"/>
              </w:rPr>
            </w:pPr>
          </w:p>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37</w:t>
            </w:r>
          </w:p>
        </w:tc>
        <w:tc>
          <w:tcPr>
            <w:tcW w:w="615" w:type="dxa"/>
          </w:tcPr>
          <w:p>
            <w:pPr>
              <w:jc w:val="left"/>
              <w:rPr>
                <w:rFonts w:hint="eastAsia" w:ascii="宋体" w:hAnsi="宋体" w:eastAsia="宋体" w:cs="宋体"/>
                <w:color w:val="auto"/>
                <w:kern w:val="2"/>
                <w:sz w:val="18"/>
                <w:szCs w:val="18"/>
                <w:highlight w:val="none"/>
                <w:vertAlign w:val="baseline"/>
                <w:lang w:val="en-US" w:eastAsia="zh-CN" w:bidi="ar-SA"/>
              </w:rPr>
            </w:pPr>
          </w:p>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套</w:t>
            </w:r>
          </w:p>
        </w:tc>
        <w:tc>
          <w:tcPr>
            <w:tcW w:w="720" w:type="dxa"/>
          </w:tcPr>
          <w:p>
            <w:pPr>
              <w:jc w:val="left"/>
              <w:rPr>
                <w:rFonts w:hint="eastAsia" w:ascii="宋体" w:hAnsi="宋体" w:cs="宋体"/>
                <w:color w:val="auto"/>
                <w:kern w:val="2"/>
                <w:sz w:val="18"/>
                <w:szCs w:val="18"/>
                <w:highlight w:val="none"/>
                <w:vertAlign w:val="baseline"/>
                <w:lang w:val="en-US" w:eastAsia="zh-CN" w:bidi="ar-SA"/>
              </w:rPr>
            </w:pPr>
          </w:p>
          <w:p>
            <w:pPr>
              <w:jc w:val="left"/>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tcPr>
          <w:p>
            <w:pPr>
              <w:jc w:val="left"/>
              <w:rPr>
                <w:rFonts w:hint="eastAsia" w:ascii="宋体" w:hAnsi="宋体" w:cs="宋体"/>
                <w:color w:val="auto"/>
                <w:kern w:val="2"/>
                <w:sz w:val="18"/>
                <w:szCs w:val="18"/>
                <w:highlight w:val="none"/>
                <w:vertAlign w:val="baseline"/>
                <w:lang w:val="en-US" w:eastAsia="zh-CN" w:bidi="ar-SA"/>
              </w:rPr>
            </w:pPr>
          </w:p>
          <w:p>
            <w:pPr>
              <w:ind w:firstLine="181" w:firstLineChars="100"/>
              <w:jc w:val="left"/>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left"/>
              <w:rPr>
                <w:rFonts w:hint="eastAsia" w:ascii="宋体" w:hAnsi="宋体" w:eastAsia="宋体" w:cs="宋体"/>
                <w:color w:val="auto"/>
                <w:kern w:val="2"/>
                <w:sz w:val="18"/>
                <w:szCs w:val="18"/>
                <w:highlight w:val="none"/>
                <w:vertAlign w:val="baseline"/>
                <w:lang w:val="en-US" w:eastAsia="zh-CN" w:bidi="ar-SA"/>
              </w:rPr>
            </w:pPr>
          </w:p>
          <w:p>
            <w:pPr>
              <w:jc w:val="left"/>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优质橡塑滤杯及品牌滤芯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6</w:t>
            </w:r>
          </w:p>
        </w:tc>
        <w:tc>
          <w:tcPr>
            <w:tcW w:w="159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特制喷雾降尘喷头（5MPA时流量为0.035L/MIN）</w:t>
            </w:r>
          </w:p>
        </w:tc>
        <w:tc>
          <w:tcPr>
            <w:tcW w:w="1875" w:type="dxa"/>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G3/16"单孔垂直喷射距离：≥ 1.2M（水平无风转态）</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内置滤芯：5mm</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最低雾化压力需求：≥ 580.15lb/in²</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喷孔孔径：0.05mm</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端雾粒大小：0.00019~0.0039IN</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雾粒误差：≤5%</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管道接口：9.52mm</w:t>
            </w:r>
          </w:p>
        </w:tc>
        <w:tc>
          <w:tcPr>
            <w:tcW w:w="75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1350</w:t>
            </w:r>
          </w:p>
        </w:tc>
        <w:tc>
          <w:tcPr>
            <w:tcW w:w="615"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颗</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不锈钢喷片 不锈钢芯片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7</w:t>
            </w:r>
          </w:p>
        </w:tc>
        <w:tc>
          <w:tcPr>
            <w:tcW w:w="159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 xml:space="preserve">不锈钢加厚 </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喷头底座</w:t>
            </w:r>
          </w:p>
        </w:tc>
        <w:tc>
          <w:tcPr>
            <w:tcW w:w="1875"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304不锈钢1/8底座</w:t>
            </w:r>
          </w:p>
        </w:tc>
        <w:tc>
          <w:tcPr>
            <w:tcW w:w="75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1350</w:t>
            </w:r>
          </w:p>
        </w:tc>
        <w:tc>
          <w:tcPr>
            <w:tcW w:w="615"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8</w:t>
            </w:r>
          </w:p>
        </w:tc>
        <w:tc>
          <w:tcPr>
            <w:tcW w:w="159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耐高压不锈钢管</w:t>
            </w:r>
          </w:p>
        </w:tc>
        <w:tc>
          <w:tcPr>
            <w:tcW w:w="1875" w:type="dxa"/>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04不锈钢管</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承压级别：≤3625.94 lb/in²</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材质：不低于0cr18ni9品质</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可弯曲度：270º</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有效雾化长度：400m</w:t>
            </w: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最大安装高度：25m</w:t>
            </w:r>
          </w:p>
        </w:tc>
        <w:tc>
          <w:tcPr>
            <w:tcW w:w="75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16880</w:t>
            </w:r>
          </w:p>
        </w:tc>
        <w:tc>
          <w:tcPr>
            <w:tcW w:w="615"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米</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eastAsia" w:ascii="宋体" w:hAnsi="宋体" w:cs="宋体"/>
                <w:color w:val="auto"/>
                <w:kern w:val="2"/>
                <w:sz w:val="18"/>
                <w:szCs w:val="18"/>
                <w:highlight w:val="none"/>
                <w:vertAlign w:val="baseline"/>
                <w:lang w:val="en-US" w:eastAsia="zh-CN" w:bidi="ar-SA"/>
              </w:rPr>
            </w:pPr>
          </w:p>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w:t>
            </w:r>
          </w:p>
        </w:tc>
        <w:tc>
          <w:tcPr>
            <w:tcW w:w="3135"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整体材质为加厚不锈钢，卡扣式，9.52MM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9</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不锈钢焊接杆</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焊接喷杆（每根10个头）</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134</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根</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10</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不锈钢加厚三通</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 卡扣式</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1350</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11</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不锈钢加厚直接</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 卡扣式</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5260</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12</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不锈钢加厚堵头</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 卡扣式</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2813</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13</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不锈钢加厚弯头</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不锈钢 卡扣式</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280</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整体材质为加厚不锈钢，卡扣式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14</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管卡</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10型</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1688</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个</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整体材质橡胶加不锈钢，卡扣式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15</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阀接+阀门</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阀接+阀门</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37</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套</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16</w:t>
            </w:r>
          </w:p>
        </w:tc>
        <w:tc>
          <w:tcPr>
            <w:tcW w:w="15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管刀</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用于裁剪管道</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把</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88" w:type="dxa"/>
          </w:tcPr>
          <w:p>
            <w:pPr>
              <w:jc w:val="center"/>
              <w:rPr>
                <w:rFonts w:hint="default" w:ascii="宋体" w:hAnsi="宋体" w:cs="宋体"/>
                <w:color w:val="auto"/>
                <w:kern w:val="2"/>
                <w:sz w:val="18"/>
                <w:szCs w:val="18"/>
                <w:highlight w:val="none"/>
                <w:vertAlign w:val="baseline"/>
                <w:lang w:val="en-US" w:eastAsia="zh-CN" w:bidi="ar-SA"/>
              </w:rPr>
            </w:pPr>
            <w:r>
              <w:rPr>
                <w:rFonts w:hint="eastAsia" w:ascii="宋体" w:hAnsi="宋体" w:cs="宋体"/>
                <w:color w:val="auto"/>
                <w:kern w:val="2"/>
                <w:sz w:val="18"/>
                <w:szCs w:val="18"/>
                <w:highlight w:val="none"/>
                <w:vertAlign w:val="baseline"/>
                <w:lang w:val="en-US" w:eastAsia="zh-CN" w:bidi="ar-SA"/>
              </w:rPr>
              <w:t>17</w:t>
            </w:r>
          </w:p>
        </w:tc>
        <w:tc>
          <w:tcPr>
            <w:tcW w:w="159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辅料</w:t>
            </w:r>
          </w:p>
        </w:tc>
        <w:tc>
          <w:tcPr>
            <w:tcW w:w="75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w:t>
            </w:r>
          </w:p>
        </w:tc>
        <w:tc>
          <w:tcPr>
            <w:tcW w:w="61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批</w:t>
            </w: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tc>
        <w:tc>
          <w:tcPr>
            <w:tcW w:w="720" w:type="dxa"/>
          </w:tcPr>
          <w:p>
            <w:pPr>
              <w:jc w:val="center"/>
              <w:rPr>
                <w:rFonts w:hint="eastAsia" w:ascii="宋体" w:hAnsi="宋体" w:eastAsia="宋体" w:cs="宋体"/>
                <w:color w:val="auto"/>
                <w:kern w:val="2"/>
                <w:sz w:val="18"/>
                <w:szCs w:val="18"/>
                <w:highlight w:val="none"/>
                <w:vertAlign w:val="baseline"/>
                <w:lang w:val="en-US" w:eastAsia="zh-CN" w:bidi="ar-SA"/>
              </w:rPr>
            </w:pPr>
          </w:p>
        </w:tc>
        <w:tc>
          <w:tcPr>
            <w:tcW w:w="313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p>
        </w:tc>
      </w:tr>
    </w:tbl>
    <w:p>
      <w:pPr>
        <w:jc w:val="left"/>
        <w:rPr>
          <w:rFonts w:hint="eastAsia" w:ascii="宋体" w:hAnsi="宋体" w:eastAsia="宋体" w:cs="宋体"/>
          <w:color w:val="auto"/>
          <w:kern w:val="2"/>
          <w:sz w:val="24"/>
          <w:szCs w:val="24"/>
          <w:highlight w:val="none"/>
          <w:lang w:val="en-US" w:eastAsia="zh-CN" w:bidi="ar-SA"/>
        </w:rPr>
        <w:sectPr>
          <w:pgSz w:w="11849" w:h="16781"/>
          <w:pgMar w:top="1440" w:right="1080" w:bottom="1440" w:left="1080" w:header="851" w:footer="850" w:gutter="0"/>
          <w:cols w:space="720" w:num="1"/>
          <w:titlePg/>
          <w:docGrid w:type="linesAndChars" w:linePitch="320" w:charSpace="269"/>
        </w:sectPr>
      </w:pPr>
    </w:p>
    <w:p>
      <w:pPr>
        <w:numPr>
          <w:ilvl w:val="0"/>
          <w:numId w:val="6"/>
        </w:numPr>
        <w:tabs>
          <w:tab w:val="left" w:pos="3780"/>
        </w:tabs>
        <w:topLinePunct/>
        <w:adjustRightInd w:val="0"/>
        <w:snapToGrid w:val="0"/>
        <w:spacing w:line="360" w:lineRule="auto"/>
        <w:ind w:left="0" w:leftChars="0" w:firstLine="0" w:firstLineChars="0"/>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投标文件格式</w:t>
      </w:r>
      <w:bookmarkEnd w:id="41"/>
      <w:bookmarkEnd w:id="42"/>
      <w:bookmarkEnd w:id="43"/>
      <w:bookmarkEnd w:id="44"/>
      <w:bookmarkEnd w:id="45"/>
    </w:p>
    <w:p>
      <w:pPr>
        <w:pStyle w:val="2"/>
        <w:numPr>
          <w:ilvl w:val="0"/>
          <w:numId w:val="0"/>
        </w:numPr>
        <w:ind w:leftChars="0"/>
        <w:rPr>
          <w:rFonts w:hint="eastAsia"/>
          <w:color w:val="auto"/>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招标文件，经认真研究，我们决定参加投标。</w:t>
      </w:r>
    </w:p>
    <w:p>
      <w:pPr>
        <w:spacing w:line="360" w:lineRule="auto"/>
        <w:ind w:firstLine="567"/>
        <w:jc w:val="left"/>
        <w:rPr>
          <w:rFonts w:hint="eastAsia" w:ascii="宋体" w:hAnsi="宋体" w:cs="宋体"/>
          <w:color w:val="auto"/>
          <w:sz w:val="24"/>
          <w:highlight w:val="none"/>
        </w:rPr>
      </w:pPr>
      <w:r>
        <w:rPr>
          <w:rFonts w:hint="eastAsia" w:ascii="宋体" w:hAnsi="宋体" w:cs="宋体"/>
          <w:color w:val="auto"/>
          <w:sz w:val="24"/>
          <w:highlight w:val="none"/>
        </w:rPr>
        <w:t xml:space="preserve">⒈按照招标文件中的一切要求，提供招标货物、安装及技术服务投标总价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元（用阿拉伯数字书写）人民币，明细见投标产品名称数量报价表。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⒉如果我们的投标书被接受，我们将履行招标文件中规定的每一项要求，按期、按质、按量完成交货和完工任务。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⒊我们同意按招标文件的规定，本投标书的有效期为开标后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⒋我们愿意提供采购人在招标文件中要求的所有资料。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⒎我方愿意遵守国家有关规定及招标文件中规定的收费标准，承付中标服务费。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⒐我们同意按招标文件规定，交纳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4"/>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（二）、法定代表人身份证明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rPr>
        <w:t>（三）、法定代表人的授权委托书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投标文件、签订合同和处理有关事宜，其法律后果由我方承担。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center"/>
        <w:outlineLvl w:val="1"/>
        <w:rPr>
          <w:rFonts w:hint="eastAsia" w:ascii="宋体" w:hAnsi="宋体" w:eastAsia="宋体" w:cs="宋体"/>
          <w:b/>
          <w:color w:val="auto"/>
          <w:sz w:val="24"/>
          <w:highlight w:val="none"/>
          <w:lang w:eastAsia="zh-CN"/>
        </w:rPr>
        <w:sectPr>
          <w:footerReference r:id="rId9" w:type="first"/>
          <w:footerReference r:id="rId8" w:type="default"/>
          <w:pgSz w:w="11849" w:h="16781"/>
          <w:pgMar w:top="1440" w:right="1080" w:bottom="1440" w:left="1080" w:header="851" w:footer="850" w:gutter="0"/>
          <w:cols w:space="720" w:num="1"/>
          <w:formProt w:val="1"/>
          <w:titlePg/>
          <w:docGrid w:type="linesAndChars" w:linePitch="320" w:charSpace="269"/>
        </w:sectPr>
      </w:pPr>
      <w:r>
        <w:rPr>
          <w:rFonts w:hint="eastAsia" w:ascii="宋体" w:hAnsi="宋体" w:cs="宋体"/>
          <w:b/>
          <w:color w:val="auto"/>
          <w:sz w:val="24"/>
          <w:highlight w:val="none"/>
        </w:rPr>
        <w:t>（四）、投标保证金</w:t>
      </w:r>
      <w:r>
        <w:rPr>
          <w:rFonts w:hint="eastAsia" w:ascii="宋体" w:hAnsi="宋体" w:cs="宋体"/>
          <w:b/>
          <w:color w:val="auto"/>
          <w:sz w:val="24"/>
          <w:highlight w:val="none"/>
          <w:lang w:eastAsia="zh-CN"/>
        </w:rPr>
        <w:t>（应附开户信息、投标保证金凭证）</w:t>
      </w:r>
    </w:p>
    <w:p>
      <w:pPr>
        <w:tabs>
          <w:tab w:val="center" w:pos="7115"/>
          <w:tab w:val="right" w:pos="14230"/>
        </w:tabs>
        <w:spacing w:line="360" w:lineRule="auto"/>
        <w:jc w:val="center"/>
        <w:outlineLvl w:val="1"/>
        <w:rPr>
          <w:rFonts w:hint="eastAsia" w:ascii="仿宋_GB2312" w:hAnsi="Dotum" w:eastAsia="仿宋_GB2312"/>
          <w:b/>
          <w:color w:val="auto"/>
          <w:sz w:val="28"/>
          <w:highlight w:val="none"/>
        </w:rPr>
      </w:pPr>
      <w:r>
        <w:rPr>
          <w:rFonts w:hint="eastAsia" w:ascii="宋体" w:hAnsi="宋体" w:cs="宋体"/>
          <w:b/>
          <w:color w:val="auto"/>
          <w:sz w:val="24"/>
          <w:highlight w:val="none"/>
        </w:rPr>
        <w:t>(五)开标一览表</w:t>
      </w:r>
      <w:r>
        <w:rPr>
          <w:rFonts w:hint="eastAsia" w:ascii="仿宋_GB2312" w:hAnsi="Dotum" w:eastAsia="仿宋_GB2312"/>
          <w:b/>
          <w:color w:val="auto"/>
          <w:sz w:val="28"/>
          <w:highlight w:val="none"/>
        </w:rPr>
        <w:t xml:space="preserve">  </w:t>
      </w:r>
      <w:r>
        <w:rPr>
          <w:rFonts w:hint="eastAsia" w:ascii="仿宋_GB2312" w:hAnsi="Dotum" w:eastAsia="仿宋_GB2312"/>
          <w:color w:val="auto"/>
          <w:sz w:val="28"/>
          <w:highlight w:val="none"/>
        </w:rPr>
        <w:t xml:space="preserve">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项目编号：</w:t>
      </w:r>
    </w:p>
    <w:tbl>
      <w:tblPr>
        <w:tblStyle w:val="15"/>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426"/>
        <w:gridCol w:w="2799"/>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w:t>
            </w:r>
          </w:p>
        </w:tc>
        <w:tc>
          <w:tcPr>
            <w:tcW w:w="4426"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投标报价</w:t>
            </w:r>
          </w:p>
        </w:tc>
        <w:tc>
          <w:tcPr>
            <w:tcW w:w="2799"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供货时间</w:t>
            </w:r>
          </w:p>
        </w:tc>
        <w:tc>
          <w:tcPr>
            <w:tcW w:w="4237"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22"/>
              <w:spacing w:line="360" w:lineRule="auto"/>
              <w:ind w:firstLine="0" w:firstLineChars="0"/>
              <w:jc w:val="center"/>
              <w:rPr>
                <w:rFonts w:hint="eastAsia" w:ascii="宋体" w:hAnsi="宋体" w:eastAsia="宋体" w:cs="宋体"/>
                <w:color w:val="auto"/>
                <w:sz w:val="24"/>
                <w:highlight w:val="none"/>
              </w:rPr>
            </w:pPr>
          </w:p>
        </w:tc>
        <w:tc>
          <w:tcPr>
            <w:tcW w:w="4426"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799"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4237"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exact"/>
          <w:jc w:val="center"/>
        </w:trPr>
        <w:tc>
          <w:tcPr>
            <w:tcW w:w="3195"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投标总报价</w:t>
            </w:r>
          </w:p>
        </w:tc>
        <w:tc>
          <w:tcPr>
            <w:tcW w:w="11462" w:type="dxa"/>
            <w:gridSpan w:val="3"/>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exact"/>
          <w:jc w:val="center"/>
        </w:trPr>
        <w:tc>
          <w:tcPr>
            <w:tcW w:w="3195" w:type="dxa"/>
            <w:vMerge w:val="continue"/>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1462" w:type="dxa"/>
            <w:gridSpan w:val="3"/>
            <w:tcBorders>
              <w:bottom w:val="single" w:color="auto" w:sz="4" w:space="0"/>
            </w:tcBorders>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(大写)</w:t>
            </w:r>
          </w:p>
        </w:tc>
      </w:tr>
    </w:tbl>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注：在开标一览表中，按第二章投标人须知11.2条款的规定不允许出现两种报价，否则其投标将被拒绝。</w:t>
      </w:r>
    </w:p>
    <w:p>
      <w:pPr>
        <w:spacing w:line="360" w:lineRule="auto"/>
        <w:ind w:left="564"/>
        <w:rPr>
          <w:rFonts w:hint="eastAsia" w:ascii="宋体" w:hAnsi="宋体" w:cs="宋体"/>
          <w:b/>
          <w:color w:val="auto"/>
          <w:sz w:val="24"/>
          <w:highlight w:val="none"/>
        </w:rPr>
      </w:pPr>
    </w:p>
    <w:p>
      <w:pPr>
        <w:pStyle w:val="25"/>
        <w:spacing w:line="360" w:lineRule="auto"/>
        <w:ind w:left="0" w:leftChars="0" w:firstLine="0" w:firstLineChars="0"/>
        <w:jc w:val="both"/>
        <w:outlineLvl w:val="1"/>
        <w:rPr>
          <w:rFonts w:hint="eastAsia" w:ascii="宋体" w:hAnsi="宋体" w:eastAsia="宋体" w:cs="宋体"/>
          <w:color w:val="auto"/>
          <w:sz w:val="24"/>
        </w:rPr>
      </w:pPr>
    </w:p>
    <w:p>
      <w:pPr>
        <w:spacing w:line="360" w:lineRule="auto"/>
        <w:jc w:val="left"/>
        <w:outlineLvl w:val="1"/>
        <w:rPr>
          <w:rFonts w:hint="eastAsia" w:ascii="宋体" w:hAnsi="宋体" w:cs="宋体"/>
          <w:b/>
          <w:color w:val="auto"/>
          <w:sz w:val="24"/>
          <w:highlight w:val="none"/>
        </w:rPr>
        <w:sectPr>
          <w:pgSz w:w="16781" w:h="11849" w:orient="landscape"/>
          <w:pgMar w:top="1080" w:right="1440" w:bottom="1080" w:left="1440" w:header="851" w:footer="850" w:gutter="0"/>
          <w:cols w:space="720" w:num="1"/>
          <w:formProt w:val="1"/>
          <w:titlePg/>
          <w:docGrid w:type="linesAndChars" w:linePitch="320" w:charSpace="269"/>
        </w:sectPr>
      </w:pPr>
    </w:p>
    <w:p>
      <w:pPr>
        <w:spacing w:line="360" w:lineRule="auto"/>
        <w:ind w:firstLine="3754" w:firstLineChars="1558"/>
        <w:jc w:val="left"/>
        <w:outlineLvl w:val="1"/>
        <w:rPr>
          <w:rFonts w:hint="eastAsia" w:ascii="宋体" w:hAnsi="宋体" w:cs="宋体"/>
          <w:b/>
          <w:color w:val="auto"/>
          <w:sz w:val="24"/>
          <w:highlight w:val="none"/>
        </w:rPr>
      </w:pPr>
    </w:p>
    <w:p>
      <w:pPr>
        <w:spacing w:line="360" w:lineRule="auto"/>
        <w:ind w:firstLine="3754" w:firstLineChars="1558"/>
        <w:jc w:val="left"/>
        <w:outlineLvl w:val="1"/>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）、技术性能参数</w:t>
      </w:r>
    </w:p>
    <w:p>
      <w:pPr>
        <w:spacing w:line="360" w:lineRule="auto"/>
        <w:ind w:firstLine="241" w:firstLineChars="100"/>
        <w:outlineLvl w:val="2"/>
        <w:rPr>
          <w:rFonts w:hint="eastAsia" w:ascii="宋体" w:hAnsi="宋体" w:cs="宋体"/>
          <w:color w:val="auto"/>
          <w:sz w:val="24"/>
          <w:highlight w:val="none"/>
        </w:rPr>
      </w:pPr>
      <w:r>
        <w:rPr>
          <w:rFonts w:hint="eastAsia" w:ascii="宋体" w:hAnsi="宋体" w:cs="宋体"/>
          <w:color w:val="auto"/>
          <w:sz w:val="24"/>
          <w:highlight w:val="none"/>
        </w:rPr>
        <w:t>应针对采购的</w:t>
      </w:r>
      <w:r>
        <w:rPr>
          <w:rFonts w:hint="eastAsia" w:ascii="宋体" w:hAnsi="宋体" w:cs="宋体"/>
          <w:b/>
          <w:color w:val="auto"/>
          <w:sz w:val="24"/>
          <w:highlight w:val="none"/>
        </w:rPr>
        <w:t>货物需求一览表及技术规格要求</w:t>
      </w:r>
      <w:r>
        <w:rPr>
          <w:rFonts w:hint="eastAsia" w:ascii="宋体" w:hAnsi="宋体" w:cs="宋体"/>
          <w:color w:val="auto"/>
          <w:sz w:val="24"/>
          <w:highlight w:val="none"/>
        </w:rPr>
        <w:t>进行详细的论述</w:t>
      </w: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pStyle w:val="2"/>
        <w:rPr>
          <w:rFonts w:hint="eastAsia" w:ascii="宋体" w:hAnsi="宋体" w:cs="宋体"/>
          <w:b/>
          <w:color w:val="auto"/>
          <w:kern w:val="0"/>
          <w:sz w:val="24"/>
          <w:highlight w:val="none"/>
        </w:rPr>
      </w:pPr>
    </w:p>
    <w:p>
      <w:pPr>
        <w:rPr>
          <w:rFonts w:hint="eastAsia"/>
          <w:color w:val="auto"/>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sectPr>
          <w:pgSz w:w="11849" w:h="16781"/>
          <w:pgMar w:top="1440" w:right="1080" w:bottom="1440" w:left="1080" w:header="851" w:footer="850" w:gutter="0"/>
          <w:cols w:space="720" w:num="1"/>
          <w:formProt w:val="1"/>
          <w:titlePg/>
          <w:docGrid w:type="linesAndChars" w:linePitch="320" w:charSpace="269"/>
        </w:sectPr>
      </w:pPr>
    </w:p>
    <w:p>
      <w:pPr>
        <w:pStyle w:val="9"/>
        <w:ind w:right="-553"/>
        <w:jc w:val="center"/>
        <w:outlineLvl w:val="1"/>
        <w:rPr>
          <w:rFonts w:hint="eastAsia" w:hAnsi="宋体" w:cs="宋体"/>
          <w:color w:val="auto"/>
          <w:sz w:val="24"/>
          <w:highlight w:val="none"/>
        </w:rPr>
      </w:pPr>
      <w:r>
        <w:rPr>
          <w:rFonts w:hint="eastAsia" w:hAnsi="宋体" w:cs="宋体"/>
          <w:b/>
          <w:color w:val="auto"/>
          <w:sz w:val="24"/>
          <w:highlight w:val="none"/>
        </w:rPr>
        <w:t>技 术 规 格 偏 离 表</w:t>
      </w:r>
    </w:p>
    <w:p>
      <w:pPr>
        <w:spacing w:line="360" w:lineRule="auto"/>
        <w:ind w:hanging="23"/>
        <w:jc w:val="left"/>
        <w:rPr>
          <w:rFonts w:hint="eastAsia" w:ascii="宋体" w:hAnsi="宋体" w:cs="宋体"/>
          <w:color w:val="auto"/>
          <w:sz w:val="24"/>
          <w:highlight w:val="none"/>
        </w:rPr>
      </w:pPr>
      <w:r>
        <w:rPr>
          <w:rFonts w:hint="eastAsia" w:ascii="宋体" w:hAnsi="宋体" w:cs="宋体"/>
          <w:color w:val="auto"/>
          <w:sz w:val="24"/>
          <w:highlight w:val="none"/>
        </w:rPr>
        <w:t xml:space="preserve">项目编号：                                                    </w:t>
      </w:r>
    </w:p>
    <w:tbl>
      <w:tblPr>
        <w:tblStyle w:val="15"/>
        <w:tblW w:w="14040" w:type="dxa"/>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招标规格</w:t>
            </w: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投标规格</w:t>
            </w: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   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9520"/>
        <w:rPr>
          <w:rFonts w:hint="eastAsia" w:ascii="宋体" w:hAnsi="宋体" w:cs="宋体"/>
          <w:color w:val="auto"/>
          <w:kern w:val="0"/>
          <w:sz w:val="24"/>
          <w:highlight w:val="none"/>
        </w:rPr>
      </w:pP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color w:val="auto"/>
        </w:rPr>
        <w:sectPr>
          <w:pgSz w:w="16781" w:h="11849" w:orient="landscape"/>
          <w:pgMar w:top="1080" w:right="1440" w:bottom="1080" w:left="1440" w:header="851" w:footer="850" w:gutter="0"/>
          <w:cols w:space="720" w:num="1"/>
          <w:formProt w:val="1"/>
          <w:titlePg/>
          <w:docGrid w:type="linesAndChars" w:linePitch="320" w:charSpace="269"/>
        </w:sect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七</w:t>
      </w:r>
      <w:r>
        <w:rPr>
          <w:rFonts w:hint="eastAsia" w:ascii="宋体" w:hAnsi="宋体" w:cs="宋体"/>
          <w:b/>
          <w:color w:val="auto"/>
          <w:kern w:val="0"/>
          <w:sz w:val="24"/>
          <w:highlight w:val="none"/>
        </w:rPr>
        <w:t>）、资格审查资料</w:t>
      </w:r>
    </w:p>
    <w:p>
      <w:pPr>
        <w:autoSpaceDE w:val="0"/>
        <w:autoSpaceDN w:val="0"/>
        <w:adjustRightInd w:val="0"/>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（１）投标人基本情况表</w:t>
      </w:r>
    </w:p>
    <w:tbl>
      <w:tblPr>
        <w:tblStyle w:val="1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813" w:type="dxa"/>
            <w:gridSpan w:val="5"/>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71"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71" w:type="dxa"/>
            <w:vMerge w:val="continue"/>
            <w:noWrap w:val="0"/>
            <w:vAlign w:val="center"/>
          </w:tcPr>
          <w:p>
            <w:pPr>
              <w:spacing w:line="360" w:lineRule="auto"/>
              <w:jc w:val="center"/>
              <w:rPr>
                <w:rFonts w:hint="eastAsia" w:ascii="宋体" w:hAnsi="宋体" w:cs="宋体"/>
                <w:color w:val="auto"/>
                <w:sz w:val="24"/>
                <w:highlight w:val="none"/>
              </w:rPr>
            </w:pP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组织结构</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5530" w:type="dxa"/>
            <w:gridSpan w:val="6"/>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企业资质等级</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营业执照号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高级职称人员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初级职称人员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  工</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备注：本表后应附企业法人</w:t>
      </w:r>
      <w:r>
        <w:rPr>
          <w:rFonts w:hint="eastAsia" w:ascii="宋体" w:hAnsi="宋体" w:cs="宋体"/>
          <w:color w:val="auto"/>
          <w:sz w:val="24"/>
          <w:highlight w:val="none"/>
          <w:lang w:eastAsia="zh-CN"/>
        </w:rPr>
        <w:t>、</w:t>
      </w:r>
      <w:r>
        <w:rPr>
          <w:rFonts w:hint="eastAsia" w:ascii="宋体" w:hAnsi="宋体" w:cs="宋体"/>
          <w:color w:val="auto"/>
          <w:sz w:val="24"/>
          <w:highlight w:val="none"/>
        </w:rPr>
        <w:t>营业执照证明材料等材料的复印件。</w:t>
      </w:r>
    </w:p>
    <w:p>
      <w:pPr>
        <w:spacing w:line="360" w:lineRule="auto"/>
        <w:rPr>
          <w:rFonts w:hint="eastAsia" w:ascii="宋体" w:hAnsi="宋体" w:cs="宋体"/>
          <w:color w:val="auto"/>
          <w:sz w:val="24"/>
          <w:highlight w:val="none"/>
        </w:rPr>
      </w:pPr>
    </w:p>
    <w:p>
      <w:pPr>
        <w:spacing w:before="160" w:beforeLines="50" w:after="160" w:afterLines="50" w:line="360" w:lineRule="auto"/>
        <w:jc w:val="both"/>
        <w:rPr>
          <w:rFonts w:hint="eastAsia" w:ascii="宋体" w:hAnsi="宋体" w:cs="宋体"/>
          <w:b/>
          <w:color w:val="auto"/>
          <w:sz w:val="24"/>
          <w:highlight w:val="none"/>
        </w:rPr>
      </w:pPr>
      <w:r>
        <w:rPr>
          <w:rFonts w:hint="eastAsia" w:ascii="宋体" w:hAnsi="宋体" w:cs="宋体"/>
          <w:b/>
          <w:color w:val="auto"/>
          <w:sz w:val="24"/>
          <w:highlight w:val="none"/>
        </w:rPr>
        <w:t>（2）企业其他信誉情况表</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1）近三年企业不良行为记录情况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2）在供货以及近年已完成供货合同履行情况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3）其  他</w:t>
      </w:r>
    </w:p>
    <w:p>
      <w:pPr>
        <w:spacing w:line="360" w:lineRule="auto"/>
        <w:ind w:left="724" w:hanging="723" w:hangingChars="300"/>
        <w:rPr>
          <w:rFonts w:hint="eastAsia" w:ascii="宋体" w:hAnsi="宋体" w:cs="宋体"/>
          <w:color w:val="auto"/>
          <w:sz w:val="24"/>
          <w:highlight w:val="none"/>
        </w:rPr>
      </w:pPr>
    </w:p>
    <w:p>
      <w:pPr>
        <w:pStyle w:val="2"/>
        <w:rPr>
          <w:rFonts w:hint="eastAsia"/>
          <w:color w:val="auto"/>
        </w:rPr>
      </w:pPr>
    </w:p>
    <w:p>
      <w:pPr>
        <w:rPr>
          <w:rFonts w:hint="eastAsia"/>
          <w:color w:val="auto"/>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八</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、其他材料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宋体" w:hAnsi="宋体" w:eastAsia="宋体" w:cs="宋体"/>
          <w:b/>
          <w:color w:val="auto"/>
          <w:kern w:val="0"/>
          <w:sz w:val="24"/>
          <w:lang w:val="en-US" w:eastAsia="zh-CN"/>
        </w:rPr>
      </w:pPr>
      <w:r>
        <w:rPr>
          <w:rFonts w:hint="eastAsia" w:ascii="宋体" w:hAnsi="宋体" w:cs="宋体"/>
          <w:b/>
          <w:bCs/>
          <w:color w:val="auto"/>
          <w:kern w:val="0"/>
          <w:sz w:val="28"/>
          <w:szCs w:val="18"/>
          <w:lang w:val="en-US" w:eastAsia="zh-CN" w:bidi="ar-SA"/>
        </w:rPr>
        <w:t>（</w:t>
      </w:r>
      <w:r>
        <w:rPr>
          <w:rFonts w:hint="eastAsia" w:ascii="宋体" w:hAnsi="宋体" w:eastAsia="宋体" w:cs="宋体"/>
          <w:b/>
          <w:color w:val="auto"/>
          <w:kern w:val="0"/>
          <w:sz w:val="24"/>
          <w:lang w:val="en-US" w:eastAsia="zh-CN"/>
        </w:rPr>
        <w:t>提供近三年的财务审计报告（成立不足三年的提供成立至今的财务审计报告，成立不足一年的提供成立至今的财务报表，包含资产负债表、现金流量表、利润表；近六个月（连续）的社保证明（需有相关人员的社保缴纳明细，退休人员需提供退休证明）和完税证明；</w:t>
      </w:r>
      <w:r>
        <w:rPr>
          <w:rFonts w:hint="eastAsia" w:ascii="宋体" w:hAnsi="宋体" w:cs="宋体"/>
          <w:b/>
          <w:color w:val="auto"/>
          <w:kern w:val="0"/>
          <w:sz w:val="24"/>
          <w:lang w:val="en-US" w:eastAsia="zh-CN"/>
        </w:rPr>
        <w:t>“信用中国”网站查询截图和信用信息报告，国家企业信用信息公示系统查询截图和报告、中国政府采购网</w:t>
      </w:r>
      <w:r>
        <w:rPr>
          <w:rFonts w:hint="eastAsia" w:ascii="宋体" w:hAnsi="宋体" w:eastAsia="宋体" w:cs="宋体"/>
          <w:b/>
          <w:color w:val="auto"/>
          <w:kern w:val="0"/>
          <w:sz w:val="24"/>
          <w:lang w:val="en-US" w:eastAsia="zh-CN"/>
        </w:rPr>
        <w:t>查询结果的截图。）</w:t>
      </w:r>
    </w:p>
    <w:p>
      <w:pPr>
        <w:autoSpaceDE w:val="0"/>
        <w:autoSpaceDN w:val="0"/>
        <w:adjustRightInd w:val="0"/>
        <w:snapToGrid w:val="0"/>
        <w:spacing w:line="360" w:lineRule="auto"/>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color w:val="auto"/>
          <w:kern w:val="0"/>
          <w:sz w:val="24"/>
          <w:szCs w:val="24"/>
          <w:lang w:val="en-US" w:eastAsia="zh-CN" w:bidi="ar"/>
        </w:rPr>
        <w:t>本公司（联合</w:t>
      </w:r>
      <w:r>
        <w:rPr>
          <w:rFonts w:hint="eastAsia" w:ascii="宋体" w:hAnsi="宋体" w:eastAsia="宋体" w:cs="宋体"/>
          <w:i w:val="0"/>
          <w:iCs w:val="0"/>
          <w:color w:val="auto"/>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rPr>
          <w:rFonts w:hint="eastAsia" w:ascii="宋体" w:hAnsi="宋体" w:eastAsia="宋体" w:cs="宋体"/>
          <w:color w:val="auto"/>
        </w:rPr>
      </w:pPr>
    </w:p>
    <w:p>
      <w:pPr>
        <w:tabs>
          <w:tab w:val="left" w:pos="5805"/>
        </w:tabs>
        <w:spacing w:line="450" w:lineRule="atLeast"/>
        <w:ind w:left="500" w:hanging="422" w:hangingChars="200"/>
        <w:rPr>
          <w:rFonts w:hint="eastAsia" w:ascii="宋体" w:hAnsi="宋体" w:eastAsia="宋体" w:cs="宋体"/>
          <w:i w:val="0"/>
          <w:iCs w:val="0"/>
          <w:color w:val="auto"/>
          <w:szCs w:val="21"/>
          <w:highlight w:val="none"/>
        </w:rPr>
      </w:pPr>
    </w:p>
    <w:p>
      <w:pPr>
        <w:pStyle w:val="2"/>
        <w:rPr>
          <w:rFonts w:hint="eastAsia" w:ascii="宋体" w:hAnsi="宋体" w:cs="宋体"/>
          <w:color w:val="auto"/>
          <w:sz w:val="24"/>
          <w:highlight w:val="none"/>
        </w:rPr>
      </w:pPr>
    </w:p>
    <w:p>
      <w:pPr>
        <w:pStyle w:val="2"/>
        <w:rPr>
          <w:rFonts w:hint="eastAsia"/>
          <w:color w:val="auto"/>
        </w:rPr>
      </w:pPr>
    </w:p>
    <w:p>
      <w:pPr>
        <w:rPr>
          <w:color w:val="auto"/>
        </w:rPr>
      </w:pPr>
    </w:p>
    <w:sectPr>
      <w:pgSz w:w="11849" w:h="16781"/>
      <w:pgMar w:top="1440" w:right="1080" w:bottom="1440" w:left="1080" w:header="851" w:footer="850" w:gutter="0"/>
      <w:cols w:space="720" w:num="1"/>
      <w:formProt w:val="1"/>
      <w:titlePg/>
      <w:docGrid w:type="linesAndChars" w:linePitch="320"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0"/>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0"/>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ED7C9321"/>
    <w:multiLevelType w:val="singleLevel"/>
    <w:tmpl w:val="ED7C9321"/>
    <w:lvl w:ilvl="0" w:tentative="0">
      <w:start w:val="4"/>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300"/>
        </w:tabs>
        <w:ind w:left="300" w:hanging="300"/>
      </w:pPr>
      <w:rPr>
        <w:rFonts w:hint="eastAsia"/>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decimal"/>
      <w:isLgl/>
      <w:lvlText w:val="%1.%2.%4.%5.%6.%7.%8.%9."/>
      <w:lvlJc w:val="left"/>
      <w:pPr>
        <w:tabs>
          <w:tab w:val="left" w:pos="5280"/>
        </w:tabs>
        <w:ind w:left="5280" w:hanging="2880"/>
      </w:pPr>
      <w:rPr>
        <w:rFonts w:hint="eastAsia"/>
      </w:rPr>
    </w:lvl>
  </w:abstractNum>
  <w:abstractNum w:abstractNumId="3">
    <w:nsid w:val="00000013"/>
    <w:multiLevelType w:val="multilevel"/>
    <w:tmpl w:val="00000013"/>
    <w:lvl w:ilvl="0" w:tentative="0">
      <w:start w:val="8"/>
      <w:numFmt w:val="decimal"/>
      <w:lvlText w:val=""/>
      <w:lvlJc w:val="left"/>
      <w:pPr>
        <w:tabs>
          <w:tab w:val="left" w:pos="360"/>
        </w:tabs>
        <w:ind w:left="360" w:hanging="360"/>
      </w:pPr>
      <w:rPr>
        <w:rFonts w:hint="default" w:ascii="Times New Roman"/>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2.%4.%5.%6.%7.%8.%9."/>
      <w:lvlJc w:val="left"/>
      <w:pPr>
        <w:tabs>
          <w:tab w:val="left" w:pos="5280"/>
        </w:tabs>
        <w:ind w:left="5280" w:hanging="2880"/>
      </w:pPr>
      <w:rPr>
        <w:rFonts w:hint="eastAsia"/>
      </w:rPr>
    </w:lvl>
  </w:abstractNum>
  <w:abstractNum w:abstractNumId="4">
    <w:nsid w:val="00E8B9D2"/>
    <w:multiLevelType w:val="singleLevel"/>
    <w:tmpl w:val="00E8B9D2"/>
    <w:lvl w:ilvl="0" w:tentative="0">
      <w:start w:val="1"/>
      <w:numFmt w:val="chineseCounting"/>
      <w:suff w:val="space"/>
      <w:lvlText w:val="第%1章"/>
      <w:lvlJc w:val="left"/>
      <w:rPr>
        <w:rFonts w:hint="eastAsia"/>
      </w:rPr>
    </w:lvl>
  </w:abstractNum>
  <w:abstractNum w:abstractNumId="5">
    <w:nsid w:val="421C77E4"/>
    <w:multiLevelType w:val="singleLevel"/>
    <w:tmpl w:val="421C77E4"/>
    <w:lvl w:ilvl="0" w:tentative="0">
      <w:start w:val="2"/>
      <w:numFmt w:val="chineseCounting"/>
      <w:suff w:val="nothing"/>
      <w:lvlText w:val="（%1）"/>
      <w:lvlJc w:val="left"/>
      <w:rPr>
        <w:rFonts w:hint="eastAsia"/>
      </w:rPr>
    </w:lvl>
  </w:abstractNum>
  <w:abstractNum w:abstractNumId="6">
    <w:nsid w:val="59E084C5"/>
    <w:multiLevelType w:val="singleLevel"/>
    <w:tmpl w:val="59E084C5"/>
    <w:lvl w:ilvl="0" w:tentative="0">
      <w:start w:val="1"/>
      <w:numFmt w:val="decimal"/>
      <w:suff w:val="nothing"/>
      <w:lvlText w:val="（%1）"/>
      <w:lvlJc w:val="left"/>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dit="forms" w:enforcement="1" w:cryptProviderType="rsaFull" w:cryptAlgorithmClass="hash" w:cryptAlgorithmType="typeAny" w:cryptAlgorithmSid="4" w:cryptSpinCount="0" w:hash="QD6+sC97ufR7D/rIWReF8KiigPM=" w:salt="MU6Pk9tuzpbnqAHL9XSP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YmFlYjc2NzFiNGZhMTE4MzJhZGUyNWE1YTM3YzYifQ=="/>
  </w:docVars>
  <w:rsids>
    <w:rsidRoot w:val="00FB322F"/>
    <w:rsid w:val="00683A8D"/>
    <w:rsid w:val="00FB322F"/>
    <w:rsid w:val="021D33B1"/>
    <w:rsid w:val="04E470A0"/>
    <w:rsid w:val="05F01366"/>
    <w:rsid w:val="0B9B0792"/>
    <w:rsid w:val="0D7A124C"/>
    <w:rsid w:val="106F460A"/>
    <w:rsid w:val="14201051"/>
    <w:rsid w:val="1981642E"/>
    <w:rsid w:val="1ED34350"/>
    <w:rsid w:val="1FDA482D"/>
    <w:rsid w:val="25583FC6"/>
    <w:rsid w:val="26DC6D2E"/>
    <w:rsid w:val="2A122468"/>
    <w:rsid w:val="2AB0680B"/>
    <w:rsid w:val="2B022A53"/>
    <w:rsid w:val="2D5708F0"/>
    <w:rsid w:val="2EC35DF5"/>
    <w:rsid w:val="30230646"/>
    <w:rsid w:val="31622229"/>
    <w:rsid w:val="317920F6"/>
    <w:rsid w:val="33F23FC7"/>
    <w:rsid w:val="38A73D0C"/>
    <w:rsid w:val="3A6F6608"/>
    <w:rsid w:val="3C366AC0"/>
    <w:rsid w:val="3F355C70"/>
    <w:rsid w:val="42774755"/>
    <w:rsid w:val="43D92C4E"/>
    <w:rsid w:val="458E5786"/>
    <w:rsid w:val="46B74669"/>
    <w:rsid w:val="48054931"/>
    <w:rsid w:val="49784B12"/>
    <w:rsid w:val="4C4D68A6"/>
    <w:rsid w:val="4C807C01"/>
    <w:rsid w:val="4CCE58CF"/>
    <w:rsid w:val="4FCF3CB3"/>
    <w:rsid w:val="512C4AEF"/>
    <w:rsid w:val="5162517B"/>
    <w:rsid w:val="517E64C8"/>
    <w:rsid w:val="53AD7C53"/>
    <w:rsid w:val="574D3D87"/>
    <w:rsid w:val="58E80082"/>
    <w:rsid w:val="5B353327"/>
    <w:rsid w:val="5B455FE5"/>
    <w:rsid w:val="5D78609D"/>
    <w:rsid w:val="5DCF1B85"/>
    <w:rsid w:val="5F5D2C09"/>
    <w:rsid w:val="60415813"/>
    <w:rsid w:val="64CF659A"/>
    <w:rsid w:val="66A355E9"/>
    <w:rsid w:val="66F231DA"/>
    <w:rsid w:val="68F0088D"/>
    <w:rsid w:val="6ED86B69"/>
    <w:rsid w:val="71D95A2A"/>
    <w:rsid w:val="72727BBC"/>
    <w:rsid w:val="7859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6">
    <w:name w:val="table of authorities"/>
    <w:basedOn w:val="1"/>
    <w:next w:val="1"/>
    <w:qFormat/>
    <w:uiPriority w:val="0"/>
    <w:pPr>
      <w:ind w:left="420" w:leftChars="200"/>
    </w:pPr>
    <w:rPr>
      <w:sz w:val="28"/>
      <w:szCs w:val="20"/>
    </w:rPr>
  </w:style>
  <w:style w:type="paragraph" w:styleId="7">
    <w:name w:val="Normal Indent"/>
    <w:basedOn w:val="1"/>
    <w:next w:val="1"/>
    <w:qFormat/>
    <w:uiPriority w:val="0"/>
    <w:pPr>
      <w:spacing w:before="100" w:beforeLines="0" w:beforeAutospacing="1" w:after="100" w:afterLines="0" w:afterAutospacing="1" w:line="360" w:lineRule="auto"/>
      <w:ind w:firstLine="482"/>
    </w:pPr>
    <w:rPr>
      <w:rFonts w:ascii="Arial" w:hAnsi="Arial"/>
      <w:sz w:val="24"/>
      <w:szCs w:val="20"/>
    </w:rPr>
  </w:style>
  <w:style w:type="paragraph" w:styleId="8">
    <w:name w:val="toc 3"/>
    <w:basedOn w:val="1"/>
    <w:next w:val="1"/>
    <w:unhideWhenUsed/>
    <w:qFormat/>
    <w:uiPriority w:val="39"/>
    <w:pPr>
      <w:spacing w:line="380" w:lineRule="exact"/>
      <w:ind w:left="400" w:leftChars="400"/>
      <w:jc w:val="distribute"/>
    </w:pPr>
  </w:style>
  <w:style w:type="paragraph" w:styleId="9">
    <w:name w:val="Plain Text"/>
    <w:basedOn w:val="1"/>
    <w:next w:val="10"/>
    <w:qFormat/>
    <w:uiPriority w:val="0"/>
    <w:rPr>
      <w:rFonts w:ascii="宋体" w:hAnsi="Courier New" w:eastAsia="宋体"/>
      <w:kern w:val="2"/>
      <w:sz w:val="21"/>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6"/>
    <w:qFormat/>
    <w:uiPriority w:val="0"/>
  </w:style>
  <w:style w:type="paragraph" w:styleId="13">
    <w:name w:val="footnote text"/>
    <w:basedOn w:val="1"/>
    <w:unhideWhenUsed/>
    <w:qFormat/>
    <w:uiPriority w:val="99"/>
    <w:pPr>
      <w:snapToGrid w:val="0"/>
      <w:jc w:val="left"/>
    </w:pPr>
    <w:rPr>
      <w:sz w:val="18"/>
    </w:rPr>
  </w:style>
  <w:style w:type="paragraph" w:styleId="14">
    <w:name w:val="Normal (Web)"/>
    <w:basedOn w:val="1"/>
    <w:next w:val="1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bCs w:val="0"/>
      <w:sz w:val="24"/>
      <w:szCs w:val="20"/>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27">
    <w:name w:val="Table Paragraph"/>
    <w:basedOn w:val="1"/>
    <w:qFormat/>
    <w:uiPriority w:val="1"/>
    <w:rPr>
      <w:rFonts w:ascii="宋体" w:hAnsi="宋体" w:eastAsia="宋体" w:cs="宋体"/>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27104</Words>
  <Characters>29339</Characters>
  <Lines>0</Lines>
  <Paragraphs>0</Paragraphs>
  <TotalTime>23</TotalTime>
  <ScaleCrop>false</ScaleCrop>
  <LinksUpToDate>false</LinksUpToDate>
  <CharactersWithSpaces>31485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2023-02-01T10:03:00Z</dcterms:created>
  <dc:creator> 十二</dc:creator>
  <cp:lastModifiedBy> 十二</cp:lastModifiedBy>
  <dcterms:modified xsi:type="dcterms:W3CDTF">2023-09-27T12:46:14Z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4420E29CCFCE41E2A55F1F2F0C2AC033_13</vt:lpwstr>
  </property>
</Properties>
</file>