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firstLine="0"/>
        <w:rPr>
          <w:rFonts w:ascii="微软雅黑" w:hAnsi="微软雅黑" w:eastAsia="微软雅黑" w:cs="微软雅黑"/>
          <w:b/>
          <w:kern w:val="2"/>
          <w:sz w:val="44"/>
          <w:szCs w:val="44"/>
        </w:rPr>
      </w:pPr>
    </w:p>
    <w:p>
      <w:pPr>
        <w:pStyle w:val="27"/>
        <w:ind w:firstLine="880"/>
        <w:rPr>
          <w:rFonts w:ascii="微软雅黑" w:hAnsi="微软雅黑" w:eastAsia="微软雅黑" w:cs="微软雅黑"/>
          <w:b/>
          <w:sz w:val="44"/>
          <w:szCs w:val="44"/>
        </w:rPr>
      </w:pPr>
    </w:p>
    <w:p>
      <w:pPr>
        <w:pStyle w:val="27"/>
        <w:ind w:firstLine="880"/>
        <w:rPr>
          <w:rFonts w:ascii="微软雅黑" w:hAnsi="微软雅黑" w:eastAsia="微软雅黑" w:cs="微软雅黑"/>
          <w:b/>
          <w:sz w:val="44"/>
          <w:szCs w:val="44"/>
        </w:rPr>
      </w:pPr>
    </w:p>
    <w:p>
      <w:pPr>
        <w:jc w:val="center"/>
        <w:rPr>
          <w:rFonts w:hint="eastAsia" w:ascii="微软雅黑" w:hAnsi="微软雅黑" w:eastAsia="微软雅黑" w:cs="微软雅黑"/>
          <w:b/>
          <w:sz w:val="44"/>
          <w:szCs w:val="44"/>
          <w:lang w:eastAsia="zh-CN"/>
        </w:rPr>
      </w:pPr>
      <w:r>
        <w:rPr>
          <w:rFonts w:hint="eastAsia" w:ascii="微软雅黑" w:hAnsi="微软雅黑" w:eastAsia="微软雅黑" w:cs="微软雅黑"/>
          <w:b/>
          <w:sz w:val="44"/>
          <w:szCs w:val="44"/>
          <w:lang w:eastAsia="zh-CN"/>
        </w:rPr>
        <w:t>疏附县人民医院医共体成员单位中药饮片采购项目</w:t>
      </w:r>
    </w:p>
    <w:p/>
    <w:p>
      <w:pPr>
        <w:spacing w:line="240" w:lineRule="atLeast"/>
        <w:jc w:val="center"/>
        <w:rPr>
          <w:rFonts w:ascii="微软雅黑" w:hAnsi="微软雅黑" w:eastAsia="微软雅黑" w:cs="微软雅黑"/>
          <w:bCs/>
          <w:sz w:val="44"/>
          <w:szCs w:val="44"/>
        </w:rPr>
      </w:pPr>
      <w:r>
        <w:rPr>
          <w:rFonts w:hint="eastAsia" w:ascii="微软雅黑" w:hAnsi="微软雅黑" w:eastAsia="微软雅黑" w:cs="微软雅黑"/>
          <w:b/>
          <w:sz w:val="44"/>
          <w:szCs w:val="44"/>
        </w:rPr>
        <w:t>公开招标文件</w:t>
      </w:r>
    </w:p>
    <w:p>
      <w:pPr>
        <w:spacing w:line="240" w:lineRule="atLeast"/>
        <w:rPr>
          <w:rFonts w:ascii="微软雅黑" w:hAnsi="微软雅黑" w:eastAsia="微软雅黑" w:cs="微软雅黑"/>
          <w:bCs/>
          <w:sz w:val="32"/>
          <w:szCs w:val="32"/>
        </w:rPr>
      </w:pPr>
    </w:p>
    <w:p>
      <w:pPr>
        <w:pStyle w:val="26"/>
      </w:pPr>
    </w:p>
    <w:p>
      <w:pPr>
        <w:spacing w:line="240" w:lineRule="atLeast"/>
        <w:ind w:left="1080" w:leftChars="257" w:hanging="540"/>
        <w:jc w:val="center"/>
        <w:rPr>
          <w:rFonts w:ascii="微软雅黑" w:hAnsi="微软雅黑" w:eastAsia="微软雅黑" w:cs="微软雅黑"/>
          <w:b/>
          <w:sz w:val="32"/>
          <w:szCs w:val="32"/>
        </w:rPr>
      </w:pPr>
      <w:r>
        <w:rPr>
          <w:rFonts w:hint="eastAsia" w:ascii="微软雅黑" w:hAnsi="微软雅黑" w:eastAsia="微软雅黑" w:cs="微软雅黑"/>
          <w:bCs/>
          <w:sz w:val="32"/>
          <w:szCs w:val="32"/>
        </w:rPr>
        <w:t>（项目编号：YXGJ(GK)2023-1</w:t>
      </w:r>
      <w:r>
        <w:rPr>
          <w:rFonts w:hint="eastAsia" w:ascii="微软雅黑" w:hAnsi="微软雅黑" w:eastAsia="微软雅黑" w:cs="微软雅黑"/>
          <w:bCs/>
          <w:sz w:val="32"/>
          <w:szCs w:val="32"/>
          <w:lang w:val="en-US" w:eastAsia="zh-CN"/>
        </w:rPr>
        <w:t>6</w:t>
      </w:r>
      <w:r>
        <w:rPr>
          <w:rFonts w:hint="eastAsia" w:ascii="微软雅黑" w:hAnsi="微软雅黑" w:eastAsia="微软雅黑" w:cs="微软雅黑"/>
          <w:bCs/>
          <w:sz w:val="32"/>
          <w:szCs w:val="32"/>
        </w:rPr>
        <w:t>号）</w:t>
      </w:r>
    </w:p>
    <w:p>
      <w:pPr>
        <w:spacing w:line="240" w:lineRule="atLeast"/>
        <w:ind w:left="1080" w:leftChars="257" w:hanging="540"/>
        <w:jc w:val="center"/>
        <w:rPr>
          <w:rFonts w:ascii="微软雅黑" w:hAnsi="微软雅黑" w:eastAsia="微软雅黑" w:cs="微软雅黑"/>
          <w:b/>
          <w:sz w:val="36"/>
          <w:szCs w:val="36"/>
        </w:rPr>
      </w:pPr>
    </w:p>
    <w:p>
      <w:pPr>
        <w:pStyle w:val="5"/>
        <w:ind w:firstLine="0"/>
        <w:rPr>
          <w:rFonts w:ascii="微软雅黑" w:hAnsi="微软雅黑" w:eastAsia="微软雅黑" w:cs="微软雅黑"/>
          <w:sz w:val="28"/>
          <w:szCs w:val="28"/>
        </w:rPr>
      </w:pPr>
    </w:p>
    <w:p>
      <w:pPr>
        <w:pStyle w:val="9"/>
      </w:pPr>
    </w:p>
    <w:p>
      <w:pPr>
        <w:spacing w:line="360" w:lineRule="auto"/>
        <w:ind w:firstLine="837" w:firstLineChars="299"/>
        <w:jc w:val="left"/>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采购单位：</w:t>
      </w:r>
      <w:r>
        <w:rPr>
          <w:rFonts w:hint="eastAsia" w:ascii="微软雅黑" w:hAnsi="微软雅黑" w:eastAsia="微软雅黑" w:cs="微软雅黑"/>
          <w:sz w:val="28"/>
          <w:szCs w:val="28"/>
          <w:lang w:eastAsia="zh-CN"/>
        </w:rPr>
        <w:t>疏附县人民医院</w:t>
      </w:r>
    </w:p>
    <w:p>
      <w:pPr>
        <w:pStyle w:val="5"/>
        <w:ind w:firstLine="840" w:firstLineChars="300"/>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 xml:space="preserve">联 系 </w:t>
      </w:r>
      <w:r>
        <w:rPr>
          <w:rFonts w:hint="eastAsia" w:ascii="微软雅黑" w:hAnsi="微软雅黑" w:eastAsia="微软雅黑" w:cs="微软雅黑"/>
          <w:kern w:val="2"/>
          <w:sz w:val="28"/>
          <w:szCs w:val="28"/>
        </w:rPr>
        <w:t>人：</w:t>
      </w:r>
      <w:r>
        <w:rPr>
          <w:rFonts w:hint="eastAsia" w:ascii="微软雅黑" w:hAnsi="微软雅黑" w:eastAsia="微软雅黑" w:cs="微软雅黑"/>
          <w:kern w:val="2"/>
          <w:sz w:val="28"/>
          <w:szCs w:val="28"/>
          <w:lang w:eastAsia="zh-CN"/>
        </w:rPr>
        <w:t>田甜</w:t>
      </w:r>
    </w:p>
    <w:p>
      <w:pPr>
        <w:pStyle w:val="9"/>
        <w:ind w:firstLine="840" w:firstLineChars="300"/>
        <w:rPr>
          <w:rFonts w:hint="eastAsia" w:eastAsia="微软雅黑"/>
          <w:lang w:eastAsia="zh-CN"/>
        </w:rPr>
      </w:pPr>
      <w:r>
        <w:rPr>
          <w:rFonts w:hint="eastAsia" w:ascii="微软雅黑" w:hAnsi="微软雅黑" w:eastAsia="微软雅黑" w:cs="微软雅黑"/>
          <w:sz w:val="28"/>
          <w:szCs w:val="28"/>
        </w:rPr>
        <w:t>联系电话：</w:t>
      </w:r>
      <w:r>
        <w:rPr>
          <w:rFonts w:hint="eastAsia" w:ascii="微软雅黑" w:hAnsi="微软雅黑" w:eastAsia="微软雅黑" w:cs="微软雅黑"/>
          <w:sz w:val="28"/>
          <w:szCs w:val="28"/>
          <w:lang w:eastAsia="zh-CN"/>
        </w:rPr>
        <w:t>15809980219</w:t>
      </w:r>
    </w:p>
    <w:p>
      <w:pPr>
        <w:pStyle w:val="9"/>
      </w:pPr>
    </w:p>
    <w:p>
      <w:pPr>
        <w:pStyle w:val="9"/>
      </w:pPr>
    </w:p>
    <w:p>
      <w:pPr>
        <w:spacing w:line="360" w:lineRule="auto"/>
        <w:ind w:firstLine="837" w:firstLineChars="299"/>
        <w:rPr>
          <w:rFonts w:ascii="微软雅黑" w:hAnsi="微软雅黑" w:eastAsia="微软雅黑" w:cs="微软雅黑"/>
          <w:sz w:val="28"/>
          <w:szCs w:val="28"/>
        </w:rPr>
      </w:pPr>
      <w:r>
        <w:rPr>
          <w:rFonts w:hint="eastAsia" w:ascii="微软雅黑" w:hAnsi="微软雅黑" w:eastAsia="微软雅黑" w:cs="微软雅黑"/>
          <w:sz w:val="28"/>
          <w:szCs w:val="28"/>
        </w:rPr>
        <w:t>采购机构：新疆永信国金工程管理咨询有限公司</w:t>
      </w:r>
    </w:p>
    <w:p>
      <w:pPr>
        <w:pStyle w:val="5"/>
        <w:ind w:firstLine="840" w:firstLineChars="300"/>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联 系 人：</w:t>
      </w:r>
      <w:r>
        <w:rPr>
          <w:rFonts w:hint="eastAsia" w:ascii="微软雅黑" w:hAnsi="微软雅黑" w:eastAsia="微软雅黑" w:cs="微软雅黑"/>
          <w:sz w:val="28"/>
          <w:szCs w:val="28"/>
          <w:lang w:eastAsia="zh-CN"/>
        </w:rPr>
        <w:t>陈玉杰</w:t>
      </w:r>
    </w:p>
    <w:p>
      <w:pPr>
        <w:pStyle w:val="9"/>
        <w:ind w:firstLine="840" w:firstLineChars="300"/>
      </w:pPr>
      <w:r>
        <w:rPr>
          <w:rFonts w:hint="eastAsia" w:ascii="微软雅黑" w:hAnsi="微软雅黑" w:eastAsia="微软雅黑" w:cs="微软雅黑"/>
          <w:sz w:val="28"/>
          <w:szCs w:val="28"/>
        </w:rPr>
        <w:t>联系电话：15569228338</w:t>
      </w:r>
    </w:p>
    <w:p>
      <w:pPr>
        <w:spacing w:line="360" w:lineRule="auto"/>
        <w:rPr>
          <w:rFonts w:ascii="微软雅黑" w:hAnsi="微软雅黑" w:eastAsia="微软雅黑" w:cs="微软雅黑"/>
          <w:sz w:val="28"/>
          <w:szCs w:val="28"/>
        </w:rPr>
      </w:pPr>
    </w:p>
    <w:p>
      <w:pPr>
        <w:spacing w:line="360" w:lineRule="auto"/>
        <w:ind w:firstLine="840" w:firstLineChars="300"/>
        <w:jc w:val="center"/>
        <w:rPr>
          <w:rFonts w:ascii="微软雅黑" w:hAnsi="微软雅黑" w:eastAsia="微软雅黑" w:cs="微软雅黑"/>
          <w:sz w:val="28"/>
          <w:szCs w:val="28"/>
        </w:rPr>
      </w:pPr>
      <w:r>
        <w:rPr>
          <w:rFonts w:hint="eastAsia" w:ascii="微软雅黑" w:hAnsi="微软雅黑" w:eastAsia="微软雅黑" w:cs="微软雅黑"/>
          <w:sz w:val="28"/>
          <w:szCs w:val="28"/>
        </w:rPr>
        <w:t>发出日期：2023年</w:t>
      </w:r>
      <w:r>
        <w:rPr>
          <w:rFonts w:hint="eastAsia" w:ascii="微软雅黑" w:hAnsi="微软雅黑" w:eastAsia="微软雅黑" w:cs="微软雅黑"/>
          <w:sz w:val="28"/>
          <w:szCs w:val="28"/>
          <w:lang w:val="en-US" w:eastAsia="zh-CN"/>
        </w:rPr>
        <w:t>10</w:t>
      </w:r>
      <w:r>
        <w:rPr>
          <w:rFonts w:hint="eastAsia" w:ascii="微软雅黑" w:hAnsi="微软雅黑" w:eastAsia="微软雅黑" w:cs="微软雅黑"/>
          <w:sz w:val="28"/>
          <w:szCs w:val="28"/>
        </w:rPr>
        <w:t>月</w:t>
      </w:r>
    </w:p>
    <w:p>
      <w:pPr>
        <w:rPr>
          <w:rFonts w:ascii="微软雅黑" w:hAnsi="微软雅黑" w:eastAsia="微软雅黑" w:cs="微软雅黑"/>
          <w:b/>
          <w:bCs/>
          <w:sz w:val="40"/>
          <w:szCs w:val="40"/>
        </w:rPr>
      </w:pPr>
    </w:p>
    <w:p>
      <w:pPr>
        <w:spacing w:line="520" w:lineRule="exact"/>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目录</w:t>
      </w:r>
    </w:p>
    <w:p>
      <w:pPr>
        <w:pStyle w:val="21"/>
        <w:tabs>
          <w:tab w:val="right" w:leader="dot" w:pos="9745"/>
        </w:tabs>
      </w:pPr>
      <w:r>
        <w:rPr>
          <w:rFonts w:hint="eastAsia" w:ascii="微软雅黑" w:hAnsi="微软雅黑" w:eastAsia="微软雅黑" w:cs="微软雅黑"/>
          <w:kern w:val="0"/>
          <w:sz w:val="28"/>
          <w:szCs w:val="28"/>
        </w:rPr>
        <w:fldChar w:fldCharType="begin"/>
      </w:r>
      <w:r>
        <w:rPr>
          <w:rFonts w:hint="eastAsia" w:ascii="微软雅黑" w:hAnsi="微软雅黑" w:eastAsia="微软雅黑" w:cs="微软雅黑"/>
          <w:kern w:val="0"/>
          <w:sz w:val="28"/>
          <w:szCs w:val="28"/>
        </w:rPr>
        <w:instrText xml:space="preserve">TOC \o "1-2" \h \u </w:instrText>
      </w:r>
      <w:r>
        <w:rPr>
          <w:rFonts w:hint="eastAsia" w:ascii="微软雅黑" w:hAnsi="微软雅黑" w:eastAsia="微软雅黑" w:cs="微软雅黑"/>
          <w:kern w:val="0"/>
          <w:sz w:val="28"/>
          <w:szCs w:val="28"/>
        </w:rPr>
        <w:fldChar w:fldCharType="separate"/>
      </w: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_Toc11944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32"/>
        </w:rPr>
        <w:t>第1章  供应商须知</w:t>
      </w:r>
      <w:r>
        <w:tab/>
      </w:r>
      <w:r>
        <w:fldChar w:fldCharType="begin"/>
      </w:r>
      <w:r>
        <w:instrText xml:space="preserve"> PAGEREF _Toc11944 \h </w:instrText>
      </w:r>
      <w:r>
        <w:fldChar w:fldCharType="separate"/>
      </w:r>
      <w:r>
        <w:t>3</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_Toc22318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8"/>
        </w:rPr>
        <w:t>一   总 则</w:t>
      </w:r>
      <w:r>
        <w:tab/>
      </w:r>
      <w:r>
        <w:fldChar w:fldCharType="begin"/>
      </w:r>
      <w:r>
        <w:instrText xml:space="preserve"> PAGEREF _Toc22318 \h </w:instrText>
      </w:r>
      <w:r>
        <w:fldChar w:fldCharType="separate"/>
      </w:r>
      <w:r>
        <w:t>3</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_Toc22685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二   招标文件</w:t>
      </w:r>
      <w:r>
        <w:tab/>
      </w:r>
      <w:r>
        <w:fldChar w:fldCharType="begin"/>
      </w:r>
      <w:r>
        <w:instrText xml:space="preserve"> PAGEREF _Toc22685 \h </w:instrText>
      </w:r>
      <w:r>
        <w:fldChar w:fldCharType="separate"/>
      </w:r>
      <w:r>
        <w:t>4</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_Toc27451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22"/>
        </w:rPr>
        <w:t>三   投标文件的编制</w:t>
      </w:r>
      <w:r>
        <w:tab/>
      </w:r>
      <w:r>
        <w:fldChar w:fldCharType="begin"/>
      </w:r>
      <w:r>
        <w:instrText xml:space="preserve"> PAGEREF _Toc27451 \h </w:instrText>
      </w:r>
      <w:r>
        <w:fldChar w:fldCharType="separate"/>
      </w:r>
      <w:r>
        <w:t>5</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_Toc5836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2"/>
        </w:rPr>
        <w:t>四   投标文件的递交</w:t>
      </w:r>
      <w:r>
        <w:tab/>
      </w:r>
      <w:r>
        <w:fldChar w:fldCharType="begin"/>
      </w:r>
      <w:r>
        <w:instrText xml:space="preserve"> PAGEREF _Toc5836 \h </w:instrText>
      </w:r>
      <w:r>
        <w:fldChar w:fldCharType="separate"/>
      </w:r>
      <w:r>
        <w:t>8</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_Toc12618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2"/>
        </w:rPr>
        <w:t>五   开标及评标</w:t>
      </w:r>
      <w:r>
        <w:tab/>
      </w:r>
      <w:r>
        <w:fldChar w:fldCharType="begin"/>
      </w:r>
      <w:r>
        <w:instrText xml:space="preserve"> PAGEREF _Toc12618 \h </w:instrText>
      </w:r>
      <w:r>
        <w:fldChar w:fldCharType="separate"/>
      </w:r>
      <w:r>
        <w:t>8</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_Toc29684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2"/>
        </w:rPr>
        <w:t>六   确定中标</w:t>
      </w:r>
      <w:r>
        <w:tab/>
      </w:r>
      <w:r>
        <w:fldChar w:fldCharType="begin"/>
      </w:r>
      <w:r>
        <w:instrText xml:space="preserve"> PAGEREF _Toc29684 \h </w:instrText>
      </w:r>
      <w:r>
        <w:fldChar w:fldCharType="separate"/>
      </w:r>
      <w:r>
        <w:t>13</w:t>
      </w:r>
      <w:r>
        <w:fldChar w:fldCharType="end"/>
      </w:r>
      <w:r>
        <w:rPr>
          <w:rFonts w:hint="eastAsia" w:ascii="微软雅黑" w:hAnsi="微软雅黑" w:eastAsia="微软雅黑" w:cs="微软雅黑"/>
          <w:kern w:val="0"/>
          <w:szCs w:val="28"/>
        </w:rPr>
        <w:fldChar w:fldCharType="end"/>
      </w:r>
    </w:p>
    <w:p>
      <w:pPr>
        <w:pStyle w:val="21"/>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_Toc24248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rPr>
        <w:t>第2章   投标文件格式</w:t>
      </w:r>
      <w:r>
        <w:tab/>
      </w:r>
      <w:r>
        <w:fldChar w:fldCharType="begin"/>
      </w:r>
      <w:r>
        <w:instrText xml:space="preserve"> PAGEREF _Toc24248 \h </w:instrText>
      </w:r>
      <w:r>
        <w:fldChar w:fldCharType="separate"/>
      </w:r>
      <w:r>
        <w:t>19</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_Toc2893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kern w:val="2"/>
          <w:szCs w:val="24"/>
        </w:rPr>
        <w:t>第一部分 开标一览表及资格证明文件</w:t>
      </w:r>
      <w:r>
        <w:tab/>
      </w:r>
      <w:r>
        <w:fldChar w:fldCharType="begin"/>
      </w:r>
      <w:r>
        <w:instrText xml:space="preserve"> PAGEREF _Toc2893 \h </w:instrText>
      </w:r>
      <w:r>
        <w:fldChar w:fldCharType="separate"/>
      </w:r>
      <w:r>
        <w:t>19</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_Toc6108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  开标一览表</w:t>
      </w:r>
      <w:r>
        <w:tab/>
      </w:r>
      <w:r>
        <w:fldChar w:fldCharType="begin"/>
      </w:r>
      <w:r>
        <w:instrText xml:space="preserve"> PAGEREF _Toc6108 \h </w:instrText>
      </w:r>
      <w:r>
        <w:fldChar w:fldCharType="separate"/>
      </w:r>
      <w:r>
        <w:t>20</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_Toc24823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rPr>
        <w:t>2  符合《中华人民共和国政府采购法》第二十二条的规定</w:t>
      </w:r>
      <w:r>
        <w:tab/>
      </w:r>
      <w:r>
        <w:fldChar w:fldCharType="begin"/>
      </w:r>
      <w:r>
        <w:instrText xml:space="preserve"> PAGEREF _Toc24823 \h </w:instrText>
      </w:r>
      <w:r>
        <w:fldChar w:fldCharType="separate"/>
      </w:r>
      <w:r>
        <w:t>21</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_Toc2113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rPr>
        <w:t>3  投标保证金有效凭证；</w:t>
      </w:r>
      <w:r>
        <w:tab/>
      </w:r>
      <w:r>
        <w:fldChar w:fldCharType="begin"/>
      </w:r>
      <w:r>
        <w:instrText xml:space="preserve"> PAGEREF _Toc2113 \h </w:instrText>
      </w:r>
      <w:r>
        <w:fldChar w:fldCharType="separate"/>
      </w:r>
      <w:r>
        <w:t>25</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_Toc24001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kern w:val="2"/>
          <w:szCs w:val="32"/>
        </w:rPr>
        <w:t>第二部分 商务及技术文件</w:t>
      </w:r>
      <w:r>
        <w:tab/>
      </w:r>
      <w:r>
        <w:fldChar w:fldCharType="begin"/>
      </w:r>
      <w:r>
        <w:instrText xml:space="preserve"> PAGEREF _Toc24001 \h </w:instrText>
      </w:r>
      <w:r>
        <w:fldChar w:fldCharType="separate"/>
      </w:r>
      <w:r>
        <w:t>26</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_Toc16788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1、投标书</w:t>
      </w:r>
      <w:r>
        <w:tab/>
      </w:r>
      <w:r>
        <w:fldChar w:fldCharType="begin"/>
      </w:r>
      <w:r>
        <w:instrText xml:space="preserve"> PAGEREF _Toc16788 \h </w:instrText>
      </w:r>
      <w:r>
        <w:fldChar w:fldCharType="separate"/>
      </w:r>
      <w:r>
        <w:t>27</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_Toc21970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2、投标分项报价表</w:t>
      </w:r>
      <w:r>
        <w:tab/>
      </w:r>
      <w:r>
        <w:fldChar w:fldCharType="begin"/>
      </w:r>
      <w:r>
        <w:instrText xml:space="preserve"> PAGEREF _Toc21970 \h </w:instrText>
      </w:r>
      <w:r>
        <w:fldChar w:fldCharType="separate"/>
      </w:r>
      <w:r>
        <w:t>28</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_Toc21479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1"/>
        </w:rPr>
        <w:t>3、货物说明一览表</w:t>
      </w:r>
      <w:r>
        <w:tab/>
      </w:r>
      <w:r>
        <w:fldChar w:fldCharType="begin"/>
      </w:r>
      <w:r>
        <w:instrText xml:space="preserve"> PAGEREF _Toc21479 \h </w:instrText>
      </w:r>
      <w:r>
        <w:fldChar w:fldCharType="separate"/>
      </w:r>
      <w:r>
        <w:t>29</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_Toc31596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4、技术规格偏离表</w:t>
      </w:r>
      <w:r>
        <w:tab/>
      </w:r>
      <w:r>
        <w:fldChar w:fldCharType="begin"/>
      </w:r>
      <w:r>
        <w:instrText xml:space="preserve"> PAGEREF _Toc31596 \h </w:instrText>
      </w:r>
      <w:r>
        <w:fldChar w:fldCharType="separate"/>
      </w:r>
      <w:r>
        <w:t>30</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_Toc26883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2"/>
          <w:szCs w:val="24"/>
        </w:rPr>
        <w:t>5、商务条款偏离表</w:t>
      </w:r>
      <w:r>
        <w:tab/>
      </w:r>
      <w:r>
        <w:fldChar w:fldCharType="begin"/>
      </w:r>
      <w:r>
        <w:instrText xml:space="preserve"> PAGEREF _Toc26883 \h </w:instrText>
      </w:r>
      <w:r>
        <w:fldChar w:fldCharType="separate"/>
      </w:r>
      <w:r>
        <w:t>31</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_Toc22397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2"/>
          <w:szCs w:val="22"/>
        </w:rPr>
        <w:t xml:space="preserve">6-1  </w:t>
      </w:r>
      <w:r>
        <w:rPr>
          <w:rFonts w:hint="eastAsia" w:ascii="微软雅黑" w:hAnsi="微软雅黑" w:eastAsia="微软雅黑" w:cs="微软雅黑"/>
          <w:bCs/>
          <w:szCs w:val="22"/>
        </w:rPr>
        <w:t>中小企业声明函</w:t>
      </w:r>
      <w:r>
        <w:tab/>
      </w:r>
      <w:r>
        <w:fldChar w:fldCharType="begin"/>
      </w:r>
      <w:r>
        <w:instrText xml:space="preserve"> PAGEREF _Toc22397 \h </w:instrText>
      </w:r>
      <w:r>
        <w:fldChar w:fldCharType="separate"/>
      </w:r>
      <w:r>
        <w:t>32</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_Toc31550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2"/>
          <w:szCs w:val="24"/>
        </w:rPr>
        <w:t>6-2  残疾人福利性单位声明函</w:t>
      </w:r>
      <w:r>
        <w:tab/>
      </w:r>
      <w:r>
        <w:fldChar w:fldCharType="begin"/>
      </w:r>
      <w:r>
        <w:instrText xml:space="preserve"> PAGEREF _Toc31550 \h </w:instrText>
      </w:r>
      <w:r>
        <w:fldChar w:fldCharType="separate"/>
      </w:r>
      <w:r>
        <w:t>37</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_Toc17312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2"/>
          <w:szCs w:val="24"/>
        </w:rPr>
        <w:t>7、供应商关联单位的说明</w:t>
      </w:r>
      <w:r>
        <w:tab/>
      </w:r>
      <w:r>
        <w:fldChar w:fldCharType="begin"/>
      </w:r>
      <w:r>
        <w:instrText xml:space="preserve"> PAGEREF _Toc17312 \h </w:instrText>
      </w:r>
      <w:r>
        <w:fldChar w:fldCharType="separate"/>
      </w:r>
      <w:r>
        <w:t>37</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_Toc3067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2"/>
          <w:szCs w:val="24"/>
        </w:rPr>
        <w:t>8、供应商可提供有利于投标的其他资格证明材料</w:t>
      </w:r>
      <w:r>
        <w:tab/>
      </w:r>
      <w:r>
        <w:fldChar w:fldCharType="begin"/>
      </w:r>
      <w:r>
        <w:instrText xml:space="preserve"> PAGEREF _Toc3067 \h </w:instrText>
      </w:r>
      <w:r>
        <w:fldChar w:fldCharType="separate"/>
      </w:r>
      <w:r>
        <w:t>37</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_Toc22803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kern w:val="0"/>
          <w:szCs w:val="24"/>
        </w:rPr>
        <w:t>9、投标文件格式范本</w:t>
      </w:r>
      <w:r>
        <w:tab/>
      </w:r>
      <w:r>
        <w:fldChar w:fldCharType="begin"/>
      </w:r>
      <w:r>
        <w:instrText xml:space="preserve"> PAGEREF _Toc22803 \h </w:instrText>
      </w:r>
      <w:r>
        <w:fldChar w:fldCharType="separate"/>
      </w:r>
      <w:r>
        <w:t>38</w:t>
      </w:r>
      <w:r>
        <w:fldChar w:fldCharType="end"/>
      </w:r>
      <w:r>
        <w:rPr>
          <w:rFonts w:hint="eastAsia" w:ascii="微软雅黑" w:hAnsi="微软雅黑" w:eastAsia="微软雅黑" w:cs="微软雅黑"/>
          <w:kern w:val="0"/>
          <w:szCs w:val="28"/>
        </w:rPr>
        <w:fldChar w:fldCharType="end"/>
      </w:r>
    </w:p>
    <w:p>
      <w:pPr>
        <w:pStyle w:val="21"/>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_Toc8006 </w:instrText>
      </w:r>
      <w:r>
        <w:rPr>
          <w:rFonts w:hint="eastAsia" w:ascii="微软雅黑" w:hAnsi="微软雅黑" w:eastAsia="微软雅黑" w:cs="微软雅黑"/>
          <w:kern w:val="0"/>
          <w:szCs w:val="28"/>
        </w:rPr>
        <w:fldChar w:fldCharType="separate"/>
      </w:r>
      <w:r>
        <w:rPr>
          <w:rFonts w:ascii="微软雅黑" w:hAnsi="微软雅黑" w:eastAsia="微软雅黑" w:cs="微软雅黑"/>
          <w:bCs/>
        </w:rPr>
        <w:t xml:space="preserve">第3章 </w:t>
      </w:r>
      <w:r>
        <w:rPr>
          <w:rFonts w:hint="eastAsia" w:ascii="微软雅黑" w:hAnsi="微软雅黑" w:eastAsia="微软雅黑" w:cs="微软雅黑"/>
          <w:bCs/>
        </w:rPr>
        <w:t>投标邀请</w:t>
      </w:r>
      <w:r>
        <w:tab/>
      </w:r>
      <w:r>
        <w:fldChar w:fldCharType="begin"/>
      </w:r>
      <w:r>
        <w:instrText xml:space="preserve"> PAGEREF _Toc8006 \h </w:instrText>
      </w:r>
      <w:r>
        <w:fldChar w:fldCharType="separate"/>
      </w:r>
      <w:r>
        <w:t>40</w:t>
      </w:r>
      <w:r>
        <w:fldChar w:fldCharType="end"/>
      </w:r>
      <w:r>
        <w:rPr>
          <w:rFonts w:hint="eastAsia" w:ascii="微软雅黑" w:hAnsi="微软雅黑" w:eastAsia="微软雅黑" w:cs="微软雅黑"/>
          <w:kern w:val="0"/>
          <w:szCs w:val="28"/>
        </w:rPr>
        <w:fldChar w:fldCharType="end"/>
      </w:r>
    </w:p>
    <w:p>
      <w:pPr>
        <w:pStyle w:val="21"/>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_Toc9325 </w:instrText>
      </w:r>
      <w:r>
        <w:rPr>
          <w:rFonts w:hint="eastAsia" w:ascii="微软雅黑" w:hAnsi="微软雅黑" w:eastAsia="微软雅黑" w:cs="微软雅黑"/>
          <w:kern w:val="0"/>
          <w:szCs w:val="28"/>
        </w:rPr>
        <w:fldChar w:fldCharType="separate"/>
      </w:r>
      <w:r>
        <w:rPr>
          <w:rFonts w:ascii="微软雅黑" w:hAnsi="微软雅黑" w:eastAsia="微软雅黑" w:cs="微软雅黑"/>
          <w:bCs/>
        </w:rPr>
        <w:t xml:space="preserve">第4章 </w:t>
      </w:r>
      <w:r>
        <w:rPr>
          <w:rFonts w:hint="eastAsia" w:ascii="微软雅黑" w:hAnsi="微软雅黑" w:eastAsia="微软雅黑" w:cs="微软雅黑"/>
          <w:bCs/>
        </w:rPr>
        <w:t>供应商须知资料表</w:t>
      </w:r>
      <w:r>
        <w:tab/>
      </w:r>
      <w:r>
        <w:fldChar w:fldCharType="begin"/>
      </w:r>
      <w:r>
        <w:instrText xml:space="preserve"> PAGEREF _Toc9325 \h </w:instrText>
      </w:r>
      <w:r>
        <w:fldChar w:fldCharType="separate"/>
      </w:r>
      <w:r>
        <w:t>44</w:t>
      </w:r>
      <w:r>
        <w:fldChar w:fldCharType="end"/>
      </w:r>
      <w:r>
        <w:rPr>
          <w:rFonts w:hint="eastAsia" w:ascii="微软雅黑" w:hAnsi="微软雅黑" w:eastAsia="微软雅黑" w:cs="微软雅黑"/>
          <w:kern w:val="0"/>
          <w:szCs w:val="28"/>
        </w:rPr>
        <w:fldChar w:fldCharType="end"/>
      </w:r>
    </w:p>
    <w:p>
      <w:pPr>
        <w:pStyle w:val="21"/>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_Toc11557 </w:instrText>
      </w:r>
      <w:r>
        <w:rPr>
          <w:rFonts w:hint="eastAsia" w:ascii="微软雅黑" w:hAnsi="微软雅黑" w:eastAsia="微软雅黑" w:cs="微软雅黑"/>
          <w:kern w:val="0"/>
          <w:szCs w:val="28"/>
        </w:rPr>
        <w:fldChar w:fldCharType="separate"/>
      </w:r>
      <w:r>
        <w:rPr>
          <w:rFonts w:ascii="微软雅黑" w:hAnsi="微软雅黑" w:eastAsia="微软雅黑" w:cs="微软雅黑"/>
          <w:bCs/>
          <w:kern w:val="44"/>
          <w:szCs w:val="28"/>
        </w:rPr>
        <w:t xml:space="preserve">第5章 </w:t>
      </w:r>
      <w:r>
        <w:rPr>
          <w:rFonts w:hint="eastAsia" w:ascii="微软雅黑" w:hAnsi="微软雅黑" w:eastAsia="微软雅黑" w:cs="微软雅黑"/>
          <w:bCs/>
          <w:kern w:val="44"/>
          <w:szCs w:val="28"/>
        </w:rPr>
        <w:t>货物需求一览表及技术规格</w:t>
      </w:r>
      <w:r>
        <w:tab/>
      </w:r>
      <w:r>
        <w:fldChar w:fldCharType="begin"/>
      </w:r>
      <w:r>
        <w:instrText xml:space="preserve"> PAGEREF _Toc11557 \h </w:instrText>
      </w:r>
      <w:r>
        <w:fldChar w:fldCharType="separate"/>
      </w:r>
      <w:r>
        <w:t>48</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_Toc11303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一、 采购需求</w:t>
      </w:r>
      <w:r>
        <w:tab/>
      </w:r>
      <w:r>
        <w:fldChar w:fldCharType="begin"/>
      </w:r>
      <w:r>
        <w:instrText xml:space="preserve"> PAGEREF _Toc11303 \h </w:instrText>
      </w:r>
      <w:r>
        <w:fldChar w:fldCharType="separate"/>
      </w:r>
      <w:r>
        <w:t>48</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_Toc32402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4"/>
        </w:rPr>
        <w:t>二、项目其他要求：</w:t>
      </w:r>
      <w:r>
        <w:tab/>
      </w:r>
      <w:r>
        <w:fldChar w:fldCharType="begin"/>
      </w:r>
      <w:r>
        <w:instrText xml:space="preserve"> PAGEREF _Toc32402 \h </w:instrText>
      </w:r>
      <w:r>
        <w:fldChar w:fldCharType="separate"/>
      </w:r>
      <w:r>
        <w:t>109</w:t>
      </w:r>
      <w:r>
        <w:fldChar w:fldCharType="end"/>
      </w:r>
      <w:r>
        <w:rPr>
          <w:rFonts w:hint="eastAsia" w:ascii="微软雅黑" w:hAnsi="微软雅黑" w:eastAsia="微软雅黑" w:cs="微软雅黑"/>
          <w:kern w:val="0"/>
          <w:szCs w:val="28"/>
        </w:rPr>
        <w:fldChar w:fldCharType="end"/>
      </w:r>
    </w:p>
    <w:p>
      <w:pPr>
        <w:pStyle w:val="21"/>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_Toc2090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szCs w:val="32"/>
        </w:rPr>
        <w:t>第6章  评标方法和标准</w:t>
      </w:r>
      <w:r>
        <w:tab/>
      </w:r>
      <w:r>
        <w:fldChar w:fldCharType="begin"/>
      </w:r>
      <w:r>
        <w:instrText xml:space="preserve"> PAGEREF _Toc2090 \h </w:instrText>
      </w:r>
      <w:r>
        <w:fldChar w:fldCharType="separate"/>
      </w:r>
      <w:r>
        <w:t>112</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_Toc23365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2"/>
        </w:rPr>
        <w:t>初步评审—资格性审查表</w:t>
      </w:r>
      <w:r>
        <w:tab/>
      </w:r>
      <w:r>
        <w:fldChar w:fldCharType="begin"/>
      </w:r>
      <w:r>
        <w:instrText xml:space="preserve"> PAGEREF _Toc23365 \h </w:instrText>
      </w:r>
      <w:r>
        <w:fldChar w:fldCharType="separate"/>
      </w:r>
      <w:r>
        <w:t>121</w:t>
      </w:r>
      <w:r>
        <w:fldChar w:fldCharType="end"/>
      </w:r>
      <w:r>
        <w:rPr>
          <w:rFonts w:hint="eastAsia" w:ascii="微软雅黑" w:hAnsi="微软雅黑" w:eastAsia="微软雅黑" w:cs="微软雅黑"/>
          <w:kern w:val="0"/>
          <w:szCs w:val="28"/>
        </w:rPr>
        <w:fldChar w:fldCharType="end"/>
      </w:r>
    </w:p>
    <w:p>
      <w:pPr>
        <w:pStyle w:val="22"/>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_Toc31485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bCs/>
          <w:szCs w:val="21"/>
        </w:rPr>
        <w:t>初步评审—符合性审查表</w:t>
      </w:r>
      <w:r>
        <w:tab/>
      </w:r>
      <w:r>
        <w:fldChar w:fldCharType="begin"/>
      </w:r>
      <w:r>
        <w:instrText xml:space="preserve"> PAGEREF _Toc31485 \h </w:instrText>
      </w:r>
      <w:r>
        <w:fldChar w:fldCharType="separate"/>
      </w:r>
      <w:r>
        <w:t>122</w:t>
      </w:r>
      <w:r>
        <w:fldChar w:fldCharType="end"/>
      </w:r>
      <w:r>
        <w:rPr>
          <w:rFonts w:hint="eastAsia" w:ascii="微软雅黑" w:hAnsi="微软雅黑" w:eastAsia="微软雅黑" w:cs="微软雅黑"/>
          <w:kern w:val="0"/>
          <w:szCs w:val="28"/>
        </w:rPr>
        <w:fldChar w:fldCharType="end"/>
      </w:r>
    </w:p>
    <w:p>
      <w:pPr>
        <w:pStyle w:val="21"/>
        <w:tabs>
          <w:tab w:val="right" w:leader="dot" w:pos="9745"/>
        </w:tabs>
      </w:pPr>
      <w:r>
        <w:rPr>
          <w:rFonts w:hint="eastAsia" w:ascii="微软雅黑" w:hAnsi="微软雅黑" w:eastAsia="微软雅黑" w:cs="微软雅黑"/>
          <w:kern w:val="0"/>
          <w:szCs w:val="28"/>
        </w:rPr>
        <w:fldChar w:fldCharType="begin"/>
      </w:r>
      <w:r>
        <w:rPr>
          <w:rFonts w:hint="eastAsia" w:ascii="微软雅黑" w:hAnsi="微软雅黑" w:eastAsia="微软雅黑" w:cs="微软雅黑"/>
          <w:kern w:val="0"/>
          <w:szCs w:val="28"/>
        </w:rPr>
        <w:instrText xml:space="preserve"> HYPERLINK \l _Toc22186 </w:instrText>
      </w:r>
      <w:r>
        <w:rPr>
          <w:rFonts w:hint="eastAsia" w:ascii="微软雅黑" w:hAnsi="微软雅黑" w:eastAsia="微软雅黑" w:cs="微软雅黑"/>
          <w:kern w:val="0"/>
          <w:szCs w:val="28"/>
        </w:rPr>
        <w:fldChar w:fldCharType="separate"/>
      </w:r>
      <w:r>
        <w:rPr>
          <w:rFonts w:hint="eastAsia" w:ascii="微软雅黑" w:hAnsi="微软雅黑" w:eastAsia="微软雅黑" w:cs="微软雅黑"/>
        </w:rPr>
        <w:t>第7章 政府采购合同</w:t>
      </w:r>
      <w:r>
        <w:tab/>
      </w:r>
      <w:r>
        <w:fldChar w:fldCharType="begin"/>
      </w:r>
      <w:r>
        <w:instrText xml:space="preserve"> PAGEREF _Toc22186 \h </w:instrText>
      </w:r>
      <w:r>
        <w:fldChar w:fldCharType="separate"/>
      </w:r>
      <w:r>
        <w:t>127</w:t>
      </w:r>
      <w:r>
        <w:fldChar w:fldCharType="end"/>
      </w:r>
      <w:r>
        <w:rPr>
          <w:rFonts w:hint="eastAsia" w:ascii="微软雅黑" w:hAnsi="微软雅黑" w:eastAsia="微软雅黑" w:cs="微软雅黑"/>
          <w:kern w:val="0"/>
          <w:szCs w:val="28"/>
        </w:rPr>
        <w:fldChar w:fldCharType="end"/>
      </w:r>
    </w:p>
    <w:p>
      <w:pPr>
        <w:pStyle w:val="21"/>
        <w:tabs>
          <w:tab w:val="right" w:leader="dot" w:pos="9745"/>
        </w:tabs>
      </w:pPr>
    </w:p>
    <w:p>
      <w:pPr>
        <w:pStyle w:val="21"/>
        <w:tabs>
          <w:tab w:val="right" w:leader="dot" w:pos="9745"/>
        </w:tabs>
      </w:pPr>
    </w:p>
    <w:p>
      <w:pPr>
        <w:pStyle w:val="21"/>
        <w:tabs>
          <w:tab w:val="right" w:leader="dot" w:pos="9745"/>
        </w:tabs>
      </w:pPr>
    </w:p>
    <w:p>
      <w:pPr>
        <w:pStyle w:val="21"/>
        <w:tabs>
          <w:tab w:val="right" w:leader="dot" w:pos="9745"/>
        </w:tabs>
      </w:pPr>
    </w:p>
    <w:p>
      <w:pPr>
        <w:pStyle w:val="21"/>
        <w:tabs>
          <w:tab w:val="right" w:leader="dot" w:pos="9745"/>
        </w:tabs>
      </w:pPr>
    </w:p>
    <w:p>
      <w:pPr>
        <w:pStyle w:val="21"/>
        <w:tabs>
          <w:tab w:val="right" w:leader="dot" w:pos="8312"/>
        </w:tabs>
        <w:jc w:val="center"/>
        <w:rPr>
          <w:rFonts w:ascii="微软雅黑" w:hAnsi="微软雅黑" w:eastAsia="微软雅黑" w:cs="微软雅黑"/>
          <w:kern w:val="0"/>
          <w:szCs w:val="28"/>
        </w:rPr>
      </w:pPr>
      <w:r>
        <w:rPr>
          <w:rFonts w:hint="eastAsia" w:ascii="微软雅黑" w:hAnsi="微软雅黑" w:eastAsia="微软雅黑" w:cs="微软雅黑"/>
          <w:kern w:val="0"/>
          <w:szCs w:val="28"/>
        </w:rPr>
        <w:fldChar w:fldCharType="end"/>
      </w:r>
    </w:p>
    <w:p>
      <w:pPr>
        <w:pStyle w:val="21"/>
        <w:tabs>
          <w:tab w:val="right" w:leader="dot" w:pos="8312"/>
        </w:tabs>
        <w:jc w:val="center"/>
        <w:outlineLvl w:val="0"/>
        <w:rPr>
          <w:rFonts w:ascii="微软雅黑" w:hAnsi="微软雅黑" w:eastAsia="微软雅黑" w:cs="微软雅黑"/>
          <w:b/>
          <w:bCs/>
          <w:sz w:val="32"/>
          <w:szCs w:val="32"/>
        </w:rPr>
      </w:pPr>
      <w:bookmarkStart w:id="0" w:name="_Toc11944"/>
      <w:r>
        <w:rPr>
          <w:rFonts w:hint="eastAsia" w:ascii="微软雅黑" w:hAnsi="微软雅黑" w:eastAsia="微软雅黑" w:cs="微软雅黑"/>
          <w:b/>
          <w:bCs/>
          <w:sz w:val="32"/>
          <w:szCs w:val="32"/>
        </w:rPr>
        <w:t>第1章  供应商须知</w:t>
      </w:r>
      <w:bookmarkEnd w:id="0"/>
    </w:p>
    <w:p>
      <w:pPr>
        <w:pStyle w:val="4"/>
        <w:spacing w:before="0" w:line="240" w:lineRule="auto"/>
        <w:ind w:left="1080" w:leftChars="257" w:hanging="540"/>
        <w:rPr>
          <w:rFonts w:ascii="微软雅黑" w:hAnsi="微软雅黑" w:eastAsia="微软雅黑" w:cs="微软雅黑"/>
        </w:rPr>
      </w:pPr>
      <w:bookmarkStart w:id="1" w:name="_Toc216582805"/>
      <w:bookmarkStart w:id="2" w:name="_Toc515647757"/>
      <w:bookmarkStart w:id="3" w:name="_Toc520356143"/>
      <w:bookmarkStart w:id="4" w:name="_Toc16706"/>
      <w:bookmarkStart w:id="5" w:name="_Toc22318"/>
      <w:bookmarkStart w:id="6" w:name="_Toc21015"/>
      <w:bookmarkStart w:id="7" w:name="_Toc5597"/>
      <w:bookmarkStart w:id="8" w:name="_Toc21215"/>
      <w:r>
        <w:rPr>
          <w:rFonts w:hint="eastAsia" w:ascii="微软雅黑" w:hAnsi="微软雅黑" w:eastAsia="微软雅黑" w:cs="微软雅黑"/>
          <w:sz w:val="28"/>
          <w:szCs w:val="28"/>
        </w:rPr>
        <w:t xml:space="preserve">一   </w:t>
      </w:r>
      <w:bookmarkEnd w:id="1"/>
      <w:bookmarkEnd w:id="2"/>
      <w:bookmarkEnd w:id="3"/>
      <w:r>
        <w:rPr>
          <w:rFonts w:hint="eastAsia" w:ascii="微软雅黑" w:hAnsi="微软雅黑" w:eastAsia="微软雅黑" w:cs="微软雅黑"/>
          <w:sz w:val="28"/>
          <w:szCs w:val="28"/>
        </w:rPr>
        <w:t>总 则</w:t>
      </w:r>
      <w:bookmarkEnd w:id="4"/>
      <w:bookmarkEnd w:id="5"/>
      <w:bookmarkEnd w:id="6"/>
      <w:bookmarkEnd w:id="7"/>
      <w:bookmarkEnd w:id="8"/>
    </w:p>
    <w:p>
      <w:pPr>
        <w:pStyle w:val="6"/>
        <w:spacing w:before="0" w:after="0" w:line="440" w:lineRule="exact"/>
        <w:rPr>
          <w:rFonts w:ascii="微软雅黑" w:hAnsi="微软雅黑" w:eastAsia="微软雅黑" w:cs="微软雅黑"/>
          <w:sz w:val="22"/>
          <w:szCs w:val="22"/>
          <w:u w:val="none"/>
        </w:rPr>
      </w:pPr>
      <w:bookmarkStart w:id="9" w:name="_Toc32189"/>
      <w:bookmarkStart w:id="10" w:name="_Toc1120"/>
      <w:bookmarkStart w:id="11" w:name="_Toc515647758"/>
      <w:bookmarkStart w:id="12" w:name="_Toc520356144"/>
      <w:bookmarkStart w:id="13" w:name="_Toc32623"/>
      <w:bookmarkStart w:id="14" w:name="_Toc14136"/>
      <w:bookmarkStart w:id="15" w:name="_Toc21372"/>
      <w:bookmarkStart w:id="16" w:name="_Toc19296"/>
      <w:bookmarkStart w:id="17" w:name="_Toc515647780"/>
      <w:bookmarkStart w:id="18" w:name="_Toc9840"/>
      <w:bookmarkStart w:id="19" w:name="_Toc12751"/>
      <w:bookmarkStart w:id="20" w:name="_Toc520356161"/>
      <w:bookmarkStart w:id="21" w:name="_Toc18574"/>
      <w:bookmarkStart w:id="22" w:name="_Toc515647776"/>
      <w:r>
        <w:rPr>
          <w:rFonts w:hint="eastAsia" w:ascii="微软雅黑" w:hAnsi="微软雅黑" w:eastAsia="微软雅黑" w:cs="微软雅黑"/>
          <w:sz w:val="22"/>
          <w:szCs w:val="22"/>
          <w:u w:val="none"/>
        </w:rPr>
        <w:t>1.采购人、采购代理机构及</w:t>
      </w:r>
      <w:bookmarkEnd w:id="9"/>
      <w:bookmarkEnd w:id="10"/>
      <w:bookmarkEnd w:id="11"/>
      <w:bookmarkEnd w:id="12"/>
      <w:bookmarkEnd w:id="13"/>
      <w:r>
        <w:rPr>
          <w:rFonts w:hint="eastAsia" w:ascii="微软雅黑" w:hAnsi="微软雅黑" w:eastAsia="微软雅黑" w:cs="微软雅黑"/>
          <w:sz w:val="22"/>
          <w:szCs w:val="22"/>
          <w:u w:val="none"/>
        </w:rPr>
        <w:t>供应商</w:t>
      </w:r>
    </w:p>
    <w:p>
      <w:pPr>
        <w:numPr>
          <w:ilvl w:val="1"/>
          <w:numId w:val="2"/>
        </w:numPr>
        <w:tabs>
          <w:tab w:val="clear" w:pos="900"/>
        </w:tabs>
        <w:spacing w:line="440" w:lineRule="exact"/>
        <w:ind w:hanging="898"/>
        <w:rPr>
          <w:rFonts w:ascii="微软雅黑" w:hAnsi="微软雅黑" w:eastAsia="微软雅黑" w:cs="微软雅黑"/>
          <w:sz w:val="22"/>
          <w:szCs w:val="22"/>
        </w:rPr>
      </w:pPr>
      <w:r>
        <w:rPr>
          <w:rFonts w:hint="eastAsia" w:ascii="微软雅黑" w:hAnsi="微软雅黑" w:eastAsia="微软雅黑" w:cs="微软雅黑"/>
          <w:sz w:val="22"/>
          <w:szCs w:val="22"/>
        </w:rPr>
        <w:t>采购人：是指依法开展政府采购活动的国家机关、事业单位、团体组织。</w:t>
      </w:r>
    </w:p>
    <w:p>
      <w:pPr>
        <w:tabs>
          <w:tab w:val="left" w:pos="0"/>
        </w:tabs>
        <w:spacing w:line="440" w:lineRule="exact"/>
        <w:ind w:left="900"/>
        <w:rPr>
          <w:rFonts w:ascii="微软雅黑" w:hAnsi="微软雅黑" w:eastAsia="微软雅黑" w:cs="微软雅黑"/>
          <w:sz w:val="22"/>
          <w:szCs w:val="22"/>
        </w:rPr>
      </w:pPr>
      <w:r>
        <w:rPr>
          <w:rFonts w:hint="eastAsia" w:ascii="微软雅黑" w:hAnsi="微软雅黑" w:eastAsia="微软雅黑" w:cs="微软雅黑"/>
          <w:sz w:val="22"/>
          <w:szCs w:val="22"/>
        </w:rPr>
        <w:t>本项目的采购人见</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w:t>
      </w:r>
    </w:p>
    <w:p>
      <w:pPr>
        <w:numPr>
          <w:ilvl w:val="1"/>
          <w:numId w:val="2"/>
        </w:numPr>
        <w:tabs>
          <w:tab w:val="clear" w:pos="900"/>
        </w:tabs>
        <w:spacing w:line="440" w:lineRule="exact"/>
        <w:ind w:hanging="898"/>
        <w:rPr>
          <w:rFonts w:ascii="微软雅黑" w:hAnsi="微软雅黑" w:eastAsia="微软雅黑" w:cs="微软雅黑"/>
          <w:sz w:val="22"/>
          <w:szCs w:val="22"/>
        </w:rPr>
      </w:pPr>
      <w:r>
        <w:rPr>
          <w:rFonts w:hint="eastAsia" w:ascii="微软雅黑" w:hAnsi="微软雅黑" w:eastAsia="微软雅黑" w:cs="微软雅黑"/>
          <w:sz w:val="22"/>
          <w:szCs w:val="22"/>
        </w:rPr>
        <w:t>采购代理机构：是指在集中采购机构或从事采购代理业务的社会中介机构。本项目的采购代理机构见</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w:t>
      </w:r>
    </w:p>
    <w:p>
      <w:pPr>
        <w:numPr>
          <w:ilvl w:val="1"/>
          <w:numId w:val="2"/>
        </w:num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 xml:space="preserve"> 供应商：是指向采购人提供货物、工程或者服务的法人、非法人组织或者自然人。 本项目的供应商及其投标货物须满足以下条件：</w:t>
      </w:r>
    </w:p>
    <w:p>
      <w:pPr>
        <w:spacing w:line="440" w:lineRule="exact"/>
        <w:ind w:left="779" w:hanging="778" w:hangingChars="354"/>
        <w:rPr>
          <w:rFonts w:ascii="微软雅黑" w:hAnsi="微软雅黑" w:eastAsia="微软雅黑" w:cs="微软雅黑"/>
          <w:sz w:val="22"/>
          <w:szCs w:val="22"/>
        </w:rPr>
      </w:pPr>
      <w:r>
        <w:rPr>
          <w:rFonts w:hint="eastAsia" w:ascii="微软雅黑" w:hAnsi="微软雅黑" w:eastAsia="微软雅黑" w:cs="微软雅黑"/>
          <w:sz w:val="22"/>
          <w:szCs w:val="22"/>
        </w:rPr>
        <w:t>1.3.1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在中华人民共和国境内注册，能够独立承担民事责任，有生产或供应能力的本国供应商。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1.3.2  具备《中华人民共和国政府采购法》第二十二条关于供应商条件的规定，遵守本项目采购人本级和上级财政部门政府采购的有关规定。</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1.3.3   以采购代理机构认可的方式获得了本项目的招标文件。</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1.3.4   符合</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中规定的其他要求。</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1.3.5   若</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中写明允许采购进口产品，供应商应保证所投产品可履行合法通关手续进入中国关境内。</w:t>
      </w:r>
    </w:p>
    <w:p>
      <w:pPr>
        <w:spacing w:line="440" w:lineRule="exact"/>
        <w:ind w:left="899" w:leftChars="428"/>
        <w:rPr>
          <w:rFonts w:ascii="微软雅黑" w:hAnsi="微软雅黑" w:eastAsia="微软雅黑" w:cs="微软雅黑"/>
          <w:sz w:val="22"/>
          <w:szCs w:val="22"/>
        </w:rPr>
      </w:pPr>
      <w:r>
        <w:rPr>
          <w:rFonts w:hint="eastAsia" w:ascii="微软雅黑" w:hAnsi="微软雅黑" w:eastAsia="微软雅黑" w:cs="微软雅黑"/>
          <w:sz w:val="22"/>
          <w:szCs w:val="22"/>
        </w:rPr>
        <w:t>若</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中未写明允许采购进口产品，如供应商所投产品为进口产品，其投标将被认定为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left="770" w:hanging="770" w:hangingChars="350"/>
        <w:rPr>
          <w:rFonts w:ascii="微软雅黑" w:hAnsi="微软雅黑" w:eastAsia="微软雅黑" w:cs="微软雅黑"/>
          <w:sz w:val="22"/>
          <w:szCs w:val="22"/>
        </w:rPr>
      </w:pPr>
      <w:r>
        <w:rPr>
          <w:rFonts w:hint="eastAsia" w:ascii="微软雅黑" w:hAnsi="微软雅黑" w:eastAsia="微软雅黑" w:cs="微软雅黑"/>
          <w:sz w:val="22"/>
          <w:szCs w:val="22"/>
        </w:rPr>
        <w:t>1.3.6  若</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中写明专门面向中小企业采购的，如供应商为非中小企业且所投产品为非中小企业产品，其投标将被认定为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     如</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中允许联合体投标，对联合体规定如下：</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1.4.1   两个以上供应商可以组成一个投标联合体，以一个供应商的身份投标。</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1.4.2   联合体各方均应符合《中华人民共和国政府采购法》第二十二条规定的条件。</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1.4.3   采购人根据采购项目对供应商的特殊要求，联合体中至少应当有一方符合相关规定。</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1.4.4   联合体各方应签订共同投标协议，明确约定联合体各方承担的工作和相应的责任，并将共同投标协议连同作为投标文件第一部分的内容提交。</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1.4.5   大中型企业、其他自然人、法人或者非法人组织与小型、微型企业组成联合体共同参加投标，共同投标协议中应写明小型、微型企业的协议合同金额占到共同投标协议投标总金额的比例。</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1.4.6  联合体中有同类资质的供应商按照联合体分工承担相同工作的，按照较低的资质等级确定联合体的资质等级。</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1.4.8   对联合体投标的其他资格要求见</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1.5    单位负责人为同一人或者存在直接控股、管理关系的不同供应商，其相关投标将被认定为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1.7</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供应商在投标过程中不得向采购人提供、给予任何有价值的物品，影响其正常决策行为。一经发现，其将被认定为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pStyle w:val="6"/>
        <w:spacing w:before="0" w:after="0" w:line="440" w:lineRule="exact"/>
        <w:rPr>
          <w:rFonts w:ascii="微软雅黑" w:hAnsi="微软雅黑" w:eastAsia="微软雅黑" w:cs="微软雅黑"/>
          <w:sz w:val="22"/>
          <w:szCs w:val="22"/>
          <w:u w:val="none"/>
        </w:rPr>
      </w:pPr>
      <w:bookmarkStart w:id="23" w:name="_Toc515647759"/>
      <w:bookmarkStart w:id="24" w:name="_Toc4067"/>
      <w:bookmarkStart w:id="25" w:name="_Toc5286"/>
      <w:bookmarkStart w:id="26" w:name="_Toc12139"/>
      <w:r>
        <w:rPr>
          <w:rFonts w:hint="eastAsia" w:ascii="微软雅黑" w:hAnsi="微软雅黑" w:eastAsia="微软雅黑" w:cs="微软雅黑"/>
          <w:sz w:val="22"/>
          <w:szCs w:val="22"/>
          <w:u w:val="none"/>
        </w:rPr>
        <w:t>2.资金来源</w:t>
      </w:r>
      <w:bookmarkEnd w:id="23"/>
      <w:bookmarkEnd w:id="24"/>
      <w:bookmarkEnd w:id="25"/>
      <w:bookmarkEnd w:id="26"/>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本项目的采购人已获得足以支付本次招标后所签订的合同项下的资金（包括财政性资金和本项目采购中无法与财政性资金分割的非财政性资金）。</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2.2    项目预算金额和分项或分包最高限价</w:t>
      </w:r>
      <w:r>
        <w:rPr>
          <w:rFonts w:hint="eastAsia" w:ascii="微软雅黑" w:hAnsi="微软雅黑" w:eastAsia="微软雅黑" w:cs="微软雅黑"/>
          <w:sz w:val="22"/>
          <w:szCs w:val="22"/>
          <w:u w:val="single"/>
        </w:rPr>
        <w:t>见供应商须知资料表</w:t>
      </w:r>
      <w:r>
        <w:rPr>
          <w:rFonts w:hint="eastAsia" w:ascii="微软雅黑" w:hAnsi="微软雅黑" w:eastAsia="微软雅黑" w:cs="微软雅黑"/>
          <w:sz w:val="22"/>
          <w:szCs w:val="22"/>
        </w:rPr>
        <w:t>。</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2.3    供应商报价超过招标文件规定的预算金额或者分项、分包最高限价的，其投标将被认定为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pStyle w:val="6"/>
        <w:spacing w:before="0" w:after="0" w:line="440" w:lineRule="exact"/>
        <w:rPr>
          <w:rFonts w:ascii="微软雅黑" w:hAnsi="微软雅黑" w:eastAsia="微软雅黑" w:cs="微软雅黑"/>
          <w:sz w:val="22"/>
          <w:szCs w:val="22"/>
          <w:u w:val="none"/>
        </w:rPr>
      </w:pPr>
      <w:bookmarkStart w:id="27" w:name="_Toc20526"/>
      <w:bookmarkStart w:id="28" w:name="_Toc15936"/>
      <w:bookmarkStart w:id="29" w:name="_Toc520356145"/>
      <w:bookmarkStart w:id="30" w:name="_Toc4840"/>
      <w:bookmarkStart w:id="31" w:name="_Toc515647760"/>
      <w:r>
        <w:rPr>
          <w:rFonts w:hint="eastAsia" w:ascii="微软雅黑" w:hAnsi="微软雅黑" w:eastAsia="微软雅黑" w:cs="微软雅黑"/>
          <w:sz w:val="22"/>
          <w:szCs w:val="22"/>
          <w:u w:val="none"/>
        </w:rPr>
        <w:t>3.投标费用</w:t>
      </w:r>
      <w:bookmarkEnd w:id="27"/>
      <w:bookmarkEnd w:id="28"/>
      <w:bookmarkEnd w:id="29"/>
      <w:bookmarkEnd w:id="30"/>
      <w:bookmarkEnd w:id="31"/>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不论投标的结果如何，供应商应承担所有与准备和参加投标有关的费用。</w:t>
      </w:r>
    </w:p>
    <w:p>
      <w:pPr>
        <w:pStyle w:val="6"/>
        <w:spacing w:before="0" w:after="0" w:line="440" w:lineRule="exact"/>
        <w:rPr>
          <w:rFonts w:ascii="微软雅黑" w:hAnsi="微软雅黑" w:eastAsia="微软雅黑" w:cs="微软雅黑"/>
          <w:sz w:val="22"/>
          <w:szCs w:val="22"/>
          <w:u w:val="none"/>
        </w:rPr>
      </w:pPr>
      <w:bookmarkStart w:id="32" w:name="_Toc6116"/>
      <w:bookmarkStart w:id="33" w:name="_Toc22810"/>
      <w:bookmarkStart w:id="34" w:name="_Toc515647761"/>
      <w:bookmarkStart w:id="35" w:name="_Toc4463"/>
      <w:r>
        <w:rPr>
          <w:rFonts w:hint="eastAsia" w:ascii="微软雅黑" w:hAnsi="微软雅黑" w:eastAsia="微软雅黑" w:cs="微软雅黑"/>
          <w:sz w:val="22"/>
          <w:szCs w:val="22"/>
          <w:u w:val="none"/>
        </w:rPr>
        <w:t>4.适用法律</w:t>
      </w:r>
      <w:bookmarkEnd w:id="32"/>
      <w:bookmarkEnd w:id="33"/>
      <w:bookmarkEnd w:id="34"/>
      <w:bookmarkEnd w:id="35"/>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40" w:lineRule="exact"/>
        <w:ind w:left="1080" w:leftChars="257" w:hanging="540"/>
        <w:rPr>
          <w:rFonts w:ascii="微软雅黑" w:hAnsi="微软雅黑" w:eastAsia="微软雅黑" w:cs="微软雅黑"/>
          <w:sz w:val="22"/>
          <w:szCs w:val="22"/>
        </w:rPr>
      </w:pPr>
      <w:bookmarkStart w:id="36" w:name="_Toc22685"/>
      <w:bookmarkStart w:id="37" w:name="_Toc4365"/>
      <w:bookmarkStart w:id="38" w:name="_Toc216582806"/>
      <w:bookmarkStart w:id="39" w:name="_Toc21566"/>
      <w:bookmarkStart w:id="40" w:name="_Toc520356146"/>
      <w:bookmarkStart w:id="41" w:name="_Toc6382"/>
      <w:bookmarkStart w:id="42" w:name="_Toc515647762"/>
      <w:bookmarkStart w:id="43" w:name="_Toc25381"/>
      <w:r>
        <w:rPr>
          <w:rFonts w:hint="eastAsia" w:ascii="微软雅黑" w:hAnsi="微软雅黑" w:eastAsia="微软雅黑" w:cs="微软雅黑"/>
          <w:sz w:val="22"/>
          <w:szCs w:val="22"/>
        </w:rPr>
        <w:t>二   招标文件</w:t>
      </w:r>
      <w:bookmarkEnd w:id="36"/>
      <w:bookmarkEnd w:id="37"/>
      <w:bookmarkEnd w:id="38"/>
      <w:bookmarkEnd w:id="39"/>
      <w:bookmarkEnd w:id="40"/>
      <w:bookmarkEnd w:id="41"/>
      <w:bookmarkEnd w:id="42"/>
      <w:bookmarkEnd w:id="43"/>
    </w:p>
    <w:p>
      <w:pPr>
        <w:pStyle w:val="6"/>
        <w:spacing w:before="0" w:after="0" w:line="440" w:lineRule="exact"/>
        <w:rPr>
          <w:rFonts w:ascii="微软雅黑" w:hAnsi="微软雅黑" w:eastAsia="微软雅黑" w:cs="微软雅黑"/>
          <w:sz w:val="22"/>
          <w:szCs w:val="22"/>
          <w:u w:val="none"/>
        </w:rPr>
      </w:pPr>
      <w:bookmarkStart w:id="44" w:name="_Toc14084"/>
      <w:bookmarkStart w:id="45" w:name="_Toc520356147"/>
      <w:bookmarkStart w:id="46" w:name="_Toc515647763"/>
      <w:bookmarkStart w:id="47" w:name="_Toc25000"/>
      <w:bookmarkStart w:id="48" w:name="_Toc25743"/>
      <w:r>
        <w:rPr>
          <w:rFonts w:hint="eastAsia" w:ascii="微软雅黑" w:hAnsi="微软雅黑" w:eastAsia="微软雅黑" w:cs="微软雅黑"/>
          <w:sz w:val="22"/>
          <w:szCs w:val="22"/>
          <w:u w:val="none"/>
        </w:rPr>
        <w:t>5.招标文件构成</w:t>
      </w:r>
      <w:bookmarkEnd w:id="44"/>
      <w:bookmarkEnd w:id="45"/>
      <w:bookmarkEnd w:id="46"/>
      <w:bookmarkEnd w:id="47"/>
      <w:bookmarkEnd w:id="48"/>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5.1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招标文件分为三册共7章，内容如下：</w:t>
      </w:r>
    </w:p>
    <w:p>
      <w:pPr>
        <w:spacing w:line="440" w:lineRule="exact"/>
        <w:ind w:left="1064" w:leftChars="428" w:hanging="165" w:hangingChars="75"/>
        <w:rPr>
          <w:rFonts w:ascii="微软雅黑" w:hAnsi="微软雅黑" w:eastAsia="微软雅黑" w:cs="微软雅黑"/>
          <w:sz w:val="22"/>
          <w:szCs w:val="22"/>
        </w:rPr>
      </w:pPr>
      <w:r>
        <w:rPr>
          <w:rFonts w:hint="eastAsia" w:ascii="微软雅黑" w:hAnsi="微软雅黑" w:eastAsia="微软雅黑" w:cs="微软雅黑"/>
          <w:sz w:val="22"/>
          <w:szCs w:val="22"/>
        </w:rPr>
        <w:t>第一册</w:t>
      </w:r>
    </w:p>
    <w:p>
      <w:pPr>
        <w:numPr>
          <w:ilvl w:val="0"/>
          <w:numId w:val="3"/>
        </w:numPr>
        <w:tabs>
          <w:tab w:val="left" w:pos="0"/>
        </w:tabs>
        <w:spacing w:line="440" w:lineRule="exact"/>
        <w:ind w:hanging="829"/>
        <w:rPr>
          <w:rFonts w:ascii="微软雅黑" w:hAnsi="微软雅黑" w:eastAsia="微软雅黑" w:cs="微软雅黑"/>
          <w:sz w:val="22"/>
          <w:szCs w:val="22"/>
        </w:rPr>
      </w:pPr>
      <w:r>
        <w:rPr>
          <w:rFonts w:hint="eastAsia" w:ascii="微软雅黑" w:hAnsi="微软雅黑" w:eastAsia="微软雅黑" w:cs="微软雅黑"/>
          <w:sz w:val="22"/>
          <w:szCs w:val="22"/>
        </w:rPr>
        <w:t xml:space="preserve"> 供应商须知</w:t>
      </w:r>
    </w:p>
    <w:p>
      <w:pPr>
        <w:numPr>
          <w:ilvl w:val="0"/>
          <w:numId w:val="3"/>
        </w:numPr>
        <w:spacing w:line="440" w:lineRule="exact"/>
        <w:ind w:left="1081" w:leftChars="429" w:hanging="180"/>
        <w:rPr>
          <w:rFonts w:ascii="微软雅黑" w:hAnsi="微软雅黑" w:eastAsia="微软雅黑" w:cs="微软雅黑"/>
          <w:sz w:val="22"/>
          <w:szCs w:val="22"/>
        </w:rPr>
      </w:pPr>
      <w:r>
        <w:rPr>
          <w:rFonts w:hint="eastAsia" w:ascii="微软雅黑" w:hAnsi="微软雅黑" w:eastAsia="微软雅黑" w:cs="微软雅黑"/>
          <w:sz w:val="22"/>
          <w:szCs w:val="22"/>
        </w:rPr>
        <w:t xml:space="preserve"> 投标文件格式</w:t>
      </w:r>
    </w:p>
    <w:p>
      <w:pPr>
        <w:spacing w:line="440" w:lineRule="exact"/>
        <w:ind w:left="1081" w:leftChars="429" w:hanging="180"/>
        <w:rPr>
          <w:rFonts w:ascii="微软雅黑" w:hAnsi="微软雅黑" w:eastAsia="微软雅黑" w:cs="微软雅黑"/>
          <w:sz w:val="22"/>
          <w:szCs w:val="22"/>
        </w:rPr>
      </w:pPr>
      <w:r>
        <w:rPr>
          <w:rFonts w:hint="eastAsia" w:ascii="微软雅黑" w:hAnsi="微软雅黑" w:eastAsia="微软雅黑" w:cs="微软雅黑"/>
          <w:sz w:val="22"/>
          <w:szCs w:val="22"/>
        </w:rPr>
        <w:t>第二册</w:t>
      </w:r>
    </w:p>
    <w:p>
      <w:pPr>
        <w:numPr>
          <w:ilvl w:val="0"/>
          <w:numId w:val="3"/>
        </w:numPr>
        <w:spacing w:line="440" w:lineRule="exact"/>
        <w:ind w:left="1081" w:leftChars="429" w:hanging="180"/>
        <w:rPr>
          <w:rFonts w:ascii="微软雅黑" w:hAnsi="微软雅黑" w:eastAsia="微软雅黑" w:cs="微软雅黑"/>
          <w:sz w:val="22"/>
          <w:szCs w:val="22"/>
        </w:rPr>
      </w:pPr>
      <w:r>
        <w:rPr>
          <w:rFonts w:hint="eastAsia" w:ascii="微软雅黑" w:hAnsi="微软雅黑" w:eastAsia="微软雅黑" w:cs="微软雅黑"/>
          <w:sz w:val="22"/>
          <w:szCs w:val="22"/>
        </w:rPr>
        <w:t xml:space="preserve"> 投标邀请</w:t>
      </w:r>
    </w:p>
    <w:p>
      <w:pPr>
        <w:numPr>
          <w:ilvl w:val="0"/>
          <w:numId w:val="3"/>
        </w:numPr>
        <w:spacing w:line="440" w:lineRule="exact"/>
        <w:ind w:left="1081" w:leftChars="429" w:hanging="180"/>
        <w:rPr>
          <w:rFonts w:ascii="微软雅黑" w:hAnsi="微软雅黑" w:eastAsia="微软雅黑" w:cs="微软雅黑"/>
          <w:sz w:val="22"/>
          <w:szCs w:val="22"/>
        </w:rPr>
      </w:pPr>
      <w:r>
        <w:rPr>
          <w:rFonts w:hint="eastAsia" w:ascii="微软雅黑" w:hAnsi="微软雅黑" w:eastAsia="微软雅黑" w:cs="微软雅黑"/>
          <w:sz w:val="22"/>
          <w:szCs w:val="22"/>
        </w:rPr>
        <w:t xml:space="preserve"> 供应商须知资料表</w:t>
      </w:r>
    </w:p>
    <w:p>
      <w:pPr>
        <w:numPr>
          <w:ilvl w:val="0"/>
          <w:numId w:val="3"/>
        </w:numPr>
        <w:spacing w:line="440" w:lineRule="exact"/>
        <w:ind w:left="1081" w:leftChars="429" w:hanging="180"/>
        <w:rPr>
          <w:rFonts w:ascii="微软雅黑" w:hAnsi="微软雅黑" w:eastAsia="微软雅黑" w:cs="微软雅黑"/>
          <w:sz w:val="22"/>
          <w:szCs w:val="22"/>
        </w:rPr>
      </w:pPr>
      <w:r>
        <w:rPr>
          <w:rFonts w:hint="eastAsia" w:ascii="微软雅黑" w:hAnsi="微软雅黑" w:eastAsia="微软雅黑" w:cs="微软雅黑"/>
          <w:sz w:val="22"/>
          <w:szCs w:val="22"/>
        </w:rPr>
        <w:t xml:space="preserve"> 货物需求一览表及技术规格</w:t>
      </w:r>
    </w:p>
    <w:p>
      <w:pPr>
        <w:numPr>
          <w:ilvl w:val="0"/>
          <w:numId w:val="3"/>
        </w:numPr>
        <w:spacing w:line="440" w:lineRule="exact"/>
        <w:ind w:left="1081" w:leftChars="429" w:hanging="180"/>
        <w:rPr>
          <w:rFonts w:ascii="微软雅黑" w:hAnsi="微软雅黑" w:eastAsia="微软雅黑" w:cs="微软雅黑"/>
          <w:sz w:val="22"/>
          <w:szCs w:val="22"/>
        </w:rPr>
      </w:pPr>
      <w:r>
        <w:rPr>
          <w:rFonts w:hint="eastAsia" w:ascii="微软雅黑" w:hAnsi="微软雅黑" w:eastAsia="微软雅黑" w:cs="微软雅黑"/>
          <w:sz w:val="22"/>
          <w:szCs w:val="22"/>
        </w:rPr>
        <w:t xml:space="preserve"> 评标方法和标准</w:t>
      </w:r>
    </w:p>
    <w:p>
      <w:pPr>
        <w:spacing w:line="440" w:lineRule="exact"/>
        <w:ind w:left="901"/>
        <w:rPr>
          <w:rFonts w:ascii="微软雅黑" w:hAnsi="微软雅黑" w:eastAsia="微软雅黑" w:cs="微软雅黑"/>
          <w:sz w:val="22"/>
          <w:szCs w:val="22"/>
        </w:rPr>
      </w:pPr>
      <w:r>
        <w:rPr>
          <w:rFonts w:hint="eastAsia" w:ascii="微软雅黑" w:hAnsi="微软雅黑" w:eastAsia="微软雅黑" w:cs="微软雅黑"/>
          <w:sz w:val="22"/>
          <w:szCs w:val="22"/>
        </w:rPr>
        <w:t>第三册</w:t>
      </w:r>
    </w:p>
    <w:p>
      <w:pPr>
        <w:numPr>
          <w:ilvl w:val="0"/>
          <w:numId w:val="3"/>
        </w:numPr>
        <w:spacing w:line="440" w:lineRule="exact"/>
        <w:ind w:left="718" w:leftChars="342"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政府采购合同格式</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5.2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如本文件的前后内容不一致，以最后描述为准。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pStyle w:val="6"/>
        <w:spacing w:before="0" w:after="0" w:line="440" w:lineRule="exact"/>
        <w:rPr>
          <w:rFonts w:ascii="微软雅黑" w:hAnsi="微软雅黑" w:eastAsia="微软雅黑" w:cs="微软雅黑"/>
          <w:sz w:val="22"/>
          <w:szCs w:val="22"/>
          <w:u w:val="none"/>
        </w:rPr>
      </w:pPr>
      <w:bookmarkStart w:id="49" w:name="_Toc520356148"/>
      <w:bookmarkStart w:id="50" w:name="_Toc515904805"/>
      <w:bookmarkStart w:id="51" w:name="_Toc9232"/>
      <w:bookmarkStart w:id="52" w:name="_Toc28810"/>
      <w:bookmarkStart w:id="53" w:name="_Toc26044"/>
      <w:r>
        <w:rPr>
          <w:rFonts w:hint="eastAsia" w:ascii="微软雅黑" w:hAnsi="微软雅黑" w:eastAsia="微软雅黑" w:cs="微软雅黑"/>
          <w:sz w:val="22"/>
          <w:szCs w:val="22"/>
          <w:u w:val="none"/>
        </w:rPr>
        <w:t>6.招标文件的澄清</w:t>
      </w:r>
      <w:bookmarkEnd w:id="49"/>
      <w:bookmarkEnd w:id="50"/>
      <w:r>
        <w:rPr>
          <w:rFonts w:hint="eastAsia" w:ascii="微软雅黑" w:hAnsi="微软雅黑" w:eastAsia="微软雅黑" w:cs="微软雅黑"/>
          <w:sz w:val="22"/>
          <w:szCs w:val="22"/>
          <w:u w:val="none"/>
        </w:rPr>
        <w:t>与修改</w:t>
      </w:r>
      <w:bookmarkEnd w:id="51"/>
      <w:bookmarkEnd w:id="52"/>
      <w:bookmarkEnd w:id="53"/>
    </w:p>
    <w:p>
      <w:pPr>
        <w:pStyle w:val="5"/>
        <w:spacing w:line="440" w:lineRule="exact"/>
        <w:ind w:left="770" w:hanging="770" w:hangingChars="350"/>
        <w:rPr>
          <w:rFonts w:ascii="微软雅黑" w:hAnsi="微软雅黑" w:eastAsia="微软雅黑" w:cs="微软雅黑"/>
          <w:sz w:val="22"/>
          <w:szCs w:val="22"/>
        </w:rPr>
      </w:pPr>
      <w:r>
        <w:rPr>
          <w:rFonts w:hint="eastAsia" w:ascii="微软雅黑" w:hAnsi="微软雅黑" w:eastAsia="微软雅黑" w:cs="微软雅黑"/>
          <w:sz w:val="22"/>
          <w:szCs w:val="22"/>
        </w:rPr>
        <w:t>6.1    为了保证对招标文件的澄清和修改满足法律的时限要求，任何要求对招标文件进行澄清的供应商，均应在投标截止期十五日前，以书面形式将澄清要求通知采购人或采购代理机构。</w:t>
      </w:r>
    </w:p>
    <w:p>
      <w:pPr>
        <w:pStyle w:val="5"/>
        <w:spacing w:line="440" w:lineRule="exact"/>
        <w:ind w:left="770" w:hanging="770" w:hangingChars="350"/>
        <w:rPr>
          <w:rFonts w:ascii="微软雅黑" w:hAnsi="微软雅黑" w:eastAsia="微软雅黑" w:cs="微软雅黑"/>
          <w:sz w:val="22"/>
          <w:szCs w:val="22"/>
        </w:rPr>
      </w:pPr>
      <w:bookmarkStart w:id="54" w:name="_Ref467378678"/>
      <w:bookmarkStart w:id="55" w:name="_Toc515904806"/>
      <w:bookmarkStart w:id="56" w:name="_Toc520356149"/>
      <w:r>
        <w:rPr>
          <w:rFonts w:hint="eastAsia" w:ascii="微软雅黑" w:hAnsi="微软雅黑" w:eastAsia="微软雅黑" w:cs="微软雅黑"/>
          <w:sz w:val="22"/>
          <w:szCs w:val="22"/>
        </w:rPr>
        <w:t>6.2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采购人可主动地或在解答供应商提出的澄清问题时对招标文件进行澄清或修改。采购代理机构将以发布澄清（更正）公告的方式，澄清或修改招标文件，澄清或修改内容作为招标文件的组成部分。</w:t>
      </w:r>
    </w:p>
    <w:p>
      <w:pPr>
        <w:pStyle w:val="5"/>
        <w:spacing w:line="440" w:lineRule="exact"/>
        <w:ind w:left="770" w:hanging="770" w:hangingChars="350"/>
        <w:rPr>
          <w:rFonts w:ascii="微软雅黑" w:hAnsi="微软雅黑" w:eastAsia="微软雅黑" w:cs="微软雅黑"/>
          <w:sz w:val="22"/>
          <w:szCs w:val="22"/>
        </w:rPr>
      </w:pPr>
      <w:r>
        <w:rPr>
          <w:rFonts w:hint="eastAsia" w:ascii="微软雅黑" w:hAnsi="微软雅黑" w:eastAsia="微软雅黑" w:cs="微软雅黑"/>
          <w:sz w:val="22"/>
          <w:szCs w:val="22"/>
        </w:rPr>
        <w:t>6.3</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澄清或者修改的内容可能影响投标文件编制的，采购代理机构将以书面形式通知所有购买招标文件的潜在供应商，并对其具有约束力。供应商在收到上述通知后，应及时向采购代理机构回函确认。</w:t>
      </w:r>
    </w:p>
    <w:p>
      <w:pPr>
        <w:pStyle w:val="6"/>
        <w:tabs>
          <w:tab w:val="left" w:pos="900"/>
        </w:tabs>
        <w:spacing w:before="0" w:after="0" w:line="440" w:lineRule="exact"/>
        <w:rPr>
          <w:rFonts w:ascii="微软雅黑" w:hAnsi="微软雅黑" w:eastAsia="微软雅黑" w:cs="微软雅黑"/>
          <w:sz w:val="22"/>
          <w:szCs w:val="22"/>
          <w:u w:val="none"/>
        </w:rPr>
      </w:pPr>
      <w:bookmarkStart w:id="57" w:name="_Toc25635"/>
      <w:bookmarkStart w:id="58" w:name="_Toc17311"/>
      <w:bookmarkStart w:id="59" w:name="_Toc14569"/>
      <w:r>
        <w:rPr>
          <w:rFonts w:hint="eastAsia" w:ascii="微软雅黑" w:hAnsi="微软雅黑" w:eastAsia="微软雅黑" w:cs="微软雅黑"/>
          <w:sz w:val="22"/>
          <w:szCs w:val="22"/>
          <w:u w:val="none"/>
        </w:rPr>
        <w:t>7</w:t>
      </w:r>
      <w:bookmarkEnd w:id="54"/>
      <w:bookmarkEnd w:id="55"/>
      <w:bookmarkEnd w:id="56"/>
      <w:r>
        <w:rPr>
          <w:rFonts w:hint="eastAsia" w:ascii="微软雅黑" w:hAnsi="微软雅黑" w:eastAsia="微软雅黑" w:cs="微软雅黑"/>
          <w:sz w:val="22"/>
          <w:szCs w:val="22"/>
          <w:u w:val="none"/>
        </w:rPr>
        <w:t>.投标截止时间的顺延</w:t>
      </w:r>
      <w:bookmarkEnd w:id="57"/>
      <w:bookmarkEnd w:id="58"/>
      <w:bookmarkEnd w:id="59"/>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为使供应商准备投标时有足够的时间对招标文件的澄清或者修改部分进行研究，采购人将依法决定是否顺延投标截止时间。</w:t>
      </w:r>
    </w:p>
    <w:p>
      <w:pPr>
        <w:pStyle w:val="4"/>
        <w:tabs>
          <w:tab w:val="left" w:pos="900"/>
        </w:tabs>
        <w:spacing w:before="0" w:line="440" w:lineRule="exact"/>
        <w:ind w:left="1080" w:leftChars="257" w:hanging="540"/>
        <w:rPr>
          <w:rFonts w:ascii="微软雅黑" w:hAnsi="微软雅黑" w:eastAsia="微软雅黑" w:cs="微软雅黑"/>
          <w:sz w:val="22"/>
          <w:szCs w:val="22"/>
        </w:rPr>
      </w:pPr>
      <w:bookmarkStart w:id="60" w:name="_Toc516367020"/>
      <w:bookmarkStart w:id="61" w:name="_Toc23138"/>
      <w:bookmarkStart w:id="62" w:name="_Toc20381"/>
      <w:bookmarkStart w:id="63" w:name="_Toc7636"/>
      <w:bookmarkStart w:id="64" w:name="_Toc520356150"/>
      <w:bookmarkStart w:id="65" w:name="_Toc515647766"/>
      <w:bookmarkStart w:id="66" w:name="_Toc216582807"/>
      <w:bookmarkStart w:id="67" w:name="_Toc30808"/>
      <w:bookmarkStart w:id="68" w:name="_Toc27451"/>
      <w:r>
        <w:rPr>
          <w:rFonts w:hint="eastAsia" w:ascii="微软雅黑" w:hAnsi="微软雅黑" w:eastAsia="微软雅黑" w:cs="微软雅黑"/>
          <w:sz w:val="22"/>
          <w:szCs w:val="22"/>
        </w:rPr>
        <w:t>三   投标文件</w:t>
      </w:r>
      <w:bookmarkEnd w:id="60"/>
      <w:r>
        <w:rPr>
          <w:rFonts w:hint="eastAsia" w:ascii="微软雅黑" w:hAnsi="微软雅黑" w:eastAsia="微软雅黑" w:cs="微软雅黑"/>
          <w:sz w:val="22"/>
          <w:szCs w:val="22"/>
        </w:rPr>
        <w:t>的编制</w:t>
      </w:r>
      <w:bookmarkEnd w:id="61"/>
      <w:bookmarkEnd w:id="62"/>
      <w:bookmarkEnd w:id="63"/>
      <w:bookmarkEnd w:id="64"/>
      <w:bookmarkEnd w:id="65"/>
      <w:bookmarkEnd w:id="66"/>
      <w:bookmarkEnd w:id="67"/>
      <w:bookmarkEnd w:id="68"/>
    </w:p>
    <w:p>
      <w:pPr>
        <w:pStyle w:val="6"/>
        <w:tabs>
          <w:tab w:val="left" w:pos="900"/>
        </w:tabs>
        <w:spacing w:before="0" w:after="0" w:line="440" w:lineRule="exact"/>
        <w:rPr>
          <w:rFonts w:ascii="微软雅黑" w:hAnsi="微软雅黑" w:eastAsia="微软雅黑" w:cs="微软雅黑"/>
          <w:sz w:val="22"/>
          <w:szCs w:val="22"/>
          <w:u w:val="none"/>
        </w:rPr>
      </w:pPr>
      <w:bookmarkStart w:id="69" w:name="_Toc3553"/>
      <w:bookmarkStart w:id="70" w:name="_Toc515647767"/>
      <w:bookmarkStart w:id="71" w:name="_Toc7786"/>
      <w:bookmarkStart w:id="72" w:name="_Toc516367021"/>
      <w:bookmarkStart w:id="73" w:name="_Toc30852"/>
      <w:bookmarkStart w:id="74" w:name="_Toc520356151"/>
      <w:r>
        <w:rPr>
          <w:rFonts w:hint="eastAsia" w:ascii="微软雅黑" w:hAnsi="微软雅黑" w:eastAsia="微软雅黑" w:cs="微软雅黑"/>
          <w:sz w:val="22"/>
          <w:szCs w:val="22"/>
          <w:u w:val="none"/>
        </w:rPr>
        <w:t>8.</w:t>
      </w:r>
      <w:r>
        <w:rPr>
          <w:rFonts w:hint="eastAsia" w:ascii="微软雅黑" w:hAnsi="微软雅黑" w:eastAsia="微软雅黑" w:cs="微软雅黑"/>
          <w:sz w:val="22"/>
          <w:szCs w:val="22"/>
          <w:u w:val="none"/>
        </w:rPr>
        <w:tab/>
      </w:r>
      <w:r>
        <w:rPr>
          <w:rFonts w:hint="eastAsia" w:ascii="微软雅黑" w:hAnsi="微软雅黑" w:eastAsia="微软雅黑" w:cs="微软雅黑"/>
          <w:sz w:val="22"/>
          <w:szCs w:val="22"/>
          <w:u w:val="none"/>
        </w:rPr>
        <w:t>投标范围及投标文件中标准和计量单位的使用</w:t>
      </w:r>
      <w:bookmarkEnd w:id="69"/>
      <w:bookmarkEnd w:id="70"/>
      <w:bookmarkEnd w:id="71"/>
      <w:bookmarkEnd w:id="72"/>
      <w:bookmarkEnd w:id="73"/>
      <w:bookmarkEnd w:id="74"/>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8.1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项目有分包的，供应商可对招标文件其中某一个或几个分包货物进行投标，除非在</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中另有规定。</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8.2     供应商应当对所投分包招标文件中“货物需求”所列的所有内容进行投标，如仅响应某一包中的部分内容，其该包投标将被认定为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8.3     无论招标文件第5章货物需求一览表及技术规格中是否要求，供应商所投货物均应符合国家强制性标准。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8.4     除招标文件中有特殊要求外，投标文件中所使用的计量单位，应采用中华人民共和国法定计量单位。</w:t>
      </w:r>
    </w:p>
    <w:p>
      <w:pPr>
        <w:pStyle w:val="6"/>
        <w:tabs>
          <w:tab w:val="left" w:pos="900"/>
        </w:tabs>
        <w:spacing w:before="0" w:after="0" w:line="440" w:lineRule="exact"/>
        <w:rPr>
          <w:rFonts w:ascii="微软雅黑" w:hAnsi="微软雅黑" w:eastAsia="微软雅黑" w:cs="微软雅黑"/>
          <w:sz w:val="22"/>
          <w:szCs w:val="22"/>
          <w:u w:val="none"/>
        </w:rPr>
      </w:pPr>
      <w:bookmarkStart w:id="75" w:name="_Ref467306195"/>
      <w:bookmarkStart w:id="76" w:name="_Toc516367022"/>
      <w:bookmarkStart w:id="77" w:name="_Ref467306676"/>
      <w:bookmarkStart w:id="78" w:name="_Toc515647768"/>
      <w:bookmarkStart w:id="79" w:name="_Toc28307"/>
      <w:bookmarkStart w:id="80" w:name="_Toc520356152"/>
      <w:bookmarkStart w:id="81" w:name="_Toc32655"/>
      <w:bookmarkStart w:id="82" w:name="_Toc10364"/>
      <w:r>
        <w:rPr>
          <w:rFonts w:hint="eastAsia" w:ascii="微软雅黑" w:hAnsi="微软雅黑" w:eastAsia="微软雅黑" w:cs="微软雅黑"/>
          <w:sz w:val="22"/>
          <w:szCs w:val="22"/>
          <w:u w:val="none"/>
        </w:rPr>
        <w:t>9.投标文件</w:t>
      </w:r>
      <w:bookmarkEnd w:id="75"/>
      <w:bookmarkEnd w:id="76"/>
      <w:bookmarkEnd w:id="77"/>
      <w:r>
        <w:rPr>
          <w:rFonts w:hint="eastAsia" w:ascii="微软雅黑" w:hAnsi="微软雅黑" w:eastAsia="微软雅黑" w:cs="微软雅黑"/>
          <w:sz w:val="22"/>
          <w:szCs w:val="22"/>
          <w:u w:val="none"/>
        </w:rPr>
        <w:t>构成</w:t>
      </w:r>
      <w:bookmarkEnd w:id="78"/>
      <w:bookmarkEnd w:id="79"/>
      <w:bookmarkEnd w:id="80"/>
      <w:bookmarkEnd w:id="81"/>
      <w:bookmarkEnd w:id="82"/>
    </w:p>
    <w:p>
      <w:pPr>
        <w:tabs>
          <w:tab w:val="left" w:pos="900"/>
          <w:tab w:val="left" w:pos="5580"/>
        </w:tabs>
        <w:spacing w:line="440" w:lineRule="exact"/>
        <w:ind w:left="880" w:hanging="880" w:hangingChars="400"/>
        <w:jc w:val="left"/>
        <w:rPr>
          <w:rFonts w:ascii="微软雅黑" w:hAnsi="微软雅黑" w:eastAsia="微软雅黑" w:cs="微软雅黑"/>
          <w:sz w:val="22"/>
          <w:szCs w:val="22"/>
          <w:u w:val="single"/>
        </w:rPr>
      </w:pPr>
      <w:bookmarkStart w:id="83" w:name="_Ref467052588"/>
      <w:r>
        <w:rPr>
          <w:rFonts w:hint="eastAsia" w:ascii="微软雅黑" w:hAnsi="微软雅黑" w:eastAsia="微软雅黑" w:cs="微软雅黑"/>
          <w:sz w:val="22"/>
          <w:szCs w:val="22"/>
        </w:rPr>
        <w:t xml:space="preserve">9.1     </w:t>
      </w:r>
      <w:r>
        <w:rPr>
          <w:rFonts w:hint="eastAsia" w:ascii="微软雅黑" w:hAnsi="微软雅黑" w:eastAsia="微软雅黑" w:cs="微软雅黑"/>
          <w:b/>
          <w:bCs/>
          <w:sz w:val="22"/>
          <w:szCs w:val="22"/>
          <w:u w:val="single"/>
        </w:rPr>
        <w:t>供应商应完整地按招标文件提供的投标文件格式及要求编写投标文件， 供应商须在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9.2    上述文件应按照招标文件规定的格式填写、签署和盖章。</w:t>
      </w:r>
    </w:p>
    <w:bookmarkEnd w:id="83"/>
    <w:p>
      <w:pPr>
        <w:pStyle w:val="6"/>
        <w:tabs>
          <w:tab w:val="left" w:pos="900"/>
        </w:tabs>
        <w:spacing w:before="0" w:after="0" w:line="440" w:lineRule="exact"/>
        <w:rPr>
          <w:rFonts w:ascii="微软雅黑" w:hAnsi="微软雅黑" w:eastAsia="微软雅黑" w:cs="微软雅黑"/>
          <w:sz w:val="22"/>
          <w:szCs w:val="22"/>
          <w:u w:val="none"/>
        </w:rPr>
      </w:pPr>
      <w:bookmarkStart w:id="84" w:name="_Toc520356153"/>
      <w:bookmarkStart w:id="85" w:name="_Toc4601"/>
      <w:bookmarkStart w:id="86" w:name="_Toc516367023"/>
      <w:bookmarkStart w:id="87" w:name="_Toc515647769"/>
      <w:bookmarkStart w:id="88" w:name="_Toc27659"/>
      <w:bookmarkStart w:id="89" w:name="_Toc10379"/>
      <w:r>
        <w:rPr>
          <w:rFonts w:hint="eastAsia" w:ascii="微软雅黑" w:hAnsi="微软雅黑" w:eastAsia="微软雅黑" w:cs="微软雅黑"/>
          <w:sz w:val="22"/>
          <w:szCs w:val="22"/>
          <w:u w:val="none"/>
        </w:rPr>
        <w:t>10.</w:t>
      </w:r>
      <w:r>
        <w:rPr>
          <w:rFonts w:hint="eastAsia" w:ascii="微软雅黑" w:hAnsi="微软雅黑" w:eastAsia="微软雅黑" w:cs="微软雅黑"/>
          <w:sz w:val="22"/>
          <w:szCs w:val="22"/>
          <w:u w:val="none"/>
        </w:rPr>
        <w:tab/>
      </w:r>
      <w:r>
        <w:rPr>
          <w:rFonts w:hint="eastAsia" w:ascii="微软雅黑" w:hAnsi="微软雅黑" w:eastAsia="微软雅黑" w:cs="微软雅黑"/>
          <w:sz w:val="22"/>
          <w:szCs w:val="22"/>
          <w:u w:val="none"/>
        </w:rPr>
        <w:t>证明投标标的的合格性和符合招标文件规定的技术文件</w:t>
      </w:r>
      <w:bookmarkEnd w:id="84"/>
      <w:bookmarkEnd w:id="85"/>
      <w:bookmarkEnd w:id="86"/>
      <w:bookmarkEnd w:id="87"/>
      <w:bookmarkEnd w:id="88"/>
      <w:bookmarkEnd w:id="89"/>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10.1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供应商应提交证明文件，证明其投标内容符合招标文件规定。该证明文件是投标文件的一部分。</w:t>
      </w:r>
    </w:p>
    <w:p>
      <w:pPr>
        <w:spacing w:line="440" w:lineRule="exact"/>
        <w:ind w:left="825" w:hanging="825" w:hangingChars="375"/>
        <w:rPr>
          <w:rFonts w:ascii="微软雅黑" w:hAnsi="微软雅黑" w:eastAsia="微软雅黑" w:cs="微软雅黑"/>
          <w:sz w:val="22"/>
          <w:szCs w:val="22"/>
        </w:rPr>
      </w:pPr>
      <w:bookmarkStart w:id="90" w:name="_Ref467306244"/>
      <w:r>
        <w:rPr>
          <w:rFonts w:hint="eastAsia" w:ascii="微软雅黑" w:hAnsi="微软雅黑" w:eastAsia="微软雅黑" w:cs="微软雅黑"/>
          <w:sz w:val="22"/>
          <w:szCs w:val="22"/>
        </w:rPr>
        <w:t>10.2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上款所述的证明文件，可以是文字资料、图纸和数据，</w:t>
      </w:r>
      <w:bookmarkEnd w:id="90"/>
      <w:r>
        <w:rPr>
          <w:rFonts w:hint="eastAsia" w:ascii="微软雅黑" w:hAnsi="微软雅黑" w:eastAsia="微软雅黑" w:cs="微软雅黑"/>
          <w:sz w:val="22"/>
          <w:szCs w:val="22"/>
        </w:rPr>
        <w:t>它包括：</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10.2.1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货物主要技术指标和性能的详细说明；</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10.2.2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货物从买方开始使用至招标文件规定的保质期内正常、连续地使用所必需的备件和专用工具清单，包括备件和专用工具的货源及现行价格；</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10.2.3</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对照招标文件技术规格，逐条说明所提供货物及伴随的工程和服务已对招标文件的技术规格做出了实质性的响应，或申明与技术规格条文的偏差和例外。</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10.3</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6"/>
        <w:spacing w:before="0" w:after="0" w:line="440" w:lineRule="exact"/>
        <w:rPr>
          <w:rFonts w:ascii="微软雅黑" w:hAnsi="微软雅黑" w:eastAsia="微软雅黑" w:cs="微软雅黑"/>
          <w:sz w:val="22"/>
          <w:szCs w:val="22"/>
          <w:u w:val="none"/>
        </w:rPr>
      </w:pPr>
      <w:bookmarkStart w:id="91" w:name="_Toc2248"/>
      <w:bookmarkStart w:id="92" w:name="_Toc23231"/>
      <w:bookmarkStart w:id="93" w:name="_Toc28654"/>
      <w:bookmarkStart w:id="94" w:name="_Toc520356155"/>
      <w:bookmarkStart w:id="95" w:name="_Toc515647770"/>
      <w:r>
        <w:rPr>
          <w:rFonts w:hint="eastAsia" w:ascii="微软雅黑" w:hAnsi="微软雅黑" w:eastAsia="微软雅黑" w:cs="微软雅黑"/>
          <w:sz w:val="22"/>
          <w:szCs w:val="22"/>
          <w:u w:val="none"/>
        </w:rPr>
        <w:t>11.投标报价</w:t>
      </w:r>
      <w:bookmarkEnd w:id="91"/>
      <w:bookmarkEnd w:id="92"/>
      <w:bookmarkEnd w:id="93"/>
      <w:bookmarkEnd w:id="94"/>
      <w:bookmarkEnd w:id="95"/>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11.1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11.2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供应商应在投标分项报价表上标明投标货物及相关服务的单价（如适用）和总价，并由法定代表人或其授权代表签署。</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11.3</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投标分项报价表上的价格应按下列方式填写：</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11.3.1  投标货物（包括备品备件、专用工具等）的出厂价（包括已在中国国内的进口货物完税后的仓库交货价、展室交货价或货架交货价），投标货物安装、调试、检验、技术服务和培训等费用；</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11.3.2  货物运至最终目的地的运输费和保险费用。</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11.4</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11.5</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每种货物只能有一个投标报价。采购人不接受具有附加条件的报价。</w:t>
      </w:r>
    </w:p>
    <w:p>
      <w:pPr>
        <w:pStyle w:val="6"/>
        <w:spacing w:before="0" w:after="0" w:line="440" w:lineRule="exact"/>
        <w:rPr>
          <w:rFonts w:ascii="微软雅黑" w:hAnsi="微软雅黑" w:eastAsia="微软雅黑" w:cs="微软雅黑"/>
          <w:sz w:val="22"/>
          <w:szCs w:val="22"/>
          <w:u w:val="none"/>
        </w:rPr>
      </w:pPr>
      <w:bookmarkStart w:id="96" w:name="_Toc520356156"/>
      <w:bookmarkStart w:id="97" w:name="_Toc515647771"/>
      <w:bookmarkStart w:id="98" w:name="_Ref467306513"/>
      <w:bookmarkStart w:id="99" w:name="_Toc11514"/>
      <w:bookmarkStart w:id="100" w:name="_Toc17788"/>
      <w:bookmarkStart w:id="101" w:name="_Toc23985"/>
      <w:r>
        <w:rPr>
          <w:rFonts w:hint="eastAsia" w:ascii="微软雅黑" w:hAnsi="微软雅黑" w:eastAsia="微软雅黑" w:cs="微软雅黑"/>
          <w:sz w:val="22"/>
          <w:szCs w:val="22"/>
          <w:u w:val="none"/>
        </w:rPr>
        <w:t>12.投标保证金</w:t>
      </w:r>
      <w:bookmarkEnd w:id="96"/>
      <w:bookmarkEnd w:id="97"/>
      <w:bookmarkEnd w:id="98"/>
      <w:bookmarkEnd w:id="99"/>
      <w:bookmarkEnd w:id="100"/>
      <w:bookmarkEnd w:id="101"/>
    </w:p>
    <w:p>
      <w:pPr>
        <w:spacing w:line="440" w:lineRule="exact"/>
        <w:ind w:left="825" w:hanging="825" w:hangingChars="375"/>
        <w:rPr>
          <w:rFonts w:ascii="微软雅黑" w:hAnsi="微软雅黑" w:eastAsia="微软雅黑" w:cs="微软雅黑"/>
          <w:sz w:val="22"/>
          <w:szCs w:val="22"/>
        </w:rPr>
      </w:pPr>
      <w:bookmarkStart w:id="102" w:name="_Ref467306302"/>
      <w:r>
        <w:rPr>
          <w:rFonts w:hint="eastAsia" w:ascii="微软雅黑" w:hAnsi="微软雅黑" w:eastAsia="微软雅黑" w:cs="微软雅黑"/>
          <w:sz w:val="22"/>
          <w:szCs w:val="22"/>
        </w:rPr>
        <w:t>12.1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供应商应提交</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中规定的投标保证金</w:t>
      </w:r>
      <w:bookmarkEnd w:id="102"/>
      <w:r>
        <w:rPr>
          <w:rFonts w:hint="eastAsia" w:ascii="微软雅黑" w:hAnsi="微软雅黑" w:eastAsia="微软雅黑" w:cs="微软雅黑"/>
          <w:sz w:val="22"/>
          <w:szCs w:val="22"/>
        </w:rPr>
        <w:t>，并作为其投标的一部分。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12.2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供应商存在下列情形的，投标保证金不予退还：</w:t>
      </w:r>
    </w:p>
    <w:p>
      <w:pPr>
        <w:pStyle w:val="15"/>
        <w:tabs>
          <w:tab w:val="left" w:pos="2240"/>
        </w:tabs>
        <w:spacing w:line="440" w:lineRule="exact"/>
        <w:ind w:left="1054" w:leftChars="371" w:hanging="275" w:hangingChars="125"/>
        <w:rPr>
          <w:rFonts w:ascii="微软雅黑" w:hAnsi="微软雅黑" w:eastAsia="微软雅黑" w:cs="微软雅黑"/>
          <w:sz w:val="22"/>
          <w:szCs w:val="22"/>
        </w:rPr>
      </w:pPr>
      <w:r>
        <w:rPr>
          <w:rFonts w:hint="eastAsia" w:ascii="微软雅黑" w:hAnsi="微软雅黑" w:eastAsia="微软雅黑" w:cs="微软雅黑"/>
          <w:sz w:val="22"/>
          <w:szCs w:val="22"/>
        </w:rPr>
        <w:t>（1）在投标有效期内，撤销投标的；</w:t>
      </w:r>
    </w:p>
    <w:p>
      <w:pPr>
        <w:pStyle w:val="15"/>
        <w:tabs>
          <w:tab w:val="left" w:pos="2240"/>
        </w:tabs>
        <w:spacing w:line="440" w:lineRule="exact"/>
        <w:ind w:left="1054" w:leftChars="371" w:hanging="275" w:hangingChars="125"/>
        <w:rPr>
          <w:rFonts w:ascii="微软雅黑" w:hAnsi="微软雅黑" w:eastAsia="微软雅黑" w:cs="微软雅黑"/>
          <w:sz w:val="22"/>
          <w:szCs w:val="22"/>
        </w:rPr>
      </w:pPr>
      <w:r>
        <w:rPr>
          <w:rFonts w:hint="eastAsia" w:ascii="微软雅黑" w:hAnsi="微软雅黑" w:eastAsia="微软雅黑" w:cs="微软雅黑"/>
          <w:sz w:val="22"/>
          <w:szCs w:val="22"/>
        </w:rPr>
        <w:t>（2）中标后不按本须知第30条的规定与采购人签订合同的；</w:t>
      </w:r>
    </w:p>
    <w:p>
      <w:pPr>
        <w:pStyle w:val="15"/>
        <w:tabs>
          <w:tab w:val="left" w:pos="2240"/>
        </w:tabs>
        <w:spacing w:line="440" w:lineRule="exact"/>
        <w:ind w:left="1054" w:leftChars="371" w:hanging="275" w:hangingChars="125"/>
        <w:rPr>
          <w:rFonts w:ascii="微软雅黑" w:hAnsi="微软雅黑" w:eastAsia="微软雅黑" w:cs="微软雅黑"/>
          <w:sz w:val="22"/>
          <w:szCs w:val="22"/>
        </w:rPr>
      </w:pPr>
      <w:r>
        <w:rPr>
          <w:rFonts w:hint="eastAsia" w:ascii="微软雅黑" w:hAnsi="微软雅黑" w:eastAsia="微软雅黑" w:cs="微软雅黑"/>
          <w:sz w:val="22"/>
          <w:szCs w:val="22"/>
        </w:rPr>
        <w:t>（3）中标后不按本须知第31条的规定提交履约保证金的；</w:t>
      </w:r>
    </w:p>
    <w:p>
      <w:pPr>
        <w:pStyle w:val="15"/>
        <w:tabs>
          <w:tab w:val="left" w:pos="2240"/>
        </w:tabs>
        <w:spacing w:line="440" w:lineRule="exact"/>
        <w:ind w:left="1054" w:leftChars="371" w:hanging="275" w:hangingChars="125"/>
        <w:rPr>
          <w:rFonts w:ascii="微软雅黑" w:hAnsi="微软雅黑" w:eastAsia="微软雅黑" w:cs="微软雅黑"/>
          <w:sz w:val="22"/>
          <w:szCs w:val="22"/>
        </w:rPr>
      </w:pPr>
      <w:r>
        <w:rPr>
          <w:rFonts w:hint="eastAsia" w:ascii="微软雅黑" w:hAnsi="微软雅黑" w:eastAsia="微软雅黑" w:cs="微软雅黑"/>
          <w:sz w:val="22"/>
          <w:szCs w:val="22"/>
        </w:rPr>
        <w:t>（4）中标后不按本须知第32条的规定缴纳中标服务费的；</w:t>
      </w:r>
    </w:p>
    <w:p>
      <w:pPr>
        <w:pStyle w:val="15"/>
        <w:tabs>
          <w:tab w:val="left" w:pos="2240"/>
        </w:tabs>
        <w:spacing w:line="440" w:lineRule="exact"/>
        <w:ind w:left="1054" w:leftChars="371" w:hanging="275" w:hangingChars="125"/>
        <w:rPr>
          <w:rFonts w:ascii="微软雅黑" w:hAnsi="微软雅黑" w:eastAsia="微软雅黑" w:cs="微软雅黑"/>
          <w:sz w:val="22"/>
          <w:szCs w:val="22"/>
        </w:rPr>
      </w:pPr>
      <w:r>
        <w:rPr>
          <w:rFonts w:hint="eastAsia" w:ascii="微软雅黑" w:hAnsi="微软雅黑" w:eastAsia="微软雅黑" w:cs="微软雅黑"/>
          <w:sz w:val="22"/>
          <w:szCs w:val="22"/>
        </w:rPr>
        <w:t>（5）存在其他违法违规行为的。</w:t>
      </w:r>
    </w:p>
    <w:p>
      <w:pPr>
        <w:spacing w:line="440" w:lineRule="exact"/>
        <w:ind w:left="825" w:hanging="825" w:hangingChars="375"/>
        <w:rPr>
          <w:rFonts w:ascii="微软雅黑" w:hAnsi="微软雅黑" w:eastAsia="微软雅黑" w:cs="微软雅黑"/>
          <w:sz w:val="22"/>
          <w:szCs w:val="22"/>
        </w:rPr>
      </w:pPr>
      <w:bookmarkStart w:id="103" w:name="_Ref467306336"/>
      <w:r>
        <w:rPr>
          <w:rFonts w:hint="eastAsia" w:ascii="微软雅黑" w:hAnsi="微软雅黑" w:eastAsia="微软雅黑" w:cs="微软雅黑"/>
          <w:sz w:val="22"/>
          <w:szCs w:val="22"/>
        </w:rPr>
        <w:t>12.3</w:t>
      </w:r>
      <w:r>
        <w:rPr>
          <w:rFonts w:hint="eastAsia" w:ascii="微软雅黑" w:hAnsi="微软雅黑" w:eastAsia="微软雅黑" w:cs="微软雅黑"/>
          <w:sz w:val="22"/>
          <w:szCs w:val="22"/>
        </w:rPr>
        <w:tab/>
      </w:r>
      <w:bookmarkEnd w:id="103"/>
      <w:r>
        <w:rPr>
          <w:rFonts w:hint="eastAsia" w:ascii="微软雅黑" w:hAnsi="微软雅黑" w:eastAsia="微软雅黑" w:cs="微软雅黑"/>
          <w:sz w:val="22"/>
          <w:szCs w:val="22"/>
        </w:rPr>
        <w:t>政府采购信用担保试点范围内的项目，接受符合财政部门规定的政府采购投标担保函原件。</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12.4</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供应商未按本须知第12.1和12.3条规定提交投标保证金的，其投标将被认定为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12.4.1  采用电汇形式的，一般可以实时入账。</w:t>
      </w:r>
    </w:p>
    <w:p>
      <w:pPr>
        <w:spacing w:line="440" w:lineRule="exact"/>
        <w:ind w:left="880" w:hanging="880" w:hangingChars="400"/>
        <w:jc w:val="left"/>
        <w:rPr>
          <w:rFonts w:ascii="微软雅黑" w:hAnsi="微软雅黑" w:eastAsia="微软雅黑" w:cs="微软雅黑"/>
          <w:sz w:val="22"/>
          <w:szCs w:val="22"/>
        </w:rPr>
      </w:pPr>
      <w:r>
        <w:rPr>
          <w:rFonts w:hint="eastAsia" w:ascii="微软雅黑" w:hAnsi="微软雅黑" w:eastAsia="微软雅黑" w:cs="微软雅黑"/>
          <w:sz w:val="22"/>
          <w:szCs w:val="22"/>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12.5   联合体投标的，可以由联合体中的一方或者共同提交投标保证金。以一方名义提交投标保证金的，对联合体各方均具有约束力。</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12.6</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投标保证金的退还</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12.6.1  中标人应在与采购人签订合同之日起5个工作日内，及时联系保证金收受机构办理投标保证金无息退还手续。</w:t>
      </w:r>
    </w:p>
    <w:p>
      <w:pPr>
        <w:spacing w:line="440" w:lineRule="exact"/>
        <w:ind w:left="880" w:hanging="880" w:hangingChars="400"/>
        <w:rPr>
          <w:rFonts w:ascii="微软雅黑" w:hAnsi="微软雅黑" w:eastAsia="微软雅黑" w:cs="微软雅黑"/>
          <w:sz w:val="22"/>
          <w:szCs w:val="22"/>
        </w:rPr>
      </w:pPr>
      <w:r>
        <w:rPr>
          <w:rFonts w:hint="eastAsia" w:ascii="微软雅黑" w:hAnsi="微软雅黑" w:eastAsia="微软雅黑" w:cs="微软雅黑"/>
          <w:sz w:val="22"/>
          <w:szCs w:val="22"/>
        </w:rPr>
        <w:t>12.6.2  未中标供应商的投标保证金将在中标通知书发出之日暨中标结果公告公布之日起5个工作日内无息退还。供应商应及时联系保证金收受机构办理退还投标保证金手续。</w:t>
      </w:r>
    </w:p>
    <w:p>
      <w:pPr>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12.6.3  政府采购投标担保函不予退回。</w:t>
      </w:r>
    </w:p>
    <w:p>
      <w:pPr>
        <w:spacing w:line="440" w:lineRule="exact"/>
        <w:ind w:left="880" w:hanging="880" w:hangingChars="400"/>
        <w:rPr>
          <w:rFonts w:ascii="微软雅黑" w:hAnsi="微软雅黑" w:eastAsia="微软雅黑" w:cs="微软雅黑"/>
          <w:sz w:val="22"/>
          <w:szCs w:val="22"/>
        </w:rPr>
      </w:pPr>
      <w:r>
        <w:rPr>
          <w:rFonts w:hint="eastAsia" w:ascii="微软雅黑" w:hAnsi="微软雅黑" w:eastAsia="微软雅黑" w:cs="微软雅黑"/>
          <w:sz w:val="22"/>
          <w:szCs w:val="22"/>
        </w:rPr>
        <w:t>12.7    因供应商自身原因导致无法及时退还的，采购人或采购代理机构将不承担相应责任。</w:t>
      </w:r>
    </w:p>
    <w:p>
      <w:pPr>
        <w:pStyle w:val="6"/>
        <w:spacing w:before="0" w:after="0" w:line="440" w:lineRule="exact"/>
        <w:rPr>
          <w:rFonts w:ascii="微软雅黑" w:hAnsi="微软雅黑" w:eastAsia="微软雅黑" w:cs="微软雅黑"/>
          <w:sz w:val="22"/>
          <w:szCs w:val="22"/>
          <w:u w:val="none"/>
        </w:rPr>
      </w:pPr>
      <w:bookmarkStart w:id="104" w:name="_Toc26580"/>
      <w:bookmarkStart w:id="105" w:name="_Toc23590"/>
      <w:bookmarkStart w:id="106" w:name="_Toc515647772"/>
      <w:bookmarkStart w:id="107" w:name="_Toc520356157"/>
      <w:bookmarkStart w:id="108" w:name="_Toc32569"/>
      <w:r>
        <w:rPr>
          <w:rFonts w:hint="eastAsia" w:ascii="微软雅黑" w:hAnsi="微软雅黑" w:eastAsia="微软雅黑" w:cs="微软雅黑"/>
          <w:sz w:val="22"/>
          <w:szCs w:val="22"/>
          <w:u w:val="none"/>
        </w:rPr>
        <w:t>13.投标有效期</w:t>
      </w:r>
      <w:bookmarkEnd w:id="104"/>
      <w:bookmarkEnd w:id="105"/>
      <w:bookmarkEnd w:id="106"/>
      <w:bookmarkEnd w:id="107"/>
      <w:bookmarkEnd w:id="108"/>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13.1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投标应在</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中规定时间内保持有效。投标有效期不满足要求的投标，其投标将被认定为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13.2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6"/>
        <w:spacing w:before="0" w:after="0" w:line="440" w:lineRule="exact"/>
        <w:rPr>
          <w:rFonts w:ascii="微软雅黑" w:hAnsi="微软雅黑" w:eastAsia="微软雅黑" w:cs="微软雅黑"/>
          <w:sz w:val="22"/>
          <w:szCs w:val="22"/>
          <w:u w:val="none"/>
        </w:rPr>
      </w:pPr>
      <w:bookmarkStart w:id="109" w:name="_Toc520356158"/>
      <w:bookmarkStart w:id="110" w:name="_Toc20503"/>
      <w:bookmarkStart w:id="111" w:name="_Toc493"/>
      <w:bookmarkStart w:id="112" w:name="_Toc515647773"/>
      <w:bookmarkStart w:id="113" w:name="_Toc17074"/>
      <w:r>
        <w:rPr>
          <w:rFonts w:hint="eastAsia" w:ascii="微软雅黑" w:hAnsi="微软雅黑" w:eastAsia="微软雅黑" w:cs="微软雅黑"/>
          <w:sz w:val="22"/>
          <w:szCs w:val="22"/>
          <w:u w:val="none"/>
        </w:rPr>
        <w:t>14.投标文件的签署</w:t>
      </w:r>
      <w:bookmarkEnd w:id="109"/>
      <w:r>
        <w:rPr>
          <w:rFonts w:hint="eastAsia" w:ascii="微软雅黑" w:hAnsi="微软雅黑" w:eastAsia="微软雅黑" w:cs="微软雅黑"/>
          <w:sz w:val="22"/>
          <w:szCs w:val="22"/>
          <w:u w:val="none"/>
        </w:rPr>
        <w:t>及规定</w:t>
      </w:r>
      <w:bookmarkEnd w:id="110"/>
      <w:bookmarkEnd w:id="111"/>
      <w:bookmarkEnd w:id="112"/>
      <w:bookmarkEnd w:id="113"/>
      <w:r>
        <w:rPr>
          <w:rFonts w:hint="eastAsia" w:ascii="微软雅黑" w:hAnsi="微软雅黑" w:eastAsia="微软雅黑" w:cs="微软雅黑"/>
          <w:sz w:val="22"/>
          <w:szCs w:val="22"/>
          <w:u w:val="none"/>
        </w:rPr>
        <w:t>（后期邮寄的投标文件）</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供应商应按供应商须知资料表中的规定，准备和递交投标文件正本、副本、开标一览表和电子U盘，每份投标文件封皮须清楚地标明“正本”或“副本”。</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14.2  投标文件的正本需打印或用不褪色墨水书写，并由供应商的法定代表人或经其正式委托代理人按招标文件规定在投标文件上签字或盖章，并加盖单位印章。委托代理人须持有书面的“法定代表人授权委托书”，并将其附在投标文件中。如对投标文件进行了修改，则应由供应商的法定代表人或其委托代理人在每一修改处签字。投标文件的副本可采用正本的复印件。</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14.3    所有投标文件采用不可拆装的胶订方式装订，否则其投标文件将被认定为无效。</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14.4</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投标文件因字迹潦草、表达不清或装订不当所引起的后果由供应商负责。</w:t>
      </w:r>
    </w:p>
    <w:p>
      <w:pPr>
        <w:pStyle w:val="5"/>
        <w:spacing w:line="440" w:lineRule="exact"/>
        <w:rPr>
          <w:rFonts w:ascii="微软雅黑" w:hAnsi="微软雅黑" w:eastAsia="微软雅黑" w:cs="微软雅黑"/>
          <w:sz w:val="22"/>
          <w:szCs w:val="22"/>
        </w:rPr>
      </w:pPr>
    </w:p>
    <w:p>
      <w:pPr>
        <w:pStyle w:val="4"/>
        <w:spacing w:before="0" w:line="440" w:lineRule="exact"/>
        <w:ind w:left="1080" w:leftChars="257" w:hanging="540"/>
        <w:rPr>
          <w:rFonts w:ascii="微软雅黑" w:hAnsi="微软雅黑" w:eastAsia="微软雅黑" w:cs="微软雅黑"/>
          <w:b/>
          <w:bCs/>
          <w:sz w:val="22"/>
          <w:szCs w:val="22"/>
        </w:rPr>
      </w:pPr>
      <w:bookmarkStart w:id="114" w:name="_Toc16504"/>
      <w:bookmarkStart w:id="115" w:name="_Toc5836"/>
      <w:bookmarkStart w:id="116" w:name="_Toc17149"/>
      <w:r>
        <w:rPr>
          <w:rFonts w:hint="eastAsia" w:ascii="微软雅黑" w:hAnsi="微软雅黑" w:eastAsia="微软雅黑" w:cs="微软雅黑"/>
          <w:b/>
          <w:bCs/>
          <w:sz w:val="22"/>
          <w:szCs w:val="22"/>
        </w:rPr>
        <w:t>四   投标文件的递交</w:t>
      </w:r>
      <w:bookmarkEnd w:id="114"/>
      <w:bookmarkEnd w:id="115"/>
      <w:bookmarkEnd w:id="116"/>
    </w:p>
    <w:p>
      <w:pPr>
        <w:pStyle w:val="6"/>
        <w:spacing w:before="0" w:after="0" w:line="440" w:lineRule="exact"/>
        <w:rPr>
          <w:rFonts w:ascii="微软雅黑" w:hAnsi="微软雅黑" w:eastAsia="微软雅黑" w:cs="微软雅黑"/>
          <w:sz w:val="22"/>
          <w:szCs w:val="22"/>
          <w:u w:val="none"/>
        </w:rPr>
      </w:pPr>
      <w:bookmarkStart w:id="117" w:name="_Toc515647775"/>
      <w:bookmarkStart w:id="118" w:name="_Toc32337"/>
      <w:bookmarkStart w:id="119" w:name="_Toc28066_WPSOffice_Level2"/>
      <w:bookmarkStart w:id="120" w:name="_Toc21645"/>
      <w:bookmarkStart w:id="121" w:name="_Toc520356160"/>
      <w:bookmarkStart w:id="122" w:name="_Toc25849_WPSOffice_Level2"/>
      <w:bookmarkStart w:id="123" w:name="_Toc31822"/>
      <w:r>
        <w:rPr>
          <w:rFonts w:hint="eastAsia" w:ascii="微软雅黑" w:hAnsi="微软雅黑" w:eastAsia="微软雅黑" w:cs="微软雅黑"/>
          <w:sz w:val="22"/>
          <w:szCs w:val="22"/>
          <w:u w:val="none"/>
        </w:rPr>
        <w:t>15.投标文件的密封和标记</w:t>
      </w:r>
      <w:bookmarkEnd w:id="117"/>
      <w:bookmarkEnd w:id="118"/>
      <w:bookmarkEnd w:id="119"/>
      <w:bookmarkEnd w:id="120"/>
      <w:bookmarkEnd w:id="121"/>
      <w:bookmarkEnd w:id="122"/>
      <w:bookmarkEnd w:id="123"/>
    </w:p>
    <w:p>
      <w:pPr>
        <w:spacing w:line="440" w:lineRule="exact"/>
        <w:ind w:left="825" w:hanging="825" w:hangingChars="375"/>
        <w:rPr>
          <w:rFonts w:ascii="微软雅黑" w:hAnsi="微软雅黑" w:eastAsia="微软雅黑" w:cs="微软雅黑"/>
          <w:b/>
          <w:bCs/>
          <w:sz w:val="22"/>
          <w:szCs w:val="22"/>
          <w:u w:val="single"/>
        </w:rPr>
      </w:pPr>
      <w:r>
        <w:rPr>
          <w:rFonts w:hint="eastAsia" w:ascii="微软雅黑" w:hAnsi="微软雅黑" w:eastAsia="微软雅黑" w:cs="微软雅黑"/>
          <w:sz w:val="22"/>
          <w:szCs w:val="22"/>
        </w:rPr>
        <w:t xml:space="preserve">15.1  </w:t>
      </w:r>
      <w:r>
        <w:rPr>
          <w:rFonts w:hint="eastAsia" w:ascii="微软雅黑" w:hAnsi="微软雅黑" w:eastAsia="微软雅黑" w:cs="微软雅黑"/>
          <w:sz w:val="24"/>
        </w:rPr>
        <w:t xml:space="preserve"> </w:t>
      </w:r>
      <w:r>
        <w:rPr>
          <w:rFonts w:hint="eastAsia" w:ascii="微软雅黑" w:hAnsi="微软雅黑" w:eastAsia="微软雅黑" w:cs="微软雅黑"/>
          <w:b/>
          <w:bCs/>
          <w:sz w:val="22"/>
          <w:szCs w:val="22"/>
          <w:u w:val="single"/>
        </w:rPr>
        <w:t>为方便评审及进行资格审查，供应商应完整地按招标文件提供的投标文件格式及要求编写投标文件，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p>
    <w:p>
      <w:pPr>
        <w:pStyle w:val="6"/>
        <w:spacing w:before="0" w:after="0" w:line="440" w:lineRule="exact"/>
        <w:rPr>
          <w:rFonts w:ascii="微软雅黑" w:hAnsi="微软雅黑" w:eastAsia="微软雅黑" w:cs="微软雅黑"/>
          <w:sz w:val="22"/>
          <w:szCs w:val="22"/>
          <w:u w:val="none"/>
        </w:rPr>
      </w:pPr>
      <w:r>
        <w:rPr>
          <w:rFonts w:hint="eastAsia" w:ascii="微软雅黑" w:hAnsi="微软雅黑" w:eastAsia="微软雅黑" w:cs="微软雅黑"/>
          <w:sz w:val="22"/>
          <w:szCs w:val="22"/>
          <w:u w:val="none"/>
        </w:rPr>
        <w:t>16.投标截止</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16.1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供应商应在</w:t>
      </w:r>
      <w:r>
        <w:rPr>
          <w:rFonts w:hint="eastAsia" w:ascii="微软雅黑" w:hAnsi="微软雅黑" w:eastAsia="微软雅黑" w:cs="微软雅黑"/>
          <w:sz w:val="22"/>
          <w:szCs w:val="22"/>
          <w:u w:val="single"/>
        </w:rPr>
        <w:t>供应商须知资料表中</w:t>
      </w:r>
      <w:r>
        <w:rPr>
          <w:rFonts w:hint="eastAsia" w:ascii="微软雅黑" w:hAnsi="微软雅黑" w:eastAsia="微软雅黑" w:cs="微软雅黑"/>
          <w:sz w:val="22"/>
          <w:szCs w:val="22"/>
        </w:rPr>
        <w:t>规定的截止时间前，将投标文件递交到招标公告中规定的地点。</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16.2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采购人和采购代理机构有权按本须知的规定，延迟投标截止时间。在此情况下，采购人、采购代理机构和供应商受投标截止时间制约的所有权利和义务均应延长至新的截止时间。</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16.3</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采购人和采购代理机构将拒绝接收在投标截止时间后送达的投标文件。</w:t>
      </w:r>
    </w:p>
    <w:p>
      <w:pPr>
        <w:pStyle w:val="6"/>
        <w:spacing w:before="0" w:after="0" w:line="440" w:lineRule="exact"/>
        <w:rPr>
          <w:rFonts w:ascii="微软雅黑" w:hAnsi="微软雅黑" w:eastAsia="微软雅黑" w:cs="微软雅黑"/>
          <w:sz w:val="22"/>
          <w:szCs w:val="22"/>
          <w:u w:val="none"/>
        </w:rPr>
      </w:pPr>
      <w:bookmarkStart w:id="124" w:name="_Toc24275"/>
      <w:bookmarkStart w:id="125" w:name="_Toc515647777"/>
      <w:bookmarkStart w:id="126" w:name="_Toc32303"/>
      <w:bookmarkStart w:id="127" w:name="_Toc520356162"/>
      <w:bookmarkStart w:id="128" w:name="_Toc18537"/>
      <w:r>
        <w:rPr>
          <w:rFonts w:hint="eastAsia" w:ascii="微软雅黑" w:hAnsi="微软雅黑" w:eastAsia="微软雅黑" w:cs="微软雅黑"/>
          <w:sz w:val="22"/>
          <w:szCs w:val="22"/>
          <w:u w:val="none"/>
        </w:rPr>
        <w:t>17.投标文件的接收、修改与撤回</w:t>
      </w:r>
      <w:bookmarkEnd w:id="124"/>
      <w:bookmarkEnd w:id="125"/>
      <w:bookmarkEnd w:id="126"/>
      <w:bookmarkEnd w:id="127"/>
      <w:bookmarkEnd w:id="128"/>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17.1   在投标截止时间后送达的投标文件的，采购人和采购代理机构将拒绝接收。</w:t>
      </w:r>
    </w:p>
    <w:p>
      <w:pPr>
        <w:spacing w:line="440" w:lineRule="exact"/>
        <w:ind w:left="770" w:hanging="770" w:hangingChars="350"/>
        <w:rPr>
          <w:rFonts w:ascii="微软雅黑" w:hAnsi="微软雅黑" w:eastAsia="微软雅黑" w:cs="微软雅黑"/>
          <w:sz w:val="22"/>
          <w:szCs w:val="22"/>
        </w:rPr>
      </w:pPr>
      <w:r>
        <w:rPr>
          <w:rFonts w:hint="eastAsia" w:ascii="微软雅黑" w:hAnsi="微软雅黑" w:eastAsia="微软雅黑" w:cs="微软雅黑"/>
          <w:sz w:val="22"/>
          <w:szCs w:val="22"/>
        </w:rPr>
        <w:t>17.2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递交投标文件以后，如果投标人要进行修改或撤回投标，须提出书面申请并在投标截止时间前送达开标地点，投标人对投标文件的修改或撤回通知应按本须知规定编制、密封、标记。</w:t>
      </w:r>
    </w:p>
    <w:p>
      <w:pPr>
        <w:spacing w:line="440" w:lineRule="exact"/>
        <w:ind w:left="735" w:leftChars="350" w:firstLine="110" w:firstLineChars="50"/>
        <w:rPr>
          <w:rFonts w:ascii="微软雅黑" w:hAnsi="微软雅黑" w:eastAsia="微软雅黑" w:cs="微软雅黑"/>
          <w:sz w:val="22"/>
          <w:szCs w:val="22"/>
        </w:rPr>
      </w:pPr>
      <w:r>
        <w:rPr>
          <w:rFonts w:hint="eastAsia" w:ascii="微软雅黑" w:hAnsi="微软雅黑" w:eastAsia="微软雅黑" w:cs="微软雅黑"/>
          <w:sz w:val="22"/>
          <w:szCs w:val="22"/>
        </w:rPr>
        <w:t>采购人和采购代理机构将予以接收，并视为投标文件的组成部分。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17.3</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在投标截止期之后，采购人和采购代理机构不接受投标人主动对其投标文件做任何修改。</w:t>
      </w:r>
    </w:p>
    <w:p>
      <w:pPr>
        <w:pStyle w:val="27"/>
        <w:spacing w:line="440" w:lineRule="exact"/>
        <w:ind w:firstLine="0" w:firstLineChars="0"/>
        <w:rPr>
          <w:rFonts w:ascii="微软雅黑" w:hAnsi="微软雅黑" w:eastAsia="微软雅黑" w:cs="微软雅黑"/>
          <w:sz w:val="22"/>
          <w:szCs w:val="22"/>
        </w:rPr>
      </w:pPr>
      <w:r>
        <w:rPr>
          <w:rFonts w:hint="eastAsia" w:ascii="微软雅黑" w:hAnsi="微软雅黑" w:eastAsia="微软雅黑" w:cs="微软雅黑"/>
          <w:sz w:val="22"/>
          <w:szCs w:val="22"/>
        </w:rPr>
        <w:t>17.4</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采购人和采购代理机构对所接收投标文件概不退回。</w:t>
      </w:r>
    </w:p>
    <w:p>
      <w:pPr>
        <w:pStyle w:val="4"/>
        <w:spacing w:before="0" w:line="440" w:lineRule="exact"/>
        <w:ind w:left="1080" w:leftChars="257" w:hanging="540"/>
        <w:rPr>
          <w:rFonts w:ascii="微软雅黑" w:hAnsi="微软雅黑" w:eastAsia="微软雅黑" w:cs="微软雅黑"/>
          <w:sz w:val="22"/>
          <w:szCs w:val="22"/>
        </w:rPr>
      </w:pPr>
      <w:bookmarkStart w:id="129" w:name="_Toc12618"/>
      <w:bookmarkStart w:id="130" w:name="_Toc28911"/>
      <w:bookmarkStart w:id="131" w:name="_Toc28397"/>
      <w:bookmarkStart w:id="132" w:name="_Toc28398"/>
      <w:bookmarkStart w:id="133" w:name="_Toc515647778"/>
      <w:bookmarkStart w:id="134" w:name="_Toc216582809"/>
      <w:bookmarkStart w:id="135" w:name="_Toc12436"/>
      <w:bookmarkStart w:id="136" w:name="_Toc520356163"/>
      <w:r>
        <w:rPr>
          <w:rFonts w:hint="eastAsia" w:ascii="微软雅黑" w:hAnsi="微软雅黑" w:eastAsia="微软雅黑" w:cs="微软雅黑"/>
          <w:b/>
          <w:bCs/>
          <w:sz w:val="22"/>
          <w:szCs w:val="22"/>
        </w:rPr>
        <w:t>五   开标及评标</w:t>
      </w:r>
      <w:bookmarkEnd w:id="129"/>
      <w:bookmarkEnd w:id="130"/>
      <w:bookmarkEnd w:id="131"/>
      <w:bookmarkEnd w:id="132"/>
      <w:bookmarkEnd w:id="133"/>
      <w:bookmarkEnd w:id="134"/>
      <w:bookmarkEnd w:id="135"/>
      <w:bookmarkEnd w:id="136"/>
      <w:bookmarkStart w:id="137" w:name="_Toc515647779"/>
      <w:bookmarkStart w:id="138" w:name="_Toc31842"/>
      <w:bookmarkStart w:id="139" w:name="_Toc520356164"/>
      <w:bookmarkStart w:id="140" w:name="_Toc25345"/>
      <w:bookmarkStart w:id="141" w:name="_Toc7186"/>
    </w:p>
    <w:p>
      <w:pPr>
        <w:pStyle w:val="6"/>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u w:val="none"/>
        </w:rPr>
        <w:t>18.开标</w:t>
      </w:r>
      <w:bookmarkEnd w:id="137"/>
      <w:bookmarkEnd w:id="138"/>
      <w:bookmarkEnd w:id="139"/>
      <w:bookmarkEnd w:id="140"/>
      <w:bookmarkEnd w:id="141"/>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18.1  采购人和采购代理机构将按供应商须知资料表中规定的开标时间和地点组织公开开标并邀请所有供应商代表参加。供应商不足3家的，不得开标。</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18.2  供应商按照须知资料表中规定的开标时间和地点，在规定时间内上传投标文件。</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18.3  在开标前，工作人员收取所有参会人员的手机，主持人宣读开标纪律。</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18.4    开标时，由代理机构对供应商的投标文件进行解密，解密时间为30分钟。</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18.5    由代理机构开启报价，所有投标供应商签字确认。</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18.6    采购人或采购代理机构登录政采云平台对投标供应商的资格证明材料进行审查。</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18.7    采购人或采购代理机构将对开标过程进行记录</w:t>
      </w:r>
      <w:bookmarkStart w:id="142" w:name="_Toc520356165"/>
      <w:r>
        <w:rPr>
          <w:rFonts w:hint="eastAsia" w:ascii="微软雅黑" w:hAnsi="微软雅黑" w:eastAsia="微软雅黑" w:cs="微软雅黑"/>
          <w:sz w:val="22"/>
          <w:szCs w:val="22"/>
        </w:rPr>
        <w:t>，由参加开标的各供应商代表和相关工作人员签字确认，并存档备查。</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18.8    供应商代表对开标过程和开标记录有疑义，以及认为采购人、采购代理机构相关工作人员有需要回避的情形的，应当场提出询问或者回避申请。</w:t>
      </w:r>
      <w:bookmarkEnd w:id="142"/>
    </w:p>
    <w:p>
      <w:pPr>
        <w:pStyle w:val="6"/>
        <w:spacing w:before="0" w:after="0" w:line="440" w:lineRule="exact"/>
        <w:rPr>
          <w:rFonts w:ascii="微软雅黑" w:hAnsi="微软雅黑" w:eastAsia="微软雅黑" w:cs="微软雅黑"/>
          <w:sz w:val="22"/>
          <w:szCs w:val="22"/>
          <w:u w:val="none"/>
        </w:rPr>
      </w:pPr>
      <w:r>
        <w:rPr>
          <w:rFonts w:hint="eastAsia" w:ascii="微软雅黑" w:hAnsi="微软雅黑" w:eastAsia="微软雅黑" w:cs="微软雅黑"/>
          <w:sz w:val="22"/>
          <w:szCs w:val="22"/>
          <w:u w:val="none"/>
        </w:rPr>
        <w:t>19.资格审查及组建评标委员会</w:t>
      </w:r>
      <w:bookmarkEnd w:id="14"/>
      <w:bookmarkEnd w:id="15"/>
      <w:bookmarkEnd w:id="16"/>
      <w:bookmarkEnd w:id="17"/>
    </w:p>
    <w:p>
      <w:pPr>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19.1    采购人或采购代理机构依据法律法规和招标文件中规定的内容，对供应商的资格进行审查，未通过资格审查的投标人不进入评标；进入评标的投标人不足3家的，不得评标。</w:t>
      </w:r>
      <w:r>
        <w:rPr>
          <w:rFonts w:hint="eastAsia" w:ascii="微软雅黑" w:hAnsi="微软雅黑" w:eastAsia="微软雅黑" w:cs="微软雅黑"/>
          <w:b/>
          <w:bCs/>
          <w:sz w:val="22"/>
          <w:szCs w:val="22"/>
        </w:rPr>
        <w:t>合格供应商资格要求</w:t>
      </w:r>
      <w:r>
        <w:rPr>
          <w:rFonts w:hint="eastAsia" w:ascii="微软雅黑" w:hAnsi="微软雅黑" w:eastAsia="微软雅黑" w:cs="微软雅黑"/>
          <w:sz w:val="22"/>
          <w:szCs w:val="22"/>
        </w:rPr>
        <w:t>：</w:t>
      </w:r>
    </w:p>
    <w:p>
      <w:pPr>
        <w:pStyle w:val="5"/>
        <w:spacing w:line="440" w:lineRule="exact"/>
        <w:rPr>
          <w:rFonts w:ascii="微软雅黑" w:hAnsi="微软雅黑" w:eastAsia="微软雅黑" w:cs="微软雅黑"/>
          <w:b/>
          <w:iCs/>
          <w:kern w:val="2"/>
        </w:rPr>
      </w:pPr>
      <w:r>
        <w:rPr>
          <w:rFonts w:hint="eastAsia" w:ascii="微软雅黑" w:hAnsi="微软雅黑" w:eastAsia="微软雅黑" w:cs="微软雅黑"/>
          <w:b/>
          <w:iCs/>
          <w:kern w:val="2"/>
        </w:rPr>
        <w:t>1、满足《中华人民共和国政府采购法》第二十二条规定；</w:t>
      </w:r>
    </w:p>
    <w:p>
      <w:pPr>
        <w:spacing w:line="440" w:lineRule="exact"/>
        <w:ind w:firstLine="480" w:firstLineChars="200"/>
        <w:rPr>
          <w:rFonts w:ascii="微软雅黑" w:hAnsi="微软雅黑" w:eastAsia="微软雅黑" w:cs="微软雅黑"/>
          <w:b/>
          <w:iCs/>
          <w:sz w:val="24"/>
          <w:szCs w:val="24"/>
        </w:rPr>
      </w:pPr>
      <w:r>
        <w:rPr>
          <w:rFonts w:hint="eastAsia" w:ascii="微软雅黑" w:hAnsi="微软雅黑" w:eastAsia="微软雅黑" w:cs="微软雅黑"/>
          <w:b/>
          <w:iCs/>
          <w:sz w:val="24"/>
          <w:szCs w:val="24"/>
        </w:rPr>
        <w:t>①具有独立承担民事责任的能力；（投标时，提供在中华人民共和国境内注册的法人或其他组织的营业执照或事业单位法人证书或社会团体法人登记证书）</w:t>
      </w:r>
    </w:p>
    <w:p>
      <w:pPr>
        <w:spacing w:line="440" w:lineRule="exact"/>
        <w:ind w:firstLine="480" w:firstLineChars="200"/>
        <w:rPr>
          <w:rFonts w:ascii="微软雅黑" w:hAnsi="微软雅黑" w:eastAsia="微软雅黑" w:cs="微软雅黑"/>
          <w:b/>
          <w:iCs/>
          <w:sz w:val="24"/>
          <w:szCs w:val="24"/>
        </w:rPr>
      </w:pPr>
      <w:r>
        <w:rPr>
          <w:rFonts w:hint="eastAsia" w:ascii="微软雅黑" w:hAnsi="微软雅黑" w:eastAsia="微软雅黑" w:cs="微软雅黑"/>
          <w:b/>
          <w:iCs/>
          <w:sz w:val="24"/>
          <w:szCs w:val="24"/>
        </w:rPr>
        <w:t>②提供法定代表人资格证明及授权书、被授权人身份证；(法定代表人投标需提供法定代表人身份证)；</w:t>
      </w:r>
    </w:p>
    <w:p>
      <w:pPr>
        <w:spacing w:line="440" w:lineRule="exact"/>
        <w:ind w:firstLine="480" w:firstLineChars="200"/>
        <w:rPr>
          <w:rFonts w:ascii="微软雅黑" w:hAnsi="微软雅黑" w:eastAsia="微软雅黑" w:cs="微软雅黑"/>
          <w:b/>
          <w:iCs/>
          <w:sz w:val="24"/>
          <w:szCs w:val="24"/>
        </w:rPr>
      </w:pPr>
      <w:r>
        <w:rPr>
          <w:rFonts w:hint="eastAsia" w:ascii="微软雅黑" w:hAnsi="微软雅黑" w:eastAsia="微软雅黑" w:cs="微软雅黑"/>
          <w:b/>
          <w:iCs/>
          <w:sz w:val="24"/>
          <w:szCs w:val="24"/>
        </w:rPr>
        <w:t>③本单位依法缴纳的近3个月内任意一个月的社会保险的凭据；</w:t>
      </w:r>
    </w:p>
    <w:p>
      <w:pPr>
        <w:spacing w:line="440" w:lineRule="exact"/>
        <w:ind w:firstLine="480" w:firstLineChars="200"/>
        <w:rPr>
          <w:rFonts w:ascii="微软雅黑" w:hAnsi="微软雅黑" w:eastAsia="微软雅黑" w:cs="微软雅黑"/>
          <w:b/>
          <w:iCs/>
          <w:sz w:val="24"/>
          <w:szCs w:val="24"/>
        </w:rPr>
      </w:pPr>
      <w:r>
        <w:rPr>
          <w:rFonts w:hint="eastAsia" w:ascii="微软雅黑" w:hAnsi="微软雅黑" w:eastAsia="微软雅黑" w:cs="微软雅黑"/>
          <w:b/>
          <w:iCs/>
          <w:sz w:val="24"/>
          <w:szCs w:val="24"/>
        </w:rPr>
        <w:t>④税务部门出具的近3个月内人任意一个月的完税证明（依法免缴的应提供依法免缴的相关证明文件或零申报报表）；</w:t>
      </w:r>
    </w:p>
    <w:p>
      <w:pPr>
        <w:spacing w:line="440" w:lineRule="exact"/>
        <w:ind w:firstLine="480" w:firstLineChars="200"/>
        <w:rPr>
          <w:rFonts w:ascii="微软雅黑" w:hAnsi="微软雅黑" w:eastAsia="微软雅黑" w:cs="微软雅黑"/>
          <w:b/>
          <w:iCs/>
          <w:sz w:val="24"/>
          <w:szCs w:val="24"/>
        </w:rPr>
      </w:pPr>
      <w:r>
        <w:rPr>
          <w:rFonts w:hint="eastAsia" w:ascii="微软雅黑" w:hAnsi="微软雅黑" w:eastAsia="微软雅黑" w:cs="微软雅黑"/>
          <w:b/>
          <w:iCs/>
          <w:sz w:val="24"/>
          <w:szCs w:val="24"/>
        </w:rPr>
        <w:t>⑤提供近两年任意一年完整的财务审计报告（成立不满一年的可提供近一个月的银行资信证明）；</w:t>
      </w:r>
    </w:p>
    <w:p>
      <w:pPr>
        <w:spacing w:line="440" w:lineRule="exact"/>
        <w:ind w:firstLine="480" w:firstLineChars="200"/>
        <w:rPr>
          <w:rFonts w:ascii="微软雅黑" w:hAnsi="微软雅黑" w:eastAsia="微软雅黑" w:cs="微软雅黑"/>
          <w:b/>
          <w:iCs/>
          <w:sz w:val="24"/>
          <w:szCs w:val="24"/>
        </w:rPr>
      </w:pPr>
      <w:r>
        <w:rPr>
          <w:rFonts w:hint="eastAsia" w:ascii="微软雅黑" w:hAnsi="微软雅黑" w:eastAsia="微软雅黑" w:cs="微软雅黑"/>
          <w:b/>
          <w:iCs/>
          <w:sz w:val="24"/>
          <w:szCs w:val="24"/>
        </w:rPr>
        <w:t>⑥参与政府采购活动前3年内未被列入失信、重大税收违法案件、财政部门禁止参加政府采购活动的承诺书；</w:t>
      </w:r>
    </w:p>
    <w:p>
      <w:pPr>
        <w:spacing w:line="440" w:lineRule="exact"/>
        <w:ind w:firstLine="480" w:firstLineChars="200"/>
        <w:rPr>
          <w:rFonts w:ascii="微软雅黑" w:hAnsi="微软雅黑" w:eastAsia="微软雅黑" w:cs="微软雅黑"/>
          <w:b/>
          <w:iCs/>
          <w:sz w:val="24"/>
          <w:szCs w:val="24"/>
        </w:rPr>
      </w:pPr>
      <w:r>
        <w:rPr>
          <w:rFonts w:hint="eastAsia" w:ascii="微软雅黑" w:hAnsi="微软雅黑" w:eastAsia="微软雅黑" w:cs="微软雅黑"/>
          <w:b/>
          <w:iCs/>
          <w:sz w:val="24"/>
          <w:szCs w:val="24"/>
        </w:rPr>
        <w:t>⑦提供针对本次项目的反商业贿赂承诺书。</w:t>
      </w:r>
    </w:p>
    <w:p>
      <w:pPr>
        <w:spacing w:line="440" w:lineRule="exact"/>
        <w:ind w:firstLine="480" w:firstLineChars="200"/>
        <w:rPr>
          <w:rFonts w:ascii="微软雅黑" w:hAnsi="微软雅黑" w:eastAsia="微软雅黑" w:cs="微软雅黑"/>
          <w:b/>
          <w:iCs/>
          <w:sz w:val="24"/>
          <w:szCs w:val="24"/>
        </w:rPr>
      </w:pPr>
      <w:r>
        <w:rPr>
          <w:rFonts w:hint="eastAsia" w:ascii="微软雅黑" w:hAnsi="微软雅黑" w:eastAsia="微软雅黑" w:cs="微软雅黑"/>
          <w:b/>
          <w:iCs/>
          <w:sz w:val="24"/>
          <w:szCs w:val="24"/>
        </w:rPr>
        <w:t>⑧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5"/>
      </w:pPr>
      <w:r>
        <w:rPr>
          <w:rFonts w:hint="eastAsia" w:ascii="微软雅黑" w:hAnsi="微软雅黑" w:eastAsia="微软雅黑" w:cs="微软雅黑"/>
          <w:b/>
          <w:iCs/>
          <w:kern w:val="2"/>
        </w:rPr>
        <w:t>2、</w:t>
      </w:r>
      <w:r>
        <w:rPr>
          <w:rFonts w:hint="eastAsia" w:ascii="微软雅黑" w:hAnsi="微软雅黑" w:eastAsia="微软雅黑" w:cs="微软雅黑"/>
          <w:b/>
          <w:iCs/>
          <w:kern w:val="2"/>
          <w:lang w:eastAsia="zh-CN"/>
        </w:rPr>
        <w:t>具有有效的</w:t>
      </w:r>
      <w:r>
        <w:rPr>
          <w:rFonts w:hint="eastAsia" w:ascii="微软雅黑" w:hAnsi="微软雅黑" w:eastAsia="微软雅黑" w:cs="微软雅黑"/>
          <w:b/>
          <w:iCs/>
          <w:kern w:val="2"/>
        </w:rPr>
        <w:t>《药品生产许可证》或《药品经营许可证》。</w:t>
      </w:r>
    </w:p>
    <w:p>
      <w:pPr>
        <w:pStyle w:val="5"/>
        <w:spacing w:line="440" w:lineRule="exact"/>
        <w:rPr>
          <w:rFonts w:ascii="微软雅黑" w:hAnsi="微软雅黑" w:eastAsia="微软雅黑" w:cs="微软雅黑"/>
          <w:b/>
          <w:sz w:val="22"/>
          <w:szCs w:val="22"/>
        </w:rPr>
      </w:pPr>
      <w:r>
        <w:rPr>
          <w:rFonts w:hint="eastAsia" w:ascii="微软雅黑" w:hAnsi="微软雅黑" w:eastAsia="微软雅黑" w:cs="微软雅黑"/>
          <w:b/>
          <w:iCs/>
          <w:kern w:val="2"/>
        </w:rPr>
        <w:t>3、投标保证金有效凭证</w:t>
      </w:r>
      <w:r>
        <w:rPr>
          <w:rFonts w:hint="eastAsia" w:ascii="微软雅黑" w:hAnsi="微软雅黑" w:eastAsia="微软雅黑" w:cs="微软雅黑"/>
          <w:b/>
          <w:iCs/>
        </w:rPr>
        <w:t>。</w:t>
      </w:r>
    </w:p>
    <w:p>
      <w:pPr>
        <w:pStyle w:val="5"/>
        <w:spacing w:line="440" w:lineRule="exact"/>
        <w:ind w:firstLine="220" w:firstLineChars="100"/>
        <w:rPr>
          <w:rFonts w:ascii="微软雅黑" w:hAnsi="微软雅黑" w:eastAsia="微软雅黑" w:cs="微软雅黑"/>
          <w:b/>
          <w:iCs/>
          <w:kern w:val="2"/>
          <w:highlight w:val="none"/>
        </w:rPr>
      </w:pPr>
      <w:r>
        <w:rPr>
          <w:rFonts w:hint="eastAsia" w:ascii="微软雅黑" w:hAnsi="微软雅黑" w:eastAsia="微软雅黑" w:cs="微软雅黑"/>
          <w:b/>
          <w:bCs/>
          <w:kern w:val="2"/>
          <w:sz w:val="22"/>
          <w:szCs w:val="22"/>
          <w:highlight w:val="none"/>
        </w:rPr>
        <w:t>提示：1、</w:t>
      </w:r>
      <w:r>
        <w:rPr>
          <w:rFonts w:hint="eastAsia" w:ascii="微软雅黑" w:hAnsi="微软雅黑" w:eastAsia="微软雅黑" w:cs="微软雅黑"/>
          <w:b/>
          <w:iCs/>
          <w:kern w:val="2"/>
          <w:highlight w:val="none"/>
        </w:rPr>
        <w:t>完税证明中“税种”非养老保险、医疗保险、失业保险、工伤保险和生育保险。请各投标供应商注意！</w:t>
      </w:r>
    </w:p>
    <w:p>
      <w:pPr>
        <w:spacing w:line="440" w:lineRule="exact"/>
        <w:ind w:firstLine="240" w:firstLineChars="100"/>
        <w:rPr>
          <w:rFonts w:ascii="微软雅黑" w:hAnsi="微软雅黑" w:eastAsia="微软雅黑" w:cs="微软雅黑"/>
          <w:b/>
          <w:iCs/>
          <w:sz w:val="24"/>
          <w:szCs w:val="24"/>
        </w:rPr>
      </w:pPr>
      <w:r>
        <w:rPr>
          <w:rFonts w:hint="eastAsia" w:ascii="微软雅黑" w:hAnsi="微软雅黑" w:eastAsia="微软雅黑" w:cs="微软雅黑"/>
          <w:b/>
          <w:iCs/>
          <w:sz w:val="24"/>
          <w:szCs w:val="24"/>
        </w:rPr>
        <w:t>2、未通过资格审查的投标人不进入评标；通过资格审查的投标人少于不足三家的，不得评标。</w:t>
      </w:r>
    </w:p>
    <w:bookmarkEnd w:id="18"/>
    <w:bookmarkEnd w:id="19"/>
    <w:bookmarkEnd w:id="20"/>
    <w:bookmarkEnd w:id="21"/>
    <w:bookmarkEnd w:id="22"/>
    <w:p>
      <w:pPr>
        <w:spacing w:line="440" w:lineRule="exact"/>
        <w:ind w:left="891" w:leftChars="104" w:hanging="673" w:hangingChars="306"/>
        <w:rPr>
          <w:rFonts w:ascii="微软雅黑" w:hAnsi="微软雅黑" w:eastAsia="微软雅黑" w:cs="微软雅黑"/>
          <w:sz w:val="22"/>
          <w:szCs w:val="22"/>
        </w:rPr>
      </w:pPr>
      <w:r>
        <w:rPr>
          <w:rFonts w:hint="eastAsia" w:ascii="微软雅黑" w:hAnsi="微软雅黑" w:eastAsia="微软雅黑" w:cs="微软雅黑"/>
          <w:sz w:val="22"/>
          <w:szCs w:val="22"/>
        </w:rPr>
        <w:t>19.2   采购人或采购代理机构将在开标前1个工作日至投标截止后1小时的期间内查询供应商的信用记录。供应商存在不良信用记录的，其投标将被认定为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left="891" w:leftChars="104" w:hanging="673" w:hangingChars="306"/>
        <w:rPr>
          <w:rFonts w:ascii="微软雅黑" w:hAnsi="微软雅黑" w:eastAsia="微软雅黑" w:cs="微软雅黑"/>
          <w:sz w:val="22"/>
          <w:szCs w:val="22"/>
        </w:rPr>
      </w:pPr>
      <w:r>
        <w:rPr>
          <w:rFonts w:hint="eastAsia" w:ascii="微软雅黑" w:hAnsi="微软雅黑" w:eastAsia="微软雅黑" w:cs="微软雅黑"/>
          <w:sz w:val="22"/>
          <w:szCs w:val="22"/>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b/>
          <w:bCs/>
          <w:sz w:val="22"/>
          <w:szCs w:val="22"/>
        </w:rPr>
        <w:t>。</w:t>
      </w:r>
    </w:p>
    <w:p>
      <w:pPr>
        <w:spacing w:line="440" w:lineRule="exact"/>
        <w:ind w:left="7" w:hanging="6" w:hangingChars="3"/>
        <w:rPr>
          <w:rFonts w:ascii="微软雅黑" w:hAnsi="微软雅黑" w:eastAsia="微软雅黑" w:cs="微软雅黑"/>
          <w:sz w:val="22"/>
          <w:szCs w:val="22"/>
        </w:rPr>
      </w:pPr>
      <w:r>
        <w:rPr>
          <w:rFonts w:hint="eastAsia" w:ascii="微软雅黑" w:hAnsi="微软雅黑" w:eastAsia="微软雅黑" w:cs="微软雅黑"/>
          <w:sz w:val="22"/>
          <w:szCs w:val="22"/>
        </w:rPr>
        <w:t>以联合体形式参加投标的，联合体任何成员存在以上不良信用记录的，联合体投标将被认定为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pStyle w:val="5"/>
        <w:spacing w:line="440" w:lineRule="exact"/>
        <w:ind w:left="779" w:hanging="778" w:hangingChars="354"/>
        <w:jc w:val="both"/>
        <w:rPr>
          <w:rFonts w:ascii="微软雅黑" w:hAnsi="微软雅黑" w:eastAsia="微软雅黑" w:cs="微软雅黑"/>
          <w:sz w:val="22"/>
          <w:szCs w:val="22"/>
        </w:rPr>
      </w:pPr>
      <w:r>
        <w:rPr>
          <w:rFonts w:hint="eastAsia" w:ascii="微软雅黑" w:hAnsi="微软雅黑" w:eastAsia="微软雅黑" w:cs="微软雅黑"/>
          <w:sz w:val="22"/>
          <w:szCs w:val="22"/>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pPr>
        <w:pStyle w:val="5"/>
        <w:spacing w:line="440" w:lineRule="exact"/>
        <w:ind w:firstLine="660" w:firstLineChars="300"/>
        <w:jc w:val="both"/>
        <w:rPr>
          <w:rFonts w:ascii="微软雅黑" w:hAnsi="微软雅黑" w:eastAsia="微软雅黑" w:cs="微软雅黑"/>
          <w:sz w:val="22"/>
          <w:szCs w:val="22"/>
        </w:rPr>
      </w:pPr>
      <w:r>
        <w:rPr>
          <w:rFonts w:hint="eastAsia" w:ascii="微软雅黑" w:hAnsi="微软雅黑" w:eastAsia="微软雅黑" w:cs="微软雅黑"/>
          <w:sz w:val="22"/>
          <w:szCs w:val="22"/>
        </w:rPr>
        <w:t>供应商自行提供的与网站信息不一致的其他证明材料亦不作为资格审查依据。</w:t>
      </w:r>
    </w:p>
    <w:p>
      <w:pPr>
        <w:spacing w:line="440" w:lineRule="exact"/>
        <w:ind w:left="779" w:hanging="778" w:hangingChars="354"/>
        <w:rPr>
          <w:rFonts w:ascii="微软雅黑" w:hAnsi="微软雅黑" w:eastAsia="微软雅黑" w:cs="微软雅黑"/>
          <w:sz w:val="22"/>
          <w:szCs w:val="22"/>
        </w:rPr>
      </w:pPr>
      <w:r>
        <w:rPr>
          <w:rFonts w:hint="eastAsia" w:ascii="微软雅黑" w:hAnsi="微软雅黑" w:eastAsia="微软雅黑" w:cs="微软雅黑"/>
          <w:sz w:val="22"/>
          <w:szCs w:val="22"/>
        </w:rPr>
        <w:t xml:space="preserve">19.3   </w:t>
      </w:r>
      <w:r>
        <w:rPr>
          <w:rFonts w:hint="eastAsia" w:ascii="微软雅黑" w:hAnsi="微软雅黑" w:eastAsia="微软雅黑" w:cs="微软雅黑"/>
          <w:b/>
          <w:bCs/>
          <w:sz w:val="22"/>
          <w:szCs w:val="22"/>
        </w:rPr>
        <w:t>按照《中华人民共和国政府采购法》《中华人民共和国政府采购法实施条例》及本项目本级和上级财政部门的有关规定依法在政采云平台随机抽取5人，组成评标小组，负责评标工作。</w:t>
      </w:r>
    </w:p>
    <w:p>
      <w:pPr>
        <w:pStyle w:val="6"/>
        <w:spacing w:before="0" w:after="0" w:line="440" w:lineRule="exact"/>
        <w:rPr>
          <w:rFonts w:ascii="微软雅黑" w:hAnsi="微软雅黑" w:eastAsia="微软雅黑" w:cs="微软雅黑"/>
          <w:b w:val="0"/>
          <w:bCs w:val="0"/>
          <w:sz w:val="22"/>
          <w:szCs w:val="22"/>
          <w:bdr w:val="single" w:color="auto" w:sz="4" w:space="0"/>
        </w:rPr>
      </w:pPr>
      <w:bookmarkStart w:id="143" w:name="_Toc520356166"/>
      <w:bookmarkStart w:id="144" w:name="_Toc28479"/>
      <w:bookmarkStart w:id="145" w:name="_Toc19949"/>
      <w:bookmarkStart w:id="146" w:name="_Toc515647781"/>
      <w:bookmarkStart w:id="147" w:name="_Toc25607"/>
      <w:r>
        <w:rPr>
          <w:rFonts w:hint="eastAsia" w:ascii="微软雅黑" w:hAnsi="微软雅黑" w:eastAsia="微软雅黑" w:cs="微软雅黑"/>
          <w:sz w:val="22"/>
          <w:szCs w:val="22"/>
          <w:u w:val="none"/>
        </w:rPr>
        <w:t>20.投标文件</w:t>
      </w:r>
      <w:bookmarkEnd w:id="143"/>
      <w:r>
        <w:rPr>
          <w:rFonts w:hint="eastAsia" w:ascii="微软雅黑" w:hAnsi="微软雅黑" w:eastAsia="微软雅黑" w:cs="微软雅黑"/>
          <w:sz w:val="22"/>
          <w:szCs w:val="22"/>
          <w:u w:val="none"/>
        </w:rPr>
        <w:t>符合性审查与澄清</w:t>
      </w:r>
      <w:bookmarkEnd w:id="144"/>
      <w:bookmarkEnd w:id="145"/>
      <w:bookmarkEnd w:id="146"/>
      <w:bookmarkEnd w:id="147"/>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20.1   符合性审查是指依据招标文件的规定，从投标文件的有效性和完整性对招标文件的响应程度进行审查，以确定是否对招标文件的实质性要求做出响应。</w:t>
      </w:r>
      <w:bookmarkStart w:id="148" w:name="_Hlt522424701"/>
      <w:bookmarkEnd w:id="148"/>
      <w:bookmarkStart w:id="149" w:name="_Toc520356167"/>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20.2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投标文件的澄清</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做必要的澄清、说明或补正。供应商的澄清、说明或补正应在评标委员会规定的时间内以书面方式进行，并不得超出投标文件范围或者改变投标文件的实质性内容。</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20.2.2  供应商的澄清、说明或补正将作为投标文件的一部分。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20.3  投标文件报价出现前后不一致的，按照下列规定修正：</w:t>
      </w:r>
    </w:p>
    <w:p>
      <w:pPr>
        <w:spacing w:line="440" w:lineRule="exact"/>
        <w:ind w:left="935" w:hanging="935" w:hangingChars="425"/>
        <w:rPr>
          <w:rFonts w:ascii="微软雅黑" w:hAnsi="微软雅黑" w:eastAsia="微软雅黑" w:cs="微软雅黑"/>
          <w:sz w:val="22"/>
          <w:szCs w:val="22"/>
        </w:rPr>
      </w:pPr>
      <w:r>
        <w:rPr>
          <w:rFonts w:hint="eastAsia" w:ascii="微软雅黑" w:hAnsi="微软雅黑" w:eastAsia="微软雅黑" w:cs="微软雅黑"/>
          <w:sz w:val="22"/>
          <w:szCs w:val="22"/>
        </w:rPr>
        <w:t>　　   （一）投标文件中开标一览表（报价表）内容与投标文件中相应内容不一致的，以开标一览表（报价表）为准；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　　   （二）大写金额和小写金额不一致的，以大写金额为准；</w:t>
      </w:r>
    </w:p>
    <w:p>
      <w:pPr>
        <w:spacing w:line="440" w:lineRule="exact"/>
        <w:ind w:left="935" w:hanging="935" w:hangingChars="425"/>
        <w:rPr>
          <w:rFonts w:ascii="微软雅黑" w:hAnsi="微软雅黑" w:eastAsia="微软雅黑" w:cs="微软雅黑"/>
          <w:sz w:val="22"/>
          <w:szCs w:val="22"/>
        </w:rPr>
      </w:pPr>
      <w:r>
        <w:rPr>
          <w:rFonts w:hint="eastAsia" w:ascii="微软雅黑" w:hAnsi="微软雅黑" w:eastAsia="微软雅黑" w:cs="微软雅黑"/>
          <w:sz w:val="22"/>
          <w:szCs w:val="22"/>
        </w:rPr>
        <w:t>　   　（三）单价金额小数点或者百分比有明显错位的，以开标一览表的总价为准，并修改单价；</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　   　（四）总价金额与按单价汇总金额不一致的，以单价金额计算结果为准。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spacing w:line="440" w:lineRule="exact"/>
        <w:ind w:firstLine="770" w:firstLineChars="350"/>
        <w:rPr>
          <w:rFonts w:ascii="微软雅黑" w:hAnsi="微软雅黑" w:eastAsia="微软雅黑" w:cs="微软雅黑"/>
          <w:sz w:val="22"/>
          <w:szCs w:val="22"/>
        </w:rPr>
      </w:pPr>
      <w:r>
        <w:rPr>
          <w:rFonts w:hint="eastAsia" w:ascii="微软雅黑" w:hAnsi="微软雅黑" w:eastAsia="微软雅黑" w:cs="微软雅黑"/>
          <w:sz w:val="22"/>
          <w:szCs w:val="22"/>
        </w:rPr>
        <w:t>对不同文字文本投标文件的解释发生异议的，以中文文本为准。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20.4   如一个分包内只有一种产品，不同供应商所投产品为同一品牌的，按如下方式处理：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w:t>
      </w:r>
    </w:p>
    <w:p>
      <w:pPr>
        <w:pStyle w:val="6"/>
        <w:spacing w:before="0" w:after="0" w:line="440" w:lineRule="exact"/>
        <w:rPr>
          <w:rFonts w:ascii="微软雅黑" w:hAnsi="微软雅黑" w:eastAsia="微软雅黑" w:cs="微软雅黑"/>
          <w:sz w:val="22"/>
          <w:szCs w:val="22"/>
          <w:u w:val="none"/>
        </w:rPr>
      </w:pPr>
      <w:bookmarkStart w:id="150" w:name="_Toc515647782"/>
      <w:bookmarkStart w:id="151" w:name="_Toc6364"/>
      <w:bookmarkStart w:id="152" w:name="_Toc28888"/>
      <w:bookmarkStart w:id="153" w:name="_Toc9469"/>
      <w:r>
        <w:rPr>
          <w:rFonts w:hint="eastAsia" w:ascii="微软雅黑" w:hAnsi="微软雅黑" w:eastAsia="微软雅黑" w:cs="微软雅黑"/>
          <w:sz w:val="22"/>
          <w:szCs w:val="22"/>
          <w:u w:val="none"/>
        </w:rPr>
        <w:t>21.投标偏离</w:t>
      </w:r>
      <w:bookmarkEnd w:id="150"/>
      <w:bookmarkEnd w:id="151"/>
      <w:bookmarkEnd w:id="152"/>
      <w:bookmarkEnd w:id="153"/>
    </w:p>
    <w:p>
      <w:pPr>
        <w:spacing w:line="440" w:lineRule="exact"/>
        <w:ind w:left="795" w:leftChars="99" w:hanging="587" w:hangingChars="267"/>
        <w:rPr>
          <w:rFonts w:ascii="微软雅黑" w:hAnsi="微软雅黑" w:eastAsia="微软雅黑" w:cs="微软雅黑"/>
          <w:sz w:val="22"/>
          <w:szCs w:val="22"/>
        </w:rPr>
      </w:pPr>
      <w:r>
        <w:rPr>
          <w:rFonts w:hint="eastAsia" w:ascii="微软雅黑" w:hAnsi="微软雅黑" w:eastAsia="微软雅黑" w:cs="微软雅黑"/>
          <w:sz w:val="22"/>
          <w:szCs w:val="22"/>
        </w:rPr>
        <w:t xml:space="preserve">     评标委员会可以接受投标文件中不构成实质性偏离的不正规或不一致。</w:t>
      </w:r>
      <w:bookmarkStart w:id="154" w:name="_Toc515647783"/>
      <w:bookmarkStart w:id="155" w:name="_Toc6092"/>
      <w:bookmarkStart w:id="156" w:name="_Toc4950"/>
    </w:p>
    <w:p>
      <w:pPr>
        <w:pStyle w:val="6"/>
        <w:spacing w:before="0" w:after="0" w:line="440" w:lineRule="exact"/>
        <w:rPr>
          <w:rFonts w:ascii="微软雅黑" w:hAnsi="微软雅黑" w:eastAsia="微软雅黑" w:cs="微软雅黑"/>
          <w:sz w:val="22"/>
          <w:szCs w:val="22"/>
          <w:u w:val="none"/>
        </w:rPr>
      </w:pPr>
      <w:bookmarkStart w:id="157" w:name="_Toc20254"/>
      <w:r>
        <w:rPr>
          <w:rFonts w:hint="eastAsia" w:ascii="微软雅黑" w:hAnsi="微软雅黑" w:eastAsia="微软雅黑" w:cs="微软雅黑"/>
          <w:sz w:val="22"/>
          <w:szCs w:val="22"/>
          <w:u w:val="none"/>
        </w:rPr>
        <w:t>22.投标</w:t>
      </w:r>
      <w:bookmarkEnd w:id="154"/>
      <w:r>
        <w:rPr>
          <w:rFonts w:hint="eastAsia" w:ascii="微软雅黑" w:hAnsi="微软雅黑" w:eastAsia="微软雅黑" w:cs="微软雅黑"/>
          <w:sz w:val="22"/>
          <w:szCs w:val="22"/>
          <w:u w:val="none"/>
        </w:rPr>
        <w:t>无效</w:t>
      </w:r>
      <w:bookmarkEnd w:id="155"/>
      <w:bookmarkEnd w:id="156"/>
      <w:bookmarkEnd w:id="157"/>
    </w:p>
    <w:p>
      <w:pPr>
        <w:spacing w:line="440" w:lineRule="exact"/>
        <w:ind w:left="777" w:leftChars="-23"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sz w:val="22"/>
          <w:szCs w:val="22"/>
        </w:rPr>
        <w:t>投标无效</w:t>
      </w:r>
      <w:r>
        <w:rPr>
          <w:rFonts w:hint="eastAsia" w:ascii="微软雅黑" w:hAnsi="微软雅黑" w:eastAsia="微软雅黑" w:cs="微软雅黑"/>
          <w:sz w:val="22"/>
          <w:szCs w:val="22"/>
        </w:rPr>
        <w:t>。供应商不得通过修正或撤销不符合要求的偏离，从而使其投标成为实质上响应的投标。</w:t>
      </w:r>
    </w:p>
    <w:p>
      <w:pPr>
        <w:spacing w:line="440" w:lineRule="exact"/>
        <w:ind w:left="792" w:leftChars="377"/>
        <w:rPr>
          <w:rFonts w:ascii="微软雅黑" w:hAnsi="微软雅黑" w:eastAsia="微软雅黑" w:cs="微软雅黑"/>
          <w:sz w:val="22"/>
          <w:szCs w:val="22"/>
        </w:rPr>
      </w:pPr>
      <w:r>
        <w:rPr>
          <w:rFonts w:hint="eastAsia" w:ascii="微软雅黑" w:hAnsi="微软雅黑" w:eastAsia="微软雅黑" w:cs="微软雅黑"/>
          <w:sz w:val="22"/>
          <w:szCs w:val="22"/>
        </w:rPr>
        <w:t>评标委员会决定投标的响应性只根据招标文件要求、投标文件内容及财政主管部门指定相关信息发布媒体。</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22.2</w:t>
      </w:r>
      <w:r>
        <w:rPr>
          <w:rFonts w:hint="eastAsia" w:ascii="微软雅黑" w:hAnsi="微软雅黑" w:eastAsia="微软雅黑" w:cs="微软雅黑"/>
          <w:sz w:val="22"/>
          <w:szCs w:val="22"/>
        </w:rPr>
        <w:tab/>
      </w:r>
      <w:r>
        <w:rPr>
          <w:rFonts w:hint="eastAsia" w:ascii="微软雅黑" w:hAnsi="微软雅黑" w:eastAsia="微软雅黑" w:cs="微软雅黑"/>
          <w:b/>
          <w:bCs/>
          <w:sz w:val="22"/>
          <w:szCs w:val="22"/>
        </w:rPr>
        <w:t>如发现下列情况之一的，其投标将被认定为投标无效</w:t>
      </w:r>
      <w:r>
        <w:rPr>
          <w:rFonts w:hint="eastAsia" w:ascii="微软雅黑" w:hAnsi="微软雅黑" w:eastAsia="微软雅黑" w:cs="微软雅黑"/>
          <w:sz w:val="22"/>
          <w:szCs w:val="22"/>
        </w:rPr>
        <w:t>：</w:t>
      </w:r>
    </w:p>
    <w:p>
      <w:pPr>
        <w:numPr>
          <w:ilvl w:val="0"/>
          <w:numId w:val="4"/>
        </w:numPr>
        <w:spacing w:line="440" w:lineRule="exact"/>
        <w:ind w:left="1081" w:leftChars="429" w:hanging="180"/>
        <w:rPr>
          <w:rFonts w:ascii="微软雅黑" w:hAnsi="微软雅黑" w:eastAsia="微软雅黑" w:cs="微软雅黑"/>
          <w:b/>
          <w:bCs/>
          <w:sz w:val="22"/>
          <w:szCs w:val="22"/>
        </w:rPr>
      </w:pPr>
      <w:r>
        <w:rPr>
          <w:rFonts w:hint="eastAsia" w:ascii="微软雅黑" w:hAnsi="微软雅黑" w:eastAsia="微软雅黑" w:cs="微软雅黑"/>
          <w:b/>
          <w:bCs/>
          <w:sz w:val="22"/>
          <w:szCs w:val="22"/>
        </w:rPr>
        <w:t>未按招标文件规定的形式和金额提交投标保证金的；</w:t>
      </w:r>
    </w:p>
    <w:p>
      <w:pPr>
        <w:numPr>
          <w:ilvl w:val="0"/>
          <w:numId w:val="4"/>
        </w:numPr>
        <w:spacing w:line="440" w:lineRule="exact"/>
        <w:ind w:left="1081" w:leftChars="429" w:hanging="180"/>
        <w:rPr>
          <w:rFonts w:ascii="微软雅黑" w:hAnsi="微软雅黑" w:eastAsia="微软雅黑" w:cs="微软雅黑"/>
          <w:b/>
          <w:bCs/>
          <w:sz w:val="22"/>
          <w:szCs w:val="22"/>
        </w:rPr>
      </w:pPr>
      <w:r>
        <w:rPr>
          <w:rFonts w:hint="eastAsia" w:ascii="微软雅黑" w:hAnsi="微软雅黑" w:eastAsia="微软雅黑" w:cs="微软雅黑"/>
          <w:b/>
          <w:bCs/>
          <w:sz w:val="22"/>
          <w:szCs w:val="22"/>
        </w:rPr>
        <w:t>未按照招标文件规定要求签署、盖章的；</w:t>
      </w:r>
    </w:p>
    <w:p>
      <w:pPr>
        <w:numPr>
          <w:ilvl w:val="0"/>
          <w:numId w:val="4"/>
        </w:numPr>
        <w:spacing w:line="440" w:lineRule="exact"/>
        <w:ind w:left="1081" w:leftChars="429" w:hanging="180"/>
        <w:rPr>
          <w:rFonts w:ascii="微软雅黑" w:hAnsi="微软雅黑" w:eastAsia="微软雅黑" w:cs="微软雅黑"/>
          <w:b/>
          <w:bCs/>
          <w:sz w:val="22"/>
          <w:szCs w:val="22"/>
        </w:rPr>
      </w:pPr>
      <w:r>
        <w:rPr>
          <w:rFonts w:hint="eastAsia" w:ascii="微软雅黑" w:hAnsi="微软雅黑" w:eastAsia="微软雅黑" w:cs="微软雅黑"/>
          <w:b/>
          <w:bCs/>
          <w:sz w:val="22"/>
          <w:szCs w:val="22"/>
        </w:rPr>
        <w:t>未满足招标文件中技术条款的实质性要求；</w:t>
      </w:r>
    </w:p>
    <w:p>
      <w:pPr>
        <w:numPr>
          <w:ilvl w:val="0"/>
          <w:numId w:val="4"/>
        </w:numPr>
        <w:spacing w:line="440" w:lineRule="exact"/>
        <w:ind w:left="1081" w:leftChars="429" w:hanging="180"/>
        <w:rPr>
          <w:rFonts w:ascii="微软雅黑" w:hAnsi="微软雅黑" w:eastAsia="微软雅黑" w:cs="微软雅黑"/>
          <w:b/>
          <w:bCs/>
          <w:sz w:val="22"/>
          <w:szCs w:val="22"/>
        </w:rPr>
      </w:pPr>
      <w:r>
        <w:rPr>
          <w:rFonts w:hint="eastAsia" w:ascii="微软雅黑" w:hAnsi="微软雅黑" w:eastAsia="微软雅黑" w:cs="微软雅黑"/>
          <w:b/>
          <w:bCs/>
          <w:sz w:val="22"/>
          <w:szCs w:val="22"/>
        </w:rPr>
        <w:t>与其他供应商串通投标，或者与招标人串通投标；</w:t>
      </w:r>
    </w:p>
    <w:p>
      <w:pPr>
        <w:numPr>
          <w:ilvl w:val="0"/>
          <w:numId w:val="4"/>
        </w:numPr>
        <w:spacing w:line="440" w:lineRule="exact"/>
        <w:ind w:left="1081" w:leftChars="429" w:hanging="180"/>
        <w:rPr>
          <w:rFonts w:ascii="微软雅黑" w:hAnsi="微软雅黑" w:eastAsia="微软雅黑" w:cs="微软雅黑"/>
          <w:b/>
          <w:bCs/>
          <w:sz w:val="22"/>
          <w:szCs w:val="22"/>
        </w:rPr>
      </w:pPr>
      <w:r>
        <w:rPr>
          <w:rFonts w:hint="eastAsia" w:ascii="微软雅黑" w:hAnsi="微软雅黑" w:eastAsia="微软雅黑" w:cs="微软雅黑"/>
          <w:b/>
          <w:bCs/>
          <w:sz w:val="22"/>
          <w:szCs w:val="22"/>
        </w:rPr>
        <w:t>属于招标文件规定的其他投标无效情形；</w:t>
      </w:r>
    </w:p>
    <w:p>
      <w:pPr>
        <w:numPr>
          <w:ilvl w:val="0"/>
          <w:numId w:val="4"/>
        </w:numPr>
        <w:spacing w:line="440" w:lineRule="exact"/>
        <w:ind w:left="1081" w:leftChars="429" w:hanging="180"/>
        <w:rPr>
          <w:rFonts w:ascii="微软雅黑" w:hAnsi="微软雅黑" w:eastAsia="微软雅黑" w:cs="微软雅黑"/>
          <w:b/>
          <w:bCs/>
          <w:sz w:val="22"/>
          <w:szCs w:val="22"/>
        </w:rPr>
      </w:pPr>
      <w:r>
        <w:rPr>
          <w:rFonts w:hint="eastAsia" w:ascii="微软雅黑" w:hAnsi="微软雅黑" w:eastAsia="微软雅黑" w:cs="微软雅黑"/>
          <w:b/>
          <w:bCs/>
          <w:sz w:val="22"/>
          <w:szCs w:val="22"/>
        </w:rPr>
        <w:t>评标委员会认为供应商的报价明显低于其他通过符合性检查供应商的报价，有可能影响履约的，且供应商未按照规定证明其报价合理性的；</w:t>
      </w:r>
    </w:p>
    <w:p>
      <w:pPr>
        <w:numPr>
          <w:ilvl w:val="0"/>
          <w:numId w:val="4"/>
        </w:numPr>
        <w:spacing w:line="440" w:lineRule="exact"/>
        <w:ind w:left="1081" w:leftChars="429" w:hanging="180"/>
        <w:rPr>
          <w:rFonts w:ascii="微软雅黑" w:hAnsi="微软雅黑" w:eastAsia="微软雅黑" w:cs="微软雅黑"/>
          <w:b/>
          <w:bCs/>
          <w:sz w:val="22"/>
          <w:szCs w:val="22"/>
        </w:rPr>
      </w:pPr>
      <w:r>
        <w:rPr>
          <w:rFonts w:hint="eastAsia" w:ascii="微软雅黑" w:hAnsi="微软雅黑" w:eastAsia="微软雅黑" w:cs="微软雅黑"/>
          <w:b/>
          <w:bCs/>
          <w:sz w:val="22"/>
          <w:szCs w:val="22"/>
        </w:rPr>
        <w:t>投标文件含有采购人不能接受的附加条件的；</w:t>
      </w:r>
    </w:p>
    <w:p>
      <w:pPr>
        <w:numPr>
          <w:ilvl w:val="0"/>
          <w:numId w:val="4"/>
        </w:numPr>
        <w:tabs>
          <w:tab w:val="left" w:pos="0"/>
        </w:tabs>
        <w:spacing w:line="440" w:lineRule="exact"/>
        <w:ind w:left="1081" w:leftChars="429" w:hanging="180"/>
        <w:rPr>
          <w:rFonts w:ascii="微软雅黑" w:hAnsi="微软雅黑" w:eastAsia="微软雅黑" w:cs="微软雅黑"/>
          <w:b/>
          <w:bCs/>
          <w:sz w:val="22"/>
          <w:szCs w:val="22"/>
        </w:rPr>
      </w:pPr>
      <w:r>
        <w:rPr>
          <w:rFonts w:hint="eastAsia" w:ascii="微软雅黑" w:hAnsi="微软雅黑" w:eastAsia="微软雅黑" w:cs="微软雅黑"/>
          <w:b/>
          <w:bCs/>
          <w:sz w:val="22"/>
          <w:szCs w:val="22"/>
        </w:rPr>
        <w:t>不符合法规和招标文件中规定的其他实质性要求的。</w:t>
      </w:r>
    </w:p>
    <w:p>
      <w:pPr>
        <w:spacing w:line="440" w:lineRule="exact"/>
        <w:outlineLvl w:val="2"/>
        <w:rPr>
          <w:rFonts w:ascii="微软雅黑" w:hAnsi="微软雅黑" w:eastAsia="微软雅黑" w:cs="微软雅黑"/>
          <w:b/>
          <w:bCs/>
          <w:sz w:val="22"/>
          <w:szCs w:val="22"/>
        </w:rPr>
      </w:pPr>
      <w:bookmarkStart w:id="158" w:name="_Toc22941"/>
      <w:bookmarkStart w:id="159" w:name="_Toc515647784"/>
      <w:bookmarkStart w:id="160" w:name="_Toc10960"/>
      <w:bookmarkStart w:id="161" w:name="_Toc13652"/>
      <w:r>
        <w:rPr>
          <w:rFonts w:hint="eastAsia" w:ascii="微软雅黑" w:hAnsi="微软雅黑" w:eastAsia="微软雅黑" w:cs="微软雅黑"/>
          <w:b/>
          <w:bCs/>
          <w:sz w:val="22"/>
          <w:szCs w:val="22"/>
        </w:rPr>
        <w:t>23.</w:t>
      </w:r>
      <w:bookmarkEnd w:id="149"/>
      <w:r>
        <w:rPr>
          <w:rFonts w:hint="eastAsia" w:ascii="微软雅黑" w:hAnsi="微软雅黑" w:eastAsia="微软雅黑" w:cs="微软雅黑"/>
          <w:b/>
          <w:bCs/>
          <w:sz w:val="22"/>
          <w:szCs w:val="22"/>
        </w:rPr>
        <w:t>比较与评价</w:t>
      </w:r>
      <w:bookmarkEnd w:id="158"/>
      <w:bookmarkEnd w:id="159"/>
      <w:bookmarkEnd w:id="160"/>
      <w:bookmarkEnd w:id="161"/>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23.1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经符合性审查合格的投标文件，评标委员会将根据招标文件确定的评标方法和标准，对其技术部分和商务部分做进一步的比较和评价。</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 xml:space="preserve">23.2  </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评标严格按照招标文件的要求和条件进行。根据实际情况，在</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中规定采用下列评标方法，详细评标标准见招标文件第六章：</w:t>
      </w:r>
    </w:p>
    <w:p>
      <w:pPr>
        <w:pStyle w:val="15"/>
        <w:spacing w:line="440" w:lineRule="exact"/>
        <w:ind w:left="898" w:leftChars="342" w:hanging="180"/>
        <w:rPr>
          <w:rFonts w:ascii="微软雅黑" w:hAnsi="微软雅黑" w:eastAsia="微软雅黑" w:cs="微软雅黑"/>
          <w:sz w:val="22"/>
          <w:szCs w:val="22"/>
        </w:rPr>
      </w:pPr>
      <w:r>
        <w:rPr>
          <w:rFonts w:hint="eastAsia" w:ascii="微软雅黑" w:hAnsi="微软雅黑" w:eastAsia="微软雅黑" w:cs="微软雅黑"/>
          <w:sz w:val="22"/>
          <w:szCs w:val="22"/>
        </w:rPr>
        <w:t>（1） 本项目采用综合评分法，是指投标文件满足招标文件全部实质性要求，且按照评审因素的量化指标评审得分最高的供应商为中标候选人的评标方法。</w:t>
      </w:r>
    </w:p>
    <w:p>
      <w:pPr>
        <w:spacing w:line="440" w:lineRule="exact"/>
        <w:ind w:left="825" w:hanging="825" w:hangingChars="375"/>
        <w:rPr>
          <w:rFonts w:ascii="微软雅黑" w:hAnsi="微软雅黑" w:eastAsia="微软雅黑" w:cs="微软雅黑"/>
          <w:b/>
          <w:bCs/>
          <w:sz w:val="22"/>
          <w:szCs w:val="22"/>
        </w:rPr>
      </w:pPr>
      <w:r>
        <w:rPr>
          <w:rFonts w:hint="eastAsia" w:ascii="微软雅黑" w:hAnsi="微软雅黑" w:eastAsia="微软雅黑" w:cs="微软雅黑"/>
          <w:b/>
          <w:bCs/>
          <w:sz w:val="22"/>
          <w:szCs w:val="22"/>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62" w:name="sendNo"/>
      <w:r>
        <w:rPr>
          <w:rFonts w:hint="eastAsia" w:ascii="微软雅黑" w:hAnsi="微软雅黑" w:eastAsia="微软雅黑" w:cs="微软雅黑"/>
          <w:b/>
          <w:bCs/>
          <w:sz w:val="22"/>
          <w:szCs w:val="22"/>
        </w:rPr>
        <w:t>财库〔</w:t>
      </w:r>
      <w:bookmarkEnd w:id="162"/>
      <w:r>
        <w:rPr>
          <w:rFonts w:hint="eastAsia" w:ascii="微软雅黑" w:hAnsi="微软雅黑" w:eastAsia="微软雅黑" w:cs="微软雅黑"/>
          <w:b/>
          <w:bCs/>
          <w:sz w:val="22"/>
          <w:szCs w:val="22"/>
        </w:rPr>
        <w:t>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10%—20%后参与评标。</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b/>
          <w:bCs/>
          <w:sz w:val="22"/>
          <w:szCs w:val="22"/>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w:t>
      </w:r>
      <w:r>
        <w:rPr>
          <w:rFonts w:hint="eastAsia" w:ascii="微软雅黑" w:hAnsi="微软雅黑" w:eastAsia="微软雅黑" w:cs="微软雅黑"/>
          <w:sz w:val="22"/>
          <w:szCs w:val="22"/>
        </w:rPr>
        <w:t>  </w:t>
      </w:r>
    </w:p>
    <w:p>
      <w:pPr>
        <w:pStyle w:val="6"/>
        <w:spacing w:before="0" w:after="0" w:line="440" w:lineRule="exact"/>
        <w:rPr>
          <w:rFonts w:ascii="微软雅黑" w:hAnsi="微软雅黑" w:eastAsia="微软雅黑" w:cs="微软雅黑"/>
          <w:sz w:val="22"/>
          <w:szCs w:val="22"/>
          <w:u w:val="none"/>
        </w:rPr>
      </w:pPr>
      <w:bookmarkStart w:id="163" w:name="_Toc515647785"/>
      <w:bookmarkStart w:id="164" w:name="_Toc26143"/>
      <w:bookmarkStart w:id="165" w:name="_Toc20227"/>
      <w:bookmarkStart w:id="166" w:name="_Toc9378"/>
      <w:r>
        <w:rPr>
          <w:rFonts w:hint="eastAsia" w:ascii="微软雅黑" w:hAnsi="微软雅黑" w:eastAsia="微软雅黑" w:cs="微软雅黑"/>
          <w:sz w:val="22"/>
          <w:szCs w:val="22"/>
          <w:u w:val="none"/>
        </w:rPr>
        <w:t>24.废标</w:t>
      </w:r>
      <w:bookmarkEnd w:id="163"/>
      <w:bookmarkEnd w:id="164"/>
      <w:bookmarkEnd w:id="165"/>
      <w:bookmarkEnd w:id="166"/>
    </w:p>
    <w:p>
      <w:pPr>
        <w:spacing w:line="440" w:lineRule="exact"/>
        <w:ind w:left="893" w:leftChars="399" w:hanging="55" w:hangingChars="25"/>
        <w:rPr>
          <w:rFonts w:ascii="微软雅黑" w:hAnsi="微软雅黑" w:eastAsia="微软雅黑" w:cs="微软雅黑"/>
          <w:b/>
          <w:bCs/>
          <w:sz w:val="22"/>
          <w:szCs w:val="22"/>
        </w:rPr>
      </w:pPr>
      <w:r>
        <w:rPr>
          <w:rFonts w:hint="eastAsia" w:ascii="微软雅黑" w:hAnsi="微软雅黑" w:eastAsia="微软雅黑" w:cs="微软雅黑"/>
          <w:b/>
          <w:bCs/>
          <w:sz w:val="22"/>
          <w:szCs w:val="22"/>
        </w:rPr>
        <w:t xml:space="preserve">出现下列情形之一，将导致项目废标： </w:t>
      </w:r>
    </w:p>
    <w:p>
      <w:pPr>
        <w:spacing w:line="440" w:lineRule="exact"/>
        <w:ind w:left="825" w:hanging="825" w:hangingChars="375"/>
        <w:rPr>
          <w:rFonts w:ascii="微软雅黑" w:hAnsi="微软雅黑" w:eastAsia="微软雅黑" w:cs="微软雅黑"/>
          <w:b/>
          <w:bCs/>
          <w:sz w:val="22"/>
          <w:szCs w:val="22"/>
        </w:rPr>
      </w:pPr>
      <w:r>
        <w:rPr>
          <w:rFonts w:hint="eastAsia" w:ascii="微软雅黑" w:hAnsi="微软雅黑" w:eastAsia="微软雅黑" w:cs="微软雅黑"/>
          <w:b/>
          <w:bCs/>
          <w:sz w:val="22"/>
          <w:szCs w:val="22"/>
        </w:rPr>
        <w:tab/>
      </w:r>
      <w:r>
        <w:rPr>
          <w:rFonts w:hint="eastAsia" w:ascii="微软雅黑" w:hAnsi="微软雅黑" w:eastAsia="微软雅黑" w:cs="微软雅黑"/>
          <w:b/>
          <w:bCs/>
          <w:sz w:val="22"/>
          <w:szCs w:val="22"/>
        </w:rPr>
        <w:t>（1）符合专业条件的供应商或者对招标文件做实质性响应的供应商不足三家；</w:t>
      </w:r>
    </w:p>
    <w:p>
      <w:pPr>
        <w:spacing w:line="440" w:lineRule="exact"/>
        <w:ind w:left="825" w:hanging="825" w:hangingChars="375"/>
        <w:rPr>
          <w:rFonts w:ascii="微软雅黑" w:hAnsi="微软雅黑" w:eastAsia="微软雅黑" w:cs="微软雅黑"/>
          <w:b/>
          <w:bCs/>
          <w:sz w:val="22"/>
          <w:szCs w:val="22"/>
        </w:rPr>
      </w:pPr>
      <w:r>
        <w:rPr>
          <w:rFonts w:hint="eastAsia" w:ascii="微软雅黑" w:hAnsi="微软雅黑" w:eastAsia="微软雅黑" w:cs="微软雅黑"/>
          <w:b/>
          <w:bCs/>
          <w:sz w:val="22"/>
          <w:szCs w:val="22"/>
        </w:rPr>
        <w:tab/>
      </w:r>
      <w:r>
        <w:rPr>
          <w:rFonts w:hint="eastAsia" w:ascii="微软雅黑" w:hAnsi="微软雅黑" w:eastAsia="微软雅黑" w:cs="微软雅黑"/>
          <w:b/>
          <w:bCs/>
          <w:sz w:val="22"/>
          <w:szCs w:val="22"/>
        </w:rPr>
        <w:t>（2）出现影响采购公正的违法、违规行为的；</w:t>
      </w:r>
    </w:p>
    <w:p>
      <w:pPr>
        <w:spacing w:line="440" w:lineRule="exact"/>
        <w:ind w:firstLine="880" w:firstLineChars="400"/>
        <w:rPr>
          <w:rFonts w:ascii="微软雅黑" w:hAnsi="微软雅黑" w:eastAsia="微软雅黑" w:cs="微软雅黑"/>
          <w:b/>
          <w:bCs/>
          <w:sz w:val="22"/>
          <w:szCs w:val="22"/>
        </w:rPr>
      </w:pPr>
      <w:r>
        <w:rPr>
          <w:rFonts w:hint="eastAsia" w:ascii="微软雅黑" w:hAnsi="微软雅黑" w:eastAsia="微软雅黑" w:cs="微软雅黑"/>
          <w:b/>
          <w:bCs/>
          <w:sz w:val="22"/>
          <w:szCs w:val="22"/>
        </w:rPr>
        <w:t>（3）供应商的报价均超过了采购预算，采购人不能支付的；</w:t>
      </w:r>
    </w:p>
    <w:p>
      <w:pPr>
        <w:spacing w:line="440" w:lineRule="exact"/>
        <w:ind w:firstLine="880" w:firstLineChars="400"/>
        <w:rPr>
          <w:rFonts w:ascii="微软雅黑" w:hAnsi="微软雅黑" w:eastAsia="微软雅黑" w:cs="微软雅黑"/>
          <w:b/>
          <w:bCs/>
          <w:sz w:val="22"/>
          <w:szCs w:val="22"/>
        </w:rPr>
      </w:pPr>
      <w:r>
        <w:rPr>
          <w:rFonts w:hint="eastAsia" w:ascii="微软雅黑" w:hAnsi="微软雅黑" w:eastAsia="微软雅黑" w:cs="微软雅黑"/>
          <w:b/>
          <w:bCs/>
          <w:sz w:val="22"/>
          <w:szCs w:val="22"/>
        </w:rPr>
        <w:t xml:space="preserve">（4）因重大变故，采购任务取消的。   </w:t>
      </w:r>
    </w:p>
    <w:p>
      <w:pPr>
        <w:pStyle w:val="6"/>
        <w:spacing w:before="0" w:after="0" w:line="440" w:lineRule="exact"/>
        <w:rPr>
          <w:rFonts w:ascii="微软雅黑" w:hAnsi="微软雅黑" w:eastAsia="微软雅黑" w:cs="微软雅黑"/>
          <w:sz w:val="22"/>
          <w:szCs w:val="22"/>
          <w:u w:val="none"/>
        </w:rPr>
      </w:pPr>
      <w:bookmarkStart w:id="167" w:name="_Toc31289"/>
      <w:bookmarkStart w:id="168" w:name="_Toc24972"/>
      <w:bookmarkStart w:id="169" w:name="_Toc29491"/>
      <w:bookmarkStart w:id="170" w:name="_Toc515647786"/>
      <w:bookmarkStart w:id="171" w:name="_Toc520356169"/>
      <w:r>
        <w:rPr>
          <w:rFonts w:hint="eastAsia" w:ascii="微软雅黑" w:hAnsi="微软雅黑" w:eastAsia="微软雅黑" w:cs="微软雅黑"/>
          <w:sz w:val="22"/>
          <w:szCs w:val="22"/>
          <w:u w:val="none"/>
        </w:rPr>
        <w:t>25.保密原则</w:t>
      </w:r>
      <w:bookmarkEnd w:id="167"/>
      <w:bookmarkEnd w:id="168"/>
      <w:bookmarkEnd w:id="169"/>
      <w:bookmarkEnd w:id="170"/>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25.1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评标将在严格保密的情况下进行。</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25.2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政府采购评标专家应当遵守评审工作纪律，不得泄露评审文件、评审情况和评审中获悉的商业秘密。</w:t>
      </w:r>
    </w:p>
    <w:p>
      <w:pPr>
        <w:spacing w:line="440" w:lineRule="exact"/>
        <w:ind w:left="1080" w:leftChars="257" w:hanging="540"/>
        <w:rPr>
          <w:rFonts w:ascii="微软雅黑" w:hAnsi="微软雅黑" w:eastAsia="微软雅黑" w:cs="微软雅黑"/>
          <w:sz w:val="22"/>
          <w:szCs w:val="22"/>
        </w:rPr>
      </w:pPr>
    </w:p>
    <w:p>
      <w:pPr>
        <w:pStyle w:val="4"/>
        <w:spacing w:before="0" w:line="440" w:lineRule="exact"/>
        <w:ind w:left="1080" w:leftChars="257" w:hanging="540"/>
        <w:rPr>
          <w:rFonts w:ascii="微软雅黑" w:hAnsi="微软雅黑" w:eastAsia="微软雅黑" w:cs="微软雅黑"/>
          <w:b/>
          <w:bCs/>
          <w:sz w:val="22"/>
          <w:szCs w:val="22"/>
        </w:rPr>
      </w:pPr>
      <w:bookmarkStart w:id="172" w:name="_Toc515647787"/>
      <w:bookmarkStart w:id="173" w:name="_Toc12143"/>
      <w:bookmarkStart w:id="174" w:name="_Toc20578"/>
      <w:bookmarkStart w:id="175" w:name="_Toc30610"/>
      <w:bookmarkStart w:id="176" w:name="_Toc216582810"/>
      <w:bookmarkStart w:id="177" w:name="_Toc23904"/>
      <w:bookmarkStart w:id="178" w:name="_Toc29684"/>
      <w:r>
        <w:rPr>
          <w:rFonts w:hint="eastAsia" w:ascii="微软雅黑" w:hAnsi="微软雅黑" w:eastAsia="微软雅黑" w:cs="微软雅黑"/>
          <w:b/>
          <w:bCs/>
          <w:sz w:val="22"/>
          <w:szCs w:val="22"/>
        </w:rPr>
        <w:t xml:space="preserve">六   </w:t>
      </w:r>
      <w:bookmarkEnd w:id="171"/>
      <w:r>
        <w:rPr>
          <w:rFonts w:hint="eastAsia" w:ascii="微软雅黑" w:hAnsi="微软雅黑" w:eastAsia="微软雅黑" w:cs="微软雅黑"/>
          <w:b/>
          <w:bCs/>
          <w:sz w:val="22"/>
          <w:szCs w:val="22"/>
        </w:rPr>
        <w:t>确定中标</w:t>
      </w:r>
      <w:bookmarkEnd w:id="172"/>
      <w:bookmarkEnd w:id="173"/>
      <w:bookmarkEnd w:id="174"/>
      <w:bookmarkEnd w:id="175"/>
      <w:bookmarkEnd w:id="176"/>
      <w:bookmarkEnd w:id="177"/>
      <w:bookmarkEnd w:id="178"/>
    </w:p>
    <w:p>
      <w:pPr>
        <w:pStyle w:val="5"/>
        <w:spacing w:line="440" w:lineRule="exact"/>
        <w:rPr>
          <w:rFonts w:ascii="微软雅黑" w:hAnsi="微软雅黑" w:eastAsia="微软雅黑" w:cs="微软雅黑"/>
          <w:sz w:val="22"/>
          <w:szCs w:val="22"/>
        </w:rPr>
      </w:pPr>
    </w:p>
    <w:p>
      <w:pPr>
        <w:pStyle w:val="6"/>
        <w:spacing w:before="0" w:after="0" w:line="440" w:lineRule="exact"/>
        <w:rPr>
          <w:rFonts w:ascii="微软雅黑" w:hAnsi="微软雅黑" w:eastAsia="微软雅黑" w:cs="微软雅黑"/>
          <w:sz w:val="22"/>
          <w:szCs w:val="22"/>
          <w:u w:val="none"/>
        </w:rPr>
      </w:pPr>
      <w:bookmarkStart w:id="179" w:name="_Toc515647788"/>
      <w:bookmarkStart w:id="180" w:name="_Toc10050"/>
      <w:bookmarkStart w:id="181" w:name="_Toc23617"/>
      <w:bookmarkStart w:id="182" w:name="_Toc520356170"/>
      <w:bookmarkStart w:id="183" w:name="_Ref467307010"/>
      <w:bookmarkStart w:id="184" w:name="_Toc23762"/>
      <w:r>
        <w:rPr>
          <w:rFonts w:hint="eastAsia" w:ascii="微软雅黑" w:hAnsi="微软雅黑" w:eastAsia="微软雅黑" w:cs="微软雅黑"/>
          <w:sz w:val="22"/>
          <w:szCs w:val="22"/>
          <w:u w:val="none"/>
        </w:rPr>
        <w:t>26.中标候选人的确定原则及标准</w:t>
      </w:r>
      <w:bookmarkEnd w:id="179"/>
      <w:bookmarkEnd w:id="180"/>
      <w:bookmarkEnd w:id="181"/>
      <w:bookmarkEnd w:id="182"/>
      <w:bookmarkEnd w:id="183"/>
      <w:bookmarkEnd w:id="184"/>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对实质上响应招标文件的供应商按下列方法进行排序，确定投标候选人：</w:t>
      </w:r>
    </w:p>
    <w:p>
      <w:pPr>
        <w:spacing w:line="440" w:lineRule="exact"/>
        <w:ind w:left="901"/>
        <w:rPr>
          <w:rFonts w:ascii="微软雅黑" w:hAnsi="微软雅黑" w:eastAsia="微软雅黑" w:cs="微软雅黑"/>
          <w:sz w:val="22"/>
          <w:szCs w:val="22"/>
        </w:rPr>
      </w:pPr>
      <w:bookmarkStart w:id="185" w:name="_Toc520356171"/>
      <w:bookmarkStart w:id="186" w:name="_Toc515647789"/>
      <w:r>
        <w:rPr>
          <w:rFonts w:hint="eastAsia" w:ascii="微软雅黑" w:hAnsi="微软雅黑" w:eastAsia="微软雅黑" w:cs="微软雅黑"/>
          <w:sz w:val="22"/>
          <w:szCs w:val="22"/>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440" w:lineRule="exact"/>
        <w:ind w:left="901"/>
        <w:rPr>
          <w:rFonts w:ascii="微软雅黑" w:hAnsi="微软雅黑" w:eastAsia="微软雅黑" w:cs="微软雅黑"/>
          <w:sz w:val="22"/>
          <w:szCs w:val="22"/>
        </w:rPr>
      </w:pPr>
      <w:r>
        <w:rPr>
          <w:rFonts w:hint="eastAsia" w:ascii="微软雅黑" w:hAnsi="微软雅黑" w:eastAsia="微软雅黑" w:cs="微软雅黑"/>
          <w:sz w:val="22"/>
          <w:szCs w:val="22"/>
        </w:rPr>
        <w:t>（2）采用综合评分法的，评标结果按评审后得分由高到低顺序排列。得分相同的，按修正和扣除后的投标报价由低到高顺序排列。得分与投标报价均相同的处理方式详见招标文件第6章。</w:t>
      </w:r>
    </w:p>
    <w:p>
      <w:pPr>
        <w:spacing w:line="440" w:lineRule="exact"/>
        <w:ind w:left="901"/>
        <w:rPr>
          <w:rFonts w:eastAsia="微软雅黑"/>
          <w:b/>
          <w:bCs/>
        </w:rPr>
      </w:pPr>
      <w:r>
        <w:rPr>
          <w:rFonts w:hint="eastAsia" w:ascii="微软雅黑" w:hAnsi="微软雅黑" w:eastAsia="微软雅黑" w:cs="微软雅黑"/>
          <w:b/>
          <w:bCs/>
          <w:sz w:val="22"/>
          <w:szCs w:val="22"/>
        </w:rPr>
        <w:t>本项目采用综合评分法。</w:t>
      </w:r>
      <w:bookmarkStart w:id="187" w:name="_Toc9653"/>
      <w:bookmarkStart w:id="188" w:name="_Toc9286"/>
      <w:bookmarkStart w:id="189" w:name="_Toc23951"/>
    </w:p>
    <w:p>
      <w:pPr>
        <w:spacing w:line="440" w:lineRule="exact"/>
        <w:ind w:left="901"/>
        <w:rPr>
          <w:rFonts w:ascii="微软雅黑" w:hAnsi="微软雅黑" w:eastAsia="微软雅黑" w:cs="微软雅黑"/>
          <w:sz w:val="22"/>
          <w:szCs w:val="22"/>
        </w:rPr>
      </w:pPr>
      <w:r>
        <w:rPr>
          <w:rFonts w:hint="eastAsia" w:ascii="微软雅黑" w:hAnsi="微软雅黑" w:eastAsia="微软雅黑" w:cs="微软雅黑"/>
          <w:sz w:val="22"/>
          <w:szCs w:val="22"/>
        </w:rPr>
        <w:t>2</w:t>
      </w:r>
      <w:bookmarkEnd w:id="185"/>
      <w:r>
        <w:rPr>
          <w:rFonts w:hint="eastAsia" w:ascii="微软雅黑" w:hAnsi="微软雅黑" w:eastAsia="微软雅黑" w:cs="微软雅黑"/>
          <w:sz w:val="22"/>
          <w:szCs w:val="22"/>
        </w:rPr>
        <w:t>7.确定中标候选人和中标人</w:t>
      </w:r>
      <w:bookmarkEnd w:id="186"/>
      <w:bookmarkEnd w:id="187"/>
      <w:bookmarkEnd w:id="188"/>
      <w:bookmarkEnd w:id="189"/>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评标委员会将根据评标标准，按</w:t>
      </w:r>
      <w:r>
        <w:rPr>
          <w:rFonts w:hint="eastAsia" w:ascii="微软雅黑" w:hAnsi="微软雅黑" w:eastAsia="微软雅黑" w:cs="微软雅黑"/>
          <w:sz w:val="22"/>
          <w:szCs w:val="22"/>
          <w:u w:val="single"/>
        </w:rPr>
        <w:t>供应商须知资料表中</w:t>
      </w:r>
      <w:r>
        <w:rPr>
          <w:rFonts w:hint="eastAsia" w:ascii="微软雅黑" w:hAnsi="微软雅黑" w:eastAsia="微软雅黑" w:cs="微软雅黑"/>
          <w:sz w:val="22"/>
          <w:szCs w:val="22"/>
        </w:rPr>
        <w:t>规定数量推荐中标候选人；或根据采购人的委托，直接确定中标人。</w:t>
      </w:r>
    </w:p>
    <w:p>
      <w:pPr>
        <w:pStyle w:val="6"/>
        <w:tabs>
          <w:tab w:val="left" w:pos="900"/>
        </w:tabs>
        <w:spacing w:before="0" w:after="0" w:line="440" w:lineRule="exact"/>
        <w:rPr>
          <w:rFonts w:ascii="微软雅黑" w:hAnsi="微软雅黑" w:eastAsia="微软雅黑" w:cs="微软雅黑"/>
          <w:sz w:val="22"/>
          <w:szCs w:val="22"/>
          <w:u w:val="none"/>
        </w:rPr>
      </w:pPr>
      <w:bookmarkStart w:id="190" w:name="_Toc520356173"/>
      <w:bookmarkStart w:id="191" w:name="_Ref467306874"/>
      <w:bookmarkStart w:id="192" w:name="_Toc380"/>
      <w:bookmarkStart w:id="193" w:name="_Toc28562"/>
      <w:bookmarkStart w:id="194" w:name="_Toc515647790"/>
      <w:bookmarkStart w:id="195" w:name="_Toc8389"/>
      <w:r>
        <w:rPr>
          <w:rFonts w:hint="eastAsia" w:ascii="微软雅黑" w:hAnsi="微软雅黑" w:eastAsia="微软雅黑" w:cs="微软雅黑"/>
          <w:sz w:val="22"/>
          <w:szCs w:val="22"/>
          <w:u w:val="none"/>
        </w:rPr>
        <w:t>28.</w:t>
      </w:r>
      <w:bookmarkEnd w:id="190"/>
      <w:bookmarkEnd w:id="191"/>
      <w:r>
        <w:rPr>
          <w:rFonts w:hint="eastAsia" w:ascii="微软雅黑" w:hAnsi="微软雅黑" w:eastAsia="微软雅黑" w:cs="微软雅黑"/>
          <w:sz w:val="22"/>
          <w:szCs w:val="22"/>
          <w:u w:val="none"/>
        </w:rPr>
        <w:t>采购任务取消</w:t>
      </w:r>
      <w:bookmarkEnd w:id="192"/>
      <w:bookmarkEnd w:id="193"/>
      <w:bookmarkEnd w:id="194"/>
      <w:bookmarkEnd w:id="195"/>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因重大变故采购任务取消时，采购人有权拒绝任何供应商中标，且对受影响的供应商不承担任何责任。</w:t>
      </w:r>
      <w:bookmarkStart w:id="196" w:name="_Toc520356174"/>
    </w:p>
    <w:p>
      <w:pPr>
        <w:pStyle w:val="6"/>
        <w:spacing w:before="0" w:after="0" w:line="440" w:lineRule="exact"/>
        <w:rPr>
          <w:rFonts w:ascii="微软雅黑" w:hAnsi="微软雅黑" w:eastAsia="微软雅黑" w:cs="微软雅黑"/>
          <w:sz w:val="22"/>
          <w:szCs w:val="22"/>
          <w:u w:val="none"/>
        </w:rPr>
      </w:pPr>
      <w:bookmarkStart w:id="197" w:name="_Toc515647791"/>
      <w:bookmarkStart w:id="198" w:name="_Toc8579"/>
      <w:bookmarkStart w:id="199" w:name="_Toc30170"/>
      <w:bookmarkStart w:id="200" w:name="_Toc31099"/>
      <w:r>
        <w:rPr>
          <w:rFonts w:hint="eastAsia" w:ascii="微软雅黑" w:hAnsi="微软雅黑" w:eastAsia="微软雅黑" w:cs="微软雅黑"/>
          <w:sz w:val="22"/>
          <w:szCs w:val="22"/>
          <w:u w:val="none"/>
        </w:rPr>
        <w:t>29.中标通知书</w:t>
      </w:r>
      <w:bookmarkEnd w:id="196"/>
      <w:r>
        <w:rPr>
          <w:rFonts w:hint="eastAsia" w:ascii="微软雅黑" w:hAnsi="微软雅黑" w:eastAsia="微软雅黑" w:cs="微软雅黑"/>
          <w:sz w:val="22"/>
          <w:szCs w:val="22"/>
          <w:u w:val="none"/>
        </w:rPr>
        <w:t>和招标结果通知书</w:t>
      </w:r>
      <w:bookmarkEnd w:id="197"/>
      <w:bookmarkEnd w:id="198"/>
      <w:bookmarkEnd w:id="199"/>
      <w:bookmarkEnd w:id="200"/>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29.1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在投标有效期内，中标人确定后，采购人或者采购代理机构发布中标公告，同时以书面形式向中标人发出中标通知书。</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29.2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中标通知书是合同的组成部分。</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29.3    招标结果通知书和中标通知书同时发出。招标结果通知书中将告知未通过资格审查的供应商未通过的原因；采用综合评分法评审的，还将告知未中标人本人的评审得分和排序。</w:t>
      </w:r>
    </w:p>
    <w:p>
      <w:pPr>
        <w:pStyle w:val="6"/>
        <w:spacing w:before="0" w:after="0" w:line="440" w:lineRule="exact"/>
        <w:rPr>
          <w:rFonts w:ascii="微软雅黑" w:hAnsi="微软雅黑" w:eastAsia="微软雅黑" w:cs="微软雅黑"/>
          <w:sz w:val="22"/>
          <w:szCs w:val="22"/>
          <w:u w:val="none"/>
        </w:rPr>
      </w:pPr>
      <w:bookmarkStart w:id="201" w:name="_Ref467306978"/>
      <w:bookmarkStart w:id="202" w:name="_Toc15653"/>
      <w:bookmarkStart w:id="203" w:name="_Toc520356175"/>
      <w:bookmarkStart w:id="204" w:name="_Toc790"/>
      <w:bookmarkStart w:id="205" w:name="_Ref467306377"/>
      <w:bookmarkStart w:id="206" w:name="_Toc7779"/>
      <w:bookmarkStart w:id="207" w:name="_Ref467307062"/>
      <w:bookmarkStart w:id="208" w:name="_Ref467307204"/>
      <w:bookmarkStart w:id="209" w:name="_Toc515647792"/>
      <w:r>
        <w:rPr>
          <w:rFonts w:hint="eastAsia" w:ascii="微软雅黑" w:hAnsi="微软雅黑" w:eastAsia="微软雅黑" w:cs="微软雅黑"/>
          <w:sz w:val="22"/>
          <w:szCs w:val="22"/>
          <w:u w:val="none"/>
        </w:rPr>
        <w:t>30.签订合同</w:t>
      </w:r>
      <w:bookmarkEnd w:id="201"/>
      <w:bookmarkEnd w:id="202"/>
      <w:bookmarkEnd w:id="203"/>
      <w:bookmarkEnd w:id="204"/>
      <w:bookmarkEnd w:id="205"/>
      <w:bookmarkEnd w:id="206"/>
      <w:bookmarkEnd w:id="207"/>
      <w:bookmarkEnd w:id="208"/>
      <w:bookmarkEnd w:id="209"/>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30.1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中标人应当自发出中标通知书之日起30日内，与采购人签订合同。</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30.2</w:t>
      </w:r>
      <w:r>
        <w:rPr>
          <w:rFonts w:hint="eastAsia" w:ascii="微软雅黑" w:hAnsi="微软雅黑" w:eastAsia="微软雅黑" w:cs="微软雅黑"/>
          <w:sz w:val="22"/>
          <w:szCs w:val="22"/>
        </w:rPr>
        <w:tab/>
      </w:r>
      <w:bookmarkStart w:id="210" w:name="_Ref467306425"/>
      <w:bookmarkStart w:id="211" w:name="_Toc520356176"/>
      <w:bookmarkStart w:id="212" w:name="_Ref467307090"/>
      <w:r>
        <w:rPr>
          <w:rFonts w:hint="eastAsia" w:ascii="微软雅黑" w:hAnsi="微软雅黑" w:eastAsia="微软雅黑" w:cs="微软雅黑"/>
          <w:sz w:val="22"/>
          <w:szCs w:val="22"/>
        </w:rPr>
        <w:t>招标文件、中标人的投标文件及其澄清文件等，均为签订合同的依据。</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30.3   中标人拒绝与采购人签订合同的，采购人可以按照评标报告推荐的中标候选人名单排序，确定下一中标候选人为中标人，也可以重新开展政府采购活动。</w:t>
      </w:r>
    </w:p>
    <w:p>
      <w:pPr>
        <w:pStyle w:val="6"/>
        <w:spacing w:before="0" w:after="0" w:line="440" w:lineRule="exact"/>
        <w:rPr>
          <w:rFonts w:ascii="微软雅黑" w:hAnsi="微软雅黑" w:eastAsia="微软雅黑" w:cs="微软雅黑"/>
          <w:sz w:val="22"/>
          <w:szCs w:val="22"/>
          <w:u w:val="none"/>
        </w:rPr>
      </w:pPr>
      <w:bookmarkStart w:id="213" w:name="_Toc515647793"/>
      <w:bookmarkStart w:id="214" w:name="_Toc22555"/>
      <w:bookmarkStart w:id="215" w:name="_Toc20240"/>
      <w:bookmarkStart w:id="216" w:name="_Toc14080"/>
      <w:r>
        <w:rPr>
          <w:rFonts w:hint="eastAsia" w:ascii="微软雅黑" w:hAnsi="微软雅黑" w:eastAsia="微软雅黑" w:cs="微软雅黑"/>
          <w:sz w:val="22"/>
          <w:szCs w:val="22"/>
        </w:rPr>
        <w:t>31</w:t>
      </w:r>
      <w:r>
        <w:rPr>
          <w:rFonts w:hint="eastAsia" w:ascii="微软雅黑" w:hAnsi="微软雅黑" w:eastAsia="微软雅黑" w:cs="微软雅黑"/>
          <w:sz w:val="22"/>
          <w:szCs w:val="22"/>
          <w:u w:val="none"/>
        </w:rPr>
        <w:t>.履约保证金</w:t>
      </w:r>
      <w:bookmarkEnd w:id="210"/>
      <w:bookmarkEnd w:id="211"/>
      <w:bookmarkEnd w:id="212"/>
      <w:bookmarkEnd w:id="213"/>
      <w:bookmarkEnd w:id="214"/>
      <w:bookmarkEnd w:id="215"/>
      <w:bookmarkEnd w:id="216"/>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31.1</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中标人应按照</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规定向采购人缴纳履约保证金（如采用保函形式，格式见本章附件1）。</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31.2</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政府采购利用担保试点范围内的项目，除31.1规定的情形外，中标人也可以按照财政部门的规定，向采购人提供合格的履约担保函（格式见本章附件2）。</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31.3   如果中标人没有按照上述履约保证金的规定执行，将视为放弃中标资格，中标人的投标保证金将不予退还。在此情况下，采购人可确定下一候选人为中标人，也可以重新开展采购活动。</w:t>
      </w:r>
    </w:p>
    <w:p>
      <w:pPr>
        <w:pStyle w:val="6"/>
        <w:spacing w:before="0" w:after="0" w:line="440" w:lineRule="exact"/>
        <w:rPr>
          <w:rFonts w:ascii="微软雅黑" w:hAnsi="微软雅黑" w:eastAsia="微软雅黑" w:cs="微软雅黑"/>
          <w:sz w:val="22"/>
          <w:szCs w:val="22"/>
          <w:u w:val="none"/>
        </w:rPr>
      </w:pPr>
      <w:bookmarkStart w:id="217" w:name="_Toc515647794"/>
      <w:bookmarkStart w:id="218" w:name="_Toc3090"/>
      <w:bookmarkStart w:id="219" w:name="_Toc8972"/>
      <w:bookmarkStart w:id="220" w:name="_Toc29408"/>
      <w:r>
        <w:rPr>
          <w:rFonts w:hint="eastAsia" w:ascii="微软雅黑" w:hAnsi="微软雅黑" w:eastAsia="微软雅黑" w:cs="微软雅黑"/>
          <w:sz w:val="22"/>
          <w:szCs w:val="22"/>
          <w:u w:val="none"/>
        </w:rPr>
        <w:t>32.中标服务费</w:t>
      </w:r>
      <w:bookmarkEnd w:id="217"/>
      <w:bookmarkEnd w:id="218"/>
      <w:bookmarkEnd w:id="219"/>
      <w:bookmarkEnd w:id="220"/>
    </w:p>
    <w:p>
      <w:pPr>
        <w:spacing w:line="440" w:lineRule="exact"/>
        <w:ind w:left="805" w:leftChars="200" w:hanging="385" w:hangingChars="175"/>
        <w:rPr>
          <w:rFonts w:ascii="微软雅黑" w:hAnsi="微软雅黑" w:eastAsia="微软雅黑" w:cs="微软雅黑"/>
          <w:sz w:val="22"/>
          <w:szCs w:val="22"/>
        </w:rPr>
      </w:pPr>
      <w:r>
        <w:rPr>
          <w:rFonts w:hint="eastAsia" w:ascii="微软雅黑" w:hAnsi="微软雅黑" w:eastAsia="微软雅黑" w:cs="微软雅黑"/>
          <w:sz w:val="22"/>
          <w:szCs w:val="22"/>
        </w:rPr>
        <w:t xml:space="preserve">   中标人须按照</w:t>
      </w:r>
      <w:r>
        <w:rPr>
          <w:rFonts w:hint="eastAsia" w:ascii="微软雅黑" w:hAnsi="微软雅黑" w:eastAsia="微软雅黑" w:cs="微软雅黑"/>
          <w:sz w:val="22"/>
          <w:szCs w:val="22"/>
          <w:u w:val="single"/>
        </w:rPr>
        <w:t>投标须知资料表</w:t>
      </w:r>
      <w:r>
        <w:rPr>
          <w:rFonts w:hint="eastAsia" w:ascii="微软雅黑" w:hAnsi="微软雅黑" w:eastAsia="微软雅黑" w:cs="微软雅黑"/>
          <w:sz w:val="22"/>
          <w:szCs w:val="22"/>
        </w:rPr>
        <w:t>规定，向采购代理机构支付中标服务费。</w:t>
      </w:r>
    </w:p>
    <w:p>
      <w:pPr>
        <w:pStyle w:val="6"/>
        <w:spacing w:before="0" w:after="0" w:line="440" w:lineRule="exact"/>
        <w:rPr>
          <w:rFonts w:ascii="微软雅黑" w:hAnsi="微软雅黑" w:eastAsia="微软雅黑" w:cs="微软雅黑"/>
          <w:sz w:val="22"/>
          <w:szCs w:val="22"/>
          <w:u w:val="none"/>
        </w:rPr>
      </w:pPr>
      <w:bookmarkStart w:id="221" w:name="_Toc515647795"/>
      <w:bookmarkStart w:id="222" w:name="_Toc8524"/>
      <w:bookmarkStart w:id="223" w:name="_Toc7049"/>
      <w:bookmarkStart w:id="224" w:name="_Toc6923"/>
      <w:r>
        <w:rPr>
          <w:rFonts w:hint="eastAsia" w:ascii="微软雅黑" w:hAnsi="微软雅黑" w:eastAsia="微软雅黑" w:cs="微软雅黑"/>
          <w:sz w:val="22"/>
          <w:szCs w:val="22"/>
          <w:u w:val="none"/>
        </w:rPr>
        <w:t>33.政府采购信用担保</w:t>
      </w:r>
      <w:bookmarkEnd w:id="221"/>
      <w:bookmarkEnd w:id="222"/>
      <w:bookmarkEnd w:id="223"/>
      <w:bookmarkEnd w:id="224"/>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33.1   本项目是否属于信用担保试点范围见</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w:t>
      </w:r>
    </w:p>
    <w:p>
      <w:pPr>
        <w:spacing w:line="440" w:lineRule="exact"/>
        <w:ind w:left="779" w:hanging="778" w:hangingChars="354"/>
        <w:rPr>
          <w:rFonts w:ascii="微软雅黑" w:hAnsi="微软雅黑" w:eastAsia="微软雅黑" w:cs="微软雅黑"/>
          <w:sz w:val="22"/>
          <w:szCs w:val="22"/>
        </w:rPr>
      </w:pPr>
      <w:r>
        <w:rPr>
          <w:rFonts w:hint="eastAsia" w:ascii="微软雅黑" w:hAnsi="微软雅黑" w:eastAsia="微软雅黑" w:cs="微软雅黑"/>
          <w:sz w:val="22"/>
          <w:szCs w:val="22"/>
        </w:rPr>
        <w:t>33.2   如属于政府采购信用担保试点范围内，中小型企业供应商可以自由按照财政部门的规定，采用投标担保、履约担保和融资担保。</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33.2.1 供应商递交的投标担保函和履约担保函应符合本招标文件的规定。</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33.2.2 中标人可以采取融资担保的形式为政府采购项目履约进行融资。</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33.2.3 合格的政府采购专业信用担保机构名单见</w:t>
      </w:r>
      <w:r>
        <w:rPr>
          <w:rFonts w:hint="eastAsia" w:ascii="微软雅黑" w:hAnsi="微软雅黑" w:eastAsia="微软雅黑" w:cs="微软雅黑"/>
          <w:sz w:val="22"/>
          <w:szCs w:val="22"/>
          <w:u w:val="single"/>
        </w:rPr>
        <w:t>供应商须知资料表</w:t>
      </w:r>
      <w:r>
        <w:rPr>
          <w:rFonts w:hint="eastAsia" w:ascii="微软雅黑" w:hAnsi="微软雅黑" w:eastAsia="微软雅黑" w:cs="微软雅黑"/>
          <w:sz w:val="22"/>
          <w:szCs w:val="22"/>
        </w:rPr>
        <w:t>。</w:t>
      </w:r>
    </w:p>
    <w:p>
      <w:pPr>
        <w:pStyle w:val="6"/>
        <w:spacing w:before="0" w:after="0" w:line="440" w:lineRule="exact"/>
        <w:rPr>
          <w:rFonts w:ascii="微软雅黑" w:hAnsi="微软雅黑" w:eastAsia="微软雅黑" w:cs="微软雅黑"/>
          <w:sz w:val="22"/>
          <w:szCs w:val="22"/>
          <w:u w:val="none"/>
        </w:rPr>
      </w:pPr>
      <w:bookmarkStart w:id="225" w:name="_Toc515647796"/>
      <w:bookmarkStart w:id="226" w:name="_Toc23999"/>
      <w:bookmarkStart w:id="227" w:name="_Toc12709"/>
      <w:bookmarkStart w:id="228" w:name="_Toc2133"/>
      <w:r>
        <w:rPr>
          <w:rFonts w:hint="eastAsia" w:ascii="微软雅黑" w:hAnsi="微软雅黑" w:eastAsia="微软雅黑" w:cs="微软雅黑"/>
          <w:sz w:val="22"/>
          <w:szCs w:val="22"/>
          <w:u w:val="none"/>
        </w:rPr>
        <w:t>34.廉洁自律规定</w:t>
      </w:r>
      <w:bookmarkEnd w:id="225"/>
      <w:bookmarkEnd w:id="226"/>
      <w:bookmarkEnd w:id="227"/>
      <w:bookmarkEnd w:id="228"/>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34.1   采购代理机构工作人员不得以不正当手段获取政府采购代理业务，不得与采购人、供应商恶意串通操纵政府采购活动。</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34.2   采购代理机构工作人员不得接受采购人或者供应商组织的宴请、旅游、娱乐，不得收受礼品、现金、有价证券等，不得向采购人或者供应商报销应当由个人承担的费用。</w:t>
      </w:r>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34.3   为强化采购代理机构内部监督机制，供应商可按</w:t>
      </w:r>
      <w:r>
        <w:rPr>
          <w:rFonts w:hint="eastAsia" w:ascii="微软雅黑" w:hAnsi="微软雅黑" w:eastAsia="微软雅黑" w:cs="微软雅黑"/>
          <w:sz w:val="22"/>
          <w:szCs w:val="22"/>
          <w:u w:val="single"/>
        </w:rPr>
        <w:t>供应商须知资料表中的</w:t>
      </w:r>
      <w:r>
        <w:rPr>
          <w:rFonts w:hint="eastAsia" w:ascii="微软雅黑" w:hAnsi="微软雅黑" w:eastAsia="微软雅黑" w:cs="微软雅黑"/>
          <w:sz w:val="22"/>
          <w:szCs w:val="22"/>
        </w:rPr>
        <w:t>监督电话和邮箱，反映采购代理机构的廉洁自律等问题。</w:t>
      </w:r>
    </w:p>
    <w:p>
      <w:pPr>
        <w:pStyle w:val="6"/>
        <w:spacing w:before="0" w:after="0" w:line="440" w:lineRule="exact"/>
        <w:rPr>
          <w:rFonts w:ascii="微软雅黑" w:hAnsi="微软雅黑" w:eastAsia="微软雅黑" w:cs="微软雅黑"/>
          <w:sz w:val="22"/>
          <w:szCs w:val="22"/>
          <w:u w:val="none"/>
        </w:rPr>
      </w:pPr>
      <w:bookmarkStart w:id="229" w:name="_Toc25480"/>
      <w:bookmarkStart w:id="230" w:name="_Toc515647797"/>
      <w:bookmarkStart w:id="231" w:name="_Toc11586"/>
      <w:bookmarkStart w:id="232" w:name="_Toc12865"/>
      <w:r>
        <w:rPr>
          <w:rFonts w:hint="eastAsia" w:ascii="微软雅黑" w:hAnsi="微软雅黑" w:eastAsia="微软雅黑" w:cs="微软雅黑"/>
          <w:sz w:val="22"/>
          <w:szCs w:val="22"/>
          <w:u w:val="none"/>
        </w:rPr>
        <w:t>35.人员回避</w:t>
      </w:r>
      <w:bookmarkEnd w:id="229"/>
      <w:bookmarkEnd w:id="230"/>
      <w:bookmarkEnd w:id="231"/>
      <w:bookmarkEnd w:id="232"/>
    </w:p>
    <w:p>
      <w:pPr>
        <w:spacing w:line="440" w:lineRule="exact"/>
        <w:ind w:left="825" w:hanging="825" w:hangingChars="375"/>
        <w:rPr>
          <w:rFonts w:ascii="微软雅黑" w:hAnsi="微软雅黑" w:eastAsia="微软雅黑" w:cs="微软雅黑"/>
          <w:sz w:val="22"/>
          <w:szCs w:val="22"/>
        </w:rPr>
      </w:pPr>
      <w:r>
        <w:rPr>
          <w:rFonts w:hint="eastAsia" w:ascii="微软雅黑" w:hAnsi="微软雅黑" w:eastAsia="微软雅黑" w:cs="微软雅黑"/>
          <w:sz w:val="22"/>
          <w:szCs w:val="22"/>
        </w:rPr>
        <w:t xml:space="preserve">       供应商认为采购人员及其相关人员有法律法规所列与其他供应商有利害关系的，可以向采购人或采购代理机构书面提出回避申请，并说明理由。</w:t>
      </w:r>
    </w:p>
    <w:p>
      <w:pPr>
        <w:spacing w:line="440" w:lineRule="exact"/>
        <w:ind w:left="825" w:hanging="825" w:hangingChars="375"/>
        <w:jc w:val="left"/>
        <w:outlineLvl w:val="2"/>
        <w:rPr>
          <w:rFonts w:ascii="微软雅黑" w:hAnsi="微软雅黑" w:eastAsia="微软雅黑" w:cs="微软雅黑"/>
          <w:b/>
          <w:bCs/>
          <w:sz w:val="22"/>
          <w:szCs w:val="22"/>
        </w:rPr>
      </w:pPr>
      <w:r>
        <w:rPr>
          <w:rFonts w:hint="eastAsia" w:ascii="微软雅黑" w:hAnsi="微软雅黑" w:eastAsia="微软雅黑" w:cs="微软雅黑"/>
          <w:b/>
          <w:bCs/>
          <w:sz w:val="22"/>
          <w:szCs w:val="22"/>
        </w:rPr>
        <w:t>36.质疑与接收</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440" w:lineRule="exact"/>
        <w:ind w:left="958" w:leftChars="456" w:firstLine="55" w:firstLineChars="25"/>
        <w:jc w:val="left"/>
        <w:rPr>
          <w:rFonts w:ascii="微软雅黑" w:hAnsi="微软雅黑" w:eastAsia="微软雅黑" w:cs="微软雅黑"/>
          <w:sz w:val="22"/>
          <w:szCs w:val="22"/>
        </w:rPr>
      </w:pPr>
      <w:r>
        <w:rPr>
          <w:rFonts w:hint="eastAsia" w:ascii="微软雅黑" w:hAnsi="微软雅黑" w:eastAsia="微软雅黑" w:cs="微软雅黑"/>
          <w:sz w:val="22"/>
          <w:szCs w:val="22"/>
        </w:rPr>
        <w:t>超出法定质疑期的、重复提出的、分次提出的或内容、形式不符合《政府采购质疑和投诉办法》的，质疑供应商将依法承担不利后果。</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36.3    采购代理机构质疑函接收部门、联系电话和通讯地址， 见供应商须知资料表。</w:t>
      </w:r>
    </w:p>
    <w:p>
      <w:pPr>
        <w:spacing w:line="440" w:lineRule="exact"/>
        <w:ind w:left="825" w:hanging="825" w:hangingChars="375"/>
        <w:jc w:val="left"/>
        <w:outlineLvl w:val="2"/>
        <w:rPr>
          <w:rFonts w:ascii="微软雅黑" w:hAnsi="微软雅黑" w:eastAsia="微软雅黑" w:cs="微软雅黑"/>
          <w:b/>
          <w:bCs/>
          <w:sz w:val="22"/>
          <w:szCs w:val="22"/>
        </w:rPr>
      </w:pPr>
      <w:r>
        <w:rPr>
          <w:rFonts w:hint="eastAsia" w:ascii="微软雅黑" w:hAnsi="微软雅黑" w:eastAsia="微软雅黑" w:cs="微软雅黑"/>
          <w:sz w:val="22"/>
          <w:szCs w:val="22"/>
        </w:rPr>
        <w:t>37.</w:t>
      </w:r>
      <w:r>
        <w:rPr>
          <w:rFonts w:hint="eastAsia" w:ascii="微软雅黑" w:hAnsi="微软雅黑" w:eastAsia="微软雅黑" w:cs="微软雅黑"/>
          <w:b/>
          <w:bCs/>
          <w:sz w:val="22"/>
          <w:szCs w:val="22"/>
        </w:rPr>
        <w:t>质疑的提出</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37.1   本采购文件中所称质疑及答复，是指参加本次采购活动的供应商对政府采购活动中的采购文件、采购过程和中标结果向采购方提出质疑，采购方答复质疑的行为。</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37.2   供应商认为采购文件、采购过程和中标结果使自己的权益受到损害的，可以在知道或者应知其权益受到损害之日起7个工作日内，以书面形式向采购方提出质疑。供应商应知其权益受到损害之日，是指：</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（一）对可以质疑的采购文件提出质疑的，为收到采购文件之日或者采购文件公告期限届满之日；</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（二）对采购过程提出质疑的，为各采购程序环节结束之日；</w:t>
      </w:r>
    </w:p>
    <w:p>
      <w:pPr>
        <w:spacing w:line="440" w:lineRule="exact"/>
        <w:ind w:firstLine="660" w:firstLineChars="300"/>
        <w:jc w:val="left"/>
        <w:rPr>
          <w:rFonts w:ascii="微软雅黑" w:hAnsi="微软雅黑" w:eastAsia="微软雅黑" w:cs="微软雅黑"/>
          <w:sz w:val="22"/>
          <w:szCs w:val="22"/>
        </w:rPr>
      </w:pPr>
      <w:r>
        <w:rPr>
          <w:rFonts w:hint="eastAsia" w:ascii="微软雅黑" w:hAnsi="微软雅黑" w:eastAsia="微软雅黑" w:cs="微软雅黑"/>
          <w:sz w:val="22"/>
          <w:szCs w:val="22"/>
        </w:rPr>
        <w:t>（三）对中标结果提出质疑的，为中标结果公告期限届满之日。</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37.3   对可以质疑的采购文件提出质疑的，质疑人为参与本项目的报价方或潜在报价方。可质疑的文件为采购公告以及采购文件（包括属于其组成部分的澄清、修改、补充文件和评审标准、合同文本等）。</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37.5   提出质疑应当符合下列条件：</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（一）质疑主体应当符合有关规定；</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（二）在质疑法定期限内提出；</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（三）属于可以提出质疑的政府采购事项受理范围和本项目采购人的管辖权范围；</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（四）政府采购法律、法规、规章规定的其他条件。</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37.7   质疑人所提供的证明材料应当具有真实性、合法性以及与质疑事项的关联性和证明力，否则不能作为认定该质疑事项成立的依据。</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37.8   质疑人提出质疑时应当提交质疑函。质疑函包括下列内容：</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（一）提出质疑的质疑人的名称、地址、邮编、联系人及联系电话等；</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（二）质疑项目的名称、编号；</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（三）质疑事项；</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（四）事实依据和证明材料；</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（五）法律依据；</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（六）提出质疑的日期。</w:t>
      </w:r>
    </w:p>
    <w:p>
      <w:pPr>
        <w:spacing w:line="440" w:lineRule="exact"/>
        <w:ind w:left="958" w:leftChars="456" w:firstLine="55" w:firstLineChars="25"/>
        <w:jc w:val="left"/>
        <w:rPr>
          <w:rFonts w:ascii="微软雅黑" w:hAnsi="微软雅黑" w:eastAsia="微软雅黑" w:cs="微软雅黑"/>
          <w:sz w:val="22"/>
          <w:szCs w:val="22"/>
        </w:rPr>
      </w:pPr>
      <w:r>
        <w:rPr>
          <w:rFonts w:hint="eastAsia" w:ascii="微软雅黑" w:hAnsi="微软雅黑" w:eastAsia="微软雅黑" w:cs="微软雅黑"/>
          <w:sz w:val="22"/>
          <w:szCs w:val="22"/>
        </w:rPr>
        <w:t>质疑函采用实名制。质疑人为自然人的应当由本人签字，并附有效身份证明文件；质疑人为法人或者非法人组织的应当由法定代表人或者负责人签字并加盖公章，并附有效身份证明文件。</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37.9   质疑人可以委托代理人进行质疑。代理人应当提交授权委托书。授权委托书应当载明委托代理的具体权限、期限和相关事项。</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37.10   质疑的审查和受理。采购方在收到质疑函后应当及时审查是否符合质疑受理条件，对符合质疑受理条件的，及时予以受理。</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37.11    对不符合质疑受理条件的，分别按照下列不同情形予以处理：</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（一）质疑函内容不符合规定的，告知质疑人进行修改并重新提出质疑。修改后质疑事项仍不具体、不明确或者最终递交质疑函的时间超过质疑法定期限的，不予受理；</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（二）质疑主体不符合有关规定的，告知质疑人不予受理；</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（三）超过质疑法定期限提出质疑的，告知质疑人不予受理；</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（四）对不属于可以提出质疑的政府采购事项提出质疑的，告知质疑人不予受理；</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（五）质疑不属于本项目采购方管辖的，告知质疑人向有管辖权的采购人提出质疑；</w:t>
      </w:r>
    </w:p>
    <w:p>
      <w:pPr>
        <w:spacing w:line="440" w:lineRule="exact"/>
        <w:ind w:left="883" w:leftChars="342" w:hanging="165" w:hangingChars="75"/>
        <w:jc w:val="left"/>
        <w:rPr>
          <w:rFonts w:ascii="微软雅黑" w:hAnsi="微软雅黑" w:eastAsia="微软雅黑" w:cs="微软雅黑"/>
          <w:sz w:val="22"/>
          <w:szCs w:val="22"/>
        </w:rPr>
      </w:pPr>
      <w:r>
        <w:rPr>
          <w:rFonts w:hint="eastAsia" w:ascii="微软雅黑" w:hAnsi="微软雅黑" w:eastAsia="微软雅黑" w:cs="微软雅黑"/>
          <w:sz w:val="22"/>
          <w:szCs w:val="22"/>
        </w:rPr>
        <w:t>（六）质疑不符合其他条件的，告知质疑人不予受理。</w:t>
      </w:r>
    </w:p>
    <w:p>
      <w:pPr>
        <w:spacing w:line="440" w:lineRule="exact"/>
        <w:ind w:left="825" w:hanging="825" w:hangingChars="375"/>
        <w:jc w:val="left"/>
        <w:outlineLvl w:val="2"/>
        <w:rPr>
          <w:rFonts w:ascii="微软雅黑" w:hAnsi="微软雅黑" w:eastAsia="微软雅黑" w:cs="微软雅黑"/>
          <w:b/>
          <w:bCs/>
          <w:sz w:val="22"/>
          <w:szCs w:val="22"/>
        </w:rPr>
      </w:pPr>
      <w:r>
        <w:rPr>
          <w:rFonts w:hint="eastAsia" w:ascii="微软雅黑" w:hAnsi="微软雅黑" w:eastAsia="微软雅黑" w:cs="微软雅黑"/>
          <w:b/>
          <w:bCs/>
          <w:sz w:val="22"/>
          <w:szCs w:val="22"/>
        </w:rPr>
        <w:t>38.质疑的处理和答复</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 xml:space="preserve">  采购方受理质疑后，将及时把质疑函发送给被质疑人，并要求其在一定限期内提交书面答复，同时提供有关证据、依据和相关材料。</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38.1    对于质疑事项中涉及的问题较多、情况比较复杂的，为了全面查清事实、取得充分的证据，采购方认为有必要时，可以进行调查取证或者组织质证。</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38.2  对评审过程、中标结果提出质疑的，采购方可以组织原评审委员会协助答复质疑。</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38.3  质疑处理过程中，质疑人书面申请撤回质疑的，将终止质疑处理程序。</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38.4 质疑人拒绝配合采购方依法对质疑进行调查处理的，采购方将按质疑人自动撤回质疑处理；被质疑人拒绝配合采购方依法对质疑进行调查处理的，采购方将视同其认可质疑事项。</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38.5   质疑人拒绝配合采购方依法对质疑进行调查处理的，采购方将按质疑人自动撤回质疑处理；被质疑人拒绝配合采购方依法对质疑进行调查处理的，采购方将视同其认可质疑事项。</w:t>
      </w:r>
    </w:p>
    <w:p>
      <w:pPr>
        <w:spacing w:line="440" w:lineRule="exact"/>
        <w:ind w:left="825" w:hanging="825" w:hangingChars="375"/>
        <w:jc w:val="left"/>
        <w:rPr>
          <w:rFonts w:ascii="微软雅黑" w:hAnsi="微软雅黑" w:eastAsia="微软雅黑" w:cs="微软雅黑"/>
          <w:sz w:val="22"/>
          <w:szCs w:val="22"/>
        </w:rPr>
      </w:pPr>
      <w:r>
        <w:rPr>
          <w:rFonts w:hint="eastAsia" w:ascii="微软雅黑" w:hAnsi="微软雅黑" w:eastAsia="微软雅黑" w:cs="微软雅黑"/>
          <w:sz w:val="22"/>
          <w:szCs w:val="22"/>
        </w:rPr>
        <w:t>38.6  采购方将在正式受理质疑后7个工作日内作出答复。</w:t>
      </w:r>
    </w:p>
    <w:p>
      <w:pPr>
        <w:pStyle w:val="51"/>
        <w:spacing w:line="440" w:lineRule="exact"/>
        <w:ind w:left="860" w:hanging="440"/>
        <w:jc w:val="both"/>
        <w:rPr>
          <w:rFonts w:ascii="微软雅黑" w:hAnsi="微软雅黑" w:eastAsia="微软雅黑" w:cs="微软雅黑"/>
          <w:color w:val="auto"/>
          <w:sz w:val="22"/>
          <w:szCs w:val="22"/>
        </w:rPr>
      </w:pPr>
      <w:bookmarkStart w:id="233" w:name="_Toc24278"/>
      <w:bookmarkStart w:id="234" w:name="_Toc12696"/>
      <w:bookmarkStart w:id="235" w:name="_Toc1795"/>
      <w:bookmarkStart w:id="236" w:name="_Toc30841"/>
      <w:r>
        <w:rPr>
          <w:rFonts w:hint="eastAsia" w:ascii="微软雅黑" w:hAnsi="微软雅黑" w:eastAsia="微软雅黑" w:cs="微软雅黑"/>
          <w:color w:val="auto"/>
          <w:sz w:val="22"/>
          <w:szCs w:val="22"/>
        </w:rPr>
        <w:t>38.7  质疑答复应当包括下列内容：</w:t>
      </w:r>
      <w:bookmarkEnd w:id="233"/>
      <w:bookmarkEnd w:id="234"/>
      <w:bookmarkEnd w:id="235"/>
      <w:bookmarkEnd w:id="236"/>
    </w:p>
    <w:p>
      <w:pPr>
        <w:pStyle w:val="51"/>
        <w:spacing w:line="440" w:lineRule="exact"/>
        <w:ind w:left="860" w:hanging="440"/>
        <w:jc w:val="left"/>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bookmarkStart w:id="237" w:name="_Toc19393"/>
      <w:bookmarkStart w:id="238" w:name="_Toc27598"/>
      <w:bookmarkStart w:id="239" w:name="_Toc24857"/>
      <w:bookmarkStart w:id="240" w:name="_Toc15502"/>
      <w:r>
        <w:rPr>
          <w:rFonts w:hint="eastAsia" w:ascii="微软雅黑" w:hAnsi="微软雅黑" w:eastAsia="微软雅黑" w:cs="微软雅黑"/>
          <w:color w:val="auto"/>
          <w:sz w:val="22"/>
          <w:szCs w:val="22"/>
        </w:rPr>
        <w:t>（一）质疑人的姓名或者名称；</w:t>
      </w:r>
      <w:bookmarkEnd w:id="237"/>
      <w:bookmarkEnd w:id="238"/>
      <w:bookmarkEnd w:id="239"/>
      <w:bookmarkEnd w:id="240"/>
    </w:p>
    <w:p>
      <w:pPr>
        <w:pStyle w:val="51"/>
        <w:spacing w:line="440" w:lineRule="exact"/>
        <w:ind w:left="860" w:hanging="440"/>
        <w:jc w:val="left"/>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bookmarkStart w:id="241" w:name="_Toc24536"/>
      <w:bookmarkStart w:id="242" w:name="_Toc23335"/>
      <w:bookmarkStart w:id="243" w:name="_Toc58"/>
      <w:bookmarkStart w:id="244" w:name="_Toc5588"/>
      <w:r>
        <w:rPr>
          <w:rFonts w:hint="eastAsia" w:ascii="微软雅黑" w:hAnsi="微软雅黑" w:eastAsia="微软雅黑" w:cs="微软雅黑"/>
          <w:color w:val="auto"/>
          <w:sz w:val="22"/>
          <w:szCs w:val="22"/>
        </w:rPr>
        <w:t>（二）收到质疑函的日期、质疑项目名称及编号；</w:t>
      </w:r>
      <w:bookmarkEnd w:id="241"/>
      <w:bookmarkEnd w:id="242"/>
      <w:bookmarkEnd w:id="243"/>
      <w:bookmarkEnd w:id="244"/>
    </w:p>
    <w:p>
      <w:pPr>
        <w:pStyle w:val="51"/>
        <w:spacing w:line="440" w:lineRule="exact"/>
        <w:ind w:left="860" w:hanging="440"/>
        <w:jc w:val="left"/>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bookmarkStart w:id="245" w:name="_Toc26190"/>
      <w:bookmarkStart w:id="246" w:name="_Toc31036"/>
      <w:bookmarkStart w:id="247" w:name="_Toc25292"/>
      <w:bookmarkStart w:id="248" w:name="_Toc2597"/>
      <w:r>
        <w:rPr>
          <w:rFonts w:hint="eastAsia" w:ascii="微软雅黑" w:hAnsi="微软雅黑" w:eastAsia="微软雅黑" w:cs="微软雅黑"/>
          <w:color w:val="auto"/>
          <w:sz w:val="22"/>
          <w:szCs w:val="22"/>
        </w:rPr>
        <w:t>（三）质疑事项、质疑答复的具体内容、事实依据和法律依据；</w:t>
      </w:r>
      <w:bookmarkEnd w:id="245"/>
      <w:bookmarkEnd w:id="246"/>
      <w:bookmarkEnd w:id="247"/>
      <w:bookmarkEnd w:id="248"/>
    </w:p>
    <w:p>
      <w:pPr>
        <w:pStyle w:val="51"/>
        <w:spacing w:line="440" w:lineRule="exact"/>
        <w:ind w:left="860" w:hanging="440"/>
        <w:jc w:val="left"/>
        <w:rPr>
          <w:rFonts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 xml:space="preserve">        </w:t>
      </w:r>
      <w:bookmarkStart w:id="249" w:name="_Toc2571"/>
      <w:bookmarkStart w:id="250" w:name="_Toc18547"/>
      <w:bookmarkStart w:id="251" w:name="_Toc30282"/>
      <w:bookmarkStart w:id="252" w:name="_Toc5782"/>
      <w:r>
        <w:rPr>
          <w:rFonts w:hint="eastAsia" w:ascii="微软雅黑" w:hAnsi="微软雅黑" w:eastAsia="微软雅黑" w:cs="微软雅黑"/>
          <w:color w:val="auto"/>
          <w:sz w:val="22"/>
          <w:szCs w:val="22"/>
        </w:rPr>
        <w:t>（四）告知质疑供应商依法投诉的权利；</w:t>
      </w:r>
      <w:bookmarkEnd w:id="249"/>
      <w:bookmarkEnd w:id="250"/>
      <w:bookmarkEnd w:id="251"/>
      <w:bookmarkEnd w:id="252"/>
    </w:p>
    <w:p>
      <w:pPr>
        <w:pStyle w:val="51"/>
        <w:spacing w:line="440" w:lineRule="exact"/>
        <w:ind w:left="420" w:firstLine="880" w:firstLineChars="400"/>
        <w:jc w:val="left"/>
        <w:rPr>
          <w:rFonts w:ascii="微软雅黑" w:hAnsi="微软雅黑" w:eastAsia="微软雅黑" w:cs="微软雅黑"/>
          <w:color w:val="auto"/>
          <w:sz w:val="22"/>
          <w:szCs w:val="22"/>
        </w:rPr>
      </w:pPr>
      <w:bookmarkStart w:id="253" w:name="_Toc14110"/>
      <w:bookmarkStart w:id="254" w:name="_Toc13275"/>
      <w:bookmarkStart w:id="255" w:name="_Toc15258"/>
      <w:bookmarkStart w:id="256" w:name="_Toc30630"/>
      <w:r>
        <w:rPr>
          <w:rFonts w:hint="eastAsia" w:ascii="微软雅黑" w:hAnsi="微软雅黑" w:eastAsia="微软雅黑" w:cs="微软雅黑"/>
          <w:color w:val="auto"/>
          <w:sz w:val="22"/>
          <w:szCs w:val="22"/>
        </w:rPr>
        <w:t>（五）质疑答复人名称；</w:t>
      </w:r>
      <w:bookmarkEnd w:id="253"/>
      <w:bookmarkEnd w:id="254"/>
      <w:bookmarkEnd w:id="255"/>
      <w:bookmarkEnd w:id="256"/>
    </w:p>
    <w:p>
      <w:pPr>
        <w:spacing w:line="440" w:lineRule="exact"/>
        <w:ind w:left="718" w:leftChars="342" w:firstLine="220" w:firstLineChars="100"/>
        <w:jc w:val="left"/>
        <w:rPr>
          <w:rFonts w:ascii="微软雅黑" w:hAnsi="微软雅黑" w:eastAsia="微软雅黑" w:cs="微软雅黑"/>
          <w:sz w:val="22"/>
          <w:szCs w:val="22"/>
        </w:rPr>
      </w:pPr>
      <w:r>
        <w:rPr>
          <w:rFonts w:hint="eastAsia" w:ascii="微软雅黑" w:hAnsi="微软雅黑" w:eastAsia="微软雅黑" w:cs="微软雅黑"/>
          <w:sz w:val="22"/>
          <w:szCs w:val="22"/>
        </w:rPr>
        <w:t>（六）答复质疑的日期。</w:t>
      </w:r>
    </w:p>
    <w:p>
      <w:pPr>
        <w:spacing w:line="440" w:lineRule="exact"/>
        <w:jc w:val="center"/>
        <w:outlineLvl w:val="1"/>
        <w:rPr>
          <w:rFonts w:ascii="微软雅黑" w:hAnsi="微软雅黑" w:eastAsia="微软雅黑" w:cs="微软雅黑"/>
          <w:b/>
          <w:bCs/>
          <w:sz w:val="22"/>
          <w:szCs w:val="22"/>
        </w:rPr>
      </w:pPr>
      <w:bookmarkStart w:id="257" w:name="_Toc32151"/>
      <w:bookmarkStart w:id="258" w:name="_Toc25296"/>
      <w:bookmarkStart w:id="259" w:name="_Toc11739"/>
      <w:bookmarkStart w:id="260" w:name="_Toc27626"/>
      <w:bookmarkStart w:id="261" w:name="_Toc4670"/>
      <w:bookmarkStart w:id="262" w:name="_Toc7782"/>
      <w:bookmarkStart w:id="263" w:name="_Toc3750"/>
      <w:bookmarkStart w:id="264" w:name="_Toc12854"/>
      <w:bookmarkStart w:id="265" w:name="_Toc12135"/>
      <w:bookmarkStart w:id="266" w:name="_Toc11576"/>
      <w:bookmarkStart w:id="267" w:name="_Toc435"/>
      <w:bookmarkStart w:id="268" w:name="_Toc11563"/>
      <w:bookmarkStart w:id="269" w:name="_Toc13444"/>
      <w:bookmarkStart w:id="270" w:name="_Toc30870"/>
      <w:bookmarkStart w:id="271" w:name="_Toc2845"/>
      <w:bookmarkStart w:id="272" w:name="_Toc25761"/>
      <w:bookmarkStart w:id="273" w:name="_Toc20927"/>
      <w:bookmarkStart w:id="274" w:name="_Toc4329"/>
      <w:bookmarkStart w:id="275" w:name="_Toc29161"/>
      <w:bookmarkStart w:id="276" w:name="_Toc15048"/>
      <w:bookmarkStart w:id="277" w:name="_Toc28257"/>
      <w:bookmarkStart w:id="278" w:name="_Toc2335"/>
      <w:bookmarkStart w:id="279" w:name="_Toc9773"/>
      <w:bookmarkStart w:id="280" w:name="_Toc2251"/>
      <w:bookmarkStart w:id="281" w:name="_Toc7867"/>
      <w:bookmarkStart w:id="282" w:name="_Toc32307"/>
      <w:r>
        <w:rPr>
          <w:rFonts w:hint="eastAsia" w:ascii="微软雅黑" w:hAnsi="微软雅黑" w:eastAsia="微软雅黑" w:cs="微软雅黑"/>
          <w:b/>
          <w:bCs/>
          <w:sz w:val="22"/>
          <w:szCs w:val="22"/>
        </w:rPr>
        <w:t>质疑函范本</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adjustRightInd w:val="0"/>
        <w:snapToGrid w:val="0"/>
        <w:spacing w:line="440" w:lineRule="exact"/>
        <w:outlineLvl w:val="1"/>
        <w:rPr>
          <w:rFonts w:ascii="微软雅黑" w:hAnsi="微软雅黑" w:eastAsia="微软雅黑" w:cs="微软雅黑"/>
          <w:sz w:val="22"/>
          <w:szCs w:val="22"/>
        </w:rPr>
      </w:pPr>
      <w:bookmarkStart w:id="283" w:name="_Toc7313"/>
      <w:bookmarkStart w:id="284" w:name="_Toc31020"/>
      <w:bookmarkStart w:id="285" w:name="_Toc32439"/>
      <w:bookmarkStart w:id="286" w:name="_Toc24926"/>
      <w:bookmarkStart w:id="287" w:name="_Toc17444"/>
      <w:bookmarkStart w:id="288" w:name="_Toc28797"/>
      <w:bookmarkStart w:id="289" w:name="_Toc8620"/>
      <w:bookmarkStart w:id="290" w:name="_Toc7044"/>
      <w:bookmarkStart w:id="291" w:name="_Toc7517"/>
      <w:bookmarkStart w:id="292" w:name="_Toc29534"/>
      <w:bookmarkStart w:id="293" w:name="_Toc3250"/>
      <w:bookmarkStart w:id="294" w:name="_Toc26321"/>
      <w:bookmarkStart w:id="295" w:name="_Toc25883"/>
      <w:bookmarkStart w:id="296" w:name="_Toc24391"/>
      <w:bookmarkStart w:id="297" w:name="_Toc23190"/>
      <w:bookmarkStart w:id="298" w:name="_Toc13616"/>
      <w:bookmarkStart w:id="299" w:name="_Toc14896"/>
      <w:bookmarkStart w:id="300" w:name="_Toc9787"/>
      <w:bookmarkStart w:id="301" w:name="_Toc3356"/>
      <w:bookmarkStart w:id="302" w:name="_Toc20504"/>
      <w:bookmarkStart w:id="303" w:name="_Toc6833"/>
      <w:bookmarkStart w:id="304" w:name="_Toc12932"/>
      <w:bookmarkStart w:id="305" w:name="_Toc9491"/>
      <w:bookmarkStart w:id="306" w:name="_Toc13218"/>
      <w:bookmarkStart w:id="307" w:name="_Toc18345"/>
      <w:bookmarkStart w:id="308" w:name="_Toc4348"/>
      <w:bookmarkStart w:id="309" w:name="_Toc13890"/>
      <w:r>
        <w:rPr>
          <w:rFonts w:hint="eastAsia" w:ascii="微软雅黑" w:hAnsi="微软雅黑" w:eastAsia="微软雅黑" w:cs="微软雅黑"/>
          <w:sz w:val="22"/>
          <w:szCs w:val="22"/>
        </w:rPr>
        <w:t>一、质疑供应商基本信息</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adjustRightInd w:val="0"/>
        <w:snapToGrid w:val="0"/>
        <w:spacing w:line="440" w:lineRule="exact"/>
        <w:rPr>
          <w:rFonts w:ascii="微软雅黑" w:hAnsi="微软雅黑" w:eastAsia="微软雅黑" w:cs="微软雅黑"/>
          <w:sz w:val="22"/>
          <w:szCs w:val="22"/>
          <w:u w:val="dotted"/>
        </w:rPr>
      </w:pPr>
      <w:r>
        <w:rPr>
          <w:rFonts w:hint="eastAsia" w:ascii="微软雅黑" w:hAnsi="微软雅黑" w:eastAsia="微软雅黑" w:cs="微软雅黑"/>
          <w:sz w:val="22"/>
          <w:szCs w:val="22"/>
        </w:rPr>
        <w:t>质疑供应商：</w:t>
      </w: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地址：</w:t>
      </w:r>
      <w:r>
        <w:rPr>
          <w:rFonts w:hint="eastAsia" w:ascii="微软雅黑" w:hAnsi="微软雅黑" w:eastAsia="微软雅黑" w:cs="微软雅黑"/>
          <w:sz w:val="22"/>
          <w:szCs w:val="22"/>
          <w:u w:val="dotted"/>
        </w:rPr>
        <w:t xml:space="preserve">                          </w:t>
      </w:r>
      <w:r>
        <w:rPr>
          <w:rFonts w:hint="eastAsia" w:ascii="微软雅黑" w:hAnsi="微软雅黑" w:eastAsia="微软雅黑" w:cs="微软雅黑"/>
          <w:sz w:val="22"/>
          <w:szCs w:val="22"/>
        </w:rPr>
        <w:t>邮编：</w:t>
      </w: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dotted"/>
        </w:rPr>
        <w:t xml:space="preserve">                      </w:t>
      </w:r>
      <w:r>
        <w:rPr>
          <w:rFonts w:hint="eastAsia" w:ascii="微软雅黑" w:hAnsi="微软雅黑" w:eastAsia="微软雅黑" w:cs="微软雅黑"/>
          <w:sz w:val="22"/>
          <w:szCs w:val="22"/>
        </w:rPr>
        <w:t>联系电话：</w:t>
      </w: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u w:val="dotted"/>
        </w:rPr>
      </w:pPr>
      <w:r>
        <w:rPr>
          <w:rFonts w:hint="eastAsia" w:ascii="微软雅黑" w:hAnsi="微软雅黑" w:eastAsia="微软雅黑" w:cs="微软雅黑"/>
          <w:sz w:val="22"/>
          <w:szCs w:val="22"/>
        </w:rPr>
        <w:t>授权代表：</w:t>
      </w: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联系电话：</w:t>
      </w:r>
      <w:r>
        <w:rPr>
          <w:rFonts w:hint="eastAsia" w:ascii="微软雅黑" w:hAnsi="微软雅黑" w:eastAsia="微软雅黑" w:cs="微软雅黑"/>
          <w:sz w:val="22"/>
          <w:szCs w:val="22"/>
          <w:u w:val="dotted"/>
        </w:rPr>
        <w:t xml:space="preserve">                                           </w:t>
      </w:r>
      <w:r>
        <w:rPr>
          <w:rFonts w:hint="eastAsia" w:ascii="微软雅黑" w:hAnsi="微软雅黑" w:eastAsia="微软雅黑" w:cs="微软雅黑"/>
          <w:sz w:val="22"/>
          <w:szCs w:val="22"/>
        </w:rPr>
        <w:t xml:space="preserve"> </w:t>
      </w:r>
    </w:p>
    <w:p>
      <w:pPr>
        <w:adjustRightInd w:val="0"/>
        <w:snapToGrid w:val="0"/>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 xml:space="preserve">地址： </w:t>
      </w:r>
      <w:r>
        <w:rPr>
          <w:rFonts w:hint="eastAsia" w:ascii="微软雅黑" w:hAnsi="微软雅黑" w:eastAsia="微软雅黑" w:cs="微软雅黑"/>
          <w:sz w:val="22"/>
          <w:szCs w:val="22"/>
          <w:u w:val="dotted"/>
        </w:rPr>
        <w:t xml:space="preserve">                        </w:t>
      </w:r>
      <w:r>
        <w:rPr>
          <w:rFonts w:hint="eastAsia" w:ascii="微软雅黑" w:hAnsi="微软雅黑" w:eastAsia="微软雅黑" w:cs="微软雅黑"/>
          <w:sz w:val="22"/>
          <w:szCs w:val="22"/>
        </w:rPr>
        <w:t>邮编：</w:t>
      </w:r>
      <w:r>
        <w:rPr>
          <w:rFonts w:hint="eastAsia" w:ascii="微软雅黑" w:hAnsi="微软雅黑" w:eastAsia="微软雅黑" w:cs="微软雅黑"/>
          <w:sz w:val="22"/>
          <w:szCs w:val="22"/>
          <w:u w:val="dotted"/>
        </w:rPr>
        <w:t xml:space="preserve">                                                </w:t>
      </w:r>
    </w:p>
    <w:p>
      <w:pPr>
        <w:adjustRightInd w:val="0"/>
        <w:snapToGrid w:val="0"/>
        <w:spacing w:line="440" w:lineRule="exact"/>
        <w:outlineLvl w:val="1"/>
        <w:rPr>
          <w:rFonts w:ascii="微软雅黑" w:hAnsi="微软雅黑" w:eastAsia="微软雅黑" w:cs="微软雅黑"/>
          <w:sz w:val="22"/>
          <w:szCs w:val="22"/>
        </w:rPr>
      </w:pPr>
      <w:bookmarkStart w:id="310" w:name="_Toc14030"/>
      <w:bookmarkStart w:id="311" w:name="_Toc21513"/>
      <w:bookmarkStart w:id="312" w:name="_Toc32083"/>
      <w:bookmarkStart w:id="313" w:name="_Toc2978"/>
      <w:bookmarkStart w:id="314" w:name="_Toc9221"/>
      <w:bookmarkStart w:id="315" w:name="_Toc21282"/>
      <w:bookmarkStart w:id="316" w:name="_Toc12957"/>
      <w:bookmarkStart w:id="317" w:name="_Toc663"/>
      <w:bookmarkStart w:id="318" w:name="_Toc32138"/>
      <w:bookmarkStart w:id="319" w:name="_Toc29791"/>
      <w:bookmarkStart w:id="320" w:name="_Toc4409"/>
      <w:bookmarkStart w:id="321" w:name="_Toc3694"/>
      <w:bookmarkStart w:id="322" w:name="_Toc226"/>
      <w:bookmarkStart w:id="323" w:name="_Toc21544"/>
      <w:bookmarkStart w:id="324" w:name="_Toc13889"/>
      <w:bookmarkStart w:id="325" w:name="_Toc74"/>
      <w:bookmarkStart w:id="326" w:name="_Toc20123"/>
      <w:bookmarkStart w:id="327" w:name="_Toc26704"/>
      <w:bookmarkStart w:id="328" w:name="_Toc13274"/>
      <w:bookmarkStart w:id="329" w:name="_Toc12179"/>
      <w:bookmarkStart w:id="330" w:name="_Toc31363"/>
      <w:bookmarkStart w:id="331" w:name="_Toc30222"/>
      <w:bookmarkStart w:id="332" w:name="_Toc25142"/>
      <w:bookmarkStart w:id="333" w:name="_Toc27681"/>
      <w:bookmarkStart w:id="334" w:name="_Toc11512"/>
      <w:bookmarkStart w:id="335" w:name="_Toc8393"/>
      <w:bookmarkStart w:id="336" w:name="_Toc4127"/>
      <w:r>
        <w:rPr>
          <w:rFonts w:hint="eastAsia" w:ascii="微软雅黑" w:hAnsi="微软雅黑" w:eastAsia="微软雅黑" w:cs="微软雅黑"/>
          <w:sz w:val="22"/>
          <w:szCs w:val="22"/>
        </w:rPr>
        <w:t>二、质疑项目基本情况</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adjustRightInd w:val="0"/>
        <w:snapToGrid w:val="0"/>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质疑项目的名称：</w:t>
      </w: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质疑项目的编号：</w:t>
      </w:r>
      <w:r>
        <w:rPr>
          <w:rFonts w:hint="eastAsia" w:ascii="微软雅黑" w:hAnsi="微软雅黑" w:eastAsia="微软雅黑" w:cs="微软雅黑"/>
          <w:sz w:val="22"/>
          <w:szCs w:val="22"/>
          <w:u w:val="dotted"/>
        </w:rPr>
        <w:t xml:space="preserve">               </w:t>
      </w:r>
      <w:r>
        <w:rPr>
          <w:rFonts w:hint="eastAsia" w:ascii="微软雅黑" w:hAnsi="微软雅黑" w:eastAsia="微软雅黑" w:cs="微软雅黑"/>
          <w:sz w:val="22"/>
          <w:szCs w:val="22"/>
        </w:rPr>
        <w:t>包号：</w:t>
      </w: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u w:val="dotted"/>
        </w:rPr>
      </w:pPr>
      <w:r>
        <w:rPr>
          <w:rFonts w:hint="eastAsia" w:ascii="微软雅黑" w:hAnsi="微软雅黑" w:eastAsia="微软雅黑" w:cs="微软雅黑"/>
          <w:sz w:val="22"/>
          <w:szCs w:val="22"/>
        </w:rPr>
        <w:t>采购人名称：</w:t>
      </w: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采购文件获取日期：</w:t>
      </w:r>
      <w:r>
        <w:rPr>
          <w:rFonts w:hint="eastAsia" w:ascii="微软雅黑" w:hAnsi="微软雅黑" w:eastAsia="微软雅黑" w:cs="微软雅黑"/>
          <w:sz w:val="22"/>
          <w:szCs w:val="22"/>
          <w:u w:val="dotted"/>
        </w:rPr>
        <w:t xml:space="preserve">                                           </w:t>
      </w:r>
    </w:p>
    <w:p>
      <w:pPr>
        <w:adjustRightInd w:val="0"/>
        <w:snapToGrid w:val="0"/>
        <w:spacing w:line="440" w:lineRule="exact"/>
        <w:outlineLvl w:val="1"/>
        <w:rPr>
          <w:rFonts w:ascii="微软雅黑" w:hAnsi="微软雅黑" w:eastAsia="微软雅黑" w:cs="微软雅黑"/>
          <w:sz w:val="22"/>
          <w:szCs w:val="22"/>
        </w:rPr>
      </w:pPr>
      <w:bookmarkStart w:id="337" w:name="_Toc27984"/>
      <w:bookmarkStart w:id="338" w:name="_Toc1349"/>
      <w:bookmarkStart w:id="339" w:name="_Toc17475"/>
      <w:bookmarkStart w:id="340" w:name="_Toc25561"/>
      <w:bookmarkStart w:id="341" w:name="_Toc9363"/>
      <w:bookmarkStart w:id="342" w:name="_Toc10982"/>
      <w:bookmarkStart w:id="343" w:name="_Toc6588"/>
      <w:bookmarkStart w:id="344" w:name="_Toc12111"/>
      <w:bookmarkStart w:id="345" w:name="_Toc21644"/>
      <w:bookmarkStart w:id="346" w:name="_Toc12401"/>
      <w:bookmarkStart w:id="347" w:name="_Toc809"/>
      <w:bookmarkStart w:id="348" w:name="_Toc21764"/>
      <w:bookmarkStart w:id="349" w:name="_Toc4484"/>
      <w:bookmarkStart w:id="350" w:name="_Toc4900"/>
      <w:bookmarkStart w:id="351" w:name="_Toc10476"/>
      <w:bookmarkStart w:id="352" w:name="_Toc11812"/>
      <w:bookmarkStart w:id="353" w:name="_Toc3773"/>
      <w:bookmarkStart w:id="354" w:name="_Toc17609"/>
      <w:bookmarkStart w:id="355" w:name="_Toc4978"/>
      <w:bookmarkStart w:id="356" w:name="_Toc11713"/>
      <w:bookmarkStart w:id="357" w:name="_Toc29781"/>
      <w:bookmarkStart w:id="358" w:name="_Toc21917"/>
      <w:bookmarkStart w:id="359" w:name="_Toc28889"/>
      <w:bookmarkStart w:id="360" w:name="_Toc2701"/>
      <w:bookmarkStart w:id="361" w:name="_Toc29141"/>
      <w:bookmarkStart w:id="362" w:name="_Toc17103"/>
      <w:bookmarkStart w:id="363" w:name="_Toc3292"/>
      <w:r>
        <w:rPr>
          <w:rFonts w:hint="eastAsia" w:ascii="微软雅黑" w:hAnsi="微软雅黑" w:eastAsia="微软雅黑" w:cs="微软雅黑"/>
          <w:sz w:val="22"/>
          <w:szCs w:val="22"/>
        </w:rPr>
        <w:t>三、质疑事项具体内容</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adjustRightInd w:val="0"/>
        <w:snapToGrid w:val="0"/>
        <w:spacing w:line="440" w:lineRule="exact"/>
        <w:rPr>
          <w:rFonts w:ascii="微软雅黑" w:hAnsi="微软雅黑" w:eastAsia="微软雅黑" w:cs="微软雅黑"/>
          <w:sz w:val="22"/>
          <w:szCs w:val="22"/>
          <w:u w:val="dotted"/>
        </w:rPr>
      </w:pPr>
      <w:r>
        <w:rPr>
          <w:rFonts w:hint="eastAsia" w:ascii="微软雅黑" w:hAnsi="微软雅黑" w:eastAsia="微软雅黑" w:cs="微软雅黑"/>
          <w:sz w:val="22"/>
          <w:szCs w:val="22"/>
        </w:rPr>
        <w:t>质疑事项1：</w:t>
      </w: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u w:val="dotted"/>
        </w:rPr>
      </w:pPr>
      <w:r>
        <w:rPr>
          <w:rFonts w:hint="eastAsia" w:ascii="微软雅黑" w:hAnsi="微软雅黑" w:eastAsia="微软雅黑" w:cs="微软雅黑"/>
          <w:sz w:val="22"/>
          <w:szCs w:val="22"/>
        </w:rPr>
        <w:t>事实依据：</w:t>
      </w: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u w:val="dotted"/>
        </w:rPr>
      </w:pPr>
      <w:r>
        <w:rPr>
          <w:rFonts w:hint="eastAsia" w:ascii="微软雅黑" w:hAnsi="微软雅黑" w:eastAsia="微软雅黑" w:cs="微软雅黑"/>
          <w:sz w:val="22"/>
          <w:szCs w:val="22"/>
        </w:rPr>
        <w:t>法律依据：</w:t>
      </w: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u w:val="dotted"/>
        </w:rPr>
      </w:pPr>
      <w:r>
        <w:rPr>
          <w:rFonts w:hint="eastAsia" w:ascii="微软雅黑" w:hAnsi="微软雅黑" w:eastAsia="微软雅黑" w:cs="微软雅黑"/>
          <w:sz w:val="22"/>
          <w:szCs w:val="22"/>
          <w:u w:val="dotted"/>
        </w:rPr>
        <w:t xml:space="preserve">                                                     </w:t>
      </w:r>
    </w:p>
    <w:p>
      <w:pPr>
        <w:adjustRightInd w:val="0"/>
        <w:snapToGrid w:val="0"/>
        <w:spacing w:line="440" w:lineRule="exact"/>
        <w:rPr>
          <w:rFonts w:ascii="微软雅黑" w:hAnsi="微软雅黑" w:eastAsia="微软雅黑" w:cs="微软雅黑"/>
          <w:sz w:val="22"/>
          <w:szCs w:val="22"/>
          <w:u w:val="dotted"/>
        </w:rPr>
      </w:pPr>
      <w:r>
        <w:rPr>
          <w:rFonts w:hint="eastAsia" w:ascii="微软雅黑" w:hAnsi="微软雅黑" w:eastAsia="微软雅黑" w:cs="微软雅黑"/>
          <w:sz w:val="22"/>
          <w:szCs w:val="22"/>
        </w:rPr>
        <w:t>质疑事项2</w:t>
      </w:r>
    </w:p>
    <w:p>
      <w:pPr>
        <w:adjustRightInd w:val="0"/>
        <w:snapToGrid w:val="0"/>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w:t>
      </w:r>
    </w:p>
    <w:p>
      <w:pPr>
        <w:adjustRightInd w:val="0"/>
        <w:snapToGrid w:val="0"/>
        <w:spacing w:line="440" w:lineRule="exact"/>
        <w:outlineLvl w:val="1"/>
        <w:rPr>
          <w:rFonts w:ascii="微软雅黑" w:hAnsi="微软雅黑" w:eastAsia="微软雅黑" w:cs="微软雅黑"/>
          <w:sz w:val="22"/>
          <w:szCs w:val="22"/>
        </w:rPr>
      </w:pPr>
      <w:bookmarkStart w:id="364" w:name="_Toc23756"/>
      <w:bookmarkStart w:id="365" w:name="_Toc11725"/>
      <w:bookmarkStart w:id="366" w:name="_Toc12953"/>
      <w:bookmarkStart w:id="367" w:name="_Toc25423"/>
      <w:bookmarkStart w:id="368" w:name="_Toc20101"/>
      <w:bookmarkStart w:id="369" w:name="_Toc15774"/>
      <w:bookmarkStart w:id="370" w:name="_Toc4583"/>
      <w:bookmarkStart w:id="371" w:name="_Toc6582"/>
      <w:bookmarkStart w:id="372" w:name="_Toc14716"/>
      <w:bookmarkStart w:id="373" w:name="_Toc19830"/>
      <w:bookmarkStart w:id="374" w:name="_Toc19561"/>
      <w:bookmarkStart w:id="375" w:name="_Toc17471"/>
      <w:bookmarkStart w:id="376" w:name="_Toc14902"/>
      <w:bookmarkStart w:id="377" w:name="_Toc11900"/>
      <w:bookmarkStart w:id="378" w:name="_Toc11711"/>
      <w:bookmarkStart w:id="379" w:name="_Toc2037"/>
      <w:bookmarkStart w:id="380" w:name="_Toc8209"/>
      <w:bookmarkStart w:id="381" w:name="_Toc20492"/>
      <w:bookmarkStart w:id="382" w:name="_Toc21477"/>
      <w:bookmarkStart w:id="383" w:name="_Toc13154"/>
      <w:bookmarkStart w:id="384" w:name="_Toc29909"/>
      <w:bookmarkStart w:id="385" w:name="_Toc21526"/>
      <w:bookmarkStart w:id="386" w:name="_Toc15359"/>
      <w:bookmarkStart w:id="387" w:name="_Toc19138"/>
      <w:bookmarkStart w:id="388" w:name="_Toc30785"/>
      <w:bookmarkStart w:id="389" w:name="_Toc31962"/>
      <w:bookmarkStart w:id="390" w:name="_Toc1624"/>
      <w:r>
        <w:rPr>
          <w:rFonts w:hint="eastAsia" w:ascii="微软雅黑" w:hAnsi="微软雅黑" w:eastAsia="微软雅黑" w:cs="微软雅黑"/>
          <w:sz w:val="22"/>
          <w:szCs w:val="22"/>
        </w:rPr>
        <w:t>四、与质疑事项相关的质疑请求</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adjustRightInd w:val="0"/>
        <w:snapToGrid w:val="0"/>
        <w:spacing w:line="440" w:lineRule="exact"/>
        <w:rPr>
          <w:rFonts w:ascii="微软雅黑" w:hAnsi="微软雅黑" w:eastAsia="微软雅黑" w:cs="微软雅黑"/>
          <w:sz w:val="22"/>
          <w:szCs w:val="22"/>
          <w:u w:val="dotted"/>
        </w:rPr>
      </w:pPr>
      <w:r>
        <w:rPr>
          <w:rFonts w:hint="eastAsia" w:ascii="微软雅黑" w:hAnsi="微软雅黑" w:eastAsia="微软雅黑" w:cs="微软雅黑"/>
          <w:sz w:val="22"/>
          <w:szCs w:val="22"/>
        </w:rPr>
        <w:t>请求：</w:t>
      </w:r>
      <w:r>
        <w:rPr>
          <w:rFonts w:hint="eastAsia" w:ascii="微软雅黑" w:hAnsi="微软雅黑" w:eastAsia="微软雅黑" w:cs="微软雅黑"/>
          <w:sz w:val="22"/>
          <w:szCs w:val="22"/>
          <w:u w:val="dotted"/>
        </w:rPr>
        <w:t xml:space="preserve">                                               </w:t>
      </w:r>
    </w:p>
    <w:p>
      <w:pPr>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 xml:space="preserve">签字（签章）：                   公章：                      </w:t>
      </w:r>
    </w:p>
    <w:p>
      <w:pPr>
        <w:spacing w:line="440" w:lineRule="exact"/>
        <w:rPr>
          <w:rFonts w:ascii="微软雅黑" w:hAnsi="微软雅黑" w:eastAsia="微软雅黑" w:cs="微软雅黑"/>
          <w:sz w:val="22"/>
          <w:szCs w:val="22"/>
        </w:rPr>
      </w:pPr>
      <w:r>
        <w:rPr>
          <w:rFonts w:hint="eastAsia" w:ascii="微软雅黑" w:hAnsi="微软雅黑" w:eastAsia="微软雅黑" w:cs="微软雅黑"/>
          <w:sz w:val="22"/>
          <w:szCs w:val="22"/>
        </w:rPr>
        <w:t xml:space="preserve">日期：    </w:t>
      </w:r>
    </w:p>
    <w:p>
      <w:pPr>
        <w:spacing w:line="440" w:lineRule="exact"/>
        <w:rPr>
          <w:rFonts w:ascii="微软雅黑" w:hAnsi="微软雅黑" w:eastAsia="微软雅黑" w:cs="微软雅黑"/>
          <w:b/>
          <w:bCs/>
          <w:sz w:val="22"/>
          <w:szCs w:val="22"/>
        </w:rPr>
      </w:pPr>
      <w:r>
        <w:rPr>
          <w:rFonts w:hint="eastAsia" w:ascii="微软雅黑" w:hAnsi="微软雅黑" w:eastAsia="微软雅黑" w:cs="微软雅黑"/>
          <w:b/>
          <w:bCs/>
          <w:sz w:val="22"/>
          <w:szCs w:val="22"/>
        </w:rPr>
        <w:t>质疑函制作说明：</w:t>
      </w:r>
    </w:p>
    <w:p>
      <w:pPr>
        <w:widowControl/>
        <w:spacing w:line="440" w:lineRule="exact"/>
        <w:ind w:firstLine="440" w:firstLineChars="200"/>
        <w:jc w:val="left"/>
        <w:rPr>
          <w:rFonts w:ascii="微软雅黑" w:hAnsi="微软雅黑" w:eastAsia="微软雅黑" w:cs="微软雅黑"/>
          <w:sz w:val="22"/>
          <w:szCs w:val="22"/>
        </w:rPr>
      </w:pPr>
      <w:r>
        <w:rPr>
          <w:rFonts w:hint="eastAsia" w:ascii="微软雅黑" w:hAnsi="微软雅黑" w:eastAsia="微软雅黑" w:cs="微软雅黑"/>
          <w:sz w:val="22"/>
          <w:szCs w:val="22"/>
        </w:rPr>
        <w:t>1.供应商提出质疑时，应提交质疑函和必要的证明材料。</w:t>
      </w:r>
    </w:p>
    <w:p>
      <w:pPr>
        <w:widowControl/>
        <w:spacing w:line="440" w:lineRule="exact"/>
        <w:ind w:firstLine="440" w:firstLineChars="200"/>
        <w:jc w:val="left"/>
        <w:rPr>
          <w:rFonts w:ascii="微软雅黑" w:hAnsi="微软雅黑" w:eastAsia="微软雅黑" w:cs="微软雅黑"/>
          <w:sz w:val="22"/>
          <w:szCs w:val="22"/>
        </w:rPr>
      </w:pPr>
      <w:r>
        <w:rPr>
          <w:rFonts w:hint="eastAsia" w:ascii="微软雅黑" w:hAnsi="微软雅黑" w:eastAsia="微软雅黑" w:cs="微软雅黑"/>
          <w:sz w:val="22"/>
          <w:szCs w:val="22"/>
        </w:rPr>
        <w:t>2.质疑供应商若委托代理人进行质疑的，质疑函应按要求列明“授权代表”的有关内容，并在附件中提交由质疑</w:t>
      </w:r>
      <w:r>
        <w:rPr>
          <w:rFonts w:hint="eastAsia" w:ascii="微软雅黑" w:hAnsi="微软雅黑" w:eastAsia="微软雅黑" w:cs="微软雅黑"/>
          <w:kern w:val="0"/>
          <w:sz w:val="22"/>
          <w:szCs w:val="22"/>
        </w:rPr>
        <w:t>供应商签署的授权委托书。授权委托书应载明代理人的姓名或者名称、代理事项、具体权限、期限和相关事项。</w:t>
      </w:r>
    </w:p>
    <w:p>
      <w:pPr>
        <w:widowControl/>
        <w:spacing w:line="440" w:lineRule="exact"/>
        <w:ind w:firstLine="440" w:firstLineChars="200"/>
        <w:jc w:val="left"/>
        <w:rPr>
          <w:rFonts w:ascii="微软雅黑" w:hAnsi="微软雅黑" w:eastAsia="微软雅黑" w:cs="微软雅黑"/>
          <w:sz w:val="22"/>
          <w:szCs w:val="22"/>
        </w:rPr>
      </w:pPr>
      <w:r>
        <w:rPr>
          <w:rFonts w:hint="eastAsia" w:ascii="微软雅黑" w:hAnsi="微软雅黑" w:eastAsia="微软雅黑" w:cs="微软雅黑"/>
          <w:sz w:val="22"/>
          <w:szCs w:val="22"/>
        </w:rPr>
        <w:t>3.质疑供应商若对项目的某一分包进行质疑，质疑函中应列明具体分包号。</w:t>
      </w:r>
    </w:p>
    <w:p>
      <w:pPr>
        <w:widowControl/>
        <w:spacing w:line="440" w:lineRule="exact"/>
        <w:ind w:firstLine="440" w:firstLineChars="200"/>
        <w:jc w:val="left"/>
        <w:rPr>
          <w:rFonts w:ascii="微软雅黑" w:hAnsi="微软雅黑" w:eastAsia="微软雅黑" w:cs="微软雅黑"/>
          <w:sz w:val="22"/>
          <w:szCs w:val="22"/>
        </w:rPr>
      </w:pPr>
      <w:r>
        <w:rPr>
          <w:rFonts w:hint="eastAsia" w:ascii="微软雅黑" w:hAnsi="微软雅黑" w:eastAsia="微软雅黑" w:cs="微软雅黑"/>
          <w:sz w:val="22"/>
          <w:szCs w:val="22"/>
        </w:rPr>
        <w:t>4.质疑函的质疑事项应具体、明确，并有必要的事实依据和法律依据。</w:t>
      </w:r>
    </w:p>
    <w:p>
      <w:pPr>
        <w:widowControl/>
        <w:spacing w:line="440" w:lineRule="exact"/>
        <w:ind w:firstLine="440" w:firstLineChars="200"/>
        <w:jc w:val="left"/>
        <w:rPr>
          <w:rFonts w:ascii="微软雅黑" w:hAnsi="微软雅黑" w:eastAsia="微软雅黑" w:cs="微软雅黑"/>
          <w:sz w:val="22"/>
          <w:szCs w:val="22"/>
        </w:rPr>
      </w:pPr>
      <w:r>
        <w:rPr>
          <w:rFonts w:hint="eastAsia" w:ascii="微软雅黑" w:hAnsi="微软雅黑" w:eastAsia="微软雅黑" w:cs="微软雅黑"/>
          <w:sz w:val="22"/>
          <w:szCs w:val="22"/>
        </w:rPr>
        <w:t>5.质疑函的质疑请求应与质疑事项相关。</w:t>
      </w:r>
    </w:p>
    <w:p>
      <w:pPr>
        <w:widowControl/>
        <w:spacing w:line="440" w:lineRule="exact"/>
        <w:ind w:firstLine="440" w:firstLineChars="200"/>
        <w:jc w:val="left"/>
        <w:rPr>
          <w:rFonts w:ascii="微软雅黑" w:hAnsi="微软雅黑" w:eastAsia="微软雅黑" w:cs="微软雅黑"/>
          <w:sz w:val="22"/>
          <w:szCs w:val="22"/>
        </w:rPr>
      </w:pPr>
      <w:r>
        <w:rPr>
          <w:rFonts w:hint="eastAsia" w:ascii="微软雅黑" w:hAnsi="微软雅黑" w:eastAsia="微软雅黑" w:cs="微软雅黑"/>
          <w:sz w:val="22"/>
          <w:szCs w:val="22"/>
        </w:rPr>
        <w:t>6.质疑供应商为自然人的，质疑函应由本人签字；质疑供应商为法人或者其他组织的，质疑函应由法定代表人、主要负责人，或者其授权代表签字或者盖章，并加盖公章。</w:t>
      </w:r>
    </w:p>
    <w:p>
      <w:pPr>
        <w:pStyle w:val="5"/>
        <w:spacing w:line="440" w:lineRule="exact"/>
        <w:rPr>
          <w:rFonts w:ascii="微软雅黑" w:hAnsi="微软雅黑" w:eastAsia="微软雅黑" w:cs="微软雅黑"/>
          <w:sz w:val="22"/>
          <w:szCs w:val="22"/>
        </w:rPr>
      </w:pPr>
    </w:p>
    <w:p>
      <w:pPr>
        <w:rPr>
          <w:rFonts w:ascii="微软雅黑" w:hAnsi="微软雅黑" w:eastAsia="微软雅黑" w:cs="微软雅黑"/>
          <w:sz w:val="22"/>
          <w:szCs w:val="22"/>
        </w:rPr>
      </w:pPr>
    </w:p>
    <w:p>
      <w:pPr>
        <w:pStyle w:val="5"/>
        <w:rPr>
          <w:rFonts w:ascii="微软雅黑" w:hAnsi="微软雅黑" w:eastAsia="微软雅黑" w:cs="微软雅黑"/>
          <w:sz w:val="22"/>
          <w:szCs w:val="22"/>
        </w:rPr>
      </w:pPr>
    </w:p>
    <w:p>
      <w:pPr>
        <w:rPr>
          <w:rFonts w:ascii="微软雅黑" w:hAnsi="微软雅黑" w:eastAsia="微软雅黑" w:cs="微软雅黑"/>
          <w:sz w:val="22"/>
          <w:szCs w:val="22"/>
        </w:rPr>
      </w:pPr>
    </w:p>
    <w:p>
      <w:pPr>
        <w:pStyle w:val="5"/>
        <w:rPr>
          <w:rFonts w:ascii="微软雅黑" w:hAnsi="微软雅黑" w:eastAsia="微软雅黑" w:cs="微软雅黑"/>
          <w:sz w:val="22"/>
          <w:szCs w:val="22"/>
        </w:rPr>
      </w:pPr>
    </w:p>
    <w:p>
      <w:pPr>
        <w:rPr>
          <w:rFonts w:ascii="微软雅黑" w:hAnsi="微软雅黑" w:eastAsia="微软雅黑" w:cs="微软雅黑"/>
          <w:sz w:val="22"/>
          <w:szCs w:val="22"/>
        </w:rPr>
      </w:pPr>
    </w:p>
    <w:p>
      <w:pPr>
        <w:pStyle w:val="5"/>
        <w:rPr>
          <w:rFonts w:ascii="微软雅黑" w:hAnsi="微软雅黑" w:eastAsia="微软雅黑" w:cs="微软雅黑"/>
          <w:sz w:val="22"/>
          <w:szCs w:val="22"/>
        </w:rPr>
      </w:pPr>
    </w:p>
    <w:p>
      <w:pPr>
        <w:rPr>
          <w:rFonts w:ascii="微软雅黑" w:hAnsi="微软雅黑" w:eastAsia="微软雅黑" w:cs="微软雅黑"/>
          <w:sz w:val="22"/>
          <w:szCs w:val="22"/>
        </w:rPr>
      </w:pPr>
    </w:p>
    <w:p>
      <w:pPr>
        <w:pStyle w:val="5"/>
        <w:rPr>
          <w:rFonts w:ascii="微软雅黑" w:hAnsi="微软雅黑" w:eastAsia="微软雅黑" w:cs="微软雅黑"/>
          <w:sz w:val="22"/>
          <w:szCs w:val="22"/>
        </w:rPr>
      </w:pPr>
    </w:p>
    <w:p>
      <w:pPr>
        <w:rPr>
          <w:rFonts w:ascii="微软雅黑" w:hAnsi="微软雅黑" w:eastAsia="微软雅黑" w:cs="微软雅黑"/>
          <w:sz w:val="22"/>
          <w:szCs w:val="22"/>
        </w:rPr>
      </w:pPr>
    </w:p>
    <w:p>
      <w:pPr>
        <w:pStyle w:val="5"/>
        <w:rPr>
          <w:rFonts w:ascii="微软雅黑" w:hAnsi="微软雅黑" w:eastAsia="微软雅黑" w:cs="微软雅黑"/>
          <w:sz w:val="22"/>
          <w:szCs w:val="22"/>
        </w:rPr>
      </w:pPr>
    </w:p>
    <w:p>
      <w:pPr>
        <w:rPr>
          <w:rFonts w:ascii="微软雅黑" w:hAnsi="微软雅黑" w:eastAsia="微软雅黑" w:cs="微软雅黑"/>
          <w:sz w:val="22"/>
          <w:szCs w:val="22"/>
        </w:rPr>
      </w:pPr>
    </w:p>
    <w:p>
      <w:pPr>
        <w:pStyle w:val="5"/>
        <w:rPr>
          <w:rFonts w:ascii="微软雅黑" w:hAnsi="微软雅黑" w:eastAsia="微软雅黑" w:cs="微软雅黑"/>
          <w:sz w:val="22"/>
          <w:szCs w:val="22"/>
        </w:rPr>
      </w:pPr>
    </w:p>
    <w:p>
      <w:pPr>
        <w:rPr>
          <w:rFonts w:ascii="微软雅黑" w:hAnsi="微软雅黑" w:eastAsia="微软雅黑" w:cs="微软雅黑"/>
          <w:sz w:val="22"/>
          <w:szCs w:val="22"/>
        </w:rPr>
      </w:pPr>
    </w:p>
    <w:p>
      <w:pPr>
        <w:pStyle w:val="5"/>
      </w:pPr>
    </w:p>
    <w:p>
      <w:pPr>
        <w:pStyle w:val="3"/>
        <w:spacing w:before="0" w:after="0" w:line="240" w:lineRule="auto"/>
        <w:rPr>
          <w:rFonts w:ascii="微软雅黑" w:hAnsi="微软雅黑" w:eastAsia="微软雅黑" w:cs="微软雅黑"/>
          <w:sz w:val="48"/>
          <w:szCs w:val="48"/>
        </w:rPr>
      </w:pPr>
      <w:bookmarkStart w:id="391" w:name="_Toc29770"/>
      <w:bookmarkStart w:id="392" w:name="_Toc216582812"/>
      <w:bookmarkStart w:id="393" w:name="_Toc728"/>
      <w:bookmarkStart w:id="394" w:name="_Toc702"/>
      <w:bookmarkStart w:id="395" w:name="_Toc515647802"/>
      <w:bookmarkStart w:id="396" w:name="_Toc24248"/>
      <w:r>
        <w:rPr>
          <w:rFonts w:hint="eastAsia" w:ascii="微软雅黑" w:hAnsi="微软雅黑" w:eastAsia="微软雅黑" w:cs="微软雅黑"/>
        </w:rPr>
        <w:t>第2章   投标文件格式</w:t>
      </w:r>
      <w:bookmarkEnd w:id="391"/>
      <w:bookmarkEnd w:id="392"/>
      <w:bookmarkEnd w:id="393"/>
      <w:bookmarkEnd w:id="394"/>
      <w:bookmarkEnd w:id="395"/>
      <w:bookmarkEnd w:id="396"/>
    </w:p>
    <w:p>
      <w:pPr>
        <w:pStyle w:val="4"/>
        <w:spacing w:before="0" w:line="240" w:lineRule="auto"/>
        <w:ind w:left="1080" w:leftChars="257" w:hanging="540"/>
        <w:rPr>
          <w:rFonts w:ascii="微软雅黑" w:hAnsi="微软雅黑" w:eastAsia="微软雅黑" w:cs="微软雅黑"/>
          <w:kern w:val="2"/>
          <w:sz w:val="24"/>
          <w:szCs w:val="24"/>
        </w:rPr>
      </w:pPr>
      <w:bookmarkStart w:id="397" w:name="_Toc22572"/>
      <w:bookmarkStart w:id="398" w:name="_Toc18974"/>
      <w:bookmarkStart w:id="399" w:name="_Toc515647803"/>
      <w:bookmarkStart w:id="400" w:name="_Toc18694"/>
      <w:bookmarkStart w:id="401" w:name="_Toc2893"/>
      <w:r>
        <w:rPr>
          <w:rFonts w:hint="eastAsia" w:ascii="微软雅黑" w:hAnsi="微软雅黑" w:eastAsia="微软雅黑" w:cs="微软雅黑"/>
          <w:kern w:val="2"/>
          <w:sz w:val="24"/>
          <w:szCs w:val="24"/>
        </w:rPr>
        <w:t>第一部分 开标一览表及资格证明文件</w:t>
      </w:r>
      <w:bookmarkEnd w:id="397"/>
      <w:bookmarkEnd w:id="398"/>
      <w:bookmarkEnd w:id="399"/>
      <w:bookmarkEnd w:id="400"/>
      <w:bookmarkEnd w:id="401"/>
    </w:p>
    <w:p>
      <w:pPr>
        <w:pStyle w:val="15"/>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1、开标一览表；</w:t>
      </w:r>
    </w:p>
    <w:p>
      <w:pPr>
        <w:pStyle w:val="15"/>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2、符合《中华人民共和国政府采购法》第二十二条的规定,</w:t>
      </w:r>
    </w:p>
    <w:p>
      <w:pPr>
        <w:pStyle w:val="24"/>
        <w:widowControl/>
        <w:spacing w:before="75" w:beforeAutospacing="0" w:after="75" w:afterAutospacing="0"/>
        <w:ind w:firstLine="480" w:firstLineChars="200"/>
        <w:rPr>
          <w:rFonts w:ascii="微软雅黑" w:hAnsi="微软雅黑" w:eastAsia="微软雅黑" w:cs="微软雅黑"/>
        </w:rPr>
      </w:pPr>
      <w:r>
        <w:rPr>
          <w:rFonts w:hint="eastAsia" w:ascii="微软雅黑" w:hAnsi="微软雅黑" w:eastAsia="微软雅黑" w:cs="微软雅黑"/>
        </w:rPr>
        <w:t>①具有独立承担民事责任的能力；（投标时，提供在中华人民共和国境内注册的法人或其他组织的营业执照或事业单位法人证书或社会团体法人登记证书）</w:t>
      </w:r>
    </w:p>
    <w:p>
      <w:pPr>
        <w:pStyle w:val="24"/>
        <w:widowControl/>
        <w:spacing w:before="75" w:beforeAutospacing="0" w:after="75" w:afterAutospacing="0" w:line="380" w:lineRule="exact"/>
        <w:ind w:firstLine="480" w:firstLineChars="200"/>
        <w:rPr>
          <w:rFonts w:ascii="微软雅黑" w:hAnsi="微软雅黑" w:eastAsia="微软雅黑" w:cs="微软雅黑"/>
        </w:rPr>
      </w:pPr>
      <w:r>
        <w:rPr>
          <w:rFonts w:hint="eastAsia" w:ascii="微软雅黑" w:hAnsi="微软雅黑" w:eastAsia="微软雅黑" w:cs="微软雅黑"/>
        </w:rPr>
        <w:t>②</w:t>
      </w:r>
      <w:r>
        <w:rPr>
          <w:rFonts w:hint="eastAsia" w:ascii="微软雅黑" w:hAnsi="微软雅黑" w:eastAsia="微软雅黑" w:cs="微软雅黑"/>
          <w:lang w:eastAsia="zh-CN"/>
        </w:rPr>
        <w:t>具有有效的</w:t>
      </w:r>
      <w:r>
        <w:rPr>
          <w:rFonts w:hint="eastAsia" w:ascii="微软雅黑" w:hAnsi="微软雅黑" w:eastAsia="微软雅黑" w:cs="微软雅黑"/>
        </w:rPr>
        <w:t>《药品生产许可证》或《药品经营许可证》。</w:t>
      </w:r>
    </w:p>
    <w:p>
      <w:pPr>
        <w:pStyle w:val="24"/>
        <w:widowControl/>
        <w:spacing w:before="75" w:beforeAutospacing="0" w:after="75" w:afterAutospacing="0"/>
        <w:ind w:firstLine="480" w:firstLineChars="200"/>
        <w:rPr>
          <w:rFonts w:ascii="微软雅黑" w:hAnsi="微软雅黑" w:eastAsia="微软雅黑" w:cs="微软雅黑"/>
        </w:rPr>
      </w:pPr>
      <w:r>
        <w:rPr>
          <w:rFonts w:hint="eastAsia" w:ascii="微软雅黑" w:hAnsi="微软雅黑" w:eastAsia="微软雅黑" w:cs="微软雅黑"/>
        </w:rPr>
        <w:t>③提供法定代表人资格证明及授权书、被授权人身份证；(法定代表人投标需提供法定代表人身份证)；</w:t>
      </w:r>
    </w:p>
    <w:p>
      <w:pPr>
        <w:pStyle w:val="24"/>
        <w:widowControl/>
        <w:spacing w:before="75" w:beforeAutospacing="0" w:after="75" w:afterAutospacing="0"/>
        <w:ind w:firstLine="480" w:firstLineChars="200"/>
        <w:rPr>
          <w:rFonts w:ascii="微软雅黑" w:hAnsi="微软雅黑" w:eastAsia="微软雅黑" w:cs="微软雅黑"/>
        </w:rPr>
      </w:pPr>
      <w:r>
        <w:rPr>
          <w:rFonts w:hint="eastAsia" w:ascii="微软雅黑" w:hAnsi="微软雅黑" w:eastAsia="微软雅黑" w:cs="微软雅黑"/>
        </w:rPr>
        <w:t>④本单位依法缴纳的近3个月内任意一个月的社会保险的凭据；</w:t>
      </w:r>
    </w:p>
    <w:p>
      <w:pPr>
        <w:pStyle w:val="24"/>
        <w:widowControl/>
        <w:spacing w:before="75" w:beforeAutospacing="0" w:after="75" w:afterAutospacing="0"/>
        <w:ind w:firstLine="480" w:firstLineChars="200"/>
        <w:rPr>
          <w:rFonts w:ascii="微软雅黑" w:hAnsi="微软雅黑" w:eastAsia="微软雅黑" w:cs="微软雅黑"/>
        </w:rPr>
      </w:pPr>
      <w:r>
        <w:rPr>
          <w:rFonts w:hint="eastAsia" w:ascii="微软雅黑" w:hAnsi="微软雅黑" w:eastAsia="微软雅黑" w:cs="微软雅黑"/>
        </w:rPr>
        <w:t>⑤税务部门出具的近3个月内人任意一个月的完税证明（依法免缴的应提供依法免缴的相关证明文件或零申报报表）；</w:t>
      </w:r>
    </w:p>
    <w:p>
      <w:pPr>
        <w:pStyle w:val="24"/>
        <w:widowControl/>
        <w:spacing w:before="75" w:beforeAutospacing="0" w:after="75" w:afterAutospacing="0"/>
        <w:ind w:firstLine="480" w:firstLineChars="200"/>
        <w:rPr>
          <w:rFonts w:ascii="微软雅黑" w:hAnsi="微软雅黑" w:eastAsia="微软雅黑" w:cs="微软雅黑"/>
        </w:rPr>
      </w:pPr>
      <w:r>
        <w:rPr>
          <w:rFonts w:hint="eastAsia" w:ascii="微软雅黑" w:hAnsi="微软雅黑" w:eastAsia="微软雅黑" w:cs="微软雅黑"/>
        </w:rPr>
        <w:t>⑥提供近两年任意一年完整的财务审计报告（成立不满一年的可提供近一个月的银行资信证明）；</w:t>
      </w:r>
    </w:p>
    <w:p>
      <w:pPr>
        <w:pStyle w:val="24"/>
        <w:widowControl/>
        <w:spacing w:before="75" w:beforeAutospacing="0" w:after="75" w:afterAutospacing="0"/>
        <w:ind w:firstLine="480" w:firstLineChars="200"/>
        <w:rPr>
          <w:rFonts w:ascii="微软雅黑" w:hAnsi="微软雅黑" w:eastAsia="微软雅黑" w:cs="微软雅黑"/>
        </w:rPr>
      </w:pPr>
      <w:r>
        <w:rPr>
          <w:rFonts w:hint="eastAsia" w:ascii="微软雅黑" w:hAnsi="微软雅黑" w:eastAsia="微软雅黑" w:cs="微软雅黑"/>
        </w:rPr>
        <w:t>⑦参与政府采购活动前3年内未被列入失信、重大税收违法案件、财政部门禁止参加政府采购活动的承诺书；</w:t>
      </w:r>
    </w:p>
    <w:p>
      <w:pPr>
        <w:pStyle w:val="24"/>
        <w:widowControl/>
        <w:spacing w:before="75" w:beforeAutospacing="0" w:after="75" w:afterAutospacing="0"/>
        <w:ind w:firstLine="480" w:firstLineChars="200"/>
        <w:rPr>
          <w:rFonts w:ascii="微软雅黑" w:hAnsi="微软雅黑" w:eastAsia="微软雅黑" w:cs="微软雅黑"/>
        </w:rPr>
      </w:pPr>
      <w:r>
        <w:rPr>
          <w:rFonts w:hint="eastAsia" w:ascii="微软雅黑" w:hAnsi="微软雅黑" w:eastAsia="微软雅黑" w:cs="微软雅黑"/>
        </w:rPr>
        <w:t>⑧提供针对本次项目的反商业贿赂承诺书。</w:t>
      </w:r>
    </w:p>
    <w:p>
      <w:pPr>
        <w:pStyle w:val="24"/>
        <w:widowControl/>
        <w:spacing w:before="75" w:beforeAutospacing="0" w:after="75" w:afterAutospacing="0"/>
        <w:ind w:firstLine="480" w:firstLineChars="200"/>
        <w:rPr>
          <w:rFonts w:ascii="微软雅黑" w:hAnsi="微软雅黑" w:eastAsia="微软雅黑" w:cs="微软雅黑"/>
        </w:rPr>
      </w:pPr>
      <w:r>
        <w:rPr>
          <w:rFonts w:hint="eastAsia" w:ascii="微软雅黑" w:hAnsi="微软雅黑" w:eastAsia="微软雅黑" w:cs="微软雅黑"/>
        </w:rPr>
        <w:t>⑨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15"/>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3、投标保证金有效凭证；</w:t>
      </w:r>
    </w:p>
    <w:p>
      <w:pPr>
        <w:pStyle w:val="15"/>
        <w:ind w:firstLine="480" w:firstLineChars="200"/>
        <w:jc w:val="left"/>
        <w:rPr>
          <w:rFonts w:ascii="微软雅黑" w:hAnsi="微软雅黑" w:eastAsia="微软雅黑" w:cs="微软雅黑"/>
          <w:sz w:val="24"/>
          <w:szCs w:val="24"/>
        </w:rPr>
      </w:pPr>
    </w:p>
    <w:p>
      <w:pPr>
        <w:pStyle w:val="15"/>
        <w:ind w:firstLine="480" w:firstLineChars="200"/>
        <w:jc w:val="left"/>
        <w:rPr>
          <w:rFonts w:ascii="微软雅黑" w:hAnsi="微软雅黑" w:eastAsia="微软雅黑" w:cs="微软雅黑"/>
          <w:sz w:val="24"/>
          <w:szCs w:val="24"/>
        </w:rPr>
      </w:pPr>
    </w:p>
    <w:p>
      <w:pPr>
        <w:pStyle w:val="15"/>
        <w:ind w:firstLine="480" w:firstLineChars="200"/>
        <w:jc w:val="left"/>
        <w:rPr>
          <w:rFonts w:ascii="微软雅黑" w:hAnsi="微软雅黑" w:eastAsia="微软雅黑" w:cs="微软雅黑"/>
          <w:sz w:val="24"/>
          <w:szCs w:val="24"/>
        </w:rPr>
      </w:pPr>
    </w:p>
    <w:p>
      <w:pPr>
        <w:pStyle w:val="15"/>
        <w:ind w:firstLine="480" w:firstLineChars="200"/>
        <w:jc w:val="left"/>
        <w:rPr>
          <w:rFonts w:ascii="微软雅黑" w:hAnsi="微软雅黑" w:eastAsia="微软雅黑" w:cs="微软雅黑"/>
          <w:sz w:val="24"/>
          <w:szCs w:val="24"/>
        </w:rPr>
      </w:pPr>
    </w:p>
    <w:p>
      <w:pPr>
        <w:pStyle w:val="15"/>
        <w:ind w:firstLine="480" w:firstLineChars="200"/>
        <w:jc w:val="left"/>
        <w:rPr>
          <w:rFonts w:ascii="微软雅黑" w:hAnsi="微软雅黑" w:eastAsia="微软雅黑" w:cs="微软雅黑"/>
          <w:sz w:val="24"/>
          <w:szCs w:val="24"/>
        </w:rPr>
      </w:pPr>
    </w:p>
    <w:p>
      <w:pPr>
        <w:pStyle w:val="15"/>
        <w:ind w:firstLine="480" w:firstLineChars="200"/>
        <w:jc w:val="left"/>
        <w:rPr>
          <w:rFonts w:ascii="微软雅黑" w:hAnsi="微软雅黑" w:eastAsia="微软雅黑" w:cs="微软雅黑"/>
          <w:sz w:val="24"/>
          <w:szCs w:val="24"/>
        </w:rPr>
      </w:pPr>
    </w:p>
    <w:p>
      <w:pPr>
        <w:pStyle w:val="15"/>
        <w:ind w:firstLine="480" w:firstLineChars="200"/>
        <w:jc w:val="left"/>
        <w:rPr>
          <w:rFonts w:ascii="微软雅黑" w:hAnsi="微软雅黑" w:eastAsia="微软雅黑" w:cs="微软雅黑"/>
          <w:sz w:val="24"/>
          <w:szCs w:val="24"/>
        </w:rPr>
      </w:pPr>
    </w:p>
    <w:p>
      <w:bookmarkStart w:id="402" w:name="_Toc30524"/>
      <w:bookmarkStart w:id="403" w:name="_Toc515647804"/>
      <w:bookmarkStart w:id="404" w:name="_Toc8165"/>
      <w:bookmarkStart w:id="405" w:name="_Toc16568"/>
      <w:bookmarkStart w:id="406" w:name="_Toc2679"/>
      <w:bookmarkStart w:id="407" w:name="_Toc10957"/>
      <w:bookmarkStart w:id="408" w:name="_Toc5230"/>
      <w:bookmarkStart w:id="409" w:name="_Toc15286"/>
    </w:p>
    <w:p>
      <w:pPr>
        <w:pStyle w:val="4"/>
        <w:spacing w:before="0" w:line="240" w:lineRule="auto"/>
        <w:ind w:firstLine="3362" w:firstLineChars="1400"/>
        <w:jc w:val="both"/>
        <w:rPr>
          <w:rFonts w:ascii="微软雅黑" w:hAnsi="微软雅黑" w:eastAsia="微软雅黑" w:cs="微软雅黑"/>
          <w:b/>
          <w:bCs/>
          <w:sz w:val="24"/>
          <w:szCs w:val="24"/>
        </w:rPr>
      </w:pPr>
      <w:bookmarkStart w:id="410" w:name="_Toc25917"/>
      <w:bookmarkStart w:id="411" w:name="_Toc6108"/>
      <w:r>
        <w:rPr>
          <w:rFonts w:hint="eastAsia" w:ascii="微软雅黑" w:hAnsi="微软雅黑" w:eastAsia="微软雅黑" w:cs="微软雅黑"/>
          <w:b/>
          <w:bCs/>
          <w:sz w:val="24"/>
          <w:szCs w:val="24"/>
        </w:rPr>
        <w:t>1  开标一览表</w:t>
      </w:r>
      <w:bookmarkEnd w:id="402"/>
      <w:bookmarkEnd w:id="403"/>
      <w:bookmarkEnd w:id="404"/>
      <w:bookmarkEnd w:id="405"/>
      <w:bookmarkEnd w:id="406"/>
      <w:bookmarkEnd w:id="407"/>
      <w:bookmarkEnd w:id="408"/>
      <w:bookmarkEnd w:id="409"/>
      <w:bookmarkEnd w:id="410"/>
      <w:bookmarkEnd w:id="411"/>
      <w:bookmarkStart w:id="412" w:name="_Hlt520356241"/>
      <w:bookmarkEnd w:id="412"/>
      <w:bookmarkStart w:id="413" w:name="_Toc494296984"/>
      <w:bookmarkStart w:id="414" w:name="_Ref467988698"/>
      <w:bookmarkStart w:id="415" w:name="_Toc480942349"/>
      <w:bookmarkStart w:id="416" w:name="_Toc520356217"/>
      <w:bookmarkStart w:id="417" w:name="_Toc216582813"/>
    </w:p>
    <w:p>
      <w:pPr>
        <w:pStyle w:val="5"/>
        <w:tabs>
          <w:tab w:val="left" w:pos="5580"/>
        </w:tabs>
        <w:ind w:left="1080" w:leftChars="257" w:hanging="540"/>
        <w:rPr>
          <w:rFonts w:ascii="微软雅黑" w:hAnsi="微软雅黑" w:eastAsia="微软雅黑" w:cs="微软雅黑"/>
        </w:rPr>
      </w:pPr>
    </w:p>
    <w:p>
      <w:pPr>
        <w:tabs>
          <w:tab w:val="left" w:pos="1800"/>
          <w:tab w:val="left" w:pos="5580"/>
        </w:tabs>
        <w:ind w:right="-867" w:rightChars="-413"/>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项目编号：                 </w:t>
      </w:r>
    </w:p>
    <w:p>
      <w:pPr>
        <w:tabs>
          <w:tab w:val="left" w:pos="1800"/>
          <w:tab w:val="left" w:pos="5580"/>
        </w:tabs>
        <w:ind w:right="-867" w:rightChars="-413"/>
        <w:rPr>
          <w:rFonts w:ascii="微软雅黑" w:hAnsi="微软雅黑" w:eastAsia="微软雅黑" w:cs="微软雅黑"/>
          <w:sz w:val="24"/>
          <w:szCs w:val="24"/>
        </w:rPr>
      </w:pPr>
    </w:p>
    <w:p>
      <w:pPr>
        <w:tabs>
          <w:tab w:val="left" w:pos="1800"/>
          <w:tab w:val="left" w:pos="5580"/>
        </w:tabs>
        <w:ind w:right="-867" w:rightChars="-413"/>
        <w:rPr>
          <w:rFonts w:ascii="微软雅黑" w:hAnsi="微软雅黑" w:eastAsia="微软雅黑" w:cs="微软雅黑"/>
          <w:sz w:val="24"/>
          <w:szCs w:val="24"/>
        </w:rPr>
      </w:pPr>
      <w:r>
        <w:rPr>
          <w:rFonts w:hint="eastAsia" w:ascii="微软雅黑" w:hAnsi="微软雅黑" w:eastAsia="微软雅黑" w:cs="微软雅黑"/>
          <w:sz w:val="24"/>
          <w:szCs w:val="24"/>
        </w:rPr>
        <w:t xml:space="preserve">报价单位：人民币  </w:t>
      </w:r>
      <w:r>
        <w:rPr>
          <w:rFonts w:hint="eastAsia" w:ascii="微软雅黑" w:hAnsi="微软雅黑" w:eastAsia="微软雅黑" w:cs="微软雅黑"/>
          <w:b/>
          <w:bCs/>
          <w:sz w:val="24"/>
          <w:szCs w:val="24"/>
        </w:rPr>
        <w:t xml:space="preserve">元                 </w:t>
      </w:r>
      <w:r>
        <w:rPr>
          <w:rFonts w:hint="eastAsia" w:ascii="微软雅黑" w:hAnsi="微软雅黑" w:eastAsia="微软雅黑" w:cs="微软雅黑"/>
          <w:sz w:val="24"/>
          <w:szCs w:val="24"/>
        </w:rPr>
        <w:t xml:space="preserve">包号：       </w:t>
      </w:r>
    </w:p>
    <w:tbl>
      <w:tblPr>
        <w:tblStyle w:val="28"/>
        <w:tblW w:w="9358" w:type="dxa"/>
        <w:tblInd w:w="2" w:type="dxa"/>
        <w:tblLayout w:type="fixed"/>
        <w:tblCellMar>
          <w:top w:w="0" w:type="dxa"/>
          <w:left w:w="0" w:type="dxa"/>
          <w:bottom w:w="0" w:type="dxa"/>
          <w:right w:w="0" w:type="dxa"/>
        </w:tblCellMar>
      </w:tblPr>
      <w:tblGrid>
        <w:gridCol w:w="1214"/>
        <w:gridCol w:w="2215"/>
        <w:gridCol w:w="1675"/>
        <w:gridCol w:w="2127"/>
        <w:gridCol w:w="2127"/>
      </w:tblGrid>
      <w:tr>
        <w:tblPrEx>
          <w:tblCellMar>
            <w:top w:w="0" w:type="dxa"/>
            <w:left w:w="0" w:type="dxa"/>
            <w:bottom w:w="0" w:type="dxa"/>
            <w:right w:w="0" w:type="dxa"/>
          </w:tblCellMar>
        </w:tblPrEx>
        <w:trPr>
          <w:trHeight w:val="631" w:hRule="atLeast"/>
        </w:trPr>
        <w:tc>
          <w:tcPr>
            <w:tcW w:w="1214" w:type="dxa"/>
            <w:tcBorders>
              <w:top w:val="single" w:color="auto" w:sz="4" w:space="0"/>
              <w:left w:val="single" w:color="auto" w:sz="4" w:space="0"/>
              <w:bottom w:val="single" w:color="auto" w:sz="8" w:space="0"/>
              <w:right w:val="single" w:color="auto" w:sz="4" w:space="0"/>
            </w:tcBorders>
            <w:vAlign w:val="center"/>
          </w:tcPr>
          <w:p>
            <w:pPr>
              <w:tabs>
                <w:tab w:val="left" w:pos="5580"/>
              </w:tabs>
              <w:ind w:right="-199"/>
              <w:jc w:val="center"/>
              <w:rPr>
                <w:rFonts w:ascii="微软雅黑" w:hAnsi="微软雅黑" w:eastAsia="微软雅黑" w:cs="微软雅黑"/>
                <w:sz w:val="24"/>
                <w:szCs w:val="24"/>
              </w:rPr>
            </w:pPr>
            <w:r>
              <w:rPr>
                <w:rFonts w:hint="eastAsia" w:ascii="微软雅黑" w:hAnsi="微软雅黑" w:eastAsia="微软雅黑" w:cs="微软雅黑"/>
                <w:sz w:val="24"/>
                <w:szCs w:val="24"/>
              </w:rPr>
              <w:t>货物内容</w:t>
            </w:r>
          </w:p>
        </w:tc>
        <w:tc>
          <w:tcPr>
            <w:tcW w:w="2215" w:type="dxa"/>
            <w:tcBorders>
              <w:top w:val="single" w:color="auto" w:sz="4" w:space="0"/>
              <w:left w:val="single" w:color="auto" w:sz="8" w:space="0"/>
              <w:bottom w:val="single" w:color="auto" w:sz="8" w:space="0"/>
              <w:right w:val="single" w:color="auto" w:sz="4" w:space="0"/>
            </w:tcBorders>
            <w:vAlign w:val="center"/>
          </w:tcPr>
          <w:p>
            <w:pPr>
              <w:tabs>
                <w:tab w:val="left" w:pos="5580"/>
              </w:tabs>
              <w:jc w:val="center"/>
              <w:rPr>
                <w:rFonts w:ascii="微软雅黑" w:hAnsi="微软雅黑" w:eastAsia="微软雅黑" w:cs="微软雅黑"/>
                <w:sz w:val="24"/>
                <w:szCs w:val="24"/>
              </w:rPr>
            </w:pPr>
            <w:r>
              <w:rPr>
                <w:rFonts w:hint="eastAsia" w:ascii="微软雅黑" w:hAnsi="微软雅黑" w:eastAsia="微软雅黑" w:cs="微软雅黑"/>
                <w:sz w:val="24"/>
                <w:szCs w:val="24"/>
              </w:rPr>
              <w:t>投标总报价</w:t>
            </w:r>
          </w:p>
        </w:tc>
        <w:tc>
          <w:tcPr>
            <w:tcW w:w="1675" w:type="dxa"/>
            <w:tcBorders>
              <w:top w:val="single" w:color="auto" w:sz="8" w:space="0"/>
              <w:left w:val="nil"/>
              <w:bottom w:val="single" w:color="auto" w:sz="8" w:space="0"/>
              <w:right w:val="single" w:color="auto" w:sz="4" w:space="0"/>
            </w:tcBorders>
            <w:vAlign w:val="center"/>
          </w:tcPr>
          <w:p>
            <w:pPr>
              <w:tabs>
                <w:tab w:val="left" w:pos="5580"/>
              </w:tabs>
              <w:jc w:val="center"/>
              <w:rPr>
                <w:rFonts w:ascii="微软雅黑" w:hAnsi="微软雅黑" w:eastAsia="微软雅黑" w:cs="微软雅黑"/>
                <w:sz w:val="24"/>
                <w:szCs w:val="24"/>
              </w:rPr>
            </w:pPr>
            <w:r>
              <w:rPr>
                <w:rFonts w:hint="eastAsia" w:ascii="微软雅黑" w:hAnsi="微软雅黑" w:eastAsia="微软雅黑" w:cs="微软雅黑"/>
                <w:sz w:val="24"/>
                <w:szCs w:val="24"/>
              </w:rPr>
              <w:t>投标保证金</w:t>
            </w:r>
          </w:p>
        </w:tc>
        <w:tc>
          <w:tcPr>
            <w:tcW w:w="2127" w:type="dxa"/>
            <w:tcBorders>
              <w:top w:val="single" w:color="auto" w:sz="8" w:space="0"/>
              <w:left w:val="nil"/>
              <w:bottom w:val="single" w:color="auto" w:sz="8" w:space="0"/>
              <w:right w:val="single" w:color="auto" w:sz="4" w:space="0"/>
            </w:tcBorders>
            <w:vAlign w:val="center"/>
          </w:tcPr>
          <w:p>
            <w:pPr>
              <w:tabs>
                <w:tab w:val="left" w:pos="5580"/>
              </w:tabs>
              <w:jc w:val="center"/>
              <w:rPr>
                <w:rFonts w:ascii="微软雅黑" w:hAnsi="微软雅黑" w:eastAsia="微软雅黑" w:cs="微软雅黑"/>
                <w:sz w:val="24"/>
                <w:szCs w:val="24"/>
              </w:rPr>
            </w:pPr>
            <w:r>
              <w:rPr>
                <w:rFonts w:hint="eastAsia" w:ascii="微软雅黑" w:hAnsi="微软雅黑" w:eastAsia="微软雅黑" w:cs="微软雅黑"/>
                <w:sz w:val="24"/>
                <w:szCs w:val="24"/>
              </w:rPr>
              <w:t>交货期</w:t>
            </w:r>
          </w:p>
        </w:tc>
        <w:tc>
          <w:tcPr>
            <w:tcW w:w="2127" w:type="dxa"/>
            <w:tcBorders>
              <w:top w:val="single" w:color="auto" w:sz="8" w:space="0"/>
              <w:left w:val="nil"/>
              <w:bottom w:val="single" w:color="auto" w:sz="8" w:space="0"/>
              <w:right w:val="single" w:color="auto" w:sz="4" w:space="0"/>
            </w:tcBorders>
            <w:vAlign w:val="center"/>
          </w:tcPr>
          <w:p>
            <w:pPr>
              <w:tabs>
                <w:tab w:val="left" w:pos="5580"/>
              </w:tabs>
              <w:jc w:val="center"/>
              <w:rPr>
                <w:rFonts w:ascii="微软雅黑" w:hAnsi="微软雅黑" w:eastAsia="微软雅黑" w:cs="微软雅黑"/>
                <w:sz w:val="24"/>
                <w:szCs w:val="24"/>
              </w:rPr>
            </w:pPr>
            <w:r>
              <w:rPr>
                <w:rFonts w:hint="eastAsia" w:ascii="微软雅黑" w:hAnsi="微软雅黑" w:eastAsia="微软雅黑" w:cs="微软雅黑"/>
                <w:sz w:val="24"/>
                <w:szCs w:val="24"/>
              </w:rPr>
              <w:t>备注</w:t>
            </w:r>
          </w:p>
        </w:tc>
      </w:tr>
      <w:tr>
        <w:tblPrEx>
          <w:tblCellMar>
            <w:top w:w="0" w:type="dxa"/>
            <w:left w:w="0" w:type="dxa"/>
            <w:bottom w:w="0" w:type="dxa"/>
            <w:right w:w="0" w:type="dxa"/>
          </w:tblCellMar>
        </w:tblPrEx>
        <w:trPr>
          <w:cantSplit/>
          <w:trHeight w:val="1545" w:hRule="atLeast"/>
        </w:trPr>
        <w:tc>
          <w:tcPr>
            <w:tcW w:w="1214" w:type="dxa"/>
            <w:tcBorders>
              <w:top w:val="single" w:color="auto" w:sz="8" w:space="0"/>
              <w:left w:val="single" w:color="auto" w:sz="4" w:space="0"/>
              <w:bottom w:val="single" w:color="auto" w:sz="4" w:space="0"/>
              <w:right w:val="single" w:color="auto" w:sz="4" w:space="0"/>
            </w:tcBorders>
            <w:vAlign w:val="center"/>
          </w:tcPr>
          <w:p>
            <w:pPr>
              <w:tabs>
                <w:tab w:val="left" w:pos="5580"/>
              </w:tabs>
              <w:ind w:left="1080" w:leftChars="257" w:hanging="540"/>
              <w:jc w:val="center"/>
              <w:rPr>
                <w:rFonts w:ascii="微软雅黑" w:hAnsi="微软雅黑" w:eastAsia="微软雅黑" w:cs="微软雅黑"/>
                <w:sz w:val="24"/>
                <w:szCs w:val="24"/>
              </w:rPr>
            </w:pPr>
          </w:p>
        </w:tc>
        <w:tc>
          <w:tcPr>
            <w:tcW w:w="2215" w:type="dxa"/>
            <w:tcBorders>
              <w:top w:val="single" w:color="auto" w:sz="8" w:space="0"/>
              <w:left w:val="single" w:color="auto" w:sz="8" w:space="0"/>
              <w:bottom w:val="single" w:color="auto" w:sz="4" w:space="0"/>
              <w:right w:val="single" w:color="auto" w:sz="4" w:space="0"/>
            </w:tcBorders>
            <w:vAlign w:val="center"/>
          </w:tcPr>
          <w:p>
            <w:pPr>
              <w:tabs>
                <w:tab w:val="left" w:pos="5580"/>
              </w:tabs>
              <w:jc w:val="left"/>
              <w:rPr>
                <w:rFonts w:ascii="微软雅黑" w:hAnsi="微软雅黑" w:eastAsia="微软雅黑" w:cs="微软雅黑"/>
                <w:sz w:val="24"/>
                <w:szCs w:val="24"/>
              </w:rPr>
            </w:pPr>
            <w:r>
              <w:rPr>
                <w:rFonts w:hint="eastAsia" w:ascii="微软雅黑" w:hAnsi="微软雅黑" w:eastAsia="微软雅黑" w:cs="微软雅黑"/>
                <w:sz w:val="24"/>
                <w:szCs w:val="24"/>
              </w:rPr>
              <w:t>大写：</w:t>
            </w:r>
          </w:p>
          <w:p>
            <w:pPr>
              <w:tabs>
                <w:tab w:val="left" w:pos="5580"/>
              </w:tabs>
              <w:jc w:val="left"/>
              <w:rPr>
                <w:rFonts w:ascii="微软雅黑" w:hAnsi="微软雅黑" w:eastAsia="微软雅黑" w:cs="微软雅黑"/>
                <w:sz w:val="24"/>
                <w:szCs w:val="24"/>
              </w:rPr>
            </w:pPr>
            <w:r>
              <w:rPr>
                <w:rFonts w:hint="eastAsia" w:ascii="微软雅黑" w:hAnsi="微软雅黑" w:eastAsia="微软雅黑" w:cs="微软雅黑"/>
                <w:sz w:val="24"/>
                <w:szCs w:val="24"/>
              </w:rPr>
              <w:t>小写：</w:t>
            </w:r>
          </w:p>
        </w:tc>
        <w:tc>
          <w:tcPr>
            <w:tcW w:w="1675" w:type="dxa"/>
            <w:tcBorders>
              <w:top w:val="single" w:color="auto" w:sz="8" w:space="0"/>
              <w:left w:val="nil"/>
              <w:bottom w:val="single" w:color="auto" w:sz="4" w:space="0"/>
              <w:right w:val="single" w:color="auto" w:sz="4" w:space="0"/>
            </w:tcBorders>
            <w:vAlign w:val="center"/>
          </w:tcPr>
          <w:p>
            <w:pPr>
              <w:tabs>
                <w:tab w:val="left" w:pos="5580"/>
              </w:tabs>
              <w:ind w:left="1080" w:leftChars="257" w:hanging="540"/>
              <w:jc w:val="center"/>
              <w:rPr>
                <w:rFonts w:ascii="微软雅黑" w:hAnsi="微软雅黑" w:eastAsia="微软雅黑" w:cs="微软雅黑"/>
                <w:sz w:val="24"/>
                <w:szCs w:val="24"/>
              </w:rPr>
            </w:pPr>
          </w:p>
        </w:tc>
        <w:tc>
          <w:tcPr>
            <w:tcW w:w="2127" w:type="dxa"/>
            <w:tcBorders>
              <w:top w:val="single" w:color="auto" w:sz="8" w:space="0"/>
              <w:left w:val="nil"/>
              <w:bottom w:val="single" w:color="auto" w:sz="4" w:space="0"/>
              <w:right w:val="single" w:color="auto" w:sz="4" w:space="0"/>
            </w:tcBorders>
            <w:vAlign w:val="center"/>
          </w:tcPr>
          <w:p>
            <w:pPr>
              <w:tabs>
                <w:tab w:val="left" w:pos="5580"/>
              </w:tabs>
              <w:jc w:val="center"/>
              <w:rPr>
                <w:rFonts w:ascii="微软雅黑" w:hAnsi="微软雅黑" w:eastAsia="微软雅黑" w:cs="微软雅黑"/>
                <w:sz w:val="24"/>
                <w:szCs w:val="24"/>
              </w:rPr>
            </w:pPr>
          </w:p>
        </w:tc>
        <w:tc>
          <w:tcPr>
            <w:tcW w:w="2127" w:type="dxa"/>
            <w:tcBorders>
              <w:top w:val="single" w:color="auto" w:sz="8" w:space="0"/>
              <w:left w:val="nil"/>
              <w:bottom w:val="single" w:color="auto" w:sz="4" w:space="0"/>
              <w:right w:val="single" w:color="auto" w:sz="4" w:space="0"/>
            </w:tcBorders>
            <w:vAlign w:val="center"/>
          </w:tcPr>
          <w:p>
            <w:pPr>
              <w:tabs>
                <w:tab w:val="left" w:pos="5580"/>
              </w:tabs>
              <w:jc w:val="center"/>
              <w:rPr>
                <w:rFonts w:ascii="微软雅黑" w:hAnsi="微软雅黑" w:eastAsia="微软雅黑" w:cs="微软雅黑"/>
                <w:sz w:val="24"/>
                <w:szCs w:val="24"/>
              </w:rPr>
            </w:pPr>
          </w:p>
        </w:tc>
      </w:tr>
    </w:tbl>
    <w:p>
      <w:pPr>
        <w:pStyle w:val="15"/>
        <w:tabs>
          <w:tab w:val="left" w:pos="5580"/>
        </w:tabs>
        <w:ind w:left="1080" w:leftChars="257" w:hanging="540"/>
        <w:rPr>
          <w:rFonts w:ascii="微软雅黑" w:hAnsi="微软雅黑" w:eastAsia="微软雅黑" w:cs="微软雅黑"/>
          <w:sz w:val="24"/>
          <w:szCs w:val="24"/>
        </w:rPr>
      </w:pPr>
    </w:p>
    <w:p>
      <w:pPr>
        <w:pStyle w:val="15"/>
        <w:tabs>
          <w:tab w:val="left" w:pos="5580"/>
        </w:tabs>
        <w:ind w:left="1080" w:leftChars="257" w:hanging="540"/>
        <w:rPr>
          <w:rFonts w:ascii="微软雅黑" w:hAnsi="微软雅黑" w:eastAsia="微软雅黑" w:cs="微软雅黑"/>
          <w:sz w:val="24"/>
          <w:szCs w:val="24"/>
          <w:u w:val="single"/>
        </w:rPr>
      </w:pP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w:t>
      </w:r>
    </w:p>
    <w:p>
      <w:pPr>
        <w:pStyle w:val="15"/>
        <w:tabs>
          <w:tab w:val="left" w:pos="5580"/>
        </w:tabs>
        <w:ind w:left="1080" w:leftChars="257" w:hanging="540"/>
        <w:rPr>
          <w:rFonts w:ascii="微软雅黑" w:hAnsi="微软雅黑" w:eastAsia="微软雅黑" w:cs="微软雅黑"/>
          <w:sz w:val="24"/>
          <w:szCs w:val="24"/>
          <w:u w:val="single"/>
        </w:rPr>
      </w:pPr>
      <w:r>
        <w:rPr>
          <w:rFonts w:hint="eastAsia" w:ascii="微软雅黑" w:hAnsi="微软雅黑" w:eastAsia="微软雅黑" w:cs="微软雅黑"/>
          <w:sz w:val="24"/>
          <w:szCs w:val="24"/>
        </w:rPr>
        <w:t>法定代表人或委托代理人(签字或盖章):</w:t>
      </w:r>
    </w:p>
    <w:p>
      <w:pPr>
        <w:pStyle w:val="15"/>
        <w:tabs>
          <w:tab w:val="left" w:pos="5580"/>
        </w:tabs>
        <w:ind w:left="1080" w:leftChars="257" w:hanging="540"/>
        <w:rPr>
          <w:rFonts w:ascii="微软雅黑" w:hAnsi="微软雅黑" w:eastAsia="微软雅黑" w:cs="微软雅黑"/>
          <w:sz w:val="24"/>
          <w:szCs w:val="24"/>
        </w:rPr>
      </w:pP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注:1、此表应按供应商须知的规定装订密封。</w:t>
      </w:r>
    </w:p>
    <w:p>
      <w:pPr>
        <w:pStyle w:val="15"/>
        <w:numPr>
          <w:ilvl w:val="0"/>
          <w:numId w:val="5"/>
        </w:numPr>
        <w:tabs>
          <w:tab w:val="left" w:pos="5580"/>
        </w:tabs>
        <w:ind w:left="1079" w:leftChars="428" w:hanging="180" w:hangingChars="75"/>
        <w:rPr>
          <w:rFonts w:ascii="微软雅黑" w:hAnsi="微软雅黑" w:eastAsia="微软雅黑" w:cs="微软雅黑"/>
          <w:sz w:val="24"/>
          <w:szCs w:val="24"/>
        </w:rPr>
      </w:pPr>
      <w:r>
        <w:rPr>
          <w:rFonts w:hint="eastAsia" w:ascii="微软雅黑" w:hAnsi="微软雅黑" w:eastAsia="微软雅黑" w:cs="微软雅黑"/>
          <w:sz w:val="24"/>
          <w:szCs w:val="24"/>
        </w:rPr>
        <w:t>此表中，每包的投标总价应和投标分项报价表的总价相一致。</w:t>
      </w:r>
    </w:p>
    <w:p>
      <w:pPr>
        <w:pStyle w:val="15"/>
        <w:numPr>
          <w:ilvl w:val="0"/>
          <w:numId w:val="5"/>
        </w:numPr>
        <w:tabs>
          <w:tab w:val="left" w:pos="5580"/>
        </w:tabs>
        <w:ind w:left="1079" w:leftChars="428" w:hanging="180" w:hangingChars="75"/>
        <w:rPr>
          <w:rFonts w:ascii="微软雅黑" w:hAnsi="微软雅黑" w:eastAsia="微软雅黑" w:cs="微软雅黑"/>
          <w:sz w:val="24"/>
          <w:szCs w:val="24"/>
        </w:rPr>
      </w:pPr>
      <w:r>
        <w:rPr>
          <w:rFonts w:hint="eastAsia" w:ascii="微软雅黑" w:hAnsi="微软雅黑" w:eastAsia="微软雅黑" w:cs="微软雅黑"/>
          <w:sz w:val="24"/>
          <w:szCs w:val="24"/>
        </w:rPr>
        <w:t>此报价中包含运费税费等一切与本项目相关的费用。</w:t>
      </w:r>
    </w:p>
    <w:p>
      <w:pPr>
        <w:pStyle w:val="15"/>
        <w:numPr>
          <w:ilvl w:val="0"/>
          <w:numId w:val="5"/>
        </w:numPr>
        <w:tabs>
          <w:tab w:val="left" w:pos="5580"/>
        </w:tabs>
        <w:ind w:left="1079" w:leftChars="428" w:hanging="180" w:hangingChars="75"/>
        <w:rPr>
          <w:rFonts w:ascii="微软雅黑" w:hAnsi="微软雅黑" w:eastAsia="微软雅黑" w:cs="微软雅黑"/>
          <w:b/>
          <w:bCs/>
          <w:sz w:val="24"/>
          <w:szCs w:val="24"/>
        </w:rPr>
      </w:pPr>
      <w:r>
        <w:rPr>
          <w:rFonts w:hint="eastAsia" w:ascii="微软雅黑" w:hAnsi="微软雅黑" w:eastAsia="微软雅黑" w:cs="微软雅黑"/>
          <w:b/>
          <w:bCs/>
          <w:sz w:val="24"/>
          <w:szCs w:val="24"/>
        </w:rPr>
        <w:t>根据《政府采购促进中小企业发展管理办法》（财库[2020]46号）、《财政部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10%-20%后参与评。对于同时属于小微企业、监狱企业或残疾人福利性单位的，不重复进行投标报价扣除。</w:t>
      </w:r>
    </w:p>
    <w:p>
      <w:pPr>
        <w:pStyle w:val="15"/>
        <w:tabs>
          <w:tab w:val="left" w:pos="5580"/>
        </w:tabs>
        <w:rPr>
          <w:rFonts w:ascii="微软雅黑" w:hAnsi="微软雅黑" w:eastAsia="微软雅黑" w:cs="微软雅黑"/>
          <w:b/>
          <w:bCs/>
          <w:sz w:val="24"/>
          <w:szCs w:val="24"/>
        </w:rPr>
      </w:pPr>
    </w:p>
    <w:p>
      <w:pPr>
        <w:pStyle w:val="16"/>
        <w:rPr>
          <w:rFonts w:ascii="微软雅黑" w:hAnsi="微软雅黑" w:eastAsia="微软雅黑" w:cs="微软雅黑"/>
          <w:b/>
          <w:bCs/>
          <w:sz w:val="24"/>
          <w:szCs w:val="24"/>
        </w:rPr>
      </w:pPr>
    </w:p>
    <w:p/>
    <w:p>
      <w:pPr>
        <w:pStyle w:val="15"/>
        <w:tabs>
          <w:tab w:val="left" w:pos="5580"/>
        </w:tabs>
        <w:rPr>
          <w:rFonts w:ascii="微软雅黑" w:hAnsi="微软雅黑" w:eastAsia="微软雅黑" w:cs="微软雅黑"/>
          <w:b/>
          <w:bCs/>
          <w:sz w:val="24"/>
          <w:szCs w:val="24"/>
        </w:rPr>
      </w:pPr>
    </w:p>
    <w:p>
      <w:pPr>
        <w:pStyle w:val="15"/>
        <w:tabs>
          <w:tab w:val="left" w:pos="5580"/>
        </w:tabs>
        <w:rPr>
          <w:rFonts w:ascii="微软雅黑" w:hAnsi="微软雅黑" w:eastAsia="微软雅黑" w:cs="微软雅黑"/>
          <w:b/>
          <w:bCs/>
          <w:sz w:val="24"/>
          <w:szCs w:val="24"/>
        </w:rPr>
      </w:pPr>
    </w:p>
    <w:p>
      <w:pPr>
        <w:pStyle w:val="15"/>
        <w:tabs>
          <w:tab w:val="left" w:pos="5580"/>
        </w:tabs>
        <w:rPr>
          <w:rFonts w:ascii="微软雅黑" w:hAnsi="微软雅黑" w:eastAsia="微软雅黑" w:cs="微软雅黑"/>
          <w:b/>
          <w:bCs/>
          <w:sz w:val="24"/>
          <w:szCs w:val="24"/>
        </w:rPr>
      </w:pPr>
    </w:p>
    <w:p>
      <w:pPr>
        <w:pStyle w:val="16"/>
        <w:ind w:left="2520"/>
      </w:pPr>
    </w:p>
    <w:bookmarkEnd w:id="413"/>
    <w:p>
      <w:pPr>
        <w:pStyle w:val="5"/>
        <w:ind w:firstLine="0"/>
        <w:rPr>
          <w:rFonts w:ascii="微软雅黑" w:hAnsi="微软雅黑" w:eastAsia="微软雅黑" w:cs="微软雅黑"/>
          <w:b/>
          <w:bCs/>
        </w:rPr>
      </w:pPr>
    </w:p>
    <w:p>
      <w:pPr>
        <w:pStyle w:val="5"/>
        <w:outlineLvl w:val="1"/>
        <w:rPr>
          <w:rFonts w:ascii="微软雅黑" w:hAnsi="微软雅黑" w:eastAsia="微软雅黑" w:cs="微软雅黑"/>
          <w:b/>
          <w:bCs/>
        </w:rPr>
      </w:pPr>
      <w:bookmarkStart w:id="418" w:name="_Toc32348"/>
      <w:bookmarkStart w:id="419" w:name="_Toc24823"/>
      <w:r>
        <w:rPr>
          <w:rFonts w:hint="eastAsia" w:ascii="微软雅黑" w:hAnsi="微软雅黑" w:eastAsia="微软雅黑" w:cs="微软雅黑"/>
          <w:b/>
          <w:bCs/>
        </w:rPr>
        <w:t xml:space="preserve">2  </w:t>
      </w:r>
      <w:bookmarkEnd w:id="418"/>
      <w:r>
        <w:rPr>
          <w:rFonts w:hint="eastAsia" w:ascii="微软雅黑" w:hAnsi="微软雅黑" w:eastAsia="微软雅黑" w:cs="微软雅黑"/>
          <w:b/>
          <w:bCs/>
        </w:rPr>
        <w:t>符合《中华人民共和国政府采购法》第二十二条的规定</w:t>
      </w:r>
      <w:bookmarkEnd w:id="419"/>
    </w:p>
    <w:p>
      <w:pPr>
        <w:pStyle w:val="5"/>
        <w:rPr>
          <w:rFonts w:ascii="微软雅黑" w:hAnsi="微软雅黑" w:eastAsia="微软雅黑" w:cs="微软雅黑"/>
          <w:b/>
          <w:bCs/>
        </w:rPr>
      </w:pPr>
    </w:p>
    <w:p>
      <w:pPr>
        <w:pStyle w:val="5"/>
        <w:rPr>
          <w:rFonts w:ascii="微软雅黑" w:hAnsi="微软雅黑" w:eastAsia="微软雅黑" w:cs="微软雅黑"/>
          <w:b/>
          <w:bCs/>
        </w:rPr>
      </w:pPr>
      <w:r>
        <w:rPr>
          <w:rFonts w:hint="eastAsia" w:ascii="微软雅黑" w:hAnsi="微软雅黑" w:eastAsia="微软雅黑" w:cs="微软雅黑"/>
          <w:b/>
          <w:bCs/>
        </w:rPr>
        <w:t>①具有独立承担民事责任的能力；（投标时，提供在中华人民共和国境内注册的法人或其他组织的营业执照或事业单位法人证书或社会团体法人登记证书）</w:t>
      </w:r>
    </w:p>
    <w:p>
      <w:pPr>
        <w:pStyle w:val="5"/>
        <w:rPr>
          <w:rFonts w:ascii="微软雅黑" w:hAnsi="微软雅黑" w:eastAsia="微软雅黑" w:cs="微软雅黑"/>
          <w:b/>
          <w:bCs/>
        </w:rPr>
      </w:pPr>
      <w:r>
        <w:rPr>
          <w:rFonts w:hint="eastAsia" w:ascii="微软雅黑" w:hAnsi="微软雅黑" w:eastAsia="微软雅黑" w:cs="微软雅黑"/>
          <w:kern w:val="2"/>
        </w:rPr>
        <w:t>说明：营业执照正本或副本，须上传扫描件并加盖本单位公章。</w:t>
      </w:r>
    </w:p>
    <w:p>
      <w:pPr>
        <w:pStyle w:val="5"/>
        <w:rPr>
          <w:rFonts w:ascii="微软雅黑" w:hAnsi="微软雅黑" w:eastAsia="微软雅黑" w:cs="微软雅黑"/>
          <w:b/>
          <w:bCs/>
        </w:rPr>
      </w:pPr>
    </w:p>
    <w:p>
      <w:pPr>
        <w:pStyle w:val="9"/>
        <w:rPr>
          <w:rFonts w:ascii="微软雅黑" w:hAnsi="微软雅黑" w:eastAsia="微软雅黑" w:cs="微软雅黑"/>
          <w:b/>
          <w:bCs/>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5"/>
        <w:rPr>
          <w:rFonts w:ascii="微软雅黑" w:hAnsi="微软雅黑" w:eastAsia="微软雅黑" w:cs="微软雅黑"/>
          <w:b/>
          <w:bCs/>
        </w:rPr>
      </w:pPr>
      <w:r>
        <w:rPr>
          <w:rFonts w:hint="eastAsia" w:ascii="微软雅黑" w:hAnsi="微软雅黑" w:eastAsia="微软雅黑" w:cs="微软雅黑"/>
          <w:b/>
          <w:bCs/>
        </w:rPr>
        <w:t>②</w:t>
      </w:r>
      <w:r>
        <w:rPr>
          <w:rFonts w:hint="eastAsia" w:ascii="微软雅黑" w:hAnsi="微软雅黑" w:eastAsia="微软雅黑" w:cs="微软雅黑"/>
          <w:b/>
          <w:bCs/>
          <w:lang w:eastAsia="zh-CN"/>
        </w:rPr>
        <w:t>具有有效的</w:t>
      </w:r>
      <w:r>
        <w:rPr>
          <w:rFonts w:hint="eastAsia" w:ascii="微软雅黑" w:hAnsi="微软雅黑" w:eastAsia="微软雅黑" w:cs="微软雅黑"/>
          <w:b/>
          <w:bCs/>
        </w:rPr>
        <w:t>《药品生产许可证》或《药品经营许可证》。</w:t>
      </w:r>
    </w:p>
    <w:p>
      <w:pPr>
        <w:pStyle w:val="27"/>
        <w:spacing w:line="240" w:lineRule="auto"/>
        <w:ind w:firstLine="480"/>
        <w:rPr>
          <w:rFonts w:ascii="微软雅黑" w:hAnsi="微软雅黑" w:eastAsia="微软雅黑" w:cs="微软雅黑"/>
          <w:b/>
          <w:bCs/>
          <w:kern w:val="0"/>
        </w:rPr>
      </w:pPr>
      <w:r>
        <w:rPr>
          <w:rFonts w:hint="eastAsia" w:ascii="微软雅黑" w:hAnsi="微软雅黑" w:eastAsia="微软雅黑" w:cs="微软雅黑"/>
        </w:rPr>
        <w:t>说明：须上传资质证书扫描件并加盖本单位公章。</w:t>
      </w: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27"/>
        <w:spacing w:line="240" w:lineRule="auto"/>
        <w:ind w:firstLine="480"/>
        <w:rPr>
          <w:rFonts w:ascii="微软雅黑" w:hAnsi="微软雅黑" w:eastAsia="微软雅黑" w:cs="微软雅黑"/>
          <w:b/>
          <w:bCs/>
          <w:kern w:val="0"/>
        </w:rPr>
      </w:pPr>
    </w:p>
    <w:p>
      <w:pPr>
        <w:pStyle w:val="9"/>
      </w:pPr>
      <w:bookmarkStart w:id="420" w:name="_Toc2848"/>
    </w:p>
    <w:p/>
    <w:bookmarkEnd w:id="420"/>
    <w:p>
      <w:pPr>
        <w:adjustRightInd w:val="0"/>
        <w:snapToGrid w:val="0"/>
        <w:spacing w:before="240" w:beforeLines="100" w:after="240" w:afterLines="100"/>
        <w:ind w:firstLine="480" w:firstLineChars="200"/>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③法人投标须提供法人身份证明及法人身份证，被授权委托人须提供法人身份证明、授权委托书及身份证复印件；</w:t>
      </w:r>
    </w:p>
    <w:p>
      <w:pPr>
        <w:adjustRightInd w:val="0"/>
        <w:snapToGrid w:val="0"/>
        <w:spacing w:before="240" w:beforeLines="100" w:after="240" w:afterLines="100" w:line="360" w:lineRule="auto"/>
        <w:rPr>
          <w:rFonts w:ascii="微软雅黑" w:hAnsi="微软雅黑" w:eastAsia="微软雅黑" w:cs="微软雅黑"/>
          <w:sz w:val="22"/>
          <w:szCs w:val="22"/>
        </w:rPr>
      </w:pPr>
      <w:r>
        <w:rPr>
          <w:rFonts w:hint="eastAsia" w:ascii="微软雅黑" w:hAnsi="微软雅黑" w:eastAsia="微软雅黑" w:cs="微软雅黑"/>
          <w:b/>
          <w:bCs/>
          <w:sz w:val="22"/>
          <w:szCs w:val="22"/>
        </w:rPr>
        <w:t>（一）法定代表人身份证</w:t>
      </w:r>
    </w:p>
    <w:p>
      <w:pPr>
        <w:spacing w:line="360" w:lineRule="auto"/>
        <w:rPr>
          <w:rFonts w:ascii="微软雅黑" w:hAnsi="微软雅黑" w:eastAsia="微软雅黑" w:cs="微软雅黑"/>
          <w:sz w:val="22"/>
          <w:szCs w:val="22"/>
        </w:rPr>
      </w:pPr>
      <w:r>
        <w:rPr>
          <w:rFonts w:hint="eastAsia" w:ascii="微软雅黑" w:hAnsi="微软雅黑" w:eastAsia="微软雅黑" w:cs="微软雅黑"/>
          <w:sz w:val="22"/>
          <w:szCs w:val="22"/>
        </w:rPr>
        <w:t xml:space="preserve">     </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同志，现任我单位</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职务，为法定代表人，特此证明。</w:t>
      </w:r>
    </w:p>
    <w:p>
      <w:pPr>
        <w:spacing w:line="360" w:lineRule="auto"/>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 xml:space="preserve">签发日期：                  单位：        </w:t>
      </w:r>
    </w:p>
    <w:p>
      <w:pPr>
        <w:spacing w:line="360" w:lineRule="auto"/>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附：代表人性别：            年龄：           身份证号码：</w:t>
      </w:r>
    </w:p>
    <w:p>
      <w:pPr>
        <w:spacing w:line="360" w:lineRule="auto"/>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联系电话：</w:t>
      </w:r>
    </w:p>
    <w:p>
      <w:pPr>
        <w:spacing w:line="360" w:lineRule="auto"/>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营业执照号码：              经济性质：</w:t>
      </w:r>
    </w:p>
    <w:p>
      <w:pPr>
        <w:spacing w:line="360" w:lineRule="auto"/>
        <w:rPr>
          <w:rFonts w:ascii="微软雅黑" w:hAnsi="微软雅黑" w:eastAsia="微软雅黑" w:cs="微软雅黑"/>
          <w:sz w:val="22"/>
          <w:szCs w:val="22"/>
        </w:rPr>
      </w:pPr>
      <w:r>
        <w:rPr>
          <w:rFonts w:hint="eastAsia" w:ascii="微软雅黑" w:hAnsi="微软雅黑" w:eastAsia="微软雅黑" w:cs="微软雅黑"/>
          <w:sz w:val="22"/>
          <w:szCs w:val="22"/>
        </w:rPr>
        <w:t>说明：</w:t>
      </w:r>
    </w:p>
    <w:p>
      <w:pPr>
        <w:spacing w:line="360" w:lineRule="auto"/>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1、法定代表人为企业事业单位、国家机关、社会团体的主要行政负责人。</w:t>
      </w:r>
    </w:p>
    <w:p>
      <w:pPr>
        <w:spacing w:line="360" w:lineRule="auto"/>
        <w:rPr>
          <w:rFonts w:ascii="微软雅黑" w:hAnsi="微软雅黑" w:eastAsia="微软雅黑" w:cs="微软雅黑"/>
          <w:sz w:val="22"/>
          <w:szCs w:val="22"/>
        </w:rPr>
      </w:pPr>
      <w:r>
        <w:rPr>
          <w:rFonts w:hint="eastAsia" w:ascii="微软雅黑" w:hAnsi="微软雅黑" w:eastAsia="微软雅黑" w:cs="微软雅黑"/>
          <w:sz w:val="22"/>
          <w:szCs w:val="22"/>
        </w:rPr>
        <w:t xml:space="preserve">  2、内容必须填写真实、清楚、涂改无效，不得转让。</w:t>
      </w:r>
    </w:p>
    <w:p>
      <w:pPr>
        <w:spacing w:line="360" w:lineRule="auto"/>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3、将此证明书原件提交采购代理机构作为投标文件附件。</w:t>
      </w:r>
    </w:p>
    <w:p>
      <w:pPr>
        <w:spacing w:line="360" w:lineRule="auto"/>
        <w:rPr>
          <w:rFonts w:ascii="微软雅黑" w:hAnsi="微软雅黑" w:eastAsia="微软雅黑" w:cs="微软雅黑"/>
          <w:sz w:val="22"/>
          <w:szCs w:val="22"/>
        </w:rPr>
      </w:pPr>
      <w:r>
        <w:rPr>
          <w:rFonts w:hint="eastAsia" w:ascii="微软雅黑" w:hAnsi="微软雅黑" w:eastAsia="微软雅黑" w:cs="微软雅黑"/>
          <w:sz w:val="22"/>
          <w:szCs w:val="22"/>
        </w:rPr>
        <w:t xml:space="preserve"> </w:t>
      </w:r>
    </w:p>
    <w:p>
      <w:pPr>
        <w:spacing w:line="360" w:lineRule="auto"/>
        <w:rPr>
          <w:rFonts w:ascii="微软雅黑" w:hAnsi="微软雅黑" w:eastAsia="微软雅黑" w:cs="微软雅黑"/>
          <w:sz w:val="22"/>
          <w:szCs w:val="22"/>
        </w:rPr>
      </w:pPr>
      <w:r>
        <w:rPr>
          <w:rFonts w:hint="eastAsia" w:ascii="微软雅黑" w:hAnsi="微软雅黑" w:eastAsia="微软雅黑" w:cs="微软雅黑"/>
          <w:sz w:val="22"/>
          <w:szCs w:val="22"/>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lZOvXWAAAACAEAAA8AAAAAAAAAAQAgAAAAIgAAAGRycy9kb3du&#10;cmV2LnhtbFBLAQIUABQAAAAIAIdO4kB4Kya7AQIAAD4EAAAOAAAAAAAAAAEAIAAAACUBAABkcnMv&#10;ZTJvRG9jLnhtbFBLBQYAAAAABgAGAFkBAACY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p>
                  </w:txbxContent>
                </v:textbox>
              </v:shape>
            </w:pict>
          </mc:Fallback>
        </mc:AlternateContent>
      </w:r>
      <w:r>
        <w:rPr>
          <w:rFonts w:hint="eastAsia" w:ascii="微软雅黑" w:hAnsi="微软雅黑" w:eastAsia="微软雅黑" w:cs="微软雅黑"/>
          <w:sz w:val="22"/>
          <w:szCs w:val="22"/>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p>
                          <w:p/>
                          <w:p>
                            <w:pPr>
                              <w:pStyle w:val="5"/>
                              <w:rPr>
                                <w:rFonts w:cs="Times New Roman"/>
                              </w:rPr>
                            </w:pPr>
                          </w:p>
                          <w:p>
                            <w:pPr>
                              <w:pStyle w:val="5"/>
                              <w:rPr>
                                <w:rFonts w:cs="Times New Roman"/>
                              </w:rPr>
                            </w:pPr>
                          </w:p>
                          <w:p>
                            <w:pPr>
                              <w:pStyle w:val="5"/>
                              <w:rPr>
                                <w:rFonts w:cs="Times New Roman"/>
                              </w:rPr>
                            </w:pPr>
                          </w:p>
                          <w:p>
                            <w:pPr>
                              <w:pStyle w:val="5"/>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8vY1/aAAAACQEAAA8AAAAAAAAA&#10;AQAgAAAAIgAAAGRycy9kb3ducmV2LnhtbFBLAQIUABQAAAAIAIdO4kBP/fbXDwIAAFsEAAAOAAAA&#10;AAAAAAEAIAAAACkBAABkcnMvZTJvRG9jLnhtbFBLBQYAAAAABgAGAFkBAACqBQ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p>
                    <w:p/>
                    <w:p>
                      <w:pPr>
                        <w:pStyle w:val="5"/>
                        <w:rPr>
                          <w:rFonts w:cs="Times New Roman"/>
                        </w:rPr>
                      </w:pPr>
                    </w:p>
                    <w:p>
                      <w:pPr>
                        <w:pStyle w:val="5"/>
                        <w:rPr>
                          <w:rFonts w:cs="Times New Roman"/>
                        </w:rPr>
                      </w:pPr>
                    </w:p>
                    <w:p>
                      <w:pPr>
                        <w:pStyle w:val="5"/>
                        <w:rPr>
                          <w:rFonts w:cs="Times New Roman"/>
                        </w:rPr>
                      </w:pPr>
                    </w:p>
                    <w:p>
                      <w:pPr>
                        <w:pStyle w:val="5"/>
                        <w:rPr>
                          <w:rFonts w:cs="Times New Roman"/>
                        </w:rPr>
                      </w:pPr>
                    </w:p>
                  </w:txbxContent>
                </v:textbox>
              </v:roundrect>
            </w:pict>
          </mc:Fallback>
        </mc:AlternateContent>
      </w:r>
    </w:p>
    <w:p>
      <w:pPr>
        <w:spacing w:line="360" w:lineRule="auto"/>
        <w:rPr>
          <w:rFonts w:ascii="微软雅黑" w:hAnsi="微软雅黑" w:eastAsia="微软雅黑" w:cs="微软雅黑"/>
          <w:sz w:val="22"/>
          <w:szCs w:val="22"/>
        </w:rPr>
      </w:pPr>
    </w:p>
    <w:p>
      <w:pPr>
        <w:spacing w:line="360" w:lineRule="auto"/>
        <w:rPr>
          <w:rFonts w:ascii="微软雅黑" w:hAnsi="微软雅黑" w:eastAsia="微软雅黑" w:cs="微软雅黑"/>
          <w:sz w:val="22"/>
          <w:szCs w:val="22"/>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微软雅黑" w:hAnsi="微软雅黑" w:eastAsia="微软雅黑" w:cs="微软雅黑"/>
          <w:sz w:val="22"/>
          <w:szCs w:val="22"/>
        </w:rPr>
      </w:pPr>
    </w:p>
    <w:p>
      <w:pPr>
        <w:autoSpaceDE w:val="0"/>
        <w:autoSpaceDN w:val="0"/>
        <w:adjustRightInd w:val="0"/>
        <w:spacing w:line="360" w:lineRule="auto"/>
        <w:ind w:right="246"/>
        <w:rPr>
          <w:rFonts w:ascii="微软雅黑" w:hAnsi="微软雅黑" w:eastAsia="微软雅黑" w:cs="微软雅黑"/>
          <w:kern w:val="0"/>
          <w:sz w:val="22"/>
          <w:szCs w:val="22"/>
        </w:rPr>
      </w:pPr>
    </w:p>
    <w:p>
      <w:pPr>
        <w:autoSpaceDE w:val="0"/>
        <w:autoSpaceDN w:val="0"/>
        <w:adjustRightInd w:val="0"/>
        <w:spacing w:line="360" w:lineRule="auto"/>
        <w:ind w:right="246" w:firstLine="719" w:firstLineChars="327"/>
        <w:rPr>
          <w:rFonts w:ascii="微软雅黑" w:hAnsi="微软雅黑" w:eastAsia="微软雅黑" w:cs="微软雅黑"/>
          <w:sz w:val="22"/>
          <w:szCs w:val="22"/>
        </w:rPr>
      </w:pPr>
      <w:r>
        <w:rPr>
          <w:rFonts w:hint="eastAsia" w:ascii="微软雅黑" w:hAnsi="微软雅黑" w:eastAsia="微软雅黑" w:cs="微软雅黑"/>
          <w:kern w:val="0"/>
          <w:sz w:val="22"/>
          <w:szCs w:val="22"/>
        </w:rPr>
        <w:t>供应商（公章）：</w:t>
      </w:r>
    </w:p>
    <w:p>
      <w:pPr>
        <w:adjustRightInd w:val="0"/>
        <w:snapToGrid w:val="0"/>
        <w:spacing w:line="360" w:lineRule="auto"/>
        <w:ind w:firstLine="719" w:firstLineChars="327"/>
        <w:rPr>
          <w:rFonts w:ascii="微软雅黑" w:hAnsi="微软雅黑" w:eastAsia="微软雅黑" w:cs="微软雅黑"/>
          <w:sz w:val="22"/>
          <w:szCs w:val="22"/>
        </w:rPr>
      </w:pPr>
      <w:r>
        <w:rPr>
          <w:rFonts w:hint="eastAsia" w:ascii="微软雅黑" w:hAnsi="微软雅黑" w:eastAsia="微软雅黑" w:cs="微软雅黑"/>
          <w:kern w:val="0"/>
          <w:sz w:val="22"/>
          <w:szCs w:val="22"/>
        </w:rPr>
        <w:t>法定代表人（签字或盖章）：</w:t>
      </w:r>
    </w:p>
    <w:p>
      <w:pPr>
        <w:adjustRightInd w:val="0"/>
        <w:snapToGrid w:val="0"/>
        <w:spacing w:line="360" w:lineRule="auto"/>
        <w:ind w:firstLine="719" w:firstLineChars="327"/>
        <w:rPr>
          <w:rFonts w:ascii="微软雅黑" w:hAnsi="微软雅黑" w:eastAsia="微软雅黑" w:cs="微软雅黑"/>
          <w:sz w:val="22"/>
          <w:szCs w:val="22"/>
        </w:rPr>
      </w:pPr>
      <w:r>
        <w:rPr>
          <w:rFonts w:hint="eastAsia" w:ascii="微软雅黑" w:hAnsi="微软雅黑" w:eastAsia="微软雅黑" w:cs="微软雅黑"/>
          <w:sz w:val="22"/>
          <w:szCs w:val="22"/>
        </w:rPr>
        <w:t>日期：</w:t>
      </w:r>
      <w:bookmarkStart w:id="421" w:name="_Toc1083"/>
      <w:bookmarkStart w:id="422" w:name="_Toc515647807"/>
      <w:bookmarkStart w:id="423" w:name="_Toc22472"/>
    </w:p>
    <w:p>
      <w:pPr>
        <w:spacing w:line="360" w:lineRule="auto"/>
      </w:pPr>
    </w:p>
    <w:p>
      <w:pPr>
        <w:pStyle w:val="2"/>
        <w:rPr>
          <w:rFonts w:ascii="微软雅黑" w:hAnsi="微软雅黑" w:eastAsia="微软雅黑" w:cs="微软雅黑"/>
          <w:b/>
          <w:bCs/>
          <w:sz w:val="24"/>
          <w:szCs w:val="24"/>
        </w:rPr>
      </w:pPr>
    </w:p>
    <w:p>
      <w:pPr>
        <w:pStyle w:val="2"/>
        <w:rPr>
          <w:rFonts w:ascii="微软雅黑" w:hAnsi="微软雅黑" w:eastAsia="微软雅黑" w:cs="微软雅黑"/>
          <w:b/>
          <w:bCs/>
          <w:sz w:val="24"/>
          <w:szCs w:val="24"/>
        </w:rPr>
      </w:pPr>
    </w:p>
    <w:p>
      <w:pPr>
        <w:pStyle w:val="2"/>
        <w:rPr>
          <w:rFonts w:ascii="微软雅黑" w:hAnsi="微软雅黑" w:eastAsia="微软雅黑" w:cs="微软雅黑"/>
          <w:b/>
          <w:bCs/>
          <w:sz w:val="24"/>
          <w:szCs w:val="24"/>
        </w:rPr>
      </w:pPr>
    </w:p>
    <w:p>
      <w:pPr>
        <w:spacing w:line="360" w:lineRule="auto"/>
        <w:rPr>
          <w:rFonts w:ascii="微软雅黑" w:hAnsi="微软雅黑" w:eastAsia="微软雅黑" w:cs="微软雅黑"/>
          <w:b/>
          <w:bCs/>
          <w:sz w:val="28"/>
          <w:szCs w:val="28"/>
          <w:u w:val="single"/>
        </w:rPr>
      </w:pPr>
      <w:r>
        <w:rPr>
          <w:rFonts w:hint="eastAsia" w:ascii="微软雅黑" w:hAnsi="微软雅黑" w:eastAsia="微软雅黑" w:cs="微软雅黑"/>
          <w:b/>
          <w:bCs/>
          <w:sz w:val="28"/>
          <w:szCs w:val="28"/>
        </w:rPr>
        <w:t>（二）法定代表人授权委托书</w:t>
      </w:r>
      <w:bookmarkEnd w:id="421"/>
      <w:bookmarkEnd w:id="422"/>
      <w:bookmarkEnd w:id="423"/>
    </w:p>
    <w:p>
      <w:pPr>
        <w:spacing w:line="360" w:lineRule="auto"/>
        <w:ind w:firstLine="240" w:firstLineChars="100"/>
        <w:rPr>
          <w:rFonts w:ascii="微软雅黑" w:hAnsi="微软雅黑" w:eastAsia="微软雅黑" w:cs="微软雅黑"/>
          <w:sz w:val="22"/>
          <w:szCs w:val="22"/>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2"/>
          <w:szCs w:val="22"/>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pPr>
        <w:spacing w:line="360" w:lineRule="auto"/>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本授权书于           年     月     日签字生效,特此声明。</w:t>
      </w:r>
    </w:p>
    <w:p>
      <w:pPr>
        <w:pStyle w:val="15"/>
        <w:tabs>
          <w:tab w:val="left" w:pos="5580"/>
        </w:tabs>
        <w:spacing w:line="360" w:lineRule="auto"/>
        <w:ind w:left="-540" w:leftChars="-257" w:firstLine="900" w:firstLineChars="375"/>
        <w:rPr>
          <w:rFonts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anchor distT="0" distB="0" distL="0" distR="0" simplePos="0" relativeHeight="251661312" behindDoc="0" locked="0" layoutInCell="1" allowOverlap="1">
                <wp:simplePos x="0" y="0"/>
                <wp:positionH relativeFrom="column">
                  <wp:posOffset>3039110</wp:posOffset>
                </wp:positionH>
                <wp:positionV relativeFrom="paragraph">
                  <wp:posOffset>167640</wp:posOffset>
                </wp:positionV>
                <wp:extent cx="2478405" cy="1295400"/>
                <wp:effectExtent l="7620" t="7620" r="13335" b="22860"/>
                <wp:wrapNone/>
                <wp:docPr id="1029" name="1028"/>
                <wp:cNvGraphicFramePr/>
                <a:graphic xmlns:a="http://schemas.openxmlformats.org/drawingml/2006/main">
                  <a:graphicData uri="http://schemas.microsoft.com/office/word/2010/wordprocessingShape">
                    <wps:wsp>
                      <wps:cNvSpPr/>
                      <wps:spPr>
                        <a:xfrm>
                          <a:off x="0" y="0"/>
                          <a:ext cx="2478405" cy="129540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cs="宋体"/>
                              </w:rPr>
                              <w:t>授权委托人身份证复印件</w:t>
                            </w:r>
                          </w:p>
                          <w:p/>
                        </w:txbxContent>
                      </wps:txbx>
                      <wps:bodyPr upright="1"/>
                    </wps:wsp>
                  </a:graphicData>
                </a:graphic>
              </wp:anchor>
            </w:drawing>
          </mc:Choice>
          <mc:Fallback>
            <w:pict>
              <v:roundrect id="1028" o:spid="_x0000_s1026" o:spt="2" style="position:absolute;left:0pt;margin-left:239.3pt;margin-top:13.2pt;height:102pt;width:195.15pt;z-index:251661312;mso-width-relative:page;mso-height-relative:page;" fillcolor="#FFFFFF" filled="t" stroked="t" coordsize="21600,21600" arcsize="0.166666666666667" o:gfxdata="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kzKgtsAAAAKAQAADwAAAAAA&#10;AAABACAAAAAiAAAAZHJzL2Rvd25yZXYueG1sUEsBAhQAFAAAAAgAh07iQNyyJzQQAgAAWw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cs="宋体"/>
                        </w:rPr>
                        <w:t>授权委托人身份证复印件</w:t>
                      </w:r>
                    </w:p>
                    <w:p/>
                  </w:txbxContent>
                </v:textbox>
              </v:roundrect>
            </w:pict>
          </mc:Fallback>
        </mc:AlternateContent>
      </w:r>
      <w:r>
        <w:rPr>
          <w:rFonts w:hint="eastAsia" w:ascii="微软雅黑" w:hAnsi="微软雅黑" w:eastAsia="微软雅黑" w:cs="微软雅黑"/>
          <w:sz w:val="24"/>
          <w:szCs w:val="24"/>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317750" cy="1240790"/>
                <wp:effectExtent l="4445" t="4445" r="9525" b="19685"/>
                <wp:wrapNone/>
                <wp:docPr id="1030" name="1029"/>
                <wp:cNvGraphicFramePr/>
                <a:graphic xmlns:a="http://schemas.openxmlformats.org/drawingml/2006/main">
                  <a:graphicData uri="http://schemas.microsoft.com/office/word/2010/wordprocessingShape">
                    <wps:wsp>
                      <wps:cNvSpPr/>
                      <wps:spPr>
                        <a:xfrm>
                          <a:off x="0" y="0"/>
                          <a:ext cx="2317750" cy="12407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97.7pt;width:182.5pt;z-index:251662336;mso-width-relative:page;mso-height-relative:page;" fillcolor="#FFFFFF" filled="t" stroked="t" coordsize="21600,21600" o:gfxdata="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thCLVAAAACAEAAA8AAAAAAAAAAQAgAAAAIgAAAGRycy9k&#10;b3ducmV2LnhtbFBLAQIUABQAAAAIAIdO4kCzauzLBQIAAD4EAAAOAAAAAAAAAAEAIAAAACQBAABk&#10;cnMvZTJvRG9jLnhtbFBLBQYAAAAABgAGAFkBAACb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w:t>
                      </w:r>
                    </w:p>
                  </w:txbxContent>
                </v:textbox>
              </v:shape>
            </w:pict>
          </mc:Fallback>
        </mc:AlternateContent>
      </w:r>
    </w:p>
    <w:p>
      <w:pPr>
        <w:spacing w:line="360" w:lineRule="auto"/>
        <w:ind w:firstLine="240" w:firstLineChars="100"/>
        <w:rPr>
          <w:rFonts w:ascii="微软雅黑" w:hAnsi="微软雅黑" w:eastAsia="微软雅黑" w:cs="微软雅黑"/>
          <w:sz w:val="24"/>
          <w:szCs w:val="24"/>
        </w:rPr>
      </w:pPr>
    </w:p>
    <w:p>
      <w:pPr>
        <w:spacing w:line="360" w:lineRule="auto"/>
        <w:ind w:firstLine="240" w:firstLineChars="100"/>
        <w:rPr>
          <w:rFonts w:ascii="微软雅黑" w:hAnsi="微软雅黑" w:eastAsia="微软雅黑" w:cs="微软雅黑"/>
          <w:sz w:val="24"/>
          <w:szCs w:val="24"/>
        </w:rPr>
      </w:pPr>
    </w:p>
    <w:p>
      <w:pPr>
        <w:spacing w:line="360" w:lineRule="auto"/>
        <w:ind w:firstLine="240" w:firstLineChars="100"/>
        <w:rPr>
          <w:rFonts w:ascii="微软雅黑" w:hAnsi="微软雅黑" w:eastAsia="微软雅黑" w:cs="微软雅黑"/>
          <w:sz w:val="24"/>
          <w:szCs w:val="24"/>
        </w:rPr>
      </w:pPr>
    </w:p>
    <w:p>
      <w:pPr>
        <w:spacing w:line="360" w:lineRule="auto"/>
        <w:ind w:firstLine="240" w:firstLineChars="100"/>
        <w:rPr>
          <w:rFonts w:ascii="微软雅黑" w:hAnsi="微软雅黑" w:eastAsia="微软雅黑" w:cs="微软雅黑"/>
          <w:sz w:val="24"/>
          <w:szCs w:val="24"/>
        </w:rPr>
      </w:pPr>
    </w:p>
    <w:p>
      <w:pPr>
        <w:spacing w:line="360" w:lineRule="auto"/>
        <w:ind w:firstLine="240" w:firstLineChars="100"/>
        <w:rPr>
          <w:rFonts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anchor distT="0" distB="0" distL="0" distR="0" simplePos="0" relativeHeight="251663360" behindDoc="0" locked="0" layoutInCell="1" allowOverlap="1">
                <wp:simplePos x="0" y="0"/>
                <wp:positionH relativeFrom="column">
                  <wp:posOffset>3018155</wp:posOffset>
                </wp:positionH>
                <wp:positionV relativeFrom="paragraph">
                  <wp:posOffset>96520</wp:posOffset>
                </wp:positionV>
                <wp:extent cx="2535555" cy="1221105"/>
                <wp:effectExtent l="7620" t="7620" r="17145" b="20955"/>
                <wp:wrapNone/>
                <wp:docPr id="1031" name="1030"/>
                <wp:cNvGraphicFramePr/>
                <a:graphic xmlns:a="http://schemas.openxmlformats.org/drawingml/2006/main">
                  <a:graphicData uri="http://schemas.microsoft.com/office/word/2010/wordprocessingShape">
                    <wps:wsp>
                      <wps:cNvSpPr/>
                      <wps:spPr>
                        <a:xfrm>
                          <a:off x="0" y="0"/>
                          <a:ext cx="2535555" cy="122110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rPr>
                                <w:rFonts w:hAnsi="宋体"/>
                              </w:rPr>
                            </w:pPr>
                          </w:p>
                          <w:p>
                            <w:r>
                              <w:rPr>
                                <w:rFonts w:hint="eastAsia" w:hAnsi="宋体" w:cs="宋体"/>
                              </w:rPr>
                              <w:t>法人身份证复印件</w:t>
                            </w:r>
                          </w:p>
                          <w:p/>
                        </w:txbxContent>
                      </wps:txbx>
                      <wps:bodyPr upright="1"/>
                    </wps:wsp>
                  </a:graphicData>
                </a:graphic>
              </wp:anchor>
            </w:drawing>
          </mc:Choice>
          <mc:Fallback>
            <w:pict>
              <v:roundrect id="1030" o:spid="_x0000_s1026" o:spt="2" style="position:absolute;left:0pt;margin-left:237.65pt;margin-top:7.6pt;height:96.15pt;width:199.65pt;z-index:251663360;mso-width-relative:page;mso-height-relative:page;" fillcolor="#FFFFFF" filled="t" stroked="t" coordsize="21600,21600" arcsize="0.166666666666667" o:gfxdata="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ddp62wAAAAoBAAAPAAAAAAAAAAEA&#10;IAAAACIAAABkcnMvZG93bnJldi54bWxQSwECFAAUAAAACACHTuJAz9nlkwwCAABbBAAADgAAAAAA&#10;AAABACAAAAAqAQAAZHJzL2Uyb0RvYy54bWxQSwUGAAAAAAYABgBZAQAAqAUAAAAA&#10;">
                <v:fill on="t" focussize="0,0"/>
                <v:stroke weight="1.25pt" color="#808080" joinstyle="round"/>
                <v:imagedata o:title=""/>
                <o:lock v:ext="edit" aspectratio="f"/>
                <v:textbox>
                  <w:txbxContent>
                    <w:p>
                      <w:pPr>
                        <w:jc w:val="center"/>
                        <w:rPr>
                          <w:rFonts w:hAnsi="宋体"/>
                        </w:rPr>
                      </w:pPr>
                      <w:r>
                        <w:rPr>
                          <w:rFonts w:hAnsi="宋体"/>
                        </w:rPr>
                        <w:t xml:space="preserve">  </w:t>
                      </w:r>
                    </w:p>
                    <w:p>
                      <w:pPr>
                        <w:rPr>
                          <w:rFonts w:hAnsi="宋体"/>
                        </w:rPr>
                      </w:pPr>
                    </w:p>
                    <w:p>
                      <w:r>
                        <w:rPr>
                          <w:rFonts w:hint="eastAsia" w:hAnsi="宋体" w:cs="宋体"/>
                        </w:rPr>
                        <w:t>法人身份证复印件</w:t>
                      </w:r>
                    </w:p>
                    <w:p/>
                  </w:txbxContent>
                </v:textbox>
              </v:roundrect>
            </w:pict>
          </mc:Fallback>
        </mc:AlternateContent>
      </w:r>
      <w:r>
        <w:rPr>
          <w:rFonts w:hint="eastAsia" w:ascii="微软雅黑" w:hAnsi="微软雅黑" w:eastAsia="微软雅黑" w:cs="微软雅黑"/>
          <w:sz w:val="24"/>
          <w:szCs w:val="24"/>
        </w:rPr>
        <mc:AlternateContent>
          <mc:Choice Requires="wps">
            <w:drawing>
              <wp:anchor distT="0" distB="0" distL="0" distR="0" simplePos="0" relativeHeight="251664384" behindDoc="0" locked="0" layoutInCell="1" allowOverlap="1">
                <wp:simplePos x="0" y="0"/>
                <wp:positionH relativeFrom="column">
                  <wp:posOffset>-10795</wp:posOffset>
                </wp:positionH>
                <wp:positionV relativeFrom="paragraph">
                  <wp:posOffset>29845</wp:posOffset>
                </wp:positionV>
                <wp:extent cx="2555240" cy="1283335"/>
                <wp:effectExtent l="7620" t="7620" r="12700" b="19685"/>
                <wp:wrapNone/>
                <wp:docPr id="1032" name="1031"/>
                <wp:cNvGraphicFramePr/>
                <a:graphic xmlns:a="http://schemas.openxmlformats.org/drawingml/2006/main">
                  <a:graphicData uri="http://schemas.microsoft.com/office/word/2010/wordprocessingShape">
                    <wps:wsp>
                      <wps:cNvSpPr/>
                      <wps:spPr>
                        <a:xfrm>
                          <a:off x="0" y="0"/>
                          <a:ext cx="2555240" cy="128333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r>
                              <w:rPr>
                                <w:rFonts w:hint="eastAsia" w:hAnsi="宋体" w:cs="宋体"/>
                              </w:rPr>
                              <w:t>法人身份证复印件</w:t>
                            </w:r>
                          </w:p>
                          <w:p/>
                        </w:txbxContent>
                      </wps:txbx>
                      <wps:bodyPr upright="1"/>
                    </wps:wsp>
                  </a:graphicData>
                </a:graphic>
              </wp:anchor>
            </w:drawing>
          </mc:Choice>
          <mc:Fallback>
            <w:pict>
              <v:roundrect id="1031" o:spid="_x0000_s1026" o:spt="2" style="position:absolute;left:0pt;margin-left:-0.85pt;margin-top:2.35pt;height:101.05pt;width:201.2pt;z-index:251664384;mso-width-relative:page;mso-height-relative:page;" fillcolor="#FFFFFF" filled="t" stroked="t" coordsize="21600,21600" arcsize="0.166666666666667" o:gfxdata="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IsNatkAAAAIAQAADwAAAAAAAAAB&#10;ACAAAAAiAAAAZHJzL2Rvd25yZXYueG1sUEsBAhQAFAAAAAgAh07iQHbl73wPAgAAWwQAAA4AAAAA&#10;AAAAAQAgAAAAKAEAAGRycy9lMm9Eb2MueG1sUEsFBgAAAAAGAAYAWQEAAKkFAAAAAA==&#10;">
                <v:fill on="t" focussize="0,0"/>
                <v:stroke weight="1.25pt" color="#808080" joinstyle="round"/>
                <v:imagedata o:title=""/>
                <o:lock v:ext="edit" aspectratio="f"/>
                <v:textbox>
                  <w:txbxContent>
                    <w:p>
                      <w:pPr>
                        <w:jc w:val="center"/>
                        <w:rPr>
                          <w:rFonts w:hAnsi="宋体"/>
                        </w:rPr>
                      </w:pPr>
                    </w:p>
                    <w:p>
                      <w:pPr>
                        <w:rPr>
                          <w:rFonts w:hAnsi="宋体"/>
                        </w:rPr>
                      </w:pPr>
                    </w:p>
                    <w:p>
                      <w:r>
                        <w:rPr>
                          <w:rFonts w:hint="eastAsia" w:hAnsi="宋体" w:cs="宋体"/>
                        </w:rPr>
                        <w:t>法人身份证复印件</w:t>
                      </w:r>
                    </w:p>
                    <w:p/>
                  </w:txbxContent>
                </v:textbox>
              </v:roundrect>
            </w:pict>
          </mc:Fallback>
        </mc:AlternateContent>
      </w:r>
    </w:p>
    <w:p>
      <w:pPr>
        <w:spacing w:line="360" w:lineRule="auto"/>
        <w:ind w:firstLine="240" w:firstLineChars="100"/>
        <w:rPr>
          <w:rFonts w:ascii="微软雅黑" w:hAnsi="微软雅黑" w:eastAsia="微软雅黑" w:cs="微软雅黑"/>
          <w:sz w:val="24"/>
          <w:szCs w:val="24"/>
        </w:rPr>
      </w:pPr>
    </w:p>
    <w:p>
      <w:pPr>
        <w:spacing w:line="360" w:lineRule="auto"/>
        <w:ind w:firstLine="240" w:firstLineChars="100"/>
        <w:rPr>
          <w:rFonts w:ascii="微软雅黑" w:hAnsi="微软雅黑" w:eastAsia="微软雅黑" w:cs="微软雅黑"/>
          <w:sz w:val="24"/>
          <w:szCs w:val="24"/>
        </w:rPr>
      </w:pPr>
    </w:p>
    <w:p>
      <w:pPr>
        <w:spacing w:line="360" w:lineRule="auto"/>
        <w:ind w:firstLine="240" w:firstLineChars="100"/>
        <w:rPr>
          <w:rFonts w:ascii="微软雅黑" w:hAnsi="微软雅黑" w:eastAsia="微软雅黑" w:cs="微软雅黑"/>
          <w:sz w:val="24"/>
          <w:szCs w:val="24"/>
        </w:rPr>
      </w:pPr>
    </w:p>
    <w:p>
      <w:pPr>
        <w:spacing w:line="360" w:lineRule="auto"/>
        <w:ind w:firstLine="220" w:firstLineChars="100"/>
        <w:rPr>
          <w:rFonts w:ascii="微软雅黑" w:hAnsi="微软雅黑" w:eastAsia="微软雅黑" w:cs="微软雅黑"/>
          <w:sz w:val="22"/>
          <w:szCs w:val="22"/>
        </w:rPr>
      </w:pPr>
    </w:p>
    <w:p>
      <w:pPr>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 xml:space="preserve">供应商（公章）;                           </w:t>
      </w:r>
    </w:p>
    <w:p>
      <w:pPr>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 xml:space="preserve">法定代表人（签字或盖章）：                     </w:t>
      </w:r>
    </w:p>
    <w:p>
      <w:pPr>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身份证号码：</w:t>
      </w:r>
    </w:p>
    <w:p>
      <w:pPr>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 xml:space="preserve">委托代理人（签字或盖章）：                                   </w:t>
      </w:r>
    </w:p>
    <w:p>
      <w:pPr>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 xml:space="preserve">身份证号码：                                   </w:t>
      </w:r>
    </w:p>
    <w:p>
      <w:pPr>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 xml:space="preserve">详细通讯地址：                                 </w:t>
      </w:r>
    </w:p>
    <w:p>
      <w:pPr>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 xml:space="preserve">邮 政 编 码 ：                                 </w:t>
      </w:r>
    </w:p>
    <w:p>
      <w:pPr>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 xml:space="preserve">传　　　　真：                                  </w:t>
      </w:r>
    </w:p>
    <w:p>
      <w:pPr>
        <w:ind w:firstLine="220" w:firstLineChars="100"/>
        <w:rPr>
          <w:rFonts w:ascii="微软雅黑" w:hAnsi="微软雅黑" w:eastAsia="微软雅黑" w:cs="微软雅黑"/>
          <w:sz w:val="22"/>
          <w:szCs w:val="22"/>
        </w:rPr>
      </w:pPr>
      <w:r>
        <w:rPr>
          <w:rFonts w:hint="eastAsia" w:ascii="微软雅黑" w:hAnsi="微软雅黑" w:eastAsia="微软雅黑" w:cs="微软雅黑"/>
          <w:sz w:val="22"/>
          <w:szCs w:val="22"/>
        </w:rPr>
        <w:t xml:space="preserve">电　　　　话：                                 </w:t>
      </w:r>
    </w:p>
    <w:p>
      <w:pPr>
        <w:ind w:firstLine="220" w:firstLineChars="100"/>
        <w:rPr>
          <w:rFonts w:ascii="微软雅黑" w:hAnsi="微软雅黑" w:eastAsia="微软雅黑" w:cs="微软雅黑"/>
          <w:sz w:val="22"/>
          <w:szCs w:val="22"/>
        </w:rPr>
      </w:pPr>
    </w:p>
    <w:p>
      <w:pPr>
        <w:ind w:firstLine="220" w:firstLineChars="100"/>
        <w:jc w:val="right"/>
        <w:rPr>
          <w:rFonts w:ascii="微软雅黑" w:hAnsi="微软雅黑" w:eastAsia="微软雅黑" w:cs="微软雅黑"/>
          <w:sz w:val="22"/>
          <w:szCs w:val="22"/>
        </w:rPr>
      </w:pPr>
      <w:r>
        <w:rPr>
          <w:rFonts w:hint="eastAsia" w:ascii="微软雅黑" w:hAnsi="微软雅黑" w:eastAsia="微软雅黑" w:cs="微软雅黑"/>
          <w:sz w:val="22"/>
          <w:szCs w:val="22"/>
        </w:rPr>
        <w:t xml:space="preserve">年   月   日 </w:t>
      </w:r>
    </w:p>
    <w:p>
      <w:pPr>
        <w:pStyle w:val="26"/>
        <w:spacing w:line="240" w:lineRule="auto"/>
      </w:pPr>
    </w:p>
    <w:p>
      <w:pPr>
        <w:pStyle w:val="24"/>
        <w:widowControl/>
        <w:spacing w:before="75" w:beforeAutospacing="0" w:after="75" w:afterAutospacing="0"/>
        <w:ind w:firstLine="480" w:firstLineChars="200"/>
        <w:rPr>
          <w:rFonts w:ascii="微软雅黑" w:hAnsi="微软雅黑" w:eastAsia="微软雅黑" w:cs="微软雅黑"/>
          <w:b/>
          <w:bCs/>
        </w:rPr>
      </w:pPr>
      <w:r>
        <w:rPr>
          <w:rFonts w:hint="eastAsia" w:ascii="微软雅黑" w:hAnsi="微软雅黑" w:eastAsia="微软雅黑" w:cs="微软雅黑"/>
          <w:b/>
          <w:bCs/>
        </w:rPr>
        <w:t>④本单位依法缴纳的近3个月内任意一个月的社会保险的凭据；</w:t>
      </w:r>
    </w:p>
    <w:p>
      <w:pPr>
        <w:pStyle w:val="27"/>
        <w:snapToGrid w:val="0"/>
        <w:spacing w:line="240" w:lineRule="auto"/>
        <w:ind w:firstLine="480"/>
        <w:textAlignment w:val="baseline"/>
        <w:rPr>
          <w:rFonts w:ascii="微软雅黑" w:hAnsi="微软雅黑" w:eastAsia="微软雅黑" w:cs="微软雅黑"/>
          <w:bCs/>
          <w:kern w:val="0"/>
        </w:rPr>
      </w:pPr>
      <w:r>
        <w:rPr>
          <w:rFonts w:hint="eastAsia" w:ascii="微软雅黑" w:hAnsi="微软雅黑" w:eastAsia="微软雅黑" w:cs="微软雅黑"/>
          <w:bCs/>
          <w:kern w:val="0"/>
        </w:rPr>
        <w:t>说明：1.社保证明可含：社保缴费凭证或社保缴费证明或社保缴费汇总单或依法缴纳社保的完税证明。</w:t>
      </w:r>
    </w:p>
    <w:p>
      <w:pPr>
        <w:pStyle w:val="27"/>
        <w:numPr>
          <w:ilvl w:val="0"/>
          <w:numId w:val="6"/>
        </w:numPr>
        <w:snapToGrid w:val="0"/>
        <w:spacing w:line="240" w:lineRule="auto"/>
        <w:ind w:firstLine="1200" w:firstLineChars="500"/>
        <w:textAlignment w:val="baseline"/>
        <w:rPr>
          <w:rFonts w:ascii="微软雅黑" w:hAnsi="微软雅黑" w:eastAsia="微软雅黑" w:cs="微软雅黑"/>
          <w:bCs/>
          <w:kern w:val="0"/>
        </w:rPr>
      </w:pPr>
      <w:r>
        <w:rPr>
          <w:rFonts w:hint="eastAsia" w:ascii="微软雅黑" w:hAnsi="微软雅黑" w:eastAsia="微软雅黑" w:cs="微软雅黑"/>
          <w:bCs/>
          <w:kern w:val="0"/>
        </w:rPr>
        <w:t>近3个月是指招标公告发布前的3个月。</w:t>
      </w:r>
    </w:p>
    <w:p>
      <w:pPr>
        <w:pStyle w:val="27"/>
        <w:snapToGrid w:val="0"/>
        <w:spacing w:line="240" w:lineRule="auto"/>
        <w:ind w:firstLine="0" w:firstLineChars="0"/>
        <w:textAlignment w:val="baseline"/>
        <w:rPr>
          <w:rFonts w:ascii="微软雅黑" w:hAnsi="微软雅黑" w:eastAsia="微软雅黑" w:cs="微软雅黑"/>
          <w:bCs/>
          <w:kern w:val="0"/>
        </w:rPr>
      </w:pPr>
    </w:p>
    <w:p>
      <w:pPr>
        <w:pStyle w:val="24"/>
        <w:widowControl/>
        <w:spacing w:before="75" w:beforeAutospacing="0" w:after="75" w:afterAutospacing="0"/>
        <w:ind w:firstLine="480" w:firstLineChars="200"/>
        <w:rPr>
          <w:rFonts w:ascii="微软雅黑" w:hAnsi="微软雅黑" w:eastAsia="微软雅黑" w:cs="微软雅黑"/>
          <w:b/>
          <w:bCs/>
        </w:rPr>
      </w:pPr>
      <w:r>
        <w:rPr>
          <w:rFonts w:hint="eastAsia" w:ascii="微软雅黑" w:hAnsi="微软雅黑" w:eastAsia="微软雅黑" w:cs="微软雅黑"/>
          <w:b/>
          <w:bCs/>
        </w:rPr>
        <w:t>⑤税务部门出具的近3个月内人任意一个月的完税证明（依法免缴的应提供依法免缴的相关证明文件或零申报报表）；</w:t>
      </w:r>
    </w:p>
    <w:p>
      <w:pPr>
        <w:pStyle w:val="27"/>
        <w:snapToGrid w:val="0"/>
        <w:spacing w:line="240" w:lineRule="auto"/>
        <w:ind w:firstLine="480"/>
        <w:textAlignment w:val="baseline"/>
        <w:rPr>
          <w:rFonts w:ascii="微软雅黑" w:hAnsi="微软雅黑" w:eastAsia="微软雅黑" w:cs="微软雅黑"/>
          <w:bCs/>
          <w:kern w:val="0"/>
        </w:rPr>
      </w:pPr>
      <w:r>
        <w:rPr>
          <w:rFonts w:hint="eastAsia" w:ascii="微软雅黑" w:hAnsi="微软雅黑" w:eastAsia="微软雅黑" w:cs="微软雅黑"/>
          <w:bCs/>
          <w:kern w:val="0"/>
        </w:rPr>
        <w:t>说明：1、新成立公司若无纳税记录，可开具无欠税证明或零申报报表。</w:t>
      </w:r>
    </w:p>
    <w:p>
      <w:pPr>
        <w:pStyle w:val="27"/>
        <w:snapToGrid w:val="0"/>
        <w:spacing w:line="240" w:lineRule="auto"/>
        <w:ind w:firstLine="480"/>
        <w:textAlignment w:val="baseline"/>
        <w:rPr>
          <w:rFonts w:ascii="微软雅黑" w:hAnsi="微软雅黑" w:eastAsia="微软雅黑" w:cs="微软雅黑"/>
          <w:bCs/>
          <w:kern w:val="0"/>
        </w:rPr>
      </w:pPr>
      <w:r>
        <w:rPr>
          <w:rFonts w:hint="eastAsia" w:ascii="微软雅黑" w:hAnsi="微软雅黑" w:eastAsia="微软雅黑" w:cs="微软雅黑"/>
          <w:bCs/>
          <w:kern w:val="0"/>
        </w:rPr>
        <w:t>2、完税证明中“税种”非养老保险、医疗保险、失业保险、工伤保险和生育保险。</w:t>
      </w:r>
    </w:p>
    <w:p>
      <w:pPr>
        <w:pStyle w:val="27"/>
        <w:snapToGrid w:val="0"/>
        <w:spacing w:line="240" w:lineRule="auto"/>
        <w:ind w:firstLine="480"/>
        <w:textAlignment w:val="baseline"/>
        <w:rPr>
          <w:rFonts w:ascii="微软雅黑" w:hAnsi="微软雅黑" w:eastAsia="微软雅黑" w:cs="微软雅黑"/>
          <w:b/>
          <w:bCs/>
        </w:rPr>
      </w:pPr>
      <w:r>
        <w:rPr>
          <w:rFonts w:hint="eastAsia" w:ascii="微软雅黑" w:hAnsi="微软雅黑" w:eastAsia="微软雅黑" w:cs="微软雅黑"/>
          <w:bCs/>
          <w:kern w:val="0"/>
        </w:rPr>
        <w:t>3、近</w:t>
      </w:r>
      <w:r>
        <w:rPr>
          <w:rFonts w:hint="eastAsia" w:ascii="微软雅黑" w:hAnsi="微软雅黑" w:eastAsia="微软雅黑" w:cs="微软雅黑"/>
          <w:bCs/>
          <w:kern w:val="0"/>
          <w:lang w:val="en-US" w:eastAsia="zh-CN"/>
        </w:rPr>
        <w:t>3</w:t>
      </w:r>
      <w:r>
        <w:rPr>
          <w:rFonts w:hint="eastAsia" w:ascii="微软雅黑" w:hAnsi="微软雅黑" w:eastAsia="微软雅黑" w:cs="微软雅黑"/>
          <w:bCs/>
          <w:kern w:val="0"/>
        </w:rPr>
        <w:t>个月是指招标公告发布前的3个月。</w:t>
      </w:r>
    </w:p>
    <w:p>
      <w:pPr>
        <w:pStyle w:val="24"/>
        <w:widowControl/>
        <w:spacing w:before="75" w:beforeAutospacing="0" w:after="75" w:afterAutospacing="0"/>
        <w:ind w:firstLine="480" w:firstLineChars="200"/>
        <w:rPr>
          <w:rFonts w:ascii="微软雅黑" w:hAnsi="微软雅黑" w:eastAsia="微软雅黑" w:cs="微软雅黑"/>
          <w:b/>
          <w:bCs/>
        </w:rPr>
      </w:pPr>
    </w:p>
    <w:p>
      <w:pPr>
        <w:pStyle w:val="24"/>
        <w:widowControl/>
        <w:spacing w:before="75" w:beforeAutospacing="0" w:after="75" w:afterAutospacing="0"/>
        <w:ind w:firstLine="480" w:firstLineChars="200"/>
        <w:rPr>
          <w:rFonts w:ascii="微软雅黑" w:hAnsi="微软雅黑" w:eastAsia="微软雅黑" w:cs="微软雅黑"/>
          <w:b/>
          <w:bCs/>
        </w:rPr>
      </w:pPr>
      <w:r>
        <w:rPr>
          <w:rFonts w:hint="eastAsia" w:ascii="微软雅黑" w:hAnsi="微软雅黑" w:eastAsia="微软雅黑" w:cs="微软雅黑"/>
          <w:b/>
          <w:bCs/>
        </w:rPr>
        <w:t>⑥提供近两年任意一年完整的财务审计报告（成立不满一年的可提供近一个月的银行资信证明）；</w:t>
      </w:r>
    </w:p>
    <w:p>
      <w:pPr>
        <w:tabs>
          <w:tab w:val="left" w:pos="5580"/>
        </w:tabs>
        <w:ind w:left="1080" w:leftChars="257" w:hanging="540"/>
        <w:rPr>
          <w:rFonts w:ascii="微软雅黑" w:hAnsi="微软雅黑" w:eastAsia="微软雅黑" w:cs="微软雅黑"/>
          <w:bCs/>
          <w:kern w:val="0"/>
          <w:sz w:val="24"/>
          <w:szCs w:val="20"/>
        </w:rPr>
      </w:pPr>
      <w:r>
        <w:rPr>
          <w:rFonts w:hint="eastAsia" w:ascii="微软雅黑" w:hAnsi="微软雅黑" w:eastAsia="微软雅黑" w:cs="微软雅黑"/>
          <w:bCs/>
          <w:kern w:val="0"/>
          <w:sz w:val="24"/>
          <w:szCs w:val="20"/>
        </w:rPr>
        <w:t>说明：</w:t>
      </w:r>
    </w:p>
    <w:p>
      <w:pPr>
        <w:tabs>
          <w:tab w:val="left" w:pos="5580"/>
        </w:tabs>
        <w:ind w:left="540"/>
        <w:rPr>
          <w:rFonts w:ascii="微软雅黑" w:hAnsi="微软雅黑" w:eastAsia="微软雅黑" w:cs="微软雅黑"/>
          <w:bCs/>
          <w:kern w:val="0"/>
          <w:sz w:val="24"/>
          <w:szCs w:val="20"/>
        </w:rPr>
      </w:pPr>
      <w:r>
        <w:rPr>
          <w:rFonts w:hint="eastAsia" w:ascii="微软雅黑" w:hAnsi="微软雅黑" w:eastAsia="微软雅黑" w:cs="微软雅黑"/>
          <w:bCs/>
          <w:kern w:val="0"/>
          <w:sz w:val="24"/>
          <w:szCs w:val="20"/>
        </w:rPr>
        <w:t>1、如提供本单位上年度经会计师事务所出具的完整审计报告复印件须加盖本单位章。</w:t>
      </w:r>
    </w:p>
    <w:p>
      <w:pPr>
        <w:pStyle w:val="5"/>
        <w:rPr>
          <w:rFonts w:ascii="微软雅黑" w:hAnsi="微软雅黑" w:eastAsia="微软雅黑" w:cs="微软雅黑"/>
          <w:bCs/>
          <w:szCs w:val="20"/>
        </w:rPr>
      </w:pPr>
      <w:r>
        <w:rPr>
          <w:rFonts w:hint="eastAsia" w:ascii="微软雅黑" w:hAnsi="微软雅黑" w:eastAsia="微软雅黑" w:cs="微软雅黑"/>
          <w:bCs/>
          <w:szCs w:val="20"/>
        </w:rPr>
        <w:t>2、如果是联合体投标，联合体各方均需提供上述证明。</w:t>
      </w:r>
    </w:p>
    <w:p>
      <w:pPr>
        <w:pStyle w:val="9"/>
        <w:ind w:firstLine="480" w:firstLineChars="200"/>
      </w:pPr>
      <w:r>
        <w:rPr>
          <w:rFonts w:hint="eastAsia" w:ascii="微软雅黑" w:hAnsi="微软雅黑" w:eastAsia="微软雅黑" w:cs="微软雅黑"/>
          <w:bCs/>
          <w:kern w:val="0"/>
          <w:szCs w:val="20"/>
        </w:rPr>
        <w:t>3、近两年任意一年指2021年或2022年，近一个月是指招标公告发布前一个月。</w:t>
      </w:r>
    </w:p>
    <w:p>
      <w:pPr>
        <w:pStyle w:val="15"/>
        <w:tabs>
          <w:tab w:val="left" w:pos="5580"/>
        </w:tabs>
        <w:rPr>
          <w:rFonts w:ascii="微软雅黑" w:hAnsi="微软雅黑" w:eastAsia="微软雅黑" w:cs="微软雅黑"/>
          <w:b/>
          <w:bCs/>
        </w:rPr>
      </w:pPr>
    </w:p>
    <w:p>
      <w:pPr>
        <w:pStyle w:val="24"/>
        <w:widowControl/>
        <w:spacing w:before="75" w:beforeAutospacing="0" w:after="75" w:afterAutospacing="0"/>
        <w:ind w:firstLine="480" w:firstLineChars="200"/>
        <w:rPr>
          <w:rFonts w:ascii="微软雅黑" w:hAnsi="微软雅黑" w:eastAsia="微软雅黑" w:cs="微软雅黑"/>
          <w:b/>
          <w:bCs/>
        </w:rPr>
      </w:pPr>
    </w:p>
    <w:p>
      <w:pPr>
        <w:pStyle w:val="24"/>
        <w:widowControl/>
        <w:spacing w:before="75" w:beforeAutospacing="0" w:after="75" w:afterAutospacing="0"/>
        <w:ind w:firstLine="480" w:firstLineChars="200"/>
        <w:rPr>
          <w:rFonts w:ascii="微软雅黑" w:hAnsi="微软雅黑" w:eastAsia="微软雅黑" w:cs="微软雅黑"/>
          <w:b/>
          <w:bCs/>
        </w:rPr>
      </w:pPr>
      <w:r>
        <w:rPr>
          <w:rFonts w:hint="eastAsia" w:ascii="微软雅黑" w:hAnsi="微软雅黑" w:eastAsia="微软雅黑" w:cs="微软雅黑"/>
          <w:b/>
          <w:bCs/>
        </w:rPr>
        <w:t>⑦参与政府采购活动前3年内未被列入失信、重大税收违法案件、财政部门禁止参加政府采购活动的承诺书；</w:t>
      </w:r>
    </w:p>
    <w:p>
      <w:pPr>
        <w:pStyle w:val="5"/>
        <w:ind w:firstLine="720" w:firstLineChars="300"/>
        <w:rPr>
          <w:rFonts w:ascii="微软雅黑" w:hAnsi="微软雅黑" w:eastAsia="微软雅黑" w:cs="微软雅黑"/>
          <w:b/>
          <w:bCs/>
        </w:rPr>
      </w:pPr>
      <w:r>
        <w:rPr>
          <w:rFonts w:hint="eastAsia" w:ascii="微软雅黑" w:hAnsi="微软雅黑" w:eastAsia="微软雅黑" w:cs="微软雅黑"/>
        </w:rPr>
        <w:t>说明：1.供应商应按照相关法规规定如实作出说明，格式自拟。</w:t>
      </w:r>
    </w:p>
    <w:p>
      <w:pPr>
        <w:pStyle w:val="24"/>
        <w:widowControl/>
        <w:spacing w:before="75" w:beforeAutospacing="0" w:after="75" w:afterAutospacing="0"/>
        <w:ind w:firstLine="480" w:firstLineChars="200"/>
        <w:rPr>
          <w:rFonts w:ascii="微软雅黑" w:hAnsi="微软雅黑" w:eastAsia="微软雅黑" w:cs="微软雅黑"/>
          <w:b/>
          <w:bCs/>
        </w:rPr>
      </w:pPr>
    </w:p>
    <w:p>
      <w:pPr>
        <w:pStyle w:val="24"/>
        <w:widowControl/>
        <w:spacing w:before="75" w:beforeAutospacing="0" w:after="75" w:afterAutospacing="0"/>
        <w:ind w:firstLine="480" w:firstLineChars="200"/>
        <w:rPr>
          <w:rFonts w:ascii="微软雅黑" w:hAnsi="微软雅黑" w:eastAsia="微软雅黑" w:cs="微软雅黑"/>
          <w:b/>
          <w:bCs/>
        </w:rPr>
      </w:pPr>
      <w:r>
        <w:rPr>
          <w:rFonts w:hint="eastAsia" w:ascii="微软雅黑" w:hAnsi="微软雅黑" w:eastAsia="微软雅黑" w:cs="微软雅黑"/>
          <w:b/>
          <w:bCs/>
        </w:rPr>
        <w:t>⑧提供针对本次项目的反商业贿赂承诺书。</w:t>
      </w:r>
    </w:p>
    <w:p>
      <w:pPr>
        <w:pStyle w:val="5"/>
        <w:ind w:firstLine="720" w:firstLineChars="300"/>
        <w:rPr>
          <w:rFonts w:ascii="微软雅黑" w:hAnsi="微软雅黑" w:eastAsia="微软雅黑" w:cs="微软雅黑"/>
          <w:b/>
          <w:bCs/>
        </w:rPr>
      </w:pPr>
      <w:r>
        <w:rPr>
          <w:rFonts w:hint="eastAsia" w:ascii="微软雅黑" w:hAnsi="微软雅黑" w:eastAsia="微软雅黑" w:cs="微软雅黑"/>
        </w:rPr>
        <w:t>说明：1.供应商应按照相关法规规定如实作出承诺，格式自拟。</w:t>
      </w:r>
    </w:p>
    <w:p>
      <w:pPr>
        <w:pStyle w:val="24"/>
        <w:widowControl/>
        <w:spacing w:before="75" w:beforeAutospacing="0" w:after="75" w:afterAutospacing="0"/>
        <w:rPr>
          <w:rFonts w:ascii="微软雅黑" w:hAnsi="微软雅黑" w:eastAsia="微软雅黑" w:cs="微软雅黑"/>
          <w:b/>
          <w:bCs/>
        </w:rPr>
      </w:pPr>
    </w:p>
    <w:p>
      <w:pPr>
        <w:pStyle w:val="24"/>
        <w:widowControl/>
        <w:spacing w:before="75" w:beforeAutospacing="0" w:after="75" w:afterAutospacing="0"/>
        <w:rPr>
          <w:rFonts w:ascii="微软雅黑" w:hAnsi="微软雅黑" w:eastAsia="微软雅黑" w:cs="微软雅黑"/>
          <w:b/>
          <w:bCs/>
        </w:rPr>
      </w:pPr>
    </w:p>
    <w:p>
      <w:pPr>
        <w:pStyle w:val="24"/>
        <w:widowControl/>
        <w:spacing w:before="75" w:beforeAutospacing="0" w:after="75" w:afterAutospacing="0"/>
        <w:rPr>
          <w:rFonts w:ascii="微软雅黑" w:hAnsi="微软雅黑" w:eastAsia="微软雅黑" w:cs="微软雅黑"/>
          <w:b/>
          <w:bCs/>
        </w:rPr>
      </w:pPr>
    </w:p>
    <w:p>
      <w:pPr>
        <w:pStyle w:val="24"/>
        <w:widowControl/>
        <w:spacing w:before="75" w:beforeAutospacing="0" w:after="75" w:afterAutospacing="0"/>
        <w:rPr>
          <w:rFonts w:ascii="微软雅黑" w:hAnsi="微软雅黑" w:eastAsia="微软雅黑" w:cs="微软雅黑"/>
          <w:b/>
          <w:bCs/>
        </w:rPr>
      </w:pPr>
    </w:p>
    <w:p>
      <w:pPr>
        <w:pStyle w:val="24"/>
        <w:widowControl/>
        <w:spacing w:before="75" w:beforeAutospacing="0" w:after="75" w:afterAutospacing="0"/>
        <w:rPr>
          <w:rFonts w:ascii="微软雅黑" w:hAnsi="微软雅黑" w:eastAsia="微软雅黑" w:cs="微软雅黑"/>
          <w:b/>
          <w:bCs/>
        </w:rPr>
      </w:pPr>
    </w:p>
    <w:p>
      <w:pPr>
        <w:pStyle w:val="24"/>
        <w:widowControl/>
        <w:spacing w:before="75" w:beforeAutospacing="0" w:after="75" w:afterAutospacing="0"/>
        <w:rPr>
          <w:rFonts w:ascii="微软雅黑" w:hAnsi="微软雅黑" w:eastAsia="微软雅黑" w:cs="微软雅黑"/>
          <w:b/>
          <w:bCs/>
        </w:rPr>
      </w:pPr>
      <w:bookmarkStart w:id="424" w:name="_Toc32670"/>
      <w:bookmarkStart w:id="425" w:name="_Toc24428"/>
      <w:bookmarkStart w:id="426" w:name="_Toc515647811"/>
      <w:r>
        <w:rPr>
          <w:rFonts w:hint="eastAsia" w:ascii="微软雅黑" w:hAnsi="微软雅黑" w:eastAsia="微软雅黑" w:cs="微软雅黑"/>
          <w:b/>
          <w:bCs/>
        </w:rPr>
        <w:t>⑨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rPr>
          <w:rFonts w:ascii="微软雅黑" w:hAnsi="微软雅黑" w:eastAsia="微软雅黑" w:cs="微软雅黑"/>
        </w:rPr>
      </w:pPr>
    </w:p>
    <w:p>
      <w:pPr>
        <w:pStyle w:val="26"/>
        <w:spacing w:line="240" w:lineRule="auto"/>
      </w:pPr>
    </w:p>
    <w:p/>
    <w:p>
      <w:pPr>
        <w:pStyle w:val="5"/>
        <w:outlineLvl w:val="1"/>
        <w:rPr>
          <w:rFonts w:ascii="微软雅黑" w:hAnsi="微软雅黑" w:eastAsia="微软雅黑" w:cs="微软雅黑"/>
          <w:b/>
          <w:bCs/>
        </w:rPr>
      </w:pPr>
      <w:bookmarkStart w:id="427" w:name="_Toc23290"/>
      <w:bookmarkStart w:id="428" w:name="_Toc2113"/>
      <w:r>
        <w:rPr>
          <w:rFonts w:hint="eastAsia" w:ascii="微软雅黑" w:hAnsi="微软雅黑" w:eastAsia="微软雅黑" w:cs="微软雅黑"/>
          <w:b/>
          <w:bCs/>
        </w:rPr>
        <w:t>3  投标保证金有效凭证；</w:t>
      </w:r>
      <w:bookmarkEnd w:id="427"/>
      <w:bookmarkEnd w:id="428"/>
    </w:p>
    <w:p>
      <w:pPr>
        <w:pStyle w:val="5"/>
        <w:ind w:firstLine="0"/>
        <w:rPr>
          <w:rFonts w:ascii="微软雅黑" w:hAnsi="微软雅黑" w:eastAsia="微软雅黑" w:cs="微软雅黑"/>
          <w:b/>
          <w:bCs/>
          <w:sz w:val="21"/>
          <w:szCs w:val="21"/>
        </w:rPr>
      </w:pPr>
    </w:p>
    <w:p>
      <w:pPr>
        <w:pStyle w:val="5"/>
        <w:rPr>
          <w:rFonts w:ascii="微软雅黑" w:hAnsi="微软雅黑" w:eastAsia="微软雅黑" w:cs="微软雅黑"/>
          <w:b/>
          <w:bCs/>
        </w:rPr>
      </w:pPr>
      <w:bookmarkStart w:id="429" w:name="_Toc26152"/>
      <w:bookmarkStart w:id="430" w:name="_Toc3829"/>
      <w:bookmarkStart w:id="431" w:name="_Toc28906"/>
    </w:p>
    <w:bookmarkEnd w:id="429"/>
    <w:bookmarkEnd w:id="430"/>
    <w:bookmarkEnd w:id="431"/>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bookmarkEnd w:id="424"/>
    <w:bookmarkEnd w:id="425"/>
    <w:bookmarkEnd w:id="426"/>
    <w:p>
      <w:pPr>
        <w:pStyle w:val="5"/>
        <w:ind w:firstLine="0"/>
        <w:rPr>
          <w:rFonts w:ascii="微软雅黑" w:hAnsi="微软雅黑" w:eastAsia="微软雅黑" w:cs="微软雅黑"/>
        </w:rPr>
      </w:pPr>
      <w:bookmarkStart w:id="432" w:name="_Toc515647816"/>
      <w:bookmarkStart w:id="433" w:name="_Toc11180"/>
      <w:bookmarkStart w:id="434" w:name="_Toc30653"/>
      <w:bookmarkStart w:id="435" w:name="_Toc22967"/>
    </w:p>
    <w:p>
      <w:pPr>
        <w:pStyle w:val="4"/>
        <w:numPr>
          <w:ilvl w:val="0"/>
          <w:numId w:val="7"/>
        </w:numPr>
        <w:spacing w:before="0" w:line="360" w:lineRule="auto"/>
        <w:ind w:left="1080" w:leftChars="257" w:hanging="540"/>
        <w:rPr>
          <w:rFonts w:ascii="微软雅黑" w:hAnsi="微软雅黑" w:eastAsia="微软雅黑" w:cs="微软雅黑"/>
          <w:kern w:val="2"/>
          <w:sz w:val="32"/>
          <w:szCs w:val="32"/>
        </w:rPr>
      </w:pPr>
      <w:r>
        <w:rPr>
          <w:rFonts w:hint="eastAsia" w:ascii="微软雅黑" w:hAnsi="微软雅黑" w:eastAsia="微软雅黑" w:cs="微软雅黑"/>
          <w:kern w:val="2"/>
          <w:sz w:val="32"/>
          <w:szCs w:val="32"/>
        </w:rPr>
        <w:t xml:space="preserve"> </w:t>
      </w:r>
      <w:bookmarkStart w:id="436" w:name="_Toc24001"/>
      <w:r>
        <w:rPr>
          <w:rFonts w:hint="eastAsia" w:ascii="微软雅黑" w:hAnsi="微软雅黑" w:eastAsia="微软雅黑" w:cs="微软雅黑"/>
          <w:kern w:val="2"/>
          <w:sz w:val="32"/>
          <w:szCs w:val="32"/>
        </w:rPr>
        <w:t>商务及技术文件</w:t>
      </w:r>
      <w:bookmarkEnd w:id="432"/>
      <w:bookmarkEnd w:id="433"/>
      <w:bookmarkEnd w:id="434"/>
      <w:bookmarkEnd w:id="435"/>
      <w:bookmarkEnd w:id="436"/>
    </w:p>
    <w:p>
      <w:pPr>
        <w:pStyle w:val="15"/>
        <w:spacing w:line="360" w:lineRule="auto"/>
        <w:ind w:left="1079" w:leftChars="257" w:hanging="539"/>
        <w:rPr>
          <w:rFonts w:ascii="微软雅黑" w:hAnsi="微软雅黑" w:eastAsia="微软雅黑" w:cs="微软雅黑"/>
          <w:sz w:val="28"/>
          <w:szCs w:val="28"/>
        </w:rPr>
      </w:pPr>
      <w:r>
        <w:rPr>
          <w:rFonts w:hint="eastAsia" w:ascii="微软雅黑" w:hAnsi="微软雅黑" w:eastAsia="微软雅黑" w:cs="微软雅黑"/>
          <w:sz w:val="28"/>
          <w:szCs w:val="28"/>
        </w:rPr>
        <w:t>1、投标书</w:t>
      </w:r>
    </w:p>
    <w:p>
      <w:pPr>
        <w:pStyle w:val="15"/>
        <w:spacing w:line="360" w:lineRule="auto"/>
        <w:ind w:left="1080" w:leftChars="257" w:hanging="540"/>
        <w:rPr>
          <w:rFonts w:ascii="微软雅黑" w:hAnsi="微软雅黑" w:eastAsia="微软雅黑" w:cs="微软雅黑"/>
          <w:sz w:val="28"/>
          <w:szCs w:val="28"/>
        </w:rPr>
      </w:pPr>
      <w:r>
        <w:rPr>
          <w:rFonts w:hint="eastAsia" w:ascii="微软雅黑" w:hAnsi="微软雅黑" w:eastAsia="微软雅黑" w:cs="微软雅黑"/>
          <w:sz w:val="28"/>
          <w:szCs w:val="28"/>
        </w:rPr>
        <w:t>2、投标分项报价表</w:t>
      </w:r>
    </w:p>
    <w:p>
      <w:pPr>
        <w:pStyle w:val="15"/>
        <w:spacing w:line="360" w:lineRule="auto"/>
        <w:ind w:left="1080" w:leftChars="257" w:hanging="540"/>
        <w:rPr>
          <w:rFonts w:ascii="微软雅黑" w:hAnsi="微软雅黑" w:eastAsia="微软雅黑" w:cs="微软雅黑"/>
          <w:sz w:val="28"/>
          <w:szCs w:val="28"/>
        </w:rPr>
      </w:pPr>
      <w:r>
        <w:rPr>
          <w:rFonts w:hint="eastAsia" w:ascii="微软雅黑" w:hAnsi="微软雅黑" w:eastAsia="微软雅黑" w:cs="微软雅黑"/>
          <w:sz w:val="28"/>
          <w:szCs w:val="28"/>
        </w:rPr>
        <w:t>3、货物说明一览表</w:t>
      </w:r>
    </w:p>
    <w:p>
      <w:pPr>
        <w:pStyle w:val="15"/>
        <w:spacing w:line="360" w:lineRule="auto"/>
        <w:ind w:left="1080" w:leftChars="257" w:hanging="540"/>
        <w:rPr>
          <w:rFonts w:ascii="微软雅黑" w:hAnsi="微软雅黑" w:eastAsia="微软雅黑" w:cs="微软雅黑"/>
          <w:sz w:val="28"/>
          <w:szCs w:val="28"/>
        </w:rPr>
      </w:pPr>
      <w:r>
        <w:rPr>
          <w:rFonts w:hint="eastAsia" w:ascii="微软雅黑" w:hAnsi="微软雅黑" w:eastAsia="微软雅黑" w:cs="微软雅黑"/>
          <w:sz w:val="28"/>
          <w:szCs w:val="28"/>
        </w:rPr>
        <w:t>4、技术规格偏离表</w:t>
      </w:r>
    </w:p>
    <w:p>
      <w:pPr>
        <w:pStyle w:val="15"/>
        <w:spacing w:line="360" w:lineRule="auto"/>
        <w:ind w:left="1080" w:leftChars="257" w:hanging="540"/>
        <w:rPr>
          <w:rFonts w:ascii="微软雅黑" w:hAnsi="微软雅黑" w:eastAsia="微软雅黑" w:cs="微软雅黑"/>
          <w:sz w:val="28"/>
          <w:szCs w:val="28"/>
        </w:rPr>
      </w:pPr>
      <w:r>
        <w:rPr>
          <w:rFonts w:hint="eastAsia" w:ascii="微软雅黑" w:hAnsi="微软雅黑" w:eastAsia="微软雅黑" w:cs="微软雅黑"/>
          <w:sz w:val="28"/>
          <w:szCs w:val="28"/>
        </w:rPr>
        <w:t>5、商务条款偏离表</w:t>
      </w:r>
    </w:p>
    <w:p>
      <w:pPr>
        <w:pStyle w:val="15"/>
        <w:spacing w:line="360" w:lineRule="auto"/>
        <w:ind w:left="311" w:leftChars="148" w:firstLine="228"/>
        <w:rPr>
          <w:rFonts w:ascii="微软雅黑" w:hAnsi="微软雅黑" w:eastAsia="微软雅黑" w:cs="微软雅黑"/>
          <w:sz w:val="28"/>
          <w:szCs w:val="28"/>
        </w:rPr>
      </w:pPr>
      <w:r>
        <w:rPr>
          <w:rFonts w:hint="eastAsia" w:ascii="微软雅黑" w:hAnsi="微软雅黑" w:eastAsia="微软雅黑" w:cs="微软雅黑"/>
          <w:sz w:val="28"/>
          <w:szCs w:val="28"/>
        </w:rPr>
        <w:t>6-1中小企业声明函</w:t>
      </w:r>
    </w:p>
    <w:p>
      <w:pPr>
        <w:pStyle w:val="15"/>
        <w:spacing w:line="360" w:lineRule="auto"/>
        <w:ind w:left="311" w:leftChars="148" w:firstLine="228"/>
        <w:rPr>
          <w:rFonts w:ascii="微软雅黑" w:hAnsi="微软雅黑" w:eastAsia="微软雅黑" w:cs="微软雅黑"/>
          <w:sz w:val="28"/>
          <w:szCs w:val="28"/>
        </w:rPr>
      </w:pPr>
      <w:r>
        <w:rPr>
          <w:rFonts w:hint="eastAsia" w:ascii="微软雅黑" w:hAnsi="微软雅黑" w:eastAsia="微软雅黑" w:cs="微软雅黑"/>
          <w:sz w:val="28"/>
          <w:szCs w:val="28"/>
        </w:rPr>
        <w:t>6-2残疾人福利性单位声明函</w:t>
      </w:r>
    </w:p>
    <w:p>
      <w:pPr>
        <w:pStyle w:val="15"/>
        <w:spacing w:line="360" w:lineRule="auto"/>
        <w:ind w:left="311" w:leftChars="148" w:firstLine="228"/>
        <w:rPr>
          <w:rFonts w:ascii="微软雅黑" w:hAnsi="微软雅黑" w:eastAsia="微软雅黑" w:cs="微软雅黑"/>
          <w:sz w:val="28"/>
          <w:szCs w:val="28"/>
        </w:rPr>
      </w:pPr>
      <w:r>
        <w:rPr>
          <w:rFonts w:hint="eastAsia" w:ascii="微软雅黑" w:hAnsi="微软雅黑" w:eastAsia="微软雅黑" w:cs="微软雅黑"/>
          <w:sz w:val="28"/>
          <w:szCs w:val="28"/>
        </w:rPr>
        <w:t>7、供应商关联单位的说明（格式自拟）</w:t>
      </w:r>
    </w:p>
    <w:p>
      <w:pPr>
        <w:pStyle w:val="15"/>
        <w:spacing w:line="360" w:lineRule="auto"/>
        <w:ind w:left="1080" w:leftChars="257" w:hanging="540"/>
        <w:rPr>
          <w:rFonts w:ascii="微软雅黑" w:hAnsi="微软雅黑" w:eastAsia="微软雅黑" w:cs="微软雅黑"/>
          <w:sz w:val="28"/>
          <w:szCs w:val="28"/>
        </w:rPr>
      </w:pPr>
      <w:r>
        <w:rPr>
          <w:rFonts w:hint="eastAsia" w:ascii="微软雅黑" w:hAnsi="微软雅黑" w:eastAsia="微软雅黑" w:cs="微软雅黑"/>
          <w:sz w:val="28"/>
          <w:szCs w:val="28"/>
        </w:rPr>
        <w:t>8、供应商可提供有利于投标的其他资格证明材料</w:t>
      </w:r>
      <w:bookmarkStart w:id="437" w:name="_Toc2041"/>
      <w:bookmarkStart w:id="438" w:name="_Toc515647817"/>
      <w:bookmarkStart w:id="439" w:name="_Toc14915"/>
    </w:p>
    <w:p>
      <w:pPr>
        <w:pStyle w:val="15"/>
        <w:spacing w:line="360" w:lineRule="auto"/>
        <w:ind w:left="1080" w:leftChars="257" w:hanging="540"/>
        <w:rPr>
          <w:rFonts w:ascii="微软雅黑" w:hAnsi="微软雅黑" w:eastAsia="微软雅黑" w:cs="微软雅黑"/>
          <w:sz w:val="28"/>
          <w:szCs w:val="28"/>
        </w:rPr>
      </w:pPr>
      <w:r>
        <w:rPr>
          <w:rFonts w:hint="eastAsia" w:ascii="微软雅黑" w:hAnsi="微软雅黑" w:eastAsia="微软雅黑" w:cs="微软雅黑"/>
          <w:sz w:val="28"/>
          <w:szCs w:val="28"/>
        </w:rPr>
        <w:t>9、投标文件格式范本</w:t>
      </w:r>
    </w:p>
    <w:p>
      <w:pPr>
        <w:pStyle w:val="15"/>
        <w:tabs>
          <w:tab w:val="left" w:pos="5580"/>
        </w:tabs>
        <w:rPr>
          <w:rFonts w:ascii="微软雅黑" w:hAnsi="微软雅黑" w:eastAsia="微软雅黑" w:cs="微软雅黑"/>
          <w:sz w:val="24"/>
          <w:szCs w:val="24"/>
        </w:rPr>
      </w:pPr>
    </w:p>
    <w:p>
      <w:pPr>
        <w:rPr>
          <w:rFonts w:ascii="微软雅黑" w:hAnsi="微软雅黑" w:eastAsia="微软雅黑" w:cs="微软雅黑"/>
          <w:b/>
          <w:bCs/>
        </w:rPr>
      </w:pPr>
    </w:p>
    <w:p>
      <w:pPr>
        <w:pStyle w:val="5"/>
        <w:rPr>
          <w:rFonts w:ascii="微软雅黑" w:hAnsi="微软雅黑" w:eastAsia="微软雅黑" w:cs="微软雅黑"/>
          <w:b/>
          <w:bCs/>
        </w:rPr>
      </w:pPr>
    </w:p>
    <w:p>
      <w:pPr>
        <w:pStyle w:val="5"/>
        <w:rPr>
          <w:rFonts w:ascii="微软雅黑" w:hAnsi="微软雅黑" w:eastAsia="微软雅黑" w:cs="微软雅黑"/>
          <w:b/>
          <w:bCs/>
        </w:rPr>
      </w:pPr>
    </w:p>
    <w:p>
      <w:pPr>
        <w:pStyle w:val="5"/>
        <w:rPr>
          <w:rFonts w:ascii="微软雅黑" w:hAnsi="微软雅黑" w:eastAsia="微软雅黑" w:cs="微软雅黑"/>
          <w:b/>
          <w:bCs/>
        </w:rPr>
      </w:pPr>
    </w:p>
    <w:p>
      <w:pPr>
        <w:pStyle w:val="5"/>
        <w:rPr>
          <w:rFonts w:ascii="微软雅黑" w:hAnsi="微软雅黑" w:eastAsia="微软雅黑" w:cs="微软雅黑"/>
          <w:b/>
          <w:bCs/>
        </w:rPr>
      </w:pPr>
    </w:p>
    <w:p>
      <w:pPr>
        <w:rPr>
          <w:rFonts w:ascii="微软雅黑" w:hAnsi="微软雅黑" w:eastAsia="微软雅黑" w:cs="微软雅黑"/>
          <w:b/>
          <w:bCs/>
        </w:rPr>
      </w:pPr>
    </w:p>
    <w:p>
      <w:pPr>
        <w:pStyle w:val="5"/>
        <w:rPr>
          <w:rFonts w:ascii="微软雅黑" w:hAnsi="微软雅黑" w:eastAsia="微软雅黑" w:cs="微软雅黑"/>
          <w:b/>
          <w:bCs/>
        </w:rPr>
      </w:pPr>
    </w:p>
    <w:p>
      <w:pPr>
        <w:rPr>
          <w:rFonts w:ascii="微软雅黑" w:hAnsi="微软雅黑" w:eastAsia="微软雅黑" w:cs="微软雅黑"/>
          <w:b/>
          <w:bCs/>
        </w:rPr>
      </w:pPr>
    </w:p>
    <w:p>
      <w:pPr>
        <w:pStyle w:val="5"/>
        <w:rPr>
          <w:rFonts w:ascii="微软雅黑" w:hAnsi="微软雅黑" w:eastAsia="微软雅黑" w:cs="微软雅黑"/>
          <w:b/>
          <w:bCs/>
        </w:rPr>
      </w:pPr>
    </w:p>
    <w:p>
      <w:pPr>
        <w:rPr>
          <w:rFonts w:ascii="微软雅黑" w:hAnsi="微软雅黑" w:eastAsia="微软雅黑" w:cs="微软雅黑"/>
          <w:b/>
          <w:bCs/>
        </w:rPr>
      </w:pPr>
    </w:p>
    <w:p>
      <w:pPr>
        <w:pStyle w:val="5"/>
      </w:pPr>
    </w:p>
    <w:p>
      <w:pPr>
        <w:pStyle w:val="5"/>
        <w:rPr>
          <w:rFonts w:ascii="微软雅黑" w:hAnsi="微软雅黑" w:eastAsia="微软雅黑" w:cs="微软雅黑"/>
          <w:b/>
          <w:bCs/>
        </w:rPr>
      </w:pPr>
    </w:p>
    <w:p>
      <w:pPr>
        <w:pStyle w:val="5"/>
        <w:rPr>
          <w:rFonts w:ascii="微软雅黑" w:hAnsi="微软雅黑" w:eastAsia="微软雅黑" w:cs="微软雅黑"/>
          <w:b/>
          <w:bCs/>
        </w:rPr>
      </w:pPr>
    </w:p>
    <w:p>
      <w:pPr>
        <w:rPr>
          <w:rFonts w:ascii="微软雅黑" w:hAnsi="微软雅黑" w:eastAsia="微软雅黑" w:cs="微软雅黑"/>
          <w:sz w:val="24"/>
          <w:szCs w:val="24"/>
        </w:rPr>
      </w:pPr>
    </w:p>
    <w:p>
      <w:pPr>
        <w:jc w:val="center"/>
        <w:outlineLvl w:val="1"/>
        <w:rPr>
          <w:rFonts w:ascii="微软雅黑" w:hAnsi="微软雅黑" w:eastAsia="微软雅黑" w:cs="微软雅黑"/>
          <w:sz w:val="24"/>
          <w:szCs w:val="24"/>
        </w:rPr>
      </w:pPr>
      <w:bookmarkStart w:id="440" w:name="_Toc17344"/>
      <w:bookmarkStart w:id="441" w:name="_Toc16788"/>
      <w:bookmarkStart w:id="442" w:name="_Toc27134"/>
      <w:bookmarkStart w:id="443" w:name="_Toc30408"/>
      <w:bookmarkStart w:id="444" w:name="_Toc28678"/>
      <w:bookmarkStart w:id="445" w:name="_Toc12580"/>
      <w:bookmarkStart w:id="446" w:name="_Toc2305"/>
      <w:bookmarkStart w:id="447" w:name="_Toc695"/>
      <w:bookmarkStart w:id="448" w:name="_Toc30922"/>
      <w:r>
        <w:rPr>
          <w:rFonts w:hint="eastAsia" w:ascii="微软雅黑" w:hAnsi="微软雅黑" w:eastAsia="微软雅黑" w:cs="微软雅黑"/>
          <w:b/>
          <w:bCs/>
          <w:sz w:val="24"/>
          <w:szCs w:val="24"/>
        </w:rPr>
        <w:t>1、投标</w:t>
      </w:r>
      <w:bookmarkEnd w:id="414"/>
      <w:bookmarkEnd w:id="415"/>
      <w:r>
        <w:rPr>
          <w:rFonts w:hint="eastAsia" w:ascii="微软雅黑" w:hAnsi="微软雅黑" w:eastAsia="微软雅黑" w:cs="微软雅黑"/>
          <w:b/>
          <w:bCs/>
          <w:sz w:val="24"/>
          <w:szCs w:val="24"/>
        </w:rPr>
        <w:t>书</w:t>
      </w:r>
      <w:bookmarkEnd w:id="416"/>
      <w:bookmarkEnd w:id="417"/>
      <w:bookmarkEnd w:id="437"/>
      <w:bookmarkEnd w:id="438"/>
      <w:bookmarkEnd w:id="439"/>
      <w:bookmarkEnd w:id="440"/>
      <w:bookmarkEnd w:id="441"/>
      <w:bookmarkEnd w:id="442"/>
      <w:bookmarkEnd w:id="443"/>
      <w:bookmarkEnd w:id="444"/>
      <w:bookmarkEnd w:id="445"/>
      <w:bookmarkEnd w:id="446"/>
      <w:bookmarkEnd w:id="447"/>
      <w:bookmarkEnd w:id="448"/>
    </w:p>
    <w:p>
      <w:pPr>
        <w:tabs>
          <w:tab w:val="left" w:pos="5580"/>
        </w:tabs>
        <w:ind w:left="1080" w:hanging="1080"/>
        <w:rPr>
          <w:rFonts w:ascii="微软雅黑" w:hAnsi="微软雅黑" w:eastAsia="微软雅黑" w:cs="微软雅黑"/>
          <w:sz w:val="24"/>
          <w:szCs w:val="24"/>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u w:val="single"/>
        </w:rPr>
        <w:t xml:space="preserve">        </w:t>
      </w:r>
    </w:p>
    <w:p>
      <w:pPr>
        <w:pStyle w:val="15"/>
        <w:tabs>
          <w:tab w:val="left" w:pos="5580"/>
        </w:tabs>
        <w:ind w:left="1080" w:leftChars="257" w:hanging="540"/>
        <w:rPr>
          <w:rFonts w:ascii="微软雅黑" w:hAnsi="微软雅黑" w:eastAsia="微软雅黑" w:cs="微软雅黑"/>
          <w:sz w:val="24"/>
          <w:szCs w:val="24"/>
        </w:rPr>
      </w:pPr>
    </w:p>
    <w:p>
      <w:pPr>
        <w:pStyle w:val="15"/>
        <w:tabs>
          <w:tab w:val="left" w:pos="5580"/>
        </w:tabs>
        <w:ind w:left="2" w:leftChars="1"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根据贵方(</w:t>
      </w:r>
      <w:r>
        <w:rPr>
          <w:rFonts w:hint="eastAsia" w:ascii="微软雅黑" w:hAnsi="微软雅黑" w:eastAsia="微软雅黑" w:cs="微软雅黑"/>
          <w:i/>
          <w:iCs/>
          <w:sz w:val="24"/>
          <w:szCs w:val="24"/>
          <w:u w:val="single"/>
        </w:rPr>
        <w:t>项目名称、包号</w:t>
      </w:r>
      <w:r>
        <w:rPr>
          <w:rFonts w:hint="eastAsia" w:ascii="微软雅黑" w:hAnsi="微软雅黑" w:eastAsia="微软雅黑" w:cs="微软雅黑"/>
          <w:sz w:val="24"/>
          <w:szCs w:val="24"/>
        </w:rPr>
        <w:t>)项目的投标邀请(</w:t>
      </w:r>
      <w:r>
        <w:rPr>
          <w:rFonts w:hint="eastAsia" w:ascii="微软雅黑" w:hAnsi="微软雅黑" w:eastAsia="微软雅黑" w:cs="微软雅黑"/>
          <w:i/>
          <w:iCs/>
          <w:sz w:val="24"/>
          <w:szCs w:val="24"/>
          <w:u w:val="single"/>
        </w:rPr>
        <w:t>项目编号</w:t>
      </w:r>
      <w:r>
        <w:rPr>
          <w:rFonts w:hint="eastAsia" w:ascii="微软雅黑" w:hAnsi="微软雅黑" w:eastAsia="微软雅黑" w:cs="微软雅黑"/>
          <w:sz w:val="24"/>
          <w:szCs w:val="24"/>
        </w:rPr>
        <w:t>),签字代表(</w:t>
      </w:r>
      <w:r>
        <w:rPr>
          <w:rFonts w:hint="eastAsia" w:ascii="微软雅黑" w:hAnsi="微软雅黑" w:eastAsia="微软雅黑" w:cs="微软雅黑"/>
          <w:i/>
          <w:iCs/>
          <w:sz w:val="24"/>
          <w:szCs w:val="24"/>
          <w:u w:val="single"/>
        </w:rPr>
        <w:t>姓名、职务</w:t>
      </w:r>
      <w:r>
        <w:rPr>
          <w:rFonts w:hint="eastAsia" w:ascii="微软雅黑" w:hAnsi="微软雅黑" w:eastAsia="微软雅黑" w:cs="微软雅黑"/>
          <w:sz w:val="24"/>
          <w:szCs w:val="24"/>
        </w:rPr>
        <w:t>)经正式授权并代表供应商（</w:t>
      </w:r>
      <w:r>
        <w:rPr>
          <w:rFonts w:hint="eastAsia" w:ascii="微软雅黑" w:hAnsi="微软雅黑" w:eastAsia="微软雅黑" w:cs="微软雅黑"/>
          <w:i/>
          <w:iCs/>
          <w:sz w:val="24"/>
          <w:szCs w:val="24"/>
          <w:u w:val="single"/>
        </w:rPr>
        <w:t>名称、地址</w:t>
      </w:r>
      <w:r>
        <w:rPr>
          <w:rFonts w:hint="eastAsia" w:ascii="微软雅黑" w:hAnsi="微软雅黑" w:eastAsia="微软雅黑" w:cs="微软雅黑"/>
          <w:sz w:val="24"/>
          <w:szCs w:val="24"/>
        </w:rPr>
        <w:t>）上传并签署投标文件，并以</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形式出具的金额为人民币　　　　元的投标保证金。</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据此，签字代表宣布同意如下：</w:t>
      </w:r>
    </w:p>
    <w:p>
      <w:pPr>
        <w:pStyle w:val="15"/>
        <w:tabs>
          <w:tab w:val="left" w:pos="720"/>
          <w:tab w:val="left" w:pos="900"/>
        </w:tabs>
        <w:ind w:left="769" w:leftChars="257" w:hanging="229"/>
        <w:rPr>
          <w:rFonts w:ascii="微软雅黑" w:hAnsi="微软雅黑" w:eastAsia="微软雅黑" w:cs="微软雅黑"/>
          <w:sz w:val="24"/>
          <w:szCs w:val="24"/>
          <w:u w:val="single"/>
        </w:rPr>
      </w:pPr>
      <w:r>
        <w:rPr>
          <w:rFonts w:hint="eastAsia" w:ascii="微软雅黑" w:hAnsi="微软雅黑" w:eastAsia="微软雅黑" w:cs="微软雅黑"/>
          <w:sz w:val="24"/>
          <w:szCs w:val="24"/>
        </w:rPr>
        <w:t>（1）附投标价格表中规定的应提供服务的投标总价为</w:t>
      </w:r>
      <w:r>
        <w:rPr>
          <w:rFonts w:hint="eastAsia" w:ascii="微软雅黑" w:hAnsi="微软雅黑" w:eastAsia="微软雅黑" w:cs="微软雅黑"/>
          <w:sz w:val="24"/>
          <w:szCs w:val="24"/>
          <w:u w:val="single"/>
        </w:rPr>
        <w:t>　　  （用文字和数字表示）</w:t>
      </w:r>
      <w:r>
        <w:rPr>
          <w:rFonts w:hint="eastAsia" w:ascii="微软雅黑" w:hAnsi="微软雅黑" w:eastAsia="微软雅黑" w:cs="微软雅黑"/>
          <w:sz w:val="24"/>
          <w:szCs w:val="24"/>
        </w:rPr>
        <w:t>。</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（2）本投标有效期为自投标截止之日起</w:t>
      </w:r>
      <w:r>
        <w:rPr>
          <w:rFonts w:hint="eastAsia" w:ascii="微软雅黑" w:hAnsi="微软雅黑" w:eastAsia="微软雅黑" w:cs="微软雅黑"/>
          <w:sz w:val="24"/>
          <w:szCs w:val="24"/>
          <w:u w:val="single"/>
        </w:rPr>
        <w:t xml:space="preserve">  90 </w:t>
      </w:r>
      <w:r>
        <w:rPr>
          <w:rFonts w:hint="eastAsia" w:ascii="微软雅黑" w:hAnsi="微软雅黑" w:eastAsia="微软雅黑" w:cs="微软雅黑"/>
          <w:sz w:val="24"/>
          <w:szCs w:val="24"/>
        </w:rPr>
        <w:t>个日历日。</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（3）联合体中的大中型企业和其他自然人、法人或者非法人组织，与联合体中的小型、微型企业之间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存在、不存在）投资关系（如果是联合体的话）。</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（4）已详细审查全部招标文件，包括所有补充通知（如果有的话），完全理解并同意放弃对这方面有不明、误解和质疑的权力。</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（5）在规定的开标时间后，遵守招标文件中有关保证金的规定。</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（6）我方不是为本项目提供整体设计、规范编制或者项目管理、监理、检测等服务的供应商，我方不是采购代理机构的附属机构。</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（7）在领取中标通知书的同时按招标文件规定的形式，向贵方一次性支付中标服务费。</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（8）按照贵方可能要求，提供与其投标有关的一切数据或资料，完全理解贵方不一定接受最低价的投标或收到的任何投标。</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（9）按照招标文件的规定履行合同责任和义务。</w:t>
      </w:r>
    </w:p>
    <w:p>
      <w:pPr>
        <w:pStyle w:val="15"/>
        <w:tabs>
          <w:tab w:val="left" w:pos="5580"/>
        </w:tabs>
        <w:ind w:left="359" w:leftChars="68" w:hanging="216" w:hangingChars="9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与本投标有关的一切正式往来信函请寄：</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传真</w:t>
      </w:r>
      <w:r>
        <w:rPr>
          <w:rFonts w:hint="eastAsia" w:ascii="微软雅黑" w:hAnsi="微软雅黑" w:eastAsia="微软雅黑" w:cs="微软雅黑"/>
          <w:sz w:val="24"/>
          <w:szCs w:val="24"/>
          <w:u w:val="single"/>
        </w:rPr>
        <w:t xml:space="preserve">                             </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电话</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电子函件</w:t>
      </w:r>
      <w:r>
        <w:rPr>
          <w:rFonts w:hint="eastAsia" w:ascii="微软雅黑" w:hAnsi="微软雅黑" w:eastAsia="微软雅黑" w:cs="微软雅黑"/>
          <w:sz w:val="24"/>
          <w:szCs w:val="24"/>
          <w:u w:val="single"/>
        </w:rPr>
        <w:t xml:space="preserve">                         </w:t>
      </w:r>
    </w:p>
    <w:p>
      <w:pPr>
        <w:pStyle w:val="15"/>
        <w:tabs>
          <w:tab w:val="left" w:pos="5580"/>
        </w:tabs>
        <w:ind w:left="1080" w:leftChars="257" w:hanging="540"/>
        <w:rPr>
          <w:rFonts w:ascii="微软雅黑" w:hAnsi="微软雅黑" w:eastAsia="微软雅黑" w:cs="微软雅黑"/>
          <w:sz w:val="24"/>
          <w:szCs w:val="24"/>
          <w:u w:val="single"/>
        </w:rPr>
      </w:pPr>
      <w:r>
        <w:rPr>
          <w:rFonts w:hint="eastAsia" w:ascii="微软雅黑" w:hAnsi="微软雅黑" w:eastAsia="微软雅黑" w:cs="微软雅黑"/>
          <w:sz w:val="24"/>
          <w:szCs w:val="24"/>
        </w:rPr>
        <w:t>法定代表人或其委托代理人（签字或盖章）</w:t>
      </w:r>
      <w:r>
        <w:rPr>
          <w:rFonts w:hint="eastAsia" w:ascii="微软雅黑" w:hAnsi="微软雅黑" w:eastAsia="微软雅黑" w:cs="微软雅黑"/>
          <w:sz w:val="24"/>
          <w:szCs w:val="24"/>
          <w:u w:val="single"/>
        </w:rPr>
        <w:t xml:space="preserve">                </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w:t>
      </w:r>
      <w:r>
        <w:rPr>
          <w:rFonts w:hint="eastAsia" w:ascii="微软雅黑" w:hAnsi="微软雅黑" w:eastAsia="微软雅黑" w:cs="微软雅黑"/>
          <w:sz w:val="24"/>
          <w:szCs w:val="24"/>
          <w:u w:val="single"/>
        </w:rPr>
        <w:t xml:space="preserve">                  </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供应商开户银行（全称）</w:t>
      </w:r>
      <w:r>
        <w:rPr>
          <w:rFonts w:hint="eastAsia" w:ascii="微软雅黑" w:hAnsi="微软雅黑" w:eastAsia="微软雅黑" w:cs="微软雅黑"/>
          <w:sz w:val="24"/>
          <w:szCs w:val="24"/>
          <w:u w:val="single"/>
        </w:rPr>
        <w:t xml:space="preserve">　　　　　　 </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供应商银行帐号</w:t>
      </w:r>
      <w:r>
        <w:rPr>
          <w:rFonts w:hint="eastAsia" w:ascii="微软雅黑" w:hAnsi="微软雅黑" w:eastAsia="微软雅黑" w:cs="微软雅黑"/>
          <w:sz w:val="24"/>
          <w:szCs w:val="24"/>
          <w:u w:val="single"/>
        </w:rPr>
        <w:t>　　　　　　　　 　　</w:t>
      </w:r>
    </w:p>
    <w:p>
      <w:pPr>
        <w:pStyle w:val="15"/>
        <w:tabs>
          <w:tab w:val="left" w:pos="558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日期 </w:t>
      </w:r>
      <w:r>
        <w:rPr>
          <w:rFonts w:hint="eastAsia" w:ascii="微软雅黑" w:hAnsi="微软雅黑" w:eastAsia="微软雅黑" w:cs="微软雅黑"/>
          <w:sz w:val="24"/>
          <w:szCs w:val="24"/>
          <w:u w:val="single"/>
        </w:rPr>
        <w:t xml:space="preserve">                      </w:t>
      </w:r>
    </w:p>
    <w:p>
      <w:pPr>
        <w:pStyle w:val="4"/>
        <w:spacing w:before="0" w:line="240" w:lineRule="auto"/>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1"/>
          <w:szCs w:val="21"/>
        </w:rPr>
        <w:br w:type="page"/>
      </w:r>
      <w:bookmarkStart w:id="449" w:name="_Toc19819"/>
      <w:bookmarkStart w:id="450" w:name="_Toc1266"/>
      <w:bookmarkStart w:id="451" w:name="_Toc23473"/>
      <w:bookmarkStart w:id="452" w:name="_Toc19539"/>
      <w:bookmarkStart w:id="453" w:name="_Toc23851"/>
      <w:bookmarkStart w:id="454" w:name="_Toc213"/>
      <w:bookmarkStart w:id="455" w:name="_Toc4976"/>
      <w:bookmarkStart w:id="456" w:name="_Toc12429"/>
      <w:bookmarkStart w:id="457" w:name="_Toc19746"/>
      <w:bookmarkStart w:id="458" w:name="_Toc30247"/>
      <w:bookmarkStart w:id="459" w:name="_Toc21970"/>
      <w:r>
        <w:rPr>
          <w:rFonts w:hint="eastAsia" w:ascii="微软雅黑" w:hAnsi="微软雅黑" w:eastAsia="微软雅黑" w:cs="微软雅黑"/>
          <w:b/>
          <w:bCs/>
          <w:sz w:val="24"/>
          <w:szCs w:val="24"/>
        </w:rPr>
        <w:t>2</w:t>
      </w:r>
      <w:bookmarkEnd w:id="449"/>
      <w:bookmarkEnd w:id="450"/>
      <w:bookmarkEnd w:id="451"/>
      <w:bookmarkStart w:id="460" w:name="_Toc1881"/>
      <w:bookmarkStart w:id="461" w:name="_Toc515647818"/>
      <w:bookmarkStart w:id="462" w:name="_Toc216582815"/>
      <w:bookmarkStart w:id="463" w:name="_Toc5101"/>
      <w:bookmarkStart w:id="464" w:name="_Toc20897"/>
      <w:bookmarkStart w:id="465" w:name="_Toc22563"/>
      <w:bookmarkStart w:id="466" w:name="_Toc515647820"/>
      <w:bookmarkStart w:id="467" w:name="_Toc28959"/>
      <w:bookmarkStart w:id="468" w:name="_Toc216582817"/>
      <w:r>
        <w:rPr>
          <w:rFonts w:hint="eastAsia" w:ascii="微软雅黑" w:hAnsi="微软雅黑" w:eastAsia="微软雅黑" w:cs="微软雅黑"/>
          <w:b/>
          <w:bCs/>
          <w:sz w:val="24"/>
          <w:szCs w:val="24"/>
        </w:rPr>
        <w:t>、投标分项报价表</w:t>
      </w:r>
      <w:bookmarkEnd w:id="452"/>
      <w:bookmarkEnd w:id="453"/>
      <w:bookmarkEnd w:id="454"/>
      <w:bookmarkEnd w:id="455"/>
      <w:bookmarkEnd w:id="456"/>
      <w:bookmarkEnd w:id="457"/>
      <w:bookmarkEnd w:id="458"/>
      <w:bookmarkEnd w:id="459"/>
      <w:bookmarkEnd w:id="460"/>
      <w:bookmarkEnd w:id="461"/>
      <w:bookmarkEnd w:id="462"/>
      <w:bookmarkEnd w:id="463"/>
      <w:bookmarkEnd w:id="464"/>
    </w:p>
    <w:p>
      <w:pPr>
        <w:pStyle w:val="15"/>
        <w:jc w:val="left"/>
        <w:rPr>
          <w:rFonts w:ascii="微软雅黑" w:hAnsi="微软雅黑" w:eastAsia="微软雅黑" w:cs="微软雅黑"/>
          <w:sz w:val="24"/>
          <w:szCs w:val="24"/>
        </w:rPr>
      </w:pPr>
      <w:r>
        <w:rPr>
          <w:rFonts w:hint="eastAsia" w:ascii="微软雅黑" w:hAnsi="微软雅黑" w:eastAsia="微软雅黑" w:cs="微软雅黑"/>
          <w:sz w:val="24"/>
          <w:szCs w:val="24"/>
        </w:rPr>
        <w:t>项目名称:                    项目编号:                         包号: 　 　             报价单位：人民币万元</w:t>
      </w:r>
    </w:p>
    <w:p>
      <w:pPr>
        <w:pStyle w:val="15"/>
        <w:jc w:val="left"/>
        <w:rPr>
          <w:rFonts w:ascii="微软雅黑" w:hAnsi="微软雅黑" w:eastAsia="微软雅黑" w:cs="微软雅黑"/>
          <w:sz w:val="24"/>
          <w:szCs w:val="24"/>
        </w:rPr>
      </w:pPr>
    </w:p>
    <w:tbl>
      <w:tblPr>
        <w:tblStyle w:val="28"/>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28"/>
        <w:gridCol w:w="880"/>
        <w:gridCol w:w="986"/>
        <w:gridCol w:w="967"/>
        <w:gridCol w:w="1621"/>
        <w:gridCol w:w="791"/>
        <w:gridCol w:w="964"/>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862" w:type="dxa"/>
            <w:noWrap/>
            <w:vAlign w:val="center"/>
          </w:tcPr>
          <w:p>
            <w:pPr>
              <w:pStyle w:val="15"/>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528" w:type="dxa"/>
            <w:noWrap/>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名称</w:t>
            </w:r>
          </w:p>
        </w:tc>
        <w:tc>
          <w:tcPr>
            <w:tcW w:w="880" w:type="dxa"/>
            <w:noWrap/>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986" w:type="dxa"/>
            <w:noWrap/>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品牌</w:t>
            </w:r>
          </w:p>
        </w:tc>
        <w:tc>
          <w:tcPr>
            <w:tcW w:w="967" w:type="dxa"/>
            <w:noWrap/>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原产地</w:t>
            </w:r>
          </w:p>
        </w:tc>
        <w:tc>
          <w:tcPr>
            <w:tcW w:w="1621" w:type="dxa"/>
            <w:noWrap/>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制造商名称</w:t>
            </w:r>
          </w:p>
        </w:tc>
        <w:tc>
          <w:tcPr>
            <w:tcW w:w="791" w:type="dxa"/>
            <w:noWrap/>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单价</w:t>
            </w:r>
          </w:p>
        </w:tc>
        <w:tc>
          <w:tcPr>
            <w:tcW w:w="964" w:type="dxa"/>
            <w:noWrap/>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c>
          <w:tcPr>
            <w:tcW w:w="916" w:type="dxa"/>
            <w:noWrap/>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62" w:type="dxa"/>
            <w:noWrap/>
            <w:vAlign w:val="center"/>
          </w:tcPr>
          <w:p>
            <w:pPr>
              <w:pStyle w:val="15"/>
              <w:rPr>
                <w:rFonts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528" w:type="dxa"/>
            <w:noWrap/>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货物名称</w:t>
            </w:r>
          </w:p>
        </w:tc>
        <w:tc>
          <w:tcPr>
            <w:tcW w:w="880" w:type="dxa"/>
            <w:noWrap/>
            <w:vAlign w:val="center"/>
          </w:tcPr>
          <w:p>
            <w:pPr>
              <w:pStyle w:val="15"/>
              <w:ind w:left="1080" w:leftChars="257" w:hanging="540"/>
              <w:jc w:val="center"/>
              <w:rPr>
                <w:rFonts w:ascii="微软雅黑" w:hAnsi="微软雅黑" w:eastAsia="微软雅黑" w:cs="微软雅黑"/>
                <w:sz w:val="24"/>
                <w:szCs w:val="24"/>
              </w:rPr>
            </w:pPr>
          </w:p>
        </w:tc>
        <w:tc>
          <w:tcPr>
            <w:tcW w:w="986" w:type="dxa"/>
            <w:noWrap/>
            <w:vAlign w:val="center"/>
          </w:tcPr>
          <w:p>
            <w:pPr>
              <w:pStyle w:val="15"/>
              <w:ind w:left="1080" w:leftChars="257" w:hanging="540"/>
              <w:jc w:val="center"/>
              <w:rPr>
                <w:rFonts w:ascii="微软雅黑" w:hAnsi="微软雅黑" w:eastAsia="微软雅黑" w:cs="微软雅黑"/>
                <w:sz w:val="24"/>
                <w:szCs w:val="24"/>
              </w:rPr>
            </w:pPr>
          </w:p>
        </w:tc>
        <w:tc>
          <w:tcPr>
            <w:tcW w:w="967" w:type="dxa"/>
            <w:noWrap/>
            <w:vAlign w:val="center"/>
          </w:tcPr>
          <w:p>
            <w:pPr>
              <w:pStyle w:val="15"/>
              <w:ind w:left="1080" w:leftChars="257" w:hanging="540"/>
              <w:jc w:val="center"/>
              <w:rPr>
                <w:rFonts w:ascii="微软雅黑" w:hAnsi="微软雅黑" w:eastAsia="微软雅黑" w:cs="微软雅黑"/>
                <w:sz w:val="24"/>
                <w:szCs w:val="24"/>
              </w:rPr>
            </w:pPr>
          </w:p>
        </w:tc>
        <w:tc>
          <w:tcPr>
            <w:tcW w:w="1621" w:type="dxa"/>
            <w:noWrap/>
            <w:vAlign w:val="center"/>
          </w:tcPr>
          <w:p>
            <w:pPr>
              <w:pStyle w:val="15"/>
              <w:ind w:left="1080" w:leftChars="257" w:hanging="540"/>
              <w:jc w:val="center"/>
              <w:rPr>
                <w:rFonts w:ascii="微软雅黑" w:hAnsi="微软雅黑" w:eastAsia="微软雅黑" w:cs="微软雅黑"/>
                <w:sz w:val="24"/>
                <w:szCs w:val="24"/>
              </w:rPr>
            </w:pPr>
          </w:p>
        </w:tc>
        <w:tc>
          <w:tcPr>
            <w:tcW w:w="791" w:type="dxa"/>
            <w:noWrap/>
            <w:vAlign w:val="center"/>
          </w:tcPr>
          <w:p>
            <w:pPr>
              <w:pStyle w:val="15"/>
              <w:ind w:left="1080" w:leftChars="257" w:hanging="540"/>
              <w:jc w:val="center"/>
              <w:rPr>
                <w:rFonts w:ascii="微软雅黑" w:hAnsi="微软雅黑" w:eastAsia="微软雅黑" w:cs="微软雅黑"/>
                <w:sz w:val="24"/>
                <w:szCs w:val="24"/>
              </w:rPr>
            </w:pPr>
          </w:p>
        </w:tc>
        <w:tc>
          <w:tcPr>
            <w:tcW w:w="964" w:type="dxa"/>
            <w:noWrap/>
            <w:vAlign w:val="center"/>
          </w:tcPr>
          <w:p>
            <w:pPr>
              <w:pStyle w:val="15"/>
              <w:ind w:left="1080" w:leftChars="257" w:hanging="540"/>
              <w:jc w:val="center"/>
              <w:rPr>
                <w:rFonts w:ascii="微软雅黑" w:hAnsi="微软雅黑" w:eastAsia="微软雅黑" w:cs="微软雅黑"/>
                <w:sz w:val="24"/>
                <w:szCs w:val="24"/>
              </w:rPr>
            </w:pPr>
          </w:p>
        </w:tc>
        <w:tc>
          <w:tcPr>
            <w:tcW w:w="916" w:type="dxa"/>
            <w:noWrap/>
            <w:vAlign w:val="center"/>
          </w:tcPr>
          <w:p>
            <w:pPr>
              <w:pStyle w:val="15"/>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62" w:type="dxa"/>
            <w:noWrap/>
            <w:vAlign w:val="center"/>
          </w:tcPr>
          <w:p>
            <w:pPr>
              <w:pStyle w:val="15"/>
              <w:rPr>
                <w:rFonts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528" w:type="dxa"/>
            <w:noWrap/>
            <w:vAlign w:val="center"/>
          </w:tcPr>
          <w:p>
            <w:pPr>
              <w:pStyle w:val="15"/>
              <w:jc w:val="center"/>
              <w:rPr>
                <w:rFonts w:ascii="微软雅黑" w:hAnsi="微软雅黑" w:eastAsia="微软雅黑" w:cs="微软雅黑"/>
                <w:sz w:val="24"/>
                <w:szCs w:val="24"/>
              </w:rPr>
            </w:pPr>
          </w:p>
        </w:tc>
        <w:tc>
          <w:tcPr>
            <w:tcW w:w="880" w:type="dxa"/>
            <w:noWrap/>
            <w:vAlign w:val="center"/>
          </w:tcPr>
          <w:p>
            <w:pPr>
              <w:pStyle w:val="15"/>
              <w:ind w:left="1080" w:leftChars="257" w:hanging="540"/>
              <w:jc w:val="center"/>
              <w:rPr>
                <w:rFonts w:ascii="微软雅黑" w:hAnsi="微软雅黑" w:eastAsia="微软雅黑" w:cs="微软雅黑"/>
                <w:sz w:val="24"/>
                <w:szCs w:val="24"/>
              </w:rPr>
            </w:pPr>
          </w:p>
        </w:tc>
        <w:tc>
          <w:tcPr>
            <w:tcW w:w="986" w:type="dxa"/>
            <w:noWrap/>
            <w:vAlign w:val="center"/>
          </w:tcPr>
          <w:p>
            <w:pPr>
              <w:pStyle w:val="15"/>
              <w:ind w:left="1080" w:leftChars="257" w:hanging="540"/>
              <w:jc w:val="center"/>
              <w:rPr>
                <w:rFonts w:ascii="微软雅黑" w:hAnsi="微软雅黑" w:eastAsia="微软雅黑" w:cs="微软雅黑"/>
                <w:sz w:val="24"/>
                <w:szCs w:val="24"/>
              </w:rPr>
            </w:pPr>
          </w:p>
        </w:tc>
        <w:tc>
          <w:tcPr>
            <w:tcW w:w="967" w:type="dxa"/>
            <w:noWrap/>
            <w:vAlign w:val="center"/>
          </w:tcPr>
          <w:p>
            <w:pPr>
              <w:pStyle w:val="15"/>
              <w:ind w:left="1080" w:leftChars="257" w:hanging="540"/>
              <w:jc w:val="center"/>
              <w:rPr>
                <w:rFonts w:ascii="微软雅黑" w:hAnsi="微软雅黑" w:eastAsia="微软雅黑" w:cs="微软雅黑"/>
                <w:sz w:val="24"/>
                <w:szCs w:val="24"/>
              </w:rPr>
            </w:pPr>
          </w:p>
        </w:tc>
        <w:tc>
          <w:tcPr>
            <w:tcW w:w="1621" w:type="dxa"/>
            <w:noWrap/>
            <w:vAlign w:val="center"/>
          </w:tcPr>
          <w:p>
            <w:pPr>
              <w:pStyle w:val="15"/>
              <w:ind w:left="1080" w:leftChars="257" w:hanging="540"/>
              <w:jc w:val="center"/>
              <w:rPr>
                <w:rFonts w:ascii="微软雅黑" w:hAnsi="微软雅黑" w:eastAsia="微软雅黑" w:cs="微软雅黑"/>
                <w:sz w:val="24"/>
                <w:szCs w:val="24"/>
              </w:rPr>
            </w:pPr>
          </w:p>
        </w:tc>
        <w:tc>
          <w:tcPr>
            <w:tcW w:w="791" w:type="dxa"/>
            <w:noWrap/>
            <w:vAlign w:val="center"/>
          </w:tcPr>
          <w:p>
            <w:pPr>
              <w:pStyle w:val="15"/>
              <w:ind w:left="1080" w:leftChars="257" w:hanging="540"/>
              <w:jc w:val="center"/>
              <w:rPr>
                <w:rFonts w:ascii="微软雅黑" w:hAnsi="微软雅黑" w:eastAsia="微软雅黑" w:cs="微软雅黑"/>
                <w:sz w:val="24"/>
                <w:szCs w:val="24"/>
              </w:rPr>
            </w:pPr>
          </w:p>
        </w:tc>
        <w:tc>
          <w:tcPr>
            <w:tcW w:w="964" w:type="dxa"/>
            <w:noWrap/>
            <w:vAlign w:val="center"/>
          </w:tcPr>
          <w:p>
            <w:pPr>
              <w:pStyle w:val="15"/>
              <w:ind w:left="1080" w:leftChars="257" w:hanging="540"/>
              <w:jc w:val="center"/>
              <w:rPr>
                <w:rFonts w:ascii="微软雅黑" w:hAnsi="微软雅黑" w:eastAsia="微软雅黑" w:cs="微软雅黑"/>
                <w:sz w:val="24"/>
                <w:szCs w:val="24"/>
              </w:rPr>
            </w:pPr>
          </w:p>
        </w:tc>
        <w:tc>
          <w:tcPr>
            <w:tcW w:w="916" w:type="dxa"/>
            <w:noWrap/>
            <w:vAlign w:val="center"/>
          </w:tcPr>
          <w:p>
            <w:pPr>
              <w:pStyle w:val="15"/>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62" w:type="dxa"/>
            <w:noWrap/>
            <w:vAlign w:val="center"/>
          </w:tcPr>
          <w:p>
            <w:pPr>
              <w:pStyle w:val="15"/>
              <w:rPr>
                <w:rFonts w:ascii="微软雅黑" w:hAnsi="微软雅黑" w:eastAsia="微软雅黑" w:cs="微软雅黑"/>
                <w:sz w:val="24"/>
                <w:szCs w:val="24"/>
              </w:rPr>
            </w:pPr>
            <w:r>
              <w:rPr>
                <w:rFonts w:hint="eastAsia" w:ascii="微软雅黑" w:hAnsi="微软雅黑" w:eastAsia="微软雅黑" w:cs="微软雅黑"/>
                <w:sz w:val="24"/>
                <w:szCs w:val="24"/>
              </w:rPr>
              <w:t>3.</w:t>
            </w:r>
          </w:p>
        </w:tc>
        <w:tc>
          <w:tcPr>
            <w:tcW w:w="1528" w:type="dxa"/>
            <w:noWrap/>
            <w:vAlign w:val="center"/>
          </w:tcPr>
          <w:p>
            <w:pPr>
              <w:pStyle w:val="15"/>
              <w:jc w:val="center"/>
              <w:rPr>
                <w:rFonts w:ascii="微软雅黑" w:hAnsi="微软雅黑" w:eastAsia="微软雅黑" w:cs="微软雅黑"/>
                <w:sz w:val="24"/>
                <w:szCs w:val="24"/>
              </w:rPr>
            </w:pPr>
          </w:p>
        </w:tc>
        <w:tc>
          <w:tcPr>
            <w:tcW w:w="880" w:type="dxa"/>
            <w:noWrap/>
            <w:vAlign w:val="center"/>
          </w:tcPr>
          <w:p>
            <w:pPr>
              <w:pStyle w:val="15"/>
              <w:ind w:left="1080" w:leftChars="257" w:hanging="540"/>
              <w:jc w:val="center"/>
              <w:rPr>
                <w:rFonts w:ascii="微软雅黑" w:hAnsi="微软雅黑" w:eastAsia="微软雅黑" w:cs="微软雅黑"/>
                <w:sz w:val="24"/>
                <w:szCs w:val="24"/>
              </w:rPr>
            </w:pPr>
          </w:p>
        </w:tc>
        <w:tc>
          <w:tcPr>
            <w:tcW w:w="986" w:type="dxa"/>
            <w:noWrap/>
            <w:vAlign w:val="center"/>
          </w:tcPr>
          <w:p>
            <w:pPr>
              <w:pStyle w:val="15"/>
              <w:ind w:left="1080" w:leftChars="257" w:hanging="540"/>
              <w:jc w:val="center"/>
              <w:rPr>
                <w:rFonts w:ascii="微软雅黑" w:hAnsi="微软雅黑" w:eastAsia="微软雅黑" w:cs="微软雅黑"/>
                <w:sz w:val="24"/>
                <w:szCs w:val="24"/>
              </w:rPr>
            </w:pPr>
          </w:p>
        </w:tc>
        <w:tc>
          <w:tcPr>
            <w:tcW w:w="967" w:type="dxa"/>
            <w:noWrap/>
            <w:vAlign w:val="center"/>
          </w:tcPr>
          <w:p>
            <w:pPr>
              <w:pStyle w:val="15"/>
              <w:ind w:left="1080" w:leftChars="257" w:hanging="540"/>
              <w:jc w:val="center"/>
              <w:rPr>
                <w:rFonts w:ascii="微软雅黑" w:hAnsi="微软雅黑" w:eastAsia="微软雅黑" w:cs="微软雅黑"/>
                <w:sz w:val="24"/>
                <w:szCs w:val="24"/>
              </w:rPr>
            </w:pPr>
          </w:p>
        </w:tc>
        <w:tc>
          <w:tcPr>
            <w:tcW w:w="1621" w:type="dxa"/>
            <w:noWrap/>
            <w:vAlign w:val="center"/>
          </w:tcPr>
          <w:p>
            <w:pPr>
              <w:pStyle w:val="15"/>
              <w:ind w:left="1080" w:leftChars="257" w:hanging="540"/>
              <w:jc w:val="center"/>
              <w:rPr>
                <w:rFonts w:ascii="微软雅黑" w:hAnsi="微软雅黑" w:eastAsia="微软雅黑" w:cs="微软雅黑"/>
                <w:sz w:val="24"/>
                <w:szCs w:val="24"/>
              </w:rPr>
            </w:pPr>
          </w:p>
        </w:tc>
        <w:tc>
          <w:tcPr>
            <w:tcW w:w="791" w:type="dxa"/>
            <w:noWrap/>
            <w:vAlign w:val="center"/>
          </w:tcPr>
          <w:p>
            <w:pPr>
              <w:pStyle w:val="15"/>
              <w:ind w:left="1080" w:leftChars="257" w:hanging="540"/>
              <w:jc w:val="center"/>
              <w:rPr>
                <w:rFonts w:ascii="微软雅黑" w:hAnsi="微软雅黑" w:eastAsia="微软雅黑" w:cs="微软雅黑"/>
                <w:sz w:val="24"/>
                <w:szCs w:val="24"/>
              </w:rPr>
            </w:pPr>
          </w:p>
        </w:tc>
        <w:tc>
          <w:tcPr>
            <w:tcW w:w="964" w:type="dxa"/>
            <w:noWrap/>
            <w:vAlign w:val="center"/>
          </w:tcPr>
          <w:p>
            <w:pPr>
              <w:pStyle w:val="15"/>
              <w:ind w:left="1080" w:leftChars="257" w:hanging="540"/>
              <w:jc w:val="center"/>
              <w:rPr>
                <w:rFonts w:ascii="微软雅黑" w:hAnsi="微软雅黑" w:eastAsia="微软雅黑" w:cs="微软雅黑"/>
                <w:sz w:val="24"/>
                <w:szCs w:val="24"/>
              </w:rPr>
            </w:pPr>
          </w:p>
        </w:tc>
        <w:tc>
          <w:tcPr>
            <w:tcW w:w="916" w:type="dxa"/>
            <w:noWrap/>
            <w:vAlign w:val="center"/>
          </w:tcPr>
          <w:p>
            <w:pPr>
              <w:pStyle w:val="15"/>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62" w:type="dxa"/>
            <w:noWrap/>
            <w:vAlign w:val="center"/>
          </w:tcPr>
          <w:p>
            <w:pPr>
              <w:pStyle w:val="15"/>
              <w:rPr>
                <w:rFonts w:ascii="微软雅黑" w:hAnsi="微软雅黑" w:eastAsia="微软雅黑" w:cs="微软雅黑"/>
                <w:sz w:val="24"/>
                <w:szCs w:val="24"/>
              </w:rPr>
            </w:pPr>
            <w:r>
              <w:rPr>
                <w:rFonts w:hint="eastAsia" w:ascii="微软雅黑" w:hAnsi="微软雅黑" w:eastAsia="微软雅黑" w:cs="微软雅黑"/>
                <w:sz w:val="24"/>
                <w:szCs w:val="24"/>
              </w:rPr>
              <w:t>4.</w:t>
            </w:r>
          </w:p>
        </w:tc>
        <w:tc>
          <w:tcPr>
            <w:tcW w:w="1528" w:type="dxa"/>
            <w:noWrap/>
            <w:vAlign w:val="center"/>
          </w:tcPr>
          <w:p>
            <w:pPr>
              <w:pStyle w:val="15"/>
              <w:jc w:val="center"/>
              <w:rPr>
                <w:rFonts w:ascii="微软雅黑" w:hAnsi="微软雅黑" w:eastAsia="微软雅黑" w:cs="微软雅黑"/>
                <w:sz w:val="24"/>
                <w:szCs w:val="24"/>
              </w:rPr>
            </w:pPr>
          </w:p>
        </w:tc>
        <w:tc>
          <w:tcPr>
            <w:tcW w:w="880" w:type="dxa"/>
            <w:noWrap/>
            <w:vAlign w:val="center"/>
          </w:tcPr>
          <w:p>
            <w:pPr>
              <w:pStyle w:val="15"/>
              <w:ind w:left="1080" w:leftChars="257" w:hanging="540"/>
              <w:jc w:val="center"/>
              <w:rPr>
                <w:rFonts w:ascii="微软雅黑" w:hAnsi="微软雅黑" w:eastAsia="微软雅黑" w:cs="微软雅黑"/>
                <w:sz w:val="24"/>
                <w:szCs w:val="24"/>
              </w:rPr>
            </w:pPr>
          </w:p>
        </w:tc>
        <w:tc>
          <w:tcPr>
            <w:tcW w:w="986" w:type="dxa"/>
            <w:noWrap/>
            <w:vAlign w:val="center"/>
          </w:tcPr>
          <w:p>
            <w:pPr>
              <w:pStyle w:val="15"/>
              <w:ind w:left="1080" w:leftChars="257" w:hanging="540"/>
              <w:jc w:val="center"/>
              <w:rPr>
                <w:rFonts w:ascii="微软雅黑" w:hAnsi="微软雅黑" w:eastAsia="微软雅黑" w:cs="微软雅黑"/>
                <w:sz w:val="24"/>
                <w:szCs w:val="24"/>
              </w:rPr>
            </w:pPr>
          </w:p>
        </w:tc>
        <w:tc>
          <w:tcPr>
            <w:tcW w:w="967" w:type="dxa"/>
            <w:noWrap/>
            <w:vAlign w:val="center"/>
          </w:tcPr>
          <w:p>
            <w:pPr>
              <w:pStyle w:val="15"/>
              <w:ind w:left="1080" w:leftChars="257" w:hanging="540"/>
              <w:jc w:val="center"/>
              <w:rPr>
                <w:rFonts w:ascii="微软雅黑" w:hAnsi="微软雅黑" w:eastAsia="微软雅黑" w:cs="微软雅黑"/>
                <w:sz w:val="24"/>
                <w:szCs w:val="24"/>
              </w:rPr>
            </w:pPr>
          </w:p>
        </w:tc>
        <w:tc>
          <w:tcPr>
            <w:tcW w:w="1621" w:type="dxa"/>
            <w:noWrap/>
            <w:vAlign w:val="center"/>
          </w:tcPr>
          <w:p>
            <w:pPr>
              <w:pStyle w:val="15"/>
              <w:ind w:left="1080" w:leftChars="257" w:hanging="540"/>
              <w:jc w:val="center"/>
              <w:rPr>
                <w:rFonts w:ascii="微软雅黑" w:hAnsi="微软雅黑" w:eastAsia="微软雅黑" w:cs="微软雅黑"/>
                <w:sz w:val="24"/>
                <w:szCs w:val="24"/>
              </w:rPr>
            </w:pPr>
          </w:p>
        </w:tc>
        <w:tc>
          <w:tcPr>
            <w:tcW w:w="791" w:type="dxa"/>
            <w:noWrap/>
            <w:vAlign w:val="center"/>
          </w:tcPr>
          <w:p>
            <w:pPr>
              <w:pStyle w:val="15"/>
              <w:ind w:left="1080" w:leftChars="257" w:hanging="540"/>
              <w:jc w:val="center"/>
              <w:rPr>
                <w:rFonts w:ascii="微软雅黑" w:hAnsi="微软雅黑" w:eastAsia="微软雅黑" w:cs="微软雅黑"/>
                <w:sz w:val="24"/>
                <w:szCs w:val="24"/>
              </w:rPr>
            </w:pPr>
          </w:p>
        </w:tc>
        <w:tc>
          <w:tcPr>
            <w:tcW w:w="964" w:type="dxa"/>
            <w:noWrap/>
            <w:vAlign w:val="center"/>
          </w:tcPr>
          <w:p>
            <w:pPr>
              <w:pStyle w:val="15"/>
              <w:ind w:left="1080" w:leftChars="257" w:hanging="540"/>
              <w:jc w:val="center"/>
              <w:rPr>
                <w:rFonts w:ascii="微软雅黑" w:hAnsi="微软雅黑" w:eastAsia="微软雅黑" w:cs="微软雅黑"/>
                <w:sz w:val="24"/>
                <w:szCs w:val="24"/>
              </w:rPr>
            </w:pPr>
          </w:p>
        </w:tc>
        <w:tc>
          <w:tcPr>
            <w:tcW w:w="916" w:type="dxa"/>
            <w:noWrap/>
            <w:vAlign w:val="center"/>
          </w:tcPr>
          <w:p>
            <w:pPr>
              <w:pStyle w:val="15"/>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62" w:type="dxa"/>
            <w:noWrap/>
            <w:vAlign w:val="center"/>
          </w:tcPr>
          <w:p>
            <w:pPr>
              <w:pStyle w:val="15"/>
              <w:rPr>
                <w:rFonts w:ascii="微软雅黑" w:hAnsi="微软雅黑" w:eastAsia="微软雅黑" w:cs="微软雅黑"/>
                <w:sz w:val="24"/>
                <w:szCs w:val="24"/>
              </w:rPr>
            </w:pPr>
            <w:r>
              <w:rPr>
                <w:rFonts w:hint="eastAsia" w:ascii="微软雅黑" w:hAnsi="微软雅黑" w:eastAsia="微软雅黑" w:cs="微软雅黑"/>
                <w:sz w:val="24"/>
                <w:szCs w:val="24"/>
              </w:rPr>
              <w:t>5.</w:t>
            </w:r>
          </w:p>
        </w:tc>
        <w:tc>
          <w:tcPr>
            <w:tcW w:w="1528" w:type="dxa"/>
            <w:noWrap/>
            <w:vAlign w:val="center"/>
          </w:tcPr>
          <w:p>
            <w:pPr>
              <w:pStyle w:val="15"/>
              <w:jc w:val="center"/>
              <w:rPr>
                <w:rFonts w:ascii="微软雅黑" w:hAnsi="微软雅黑" w:eastAsia="微软雅黑" w:cs="微软雅黑"/>
                <w:sz w:val="24"/>
                <w:szCs w:val="24"/>
              </w:rPr>
            </w:pPr>
          </w:p>
        </w:tc>
        <w:tc>
          <w:tcPr>
            <w:tcW w:w="880" w:type="dxa"/>
            <w:noWrap/>
            <w:vAlign w:val="center"/>
          </w:tcPr>
          <w:p>
            <w:pPr>
              <w:pStyle w:val="15"/>
              <w:ind w:left="1080" w:leftChars="257" w:hanging="540"/>
              <w:jc w:val="center"/>
              <w:rPr>
                <w:rFonts w:ascii="微软雅黑" w:hAnsi="微软雅黑" w:eastAsia="微软雅黑" w:cs="微软雅黑"/>
                <w:sz w:val="24"/>
                <w:szCs w:val="24"/>
              </w:rPr>
            </w:pPr>
          </w:p>
        </w:tc>
        <w:tc>
          <w:tcPr>
            <w:tcW w:w="986" w:type="dxa"/>
            <w:noWrap/>
            <w:vAlign w:val="center"/>
          </w:tcPr>
          <w:p>
            <w:pPr>
              <w:pStyle w:val="15"/>
              <w:ind w:left="1080" w:leftChars="257" w:hanging="540"/>
              <w:jc w:val="center"/>
              <w:rPr>
                <w:rFonts w:ascii="微软雅黑" w:hAnsi="微软雅黑" w:eastAsia="微软雅黑" w:cs="微软雅黑"/>
                <w:sz w:val="24"/>
                <w:szCs w:val="24"/>
              </w:rPr>
            </w:pPr>
          </w:p>
        </w:tc>
        <w:tc>
          <w:tcPr>
            <w:tcW w:w="967" w:type="dxa"/>
            <w:noWrap/>
            <w:vAlign w:val="center"/>
          </w:tcPr>
          <w:p>
            <w:pPr>
              <w:pStyle w:val="15"/>
              <w:ind w:left="1080" w:leftChars="257" w:hanging="540"/>
              <w:jc w:val="center"/>
              <w:rPr>
                <w:rFonts w:ascii="微软雅黑" w:hAnsi="微软雅黑" w:eastAsia="微软雅黑" w:cs="微软雅黑"/>
                <w:sz w:val="24"/>
                <w:szCs w:val="24"/>
              </w:rPr>
            </w:pPr>
          </w:p>
        </w:tc>
        <w:tc>
          <w:tcPr>
            <w:tcW w:w="1621" w:type="dxa"/>
            <w:noWrap/>
            <w:vAlign w:val="center"/>
          </w:tcPr>
          <w:p>
            <w:pPr>
              <w:pStyle w:val="15"/>
              <w:ind w:left="1080" w:leftChars="257" w:hanging="540"/>
              <w:jc w:val="center"/>
              <w:rPr>
                <w:rFonts w:ascii="微软雅黑" w:hAnsi="微软雅黑" w:eastAsia="微软雅黑" w:cs="微软雅黑"/>
                <w:sz w:val="24"/>
                <w:szCs w:val="24"/>
              </w:rPr>
            </w:pPr>
          </w:p>
        </w:tc>
        <w:tc>
          <w:tcPr>
            <w:tcW w:w="791" w:type="dxa"/>
            <w:noWrap/>
            <w:vAlign w:val="center"/>
          </w:tcPr>
          <w:p>
            <w:pPr>
              <w:pStyle w:val="15"/>
              <w:ind w:left="1080" w:leftChars="257" w:hanging="540"/>
              <w:jc w:val="center"/>
              <w:rPr>
                <w:rFonts w:ascii="微软雅黑" w:hAnsi="微软雅黑" w:eastAsia="微软雅黑" w:cs="微软雅黑"/>
                <w:sz w:val="24"/>
                <w:szCs w:val="24"/>
              </w:rPr>
            </w:pPr>
          </w:p>
        </w:tc>
        <w:tc>
          <w:tcPr>
            <w:tcW w:w="964" w:type="dxa"/>
            <w:noWrap/>
            <w:vAlign w:val="center"/>
          </w:tcPr>
          <w:p>
            <w:pPr>
              <w:pStyle w:val="15"/>
              <w:ind w:left="1080" w:leftChars="257" w:hanging="540"/>
              <w:jc w:val="center"/>
              <w:rPr>
                <w:rFonts w:ascii="微软雅黑" w:hAnsi="微软雅黑" w:eastAsia="微软雅黑" w:cs="微软雅黑"/>
                <w:sz w:val="24"/>
                <w:szCs w:val="24"/>
              </w:rPr>
            </w:pPr>
          </w:p>
        </w:tc>
        <w:tc>
          <w:tcPr>
            <w:tcW w:w="916" w:type="dxa"/>
            <w:noWrap/>
            <w:vAlign w:val="center"/>
          </w:tcPr>
          <w:p>
            <w:pPr>
              <w:pStyle w:val="15"/>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635" w:type="dxa"/>
            <w:gridSpan w:val="7"/>
            <w:noWrap/>
            <w:vAlign w:val="center"/>
          </w:tcPr>
          <w:p>
            <w:pPr>
              <w:pStyle w:val="15"/>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c>
          <w:tcPr>
            <w:tcW w:w="1880" w:type="dxa"/>
            <w:gridSpan w:val="2"/>
            <w:noWrap/>
            <w:vAlign w:val="center"/>
          </w:tcPr>
          <w:p>
            <w:pPr>
              <w:pStyle w:val="15"/>
              <w:ind w:left="1080" w:leftChars="257" w:hanging="540"/>
              <w:jc w:val="center"/>
              <w:rPr>
                <w:rFonts w:ascii="微软雅黑" w:hAnsi="微软雅黑" w:eastAsia="微软雅黑" w:cs="微软雅黑"/>
                <w:sz w:val="24"/>
                <w:szCs w:val="24"/>
              </w:rPr>
            </w:pPr>
          </w:p>
        </w:tc>
      </w:tr>
    </w:tbl>
    <w:p>
      <w:pPr>
        <w:pStyle w:val="15"/>
        <w:rPr>
          <w:rFonts w:ascii="微软雅黑" w:hAnsi="微软雅黑" w:eastAsia="微软雅黑" w:cs="微软雅黑"/>
          <w:sz w:val="24"/>
          <w:szCs w:val="24"/>
        </w:rPr>
      </w:pPr>
    </w:p>
    <w:p>
      <w:pPr>
        <w:pStyle w:val="15"/>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法定代表人或其委托代理人（签字或盖章）:</w:t>
      </w:r>
    </w:p>
    <w:p>
      <w:pPr>
        <w:pStyle w:val="15"/>
        <w:tabs>
          <w:tab w:val="left" w:pos="537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供应商(公章):</w:t>
      </w:r>
    </w:p>
    <w:p>
      <w:pPr>
        <w:pStyle w:val="15"/>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注:1.如果供应商认为需要，每种货物内容填写一份该表。</w:t>
      </w:r>
    </w:p>
    <w:p>
      <w:pPr>
        <w:pStyle w:val="15"/>
        <w:ind w:left="1079" w:leftChars="428" w:hanging="180" w:hangingChars="75"/>
        <w:rPr>
          <w:rFonts w:ascii="微软雅黑" w:hAnsi="微软雅黑" w:eastAsia="微软雅黑" w:cs="微软雅黑"/>
          <w:sz w:val="24"/>
          <w:szCs w:val="24"/>
        </w:rPr>
      </w:pPr>
      <w:r>
        <w:rPr>
          <w:rFonts w:hint="eastAsia" w:ascii="微软雅黑" w:hAnsi="微软雅黑" w:eastAsia="微软雅黑" w:cs="微软雅黑"/>
          <w:sz w:val="24"/>
          <w:szCs w:val="24"/>
        </w:rPr>
        <w:t>2.如果按单价计算的结果与总价不一致,以单价为准修正总价。</w:t>
      </w:r>
    </w:p>
    <w:p>
      <w:pPr>
        <w:pStyle w:val="15"/>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3.如果不提供详细分项报价及每种货物内容（货物名称、数量、品牌、原产地、制造商名称、单价、总价）的将视为没有实质性响应招标文件。</w:t>
      </w:r>
    </w:p>
    <w:p>
      <w:pPr>
        <w:pStyle w:val="15"/>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4.上述各项的详细分项报价，应另页描述。</w:t>
      </w:r>
    </w:p>
    <w:p>
      <w:pPr>
        <w:pStyle w:val="15"/>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5.如果开标一览表（报价表）内容与投标文件中明细表内容不一致的，以开标一览表（报价表）内容为准。</w:t>
      </w:r>
    </w:p>
    <w:p>
      <w:pPr>
        <w:pStyle w:val="15"/>
        <w:ind w:left="1258" w:leftChars="599" w:firstLine="1139" w:firstLineChars="542"/>
        <w:rPr>
          <w:rFonts w:ascii="微软雅黑" w:hAnsi="微软雅黑" w:eastAsia="微软雅黑" w:cs="微软雅黑"/>
          <w:b/>
          <w:bCs/>
          <w:kern w:val="0"/>
        </w:rPr>
      </w:pPr>
    </w:p>
    <w:p>
      <w:pPr>
        <w:pStyle w:val="15"/>
        <w:ind w:left="1258" w:leftChars="599" w:firstLine="1139" w:firstLineChars="542"/>
        <w:rPr>
          <w:rFonts w:ascii="微软雅黑" w:hAnsi="微软雅黑" w:eastAsia="微软雅黑" w:cs="微软雅黑"/>
          <w:b/>
          <w:bCs/>
          <w:kern w:val="0"/>
        </w:rPr>
      </w:pPr>
    </w:p>
    <w:p>
      <w:pPr>
        <w:pStyle w:val="15"/>
        <w:ind w:left="1258" w:leftChars="599" w:firstLine="1139" w:firstLineChars="542"/>
        <w:rPr>
          <w:rFonts w:ascii="微软雅黑" w:hAnsi="微软雅黑" w:eastAsia="微软雅黑" w:cs="微软雅黑"/>
          <w:b/>
          <w:bCs/>
          <w:kern w:val="0"/>
        </w:rPr>
      </w:pPr>
    </w:p>
    <w:p>
      <w:pPr>
        <w:pStyle w:val="15"/>
        <w:ind w:left="1258" w:leftChars="599" w:firstLine="1139" w:firstLineChars="542"/>
        <w:rPr>
          <w:rFonts w:ascii="微软雅黑" w:hAnsi="微软雅黑" w:eastAsia="微软雅黑" w:cs="微软雅黑"/>
          <w:b/>
          <w:bCs/>
          <w:kern w:val="0"/>
        </w:rPr>
      </w:pPr>
    </w:p>
    <w:p>
      <w:pPr>
        <w:pStyle w:val="15"/>
        <w:ind w:left="1258" w:leftChars="599" w:firstLine="1139" w:firstLineChars="542"/>
        <w:rPr>
          <w:rFonts w:ascii="微软雅黑" w:hAnsi="微软雅黑" w:eastAsia="微软雅黑" w:cs="微软雅黑"/>
          <w:b/>
          <w:bCs/>
          <w:kern w:val="0"/>
        </w:rPr>
      </w:pPr>
    </w:p>
    <w:p>
      <w:pPr>
        <w:pStyle w:val="15"/>
        <w:ind w:left="1258" w:leftChars="599" w:firstLine="1139" w:firstLineChars="542"/>
        <w:rPr>
          <w:rFonts w:ascii="微软雅黑" w:hAnsi="微软雅黑" w:eastAsia="微软雅黑" w:cs="微软雅黑"/>
          <w:b/>
          <w:bCs/>
          <w:kern w:val="0"/>
        </w:rPr>
      </w:pPr>
    </w:p>
    <w:p>
      <w:pPr>
        <w:pStyle w:val="15"/>
        <w:ind w:left="1258" w:leftChars="599" w:firstLine="1139" w:firstLineChars="542"/>
        <w:rPr>
          <w:rFonts w:ascii="微软雅黑" w:hAnsi="微软雅黑" w:eastAsia="微软雅黑" w:cs="微软雅黑"/>
          <w:b/>
          <w:bCs/>
          <w:kern w:val="0"/>
        </w:rPr>
      </w:pPr>
    </w:p>
    <w:p>
      <w:pPr>
        <w:pStyle w:val="15"/>
        <w:ind w:left="1258" w:leftChars="599" w:firstLine="1139" w:firstLineChars="542"/>
        <w:rPr>
          <w:rFonts w:ascii="微软雅黑" w:hAnsi="微软雅黑" w:eastAsia="微软雅黑" w:cs="微软雅黑"/>
          <w:b/>
          <w:bCs/>
          <w:kern w:val="0"/>
        </w:rPr>
      </w:pPr>
    </w:p>
    <w:p>
      <w:pPr>
        <w:pStyle w:val="15"/>
        <w:rPr>
          <w:rFonts w:ascii="微软雅黑" w:hAnsi="微软雅黑" w:eastAsia="微软雅黑" w:cs="微软雅黑"/>
          <w:b/>
          <w:bCs/>
          <w:kern w:val="0"/>
        </w:rPr>
      </w:pPr>
    </w:p>
    <w:p>
      <w:pPr>
        <w:pStyle w:val="4"/>
        <w:spacing w:before="0" w:line="240" w:lineRule="auto"/>
        <w:ind w:firstLine="2731" w:firstLineChars="1300"/>
        <w:jc w:val="both"/>
        <w:rPr>
          <w:rFonts w:ascii="微软雅黑" w:hAnsi="微软雅黑" w:eastAsia="微软雅黑" w:cs="微软雅黑"/>
          <w:b/>
          <w:bCs/>
          <w:sz w:val="21"/>
          <w:szCs w:val="21"/>
        </w:rPr>
      </w:pPr>
      <w:bookmarkStart w:id="469" w:name="_Toc28800"/>
      <w:bookmarkStart w:id="470" w:name="_Toc11577"/>
      <w:bookmarkStart w:id="471" w:name="_Toc31515"/>
      <w:bookmarkStart w:id="472" w:name="_Toc21726"/>
      <w:bookmarkStart w:id="473" w:name="_Toc28817"/>
      <w:bookmarkStart w:id="474" w:name="_Toc15861"/>
      <w:bookmarkStart w:id="475" w:name="_Toc11211"/>
      <w:bookmarkStart w:id="476" w:name="_Toc21479"/>
      <w:r>
        <w:rPr>
          <w:rFonts w:hint="eastAsia" w:ascii="微软雅黑" w:hAnsi="微软雅黑" w:eastAsia="微软雅黑" w:cs="微软雅黑"/>
          <w:b/>
          <w:bCs/>
          <w:sz w:val="21"/>
          <w:szCs w:val="21"/>
        </w:rPr>
        <w:t>3、货物说明一览表</w:t>
      </w:r>
      <w:bookmarkEnd w:id="469"/>
      <w:bookmarkEnd w:id="470"/>
      <w:bookmarkEnd w:id="471"/>
      <w:bookmarkEnd w:id="472"/>
      <w:bookmarkEnd w:id="473"/>
      <w:bookmarkEnd w:id="474"/>
      <w:bookmarkEnd w:id="475"/>
      <w:bookmarkEnd w:id="476"/>
    </w:p>
    <w:p>
      <w:pPr>
        <w:pStyle w:val="15"/>
        <w:jc w:val="left"/>
        <w:rPr>
          <w:rFonts w:ascii="微软雅黑" w:hAnsi="微软雅黑" w:eastAsia="微软雅黑" w:cs="微软雅黑"/>
        </w:rPr>
      </w:pPr>
    </w:p>
    <w:p>
      <w:pPr>
        <w:pStyle w:val="15"/>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项目编号:                      包号:                      </w:t>
      </w:r>
    </w:p>
    <w:p>
      <w:pPr>
        <w:pStyle w:val="15"/>
        <w:ind w:left="1080" w:leftChars="257" w:hanging="540"/>
        <w:rPr>
          <w:rFonts w:ascii="微软雅黑" w:hAnsi="微软雅黑" w:eastAsia="微软雅黑" w:cs="微软雅黑"/>
          <w:sz w:val="24"/>
          <w:szCs w:val="24"/>
        </w:rPr>
      </w:pPr>
    </w:p>
    <w:tbl>
      <w:tblPr>
        <w:tblStyle w:val="28"/>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481"/>
        <w:gridCol w:w="1477"/>
        <w:gridCol w:w="1715"/>
        <w:gridCol w:w="2141"/>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234" w:type="dxa"/>
            <w:vAlign w:val="center"/>
          </w:tcPr>
          <w:p>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序号</w:t>
            </w:r>
          </w:p>
        </w:tc>
        <w:tc>
          <w:tcPr>
            <w:tcW w:w="1481" w:type="dxa"/>
            <w:vAlign w:val="center"/>
          </w:tcPr>
          <w:p>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货物名称</w:t>
            </w:r>
          </w:p>
        </w:tc>
        <w:tc>
          <w:tcPr>
            <w:tcW w:w="1477" w:type="dxa"/>
            <w:vAlign w:val="center"/>
          </w:tcPr>
          <w:p>
            <w:pPr>
              <w:widowControl/>
              <w:jc w:val="center"/>
              <w:textAlignment w:val="center"/>
              <w:rPr>
                <w:rFonts w:ascii="微软雅黑" w:hAnsi="微软雅黑" w:eastAsia="微软雅黑" w:cs="微软雅黑"/>
                <w:kern w:val="0"/>
                <w:sz w:val="24"/>
              </w:rPr>
            </w:pPr>
            <w:r>
              <w:rPr>
                <w:rFonts w:hint="eastAsia" w:ascii="微软雅黑" w:hAnsi="微软雅黑" w:eastAsia="微软雅黑" w:cs="微软雅黑"/>
                <w:kern w:val="0"/>
                <w:sz w:val="24"/>
              </w:rPr>
              <w:t>数量</w:t>
            </w:r>
          </w:p>
        </w:tc>
        <w:tc>
          <w:tcPr>
            <w:tcW w:w="1715" w:type="dxa"/>
            <w:vAlign w:val="center"/>
          </w:tcPr>
          <w:p>
            <w:pPr>
              <w:widowControl/>
              <w:jc w:val="center"/>
              <w:textAlignment w:val="center"/>
              <w:rPr>
                <w:rFonts w:ascii="微软雅黑" w:hAnsi="微软雅黑" w:eastAsia="微软雅黑" w:cs="微软雅黑"/>
                <w:kern w:val="0"/>
                <w:sz w:val="24"/>
              </w:rPr>
            </w:pPr>
            <w:r>
              <w:rPr>
                <w:rFonts w:hint="eastAsia" w:ascii="微软雅黑" w:hAnsi="微软雅黑" w:eastAsia="微软雅黑" w:cs="微软雅黑"/>
                <w:kern w:val="0"/>
                <w:sz w:val="24"/>
              </w:rPr>
              <w:t>交货期</w:t>
            </w:r>
          </w:p>
        </w:tc>
        <w:tc>
          <w:tcPr>
            <w:tcW w:w="2141" w:type="dxa"/>
            <w:vAlign w:val="center"/>
          </w:tcPr>
          <w:p>
            <w:pPr>
              <w:widowControl/>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交货地点</w:t>
            </w:r>
          </w:p>
        </w:tc>
        <w:tc>
          <w:tcPr>
            <w:tcW w:w="1469" w:type="dxa"/>
            <w:vAlign w:val="center"/>
          </w:tcPr>
          <w:p>
            <w:pPr>
              <w:widowControl/>
              <w:jc w:val="center"/>
              <w:textAlignment w:val="center"/>
              <w:rPr>
                <w:rFonts w:ascii="微软雅黑" w:hAnsi="微软雅黑" w:eastAsia="微软雅黑" w:cs="微软雅黑"/>
                <w:kern w:val="0"/>
                <w:sz w:val="24"/>
              </w:rPr>
            </w:pPr>
            <w:r>
              <w:rPr>
                <w:rFonts w:hint="eastAsia" w:ascii="微软雅黑" w:hAnsi="微软雅黑" w:eastAsia="微软雅黑" w:cs="微软雅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4" w:type="dxa"/>
          </w:tcPr>
          <w:p>
            <w:pPr>
              <w:pStyle w:val="15"/>
              <w:ind w:left="1080" w:leftChars="257" w:hanging="540"/>
              <w:rPr>
                <w:rFonts w:ascii="微软雅黑" w:hAnsi="微软雅黑" w:eastAsia="微软雅黑" w:cs="微软雅黑"/>
                <w:sz w:val="24"/>
                <w:szCs w:val="24"/>
              </w:rPr>
            </w:pPr>
          </w:p>
        </w:tc>
        <w:tc>
          <w:tcPr>
            <w:tcW w:w="1481" w:type="dxa"/>
          </w:tcPr>
          <w:p>
            <w:pPr>
              <w:pStyle w:val="15"/>
              <w:ind w:left="1080" w:leftChars="257" w:hanging="540"/>
              <w:rPr>
                <w:rFonts w:ascii="微软雅黑" w:hAnsi="微软雅黑" w:eastAsia="微软雅黑" w:cs="微软雅黑"/>
                <w:sz w:val="24"/>
                <w:szCs w:val="24"/>
              </w:rPr>
            </w:pPr>
          </w:p>
        </w:tc>
        <w:tc>
          <w:tcPr>
            <w:tcW w:w="1477" w:type="dxa"/>
          </w:tcPr>
          <w:p>
            <w:pPr>
              <w:pStyle w:val="15"/>
              <w:ind w:left="1080" w:leftChars="257" w:hanging="540"/>
              <w:rPr>
                <w:rFonts w:ascii="微软雅黑" w:hAnsi="微软雅黑" w:eastAsia="微软雅黑" w:cs="微软雅黑"/>
                <w:sz w:val="24"/>
                <w:szCs w:val="24"/>
              </w:rPr>
            </w:pPr>
          </w:p>
        </w:tc>
        <w:tc>
          <w:tcPr>
            <w:tcW w:w="1715" w:type="dxa"/>
          </w:tcPr>
          <w:p>
            <w:pPr>
              <w:pStyle w:val="15"/>
              <w:ind w:left="1080" w:leftChars="257" w:hanging="540"/>
              <w:rPr>
                <w:rFonts w:ascii="微软雅黑" w:hAnsi="微软雅黑" w:eastAsia="微软雅黑" w:cs="微软雅黑"/>
                <w:sz w:val="24"/>
                <w:szCs w:val="24"/>
              </w:rPr>
            </w:pPr>
          </w:p>
        </w:tc>
        <w:tc>
          <w:tcPr>
            <w:tcW w:w="2141" w:type="dxa"/>
          </w:tcPr>
          <w:p>
            <w:pPr>
              <w:pStyle w:val="15"/>
              <w:ind w:left="1080" w:leftChars="257" w:hanging="540"/>
              <w:rPr>
                <w:rFonts w:ascii="微软雅黑" w:hAnsi="微软雅黑" w:eastAsia="微软雅黑" w:cs="微软雅黑"/>
                <w:sz w:val="24"/>
                <w:szCs w:val="24"/>
              </w:rPr>
            </w:pPr>
          </w:p>
        </w:tc>
        <w:tc>
          <w:tcPr>
            <w:tcW w:w="1469"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4" w:type="dxa"/>
          </w:tcPr>
          <w:p>
            <w:pPr>
              <w:pStyle w:val="15"/>
              <w:ind w:left="1080" w:leftChars="257" w:hanging="540"/>
              <w:rPr>
                <w:rFonts w:ascii="微软雅黑" w:hAnsi="微软雅黑" w:eastAsia="微软雅黑" w:cs="微软雅黑"/>
                <w:sz w:val="24"/>
                <w:szCs w:val="24"/>
              </w:rPr>
            </w:pPr>
          </w:p>
        </w:tc>
        <w:tc>
          <w:tcPr>
            <w:tcW w:w="1481" w:type="dxa"/>
          </w:tcPr>
          <w:p>
            <w:pPr>
              <w:pStyle w:val="15"/>
              <w:ind w:left="1080" w:leftChars="257" w:hanging="540"/>
              <w:rPr>
                <w:rFonts w:ascii="微软雅黑" w:hAnsi="微软雅黑" w:eastAsia="微软雅黑" w:cs="微软雅黑"/>
                <w:sz w:val="24"/>
                <w:szCs w:val="24"/>
              </w:rPr>
            </w:pPr>
          </w:p>
        </w:tc>
        <w:tc>
          <w:tcPr>
            <w:tcW w:w="1477" w:type="dxa"/>
          </w:tcPr>
          <w:p>
            <w:pPr>
              <w:pStyle w:val="15"/>
              <w:ind w:left="1080" w:leftChars="257" w:hanging="540"/>
              <w:rPr>
                <w:rFonts w:ascii="微软雅黑" w:hAnsi="微软雅黑" w:eastAsia="微软雅黑" w:cs="微软雅黑"/>
                <w:sz w:val="24"/>
                <w:szCs w:val="24"/>
              </w:rPr>
            </w:pPr>
          </w:p>
        </w:tc>
        <w:tc>
          <w:tcPr>
            <w:tcW w:w="1715" w:type="dxa"/>
          </w:tcPr>
          <w:p>
            <w:pPr>
              <w:pStyle w:val="15"/>
              <w:ind w:left="1080" w:leftChars="257" w:hanging="540"/>
              <w:rPr>
                <w:rFonts w:ascii="微软雅黑" w:hAnsi="微软雅黑" w:eastAsia="微软雅黑" w:cs="微软雅黑"/>
                <w:sz w:val="24"/>
                <w:szCs w:val="24"/>
              </w:rPr>
            </w:pPr>
          </w:p>
        </w:tc>
        <w:tc>
          <w:tcPr>
            <w:tcW w:w="2141" w:type="dxa"/>
          </w:tcPr>
          <w:p>
            <w:pPr>
              <w:pStyle w:val="15"/>
              <w:ind w:left="1080" w:leftChars="257" w:hanging="540"/>
              <w:rPr>
                <w:rFonts w:ascii="微软雅黑" w:hAnsi="微软雅黑" w:eastAsia="微软雅黑" w:cs="微软雅黑"/>
                <w:sz w:val="24"/>
                <w:szCs w:val="24"/>
              </w:rPr>
            </w:pPr>
          </w:p>
        </w:tc>
        <w:tc>
          <w:tcPr>
            <w:tcW w:w="1469"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4" w:type="dxa"/>
          </w:tcPr>
          <w:p>
            <w:pPr>
              <w:pStyle w:val="15"/>
              <w:ind w:left="1080" w:leftChars="257" w:hanging="540"/>
              <w:rPr>
                <w:rFonts w:ascii="微软雅黑" w:hAnsi="微软雅黑" w:eastAsia="微软雅黑" w:cs="微软雅黑"/>
                <w:sz w:val="24"/>
                <w:szCs w:val="24"/>
              </w:rPr>
            </w:pPr>
          </w:p>
        </w:tc>
        <w:tc>
          <w:tcPr>
            <w:tcW w:w="1481" w:type="dxa"/>
          </w:tcPr>
          <w:p>
            <w:pPr>
              <w:pStyle w:val="15"/>
              <w:ind w:left="1080" w:leftChars="257" w:hanging="540"/>
              <w:rPr>
                <w:rFonts w:ascii="微软雅黑" w:hAnsi="微软雅黑" w:eastAsia="微软雅黑" w:cs="微软雅黑"/>
                <w:sz w:val="24"/>
                <w:szCs w:val="24"/>
              </w:rPr>
            </w:pPr>
          </w:p>
        </w:tc>
        <w:tc>
          <w:tcPr>
            <w:tcW w:w="1477" w:type="dxa"/>
          </w:tcPr>
          <w:p>
            <w:pPr>
              <w:pStyle w:val="15"/>
              <w:ind w:left="1080" w:leftChars="257" w:hanging="540"/>
              <w:rPr>
                <w:rFonts w:ascii="微软雅黑" w:hAnsi="微软雅黑" w:eastAsia="微软雅黑" w:cs="微软雅黑"/>
                <w:sz w:val="24"/>
                <w:szCs w:val="24"/>
              </w:rPr>
            </w:pPr>
          </w:p>
        </w:tc>
        <w:tc>
          <w:tcPr>
            <w:tcW w:w="1715" w:type="dxa"/>
          </w:tcPr>
          <w:p>
            <w:pPr>
              <w:pStyle w:val="15"/>
              <w:ind w:left="1080" w:leftChars="257" w:hanging="540"/>
              <w:rPr>
                <w:rFonts w:ascii="微软雅黑" w:hAnsi="微软雅黑" w:eastAsia="微软雅黑" w:cs="微软雅黑"/>
                <w:sz w:val="24"/>
                <w:szCs w:val="24"/>
              </w:rPr>
            </w:pPr>
          </w:p>
        </w:tc>
        <w:tc>
          <w:tcPr>
            <w:tcW w:w="2141" w:type="dxa"/>
          </w:tcPr>
          <w:p>
            <w:pPr>
              <w:pStyle w:val="15"/>
              <w:ind w:left="1080" w:leftChars="257" w:hanging="540"/>
              <w:rPr>
                <w:rFonts w:ascii="微软雅黑" w:hAnsi="微软雅黑" w:eastAsia="微软雅黑" w:cs="微软雅黑"/>
                <w:sz w:val="24"/>
                <w:szCs w:val="24"/>
              </w:rPr>
            </w:pPr>
          </w:p>
        </w:tc>
        <w:tc>
          <w:tcPr>
            <w:tcW w:w="1469"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4" w:type="dxa"/>
          </w:tcPr>
          <w:p>
            <w:pPr>
              <w:pStyle w:val="15"/>
              <w:ind w:left="1080" w:leftChars="257" w:hanging="540"/>
              <w:rPr>
                <w:rFonts w:ascii="微软雅黑" w:hAnsi="微软雅黑" w:eastAsia="微软雅黑" w:cs="微软雅黑"/>
                <w:sz w:val="24"/>
                <w:szCs w:val="24"/>
              </w:rPr>
            </w:pPr>
          </w:p>
        </w:tc>
        <w:tc>
          <w:tcPr>
            <w:tcW w:w="1481" w:type="dxa"/>
          </w:tcPr>
          <w:p>
            <w:pPr>
              <w:pStyle w:val="15"/>
              <w:ind w:left="1080" w:leftChars="257" w:hanging="540"/>
              <w:rPr>
                <w:rFonts w:ascii="微软雅黑" w:hAnsi="微软雅黑" w:eastAsia="微软雅黑" w:cs="微软雅黑"/>
                <w:sz w:val="24"/>
                <w:szCs w:val="24"/>
              </w:rPr>
            </w:pPr>
          </w:p>
        </w:tc>
        <w:tc>
          <w:tcPr>
            <w:tcW w:w="1477" w:type="dxa"/>
          </w:tcPr>
          <w:p>
            <w:pPr>
              <w:pStyle w:val="15"/>
              <w:ind w:left="1080" w:leftChars="257" w:hanging="540"/>
              <w:rPr>
                <w:rFonts w:ascii="微软雅黑" w:hAnsi="微软雅黑" w:eastAsia="微软雅黑" w:cs="微软雅黑"/>
                <w:sz w:val="24"/>
                <w:szCs w:val="24"/>
              </w:rPr>
            </w:pPr>
          </w:p>
        </w:tc>
        <w:tc>
          <w:tcPr>
            <w:tcW w:w="1715" w:type="dxa"/>
          </w:tcPr>
          <w:p>
            <w:pPr>
              <w:pStyle w:val="15"/>
              <w:ind w:left="1080" w:leftChars="257" w:hanging="540"/>
              <w:rPr>
                <w:rFonts w:ascii="微软雅黑" w:hAnsi="微软雅黑" w:eastAsia="微软雅黑" w:cs="微软雅黑"/>
                <w:sz w:val="24"/>
                <w:szCs w:val="24"/>
              </w:rPr>
            </w:pPr>
          </w:p>
        </w:tc>
        <w:tc>
          <w:tcPr>
            <w:tcW w:w="2141" w:type="dxa"/>
          </w:tcPr>
          <w:p>
            <w:pPr>
              <w:pStyle w:val="15"/>
              <w:ind w:left="1080" w:leftChars="257" w:hanging="540"/>
              <w:rPr>
                <w:rFonts w:ascii="微软雅黑" w:hAnsi="微软雅黑" w:eastAsia="微软雅黑" w:cs="微软雅黑"/>
                <w:sz w:val="24"/>
                <w:szCs w:val="24"/>
              </w:rPr>
            </w:pPr>
          </w:p>
        </w:tc>
        <w:tc>
          <w:tcPr>
            <w:tcW w:w="1469"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4" w:type="dxa"/>
          </w:tcPr>
          <w:p>
            <w:pPr>
              <w:pStyle w:val="15"/>
              <w:ind w:left="1080" w:leftChars="257" w:hanging="540"/>
              <w:rPr>
                <w:rFonts w:ascii="微软雅黑" w:hAnsi="微软雅黑" w:eastAsia="微软雅黑" w:cs="微软雅黑"/>
                <w:sz w:val="24"/>
                <w:szCs w:val="24"/>
              </w:rPr>
            </w:pPr>
          </w:p>
        </w:tc>
        <w:tc>
          <w:tcPr>
            <w:tcW w:w="1481" w:type="dxa"/>
          </w:tcPr>
          <w:p>
            <w:pPr>
              <w:pStyle w:val="15"/>
              <w:ind w:left="1080" w:leftChars="257" w:hanging="540"/>
              <w:rPr>
                <w:rFonts w:ascii="微软雅黑" w:hAnsi="微软雅黑" w:eastAsia="微软雅黑" w:cs="微软雅黑"/>
                <w:sz w:val="24"/>
                <w:szCs w:val="24"/>
              </w:rPr>
            </w:pPr>
          </w:p>
        </w:tc>
        <w:tc>
          <w:tcPr>
            <w:tcW w:w="1477" w:type="dxa"/>
          </w:tcPr>
          <w:p>
            <w:pPr>
              <w:pStyle w:val="15"/>
              <w:ind w:left="1080" w:leftChars="257" w:hanging="540"/>
              <w:rPr>
                <w:rFonts w:ascii="微软雅黑" w:hAnsi="微软雅黑" w:eastAsia="微软雅黑" w:cs="微软雅黑"/>
                <w:sz w:val="24"/>
                <w:szCs w:val="24"/>
              </w:rPr>
            </w:pPr>
          </w:p>
        </w:tc>
        <w:tc>
          <w:tcPr>
            <w:tcW w:w="1715" w:type="dxa"/>
          </w:tcPr>
          <w:p>
            <w:pPr>
              <w:pStyle w:val="15"/>
              <w:ind w:left="1080" w:leftChars="257" w:hanging="540"/>
              <w:rPr>
                <w:rFonts w:ascii="微软雅黑" w:hAnsi="微软雅黑" w:eastAsia="微软雅黑" w:cs="微软雅黑"/>
                <w:sz w:val="24"/>
                <w:szCs w:val="24"/>
              </w:rPr>
            </w:pPr>
          </w:p>
        </w:tc>
        <w:tc>
          <w:tcPr>
            <w:tcW w:w="2141" w:type="dxa"/>
          </w:tcPr>
          <w:p>
            <w:pPr>
              <w:pStyle w:val="15"/>
              <w:ind w:left="1080" w:leftChars="257" w:hanging="540"/>
              <w:rPr>
                <w:rFonts w:ascii="微软雅黑" w:hAnsi="微软雅黑" w:eastAsia="微软雅黑" w:cs="微软雅黑"/>
                <w:sz w:val="24"/>
                <w:szCs w:val="24"/>
              </w:rPr>
            </w:pPr>
          </w:p>
        </w:tc>
        <w:tc>
          <w:tcPr>
            <w:tcW w:w="1469"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4" w:type="dxa"/>
          </w:tcPr>
          <w:p>
            <w:pPr>
              <w:pStyle w:val="15"/>
              <w:ind w:left="1080" w:leftChars="257" w:hanging="540"/>
              <w:rPr>
                <w:rFonts w:ascii="微软雅黑" w:hAnsi="微软雅黑" w:eastAsia="微软雅黑" w:cs="微软雅黑"/>
                <w:sz w:val="24"/>
                <w:szCs w:val="24"/>
              </w:rPr>
            </w:pPr>
          </w:p>
        </w:tc>
        <w:tc>
          <w:tcPr>
            <w:tcW w:w="1481" w:type="dxa"/>
          </w:tcPr>
          <w:p>
            <w:pPr>
              <w:pStyle w:val="15"/>
              <w:ind w:left="1080" w:leftChars="257" w:hanging="540"/>
              <w:rPr>
                <w:rFonts w:ascii="微软雅黑" w:hAnsi="微软雅黑" w:eastAsia="微软雅黑" w:cs="微软雅黑"/>
                <w:sz w:val="24"/>
                <w:szCs w:val="24"/>
              </w:rPr>
            </w:pPr>
          </w:p>
        </w:tc>
        <w:tc>
          <w:tcPr>
            <w:tcW w:w="1477" w:type="dxa"/>
          </w:tcPr>
          <w:p>
            <w:pPr>
              <w:pStyle w:val="15"/>
              <w:ind w:left="1080" w:leftChars="257" w:hanging="540"/>
              <w:rPr>
                <w:rFonts w:ascii="微软雅黑" w:hAnsi="微软雅黑" w:eastAsia="微软雅黑" w:cs="微软雅黑"/>
                <w:sz w:val="24"/>
                <w:szCs w:val="24"/>
              </w:rPr>
            </w:pPr>
          </w:p>
        </w:tc>
        <w:tc>
          <w:tcPr>
            <w:tcW w:w="1715" w:type="dxa"/>
          </w:tcPr>
          <w:p>
            <w:pPr>
              <w:pStyle w:val="15"/>
              <w:ind w:left="1080" w:leftChars="257" w:hanging="540"/>
              <w:rPr>
                <w:rFonts w:ascii="微软雅黑" w:hAnsi="微软雅黑" w:eastAsia="微软雅黑" w:cs="微软雅黑"/>
                <w:sz w:val="24"/>
                <w:szCs w:val="24"/>
              </w:rPr>
            </w:pPr>
          </w:p>
        </w:tc>
        <w:tc>
          <w:tcPr>
            <w:tcW w:w="2141" w:type="dxa"/>
          </w:tcPr>
          <w:p>
            <w:pPr>
              <w:pStyle w:val="15"/>
              <w:ind w:left="1080" w:leftChars="257" w:hanging="540"/>
              <w:rPr>
                <w:rFonts w:ascii="微软雅黑" w:hAnsi="微软雅黑" w:eastAsia="微软雅黑" w:cs="微软雅黑"/>
                <w:sz w:val="24"/>
                <w:szCs w:val="24"/>
              </w:rPr>
            </w:pPr>
          </w:p>
        </w:tc>
        <w:tc>
          <w:tcPr>
            <w:tcW w:w="1469"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34" w:type="dxa"/>
          </w:tcPr>
          <w:p>
            <w:pPr>
              <w:pStyle w:val="15"/>
              <w:ind w:left="1080" w:leftChars="257" w:hanging="540"/>
              <w:rPr>
                <w:rFonts w:ascii="微软雅黑" w:hAnsi="微软雅黑" w:eastAsia="微软雅黑" w:cs="微软雅黑"/>
                <w:sz w:val="24"/>
                <w:szCs w:val="24"/>
              </w:rPr>
            </w:pPr>
          </w:p>
        </w:tc>
        <w:tc>
          <w:tcPr>
            <w:tcW w:w="1481" w:type="dxa"/>
          </w:tcPr>
          <w:p>
            <w:pPr>
              <w:pStyle w:val="15"/>
              <w:ind w:left="1080" w:leftChars="257" w:hanging="540"/>
              <w:rPr>
                <w:rFonts w:ascii="微软雅黑" w:hAnsi="微软雅黑" w:eastAsia="微软雅黑" w:cs="微软雅黑"/>
                <w:sz w:val="24"/>
                <w:szCs w:val="24"/>
              </w:rPr>
            </w:pPr>
          </w:p>
        </w:tc>
        <w:tc>
          <w:tcPr>
            <w:tcW w:w="1477" w:type="dxa"/>
          </w:tcPr>
          <w:p>
            <w:pPr>
              <w:pStyle w:val="15"/>
              <w:ind w:left="1080" w:leftChars="257" w:hanging="540"/>
              <w:rPr>
                <w:rFonts w:ascii="微软雅黑" w:hAnsi="微软雅黑" w:eastAsia="微软雅黑" w:cs="微软雅黑"/>
                <w:sz w:val="24"/>
                <w:szCs w:val="24"/>
              </w:rPr>
            </w:pPr>
          </w:p>
        </w:tc>
        <w:tc>
          <w:tcPr>
            <w:tcW w:w="1715" w:type="dxa"/>
          </w:tcPr>
          <w:p>
            <w:pPr>
              <w:pStyle w:val="15"/>
              <w:ind w:left="1080" w:leftChars="257" w:hanging="540"/>
              <w:rPr>
                <w:rFonts w:ascii="微软雅黑" w:hAnsi="微软雅黑" w:eastAsia="微软雅黑" w:cs="微软雅黑"/>
                <w:sz w:val="24"/>
                <w:szCs w:val="24"/>
              </w:rPr>
            </w:pPr>
          </w:p>
        </w:tc>
        <w:tc>
          <w:tcPr>
            <w:tcW w:w="2141" w:type="dxa"/>
          </w:tcPr>
          <w:p>
            <w:pPr>
              <w:pStyle w:val="15"/>
              <w:ind w:left="1080" w:leftChars="257" w:hanging="540"/>
              <w:rPr>
                <w:rFonts w:ascii="微软雅黑" w:hAnsi="微软雅黑" w:eastAsia="微软雅黑" w:cs="微软雅黑"/>
                <w:sz w:val="24"/>
                <w:szCs w:val="24"/>
              </w:rPr>
            </w:pPr>
          </w:p>
        </w:tc>
        <w:tc>
          <w:tcPr>
            <w:tcW w:w="1469" w:type="dxa"/>
          </w:tcPr>
          <w:p>
            <w:pPr>
              <w:pStyle w:val="15"/>
              <w:ind w:left="1080" w:leftChars="257" w:hanging="540"/>
              <w:rPr>
                <w:rFonts w:ascii="微软雅黑" w:hAnsi="微软雅黑" w:eastAsia="微软雅黑" w:cs="微软雅黑"/>
                <w:sz w:val="24"/>
                <w:szCs w:val="24"/>
              </w:rPr>
            </w:pPr>
          </w:p>
        </w:tc>
      </w:tr>
    </w:tbl>
    <w:p>
      <w:pPr>
        <w:pStyle w:val="15"/>
        <w:ind w:left="1080" w:leftChars="257" w:hanging="540"/>
        <w:rPr>
          <w:rFonts w:ascii="微软雅黑" w:hAnsi="微软雅黑" w:eastAsia="微软雅黑" w:cs="微软雅黑"/>
          <w:sz w:val="24"/>
          <w:szCs w:val="24"/>
        </w:rPr>
      </w:pPr>
    </w:p>
    <w:p>
      <w:pPr>
        <w:pStyle w:val="15"/>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法定代表人或其委托代理人（签字或盖章）：</w:t>
      </w:r>
    </w:p>
    <w:p>
      <w:pPr>
        <w:pStyle w:val="15"/>
        <w:tabs>
          <w:tab w:val="left" w:pos="5370"/>
        </w:tabs>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供应商(公章):</w:t>
      </w:r>
    </w:p>
    <w:p>
      <w:pPr>
        <w:pStyle w:val="15"/>
        <w:ind w:left="1080" w:leftChars="257" w:hanging="540"/>
        <w:rPr>
          <w:rFonts w:ascii="微软雅黑" w:hAnsi="微软雅黑" w:eastAsia="微软雅黑" w:cs="微软雅黑"/>
          <w:b/>
          <w:bCs/>
          <w:sz w:val="24"/>
          <w:szCs w:val="24"/>
        </w:rPr>
      </w:pPr>
      <w:r>
        <w:rPr>
          <w:rFonts w:hint="eastAsia" w:ascii="微软雅黑" w:hAnsi="微软雅黑" w:eastAsia="微软雅黑" w:cs="微软雅黑"/>
          <w:sz w:val="24"/>
          <w:szCs w:val="24"/>
        </w:rPr>
        <w:t>注: 各项货物详细技术性能应另页描述。</w:t>
      </w: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rPr>
          <w:rFonts w:ascii="微软雅黑" w:hAnsi="微软雅黑" w:eastAsia="微软雅黑" w:cs="微软雅黑"/>
          <w:b/>
          <w:bCs/>
          <w:sz w:val="24"/>
          <w:szCs w:val="24"/>
        </w:rPr>
      </w:pPr>
    </w:p>
    <w:p>
      <w:pPr>
        <w:pStyle w:val="15"/>
        <w:ind w:left="1080" w:leftChars="257" w:hanging="540"/>
        <w:jc w:val="center"/>
        <w:outlineLvl w:val="1"/>
        <w:rPr>
          <w:rFonts w:ascii="微软雅黑" w:hAnsi="微软雅黑" w:eastAsia="微软雅黑" w:cs="微软雅黑"/>
          <w:b/>
          <w:bCs/>
          <w:sz w:val="24"/>
          <w:szCs w:val="24"/>
        </w:rPr>
      </w:pPr>
      <w:bookmarkStart w:id="477" w:name="_Toc28414"/>
      <w:bookmarkStart w:id="478" w:name="_Toc23542"/>
      <w:bookmarkStart w:id="479" w:name="_Toc26490"/>
      <w:bookmarkStart w:id="480" w:name="_Toc32666"/>
      <w:bookmarkStart w:id="481" w:name="_Toc3537"/>
      <w:bookmarkStart w:id="482" w:name="_Toc13093"/>
      <w:bookmarkStart w:id="483" w:name="_Toc13229"/>
      <w:bookmarkStart w:id="484" w:name="_Toc31596"/>
      <w:r>
        <w:rPr>
          <w:rFonts w:hint="eastAsia" w:ascii="微软雅黑" w:hAnsi="微软雅黑" w:eastAsia="微软雅黑" w:cs="微软雅黑"/>
          <w:b/>
          <w:bCs/>
          <w:sz w:val="24"/>
          <w:szCs w:val="24"/>
        </w:rPr>
        <w:t>4、技术规格偏离表</w:t>
      </w:r>
      <w:bookmarkEnd w:id="477"/>
      <w:bookmarkEnd w:id="478"/>
      <w:bookmarkEnd w:id="479"/>
      <w:bookmarkEnd w:id="480"/>
      <w:bookmarkEnd w:id="481"/>
      <w:bookmarkEnd w:id="482"/>
      <w:bookmarkEnd w:id="483"/>
      <w:bookmarkEnd w:id="484"/>
    </w:p>
    <w:p>
      <w:pPr>
        <w:pStyle w:val="15"/>
        <w:ind w:left="1080" w:leftChars="257" w:hanging="540"/>
        <w:rPr>
          <w:rFonts w:ascii="微软雅黑" w:hAnsi="微软雅黑" w:eastAsia="微软雅黑" w:cs="微软雅黑"/>
          <w:sz w:val="24"/>
          <w:szCs w:val="24"/>
        </w:rPr>
      </w:pPr>
    </w:p>
    <w:p>
      <w:pPr>
        <w:pStyle w:val="15"/>
        <w:rPr>
          <w:rFonts w:ascii="微软雅黑" w:hAnsi="微软雅黑" w:eastAsia="微软雅黑" w:cs="微软雅黑"/>
          <w:sz w:val="24"/>
          <w:szCs w:val="24"/>
        </w:rPr>
      </w:pPr>
      <w:r>
        <w:rPr>
          <w:rFonts w:hint="eastAsia" w:ascii="微软雅黑" w:hAnsi="微软雅黑" w:eastAsia="微软雅黑" w:cs="微软雅黑"/>
          <w:sz w:val="24"/>
          <w:szCs w:val="24"/>
        </w:rPr>
        <w:t>项目名称:                       项目编号:                 包号:</w:t>
      </w:r>
    </w:p>
    <w:p>
      <w:pPr>
        <w:pStyle w:val="15"/>
        <w:ind w:left="1080" w:leftChars="257" w:hanging="540"/>
        <w:rPr>
          <w:rFonts w:ascii="微软雅黑" w:hAnsi="微软雅黑" w:eastAsia="微软雅黑" w:cs="微软雅黑"/>
          <w:sz w:val="24"/>
          <w:szCs w:val="24"/>
        </w:rPr>
      </w:pPr>
    </w:p>
    <w:tbl>
      <w:tblPr>
        <w:tblStyle w:val="2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504"/>
        <w:gridCol w:w="2797"/>
        <w:gridCol w:w="1506"/>
        <w:gridCol w:w="1506"/>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504" w:type="dxa"/>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货物名称</w:t>
            </w:r>
          </w:p>
        </w:tc>
        <w:tc>
          <w:tcPr>
            <w:tcW w:w="2797" w:type="dxa"/>
            <w:vAlign w:val="center"/>
          </w:tcPr>
          <w:p>
            <w:pPr>
              <w:pStyle w:val="15"/>
              <w:ind w:left="269" w:leftChars="128"/>
              <w:jc w:val="center"/>
              <w:rPr>
                <w:rFonts w:ascii="微软雅黑" w:hAnsi="微软雅黑" w:eastAsia="微软雅黑" w:cs="微软雅黑"/>
                <w:sz w:val="24"/>
                <w:szCs w:val="24"/>
              </w:rPr>
            </w:pPr>
            <w:r>
              <w:rPr>
                <w:rFonts w:hint="eastAsia" w:ascii="微软雅黑" w:hAnsi="微软雅黑" w:eastAsia="微软雅黑" w:cs="微软雅黑"/>
                <w:sz w:val="24"/>
                <w:szCs w:val="24"/>
              </w:rPr>
              <w:t>招标规格</w:t>
            </w:r>
          </w:p>
        </w:tc>
        <w:tc>
          <w:tcPr>
            <w:tcW w:w="1506" w:type="dxa"/>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投标规格</w:t>
            </w:r>
          </w:p>
        </w:tc>
        <w:tc>
          <w:tcPr>
            <w:tcW w:w="1506" w:type="dxa"/>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偏离</w:t>
            </w:r>
          </w:p>
        </w:tc>
        <w:tc>
          <w:tcPr>
            <w:tcW w:w="1076" w:type="dxa"/>
            <w:vAlign w:val="center"/>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pPr>
              <w:pStyle w:val="15"/>
              <w:ind w:left="1080" w:leftChars="257" w:hanging="540"/>
              <w:rPr>
                <w:rFonts w:ascii="微软雅黑" w:hAnsi="微软雅黑" w:eastAsia="微软雅黑" w:cs="微软雅黑"/>
                <w:sz w:val="24"/>
                <w:szCs w:val="24"/>
              </w:rPr>
            </w:pPr>
          </w:p>
        </w:tc>
        <w:tc>
          <w:tcPr>
            <w:tcW w:w="1504" w:type="dxa"/>
          </w:tcPr>
          <w:p>
            <w:pPr>
              <w:pStyle w:val="15"/>
              <w:ind w:left="1080" w:leftChars="257" w:hanging="540"/>
              <w:rPr>
                <w:rFonts w:ascii="微软雅黑" w:hAnsi="微软雅黑" w:eastAsia="微软雅黑" w:cs="微软雅黑"/>
                <w:sz w:val="24"/>
                <w:szCs w:val="24"/>
              </w:rPr>
            </w:pPr>
          </w:p>
        </w:tc>
        <w:tc>
          <w:tcPr>
            <w:tcW w:w="2797"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076"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pPr>
              <w:pStyle w:val="15"/>
              <w:ind w:left="1080" w:leftChars="257" w:hanging="540"/>
              <w:rPr>
                <w:rFonts w:ascii="微软雅黑" w:hAnsi="微软雅黑" w:eastAsia="微软雅黑" w:cs="微软雅黑"/>
                <w:sz w:val="24"/>
                <w:szCs w:val="24"/>
              </w:rPr>
            </w:pPr>
          </w:p>
        </w:tc>
        <w:tc>
          <w:tcPr>
            <w:tcW w:w="1504" w:type="dxa"/>
          </w:tcPr>
          <w:p>
            <w:pPr>
              <w:pStyle w:val="15"/>
              <w:ind w:left="1080" w:leftChars="257" w:hanging="540"/>
              <w:rPr>
                <w:rFonts w:ascii="微软雅黑" w:hAnsi="微软雅黑" w:eastAsia="微软雅黑" w:cs="微软雅黑"/>
                <w:sz w:val="24"/>
                <w:szCs w:val="24"/>
              </w:rPr>
            </w:pPr>
          </w:p>
        </w:tc>
        <w:tc>
          <w:tcPr>
            <w:tcW w:w="2797"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076"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pPr>
              <w:pStyle w:val="15"/>
              <w:ind w:left="1080" w:leftChars="257" w:hanging="540"/>
              <w:rPr>
                <w:rFonts w:ascii="微软雅黑" w:hAnsi="微软雅黑" w:eastAsia="微软雅黑" w:cs="微软雅黑"/>
                <w:sz w:val="24"/>
                <w:szCs w:val="24"/>
              </w:rPr>
            </w:pPr>
          </w:p>
        </w:tc>
        <w:tc>
          <w:tcPr>
            <w:tcW w:w="1504" w:type="dxa"/>
          </w:tcPr>
          <w:p>
            <w:pPr>
              <w:pStyle w:val="15"/>
              <w:ind w:left="1080" w:leftChars="257" w:hanging="540"/>
              <w:rPr>
                <w:rFonts w:ascii="微软雅黑" w:hAnsi="微软雅黑" w:eastAsia="微软雅黑" w:cs="微软雅黑"/>
                <w:sz w:val="24"/>
                <w:szCs w:val="24"/>
              </w:rPr>
            </w:pPr>
          </w:p>
        </w:tc>
        <w:tc>
          <w:tcPr>
            <w:tcW w:w="2797"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076"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pPr>
              <w:pStyle w:val="15"/>
              <w:ind w:left="1080" w:leftChars="257" w:hanging="540"/>
              <w:rPr>
                <w:rFonts w:ascii="微软雅黑" w:hAnsi="微软雅黑" w:eastAsia="微软雅黑" w:cs="微软雅黑"/>
                <w:sz w:val="24"/>
                <w:szCs w:val="24"/>
              </w:rPr>
            </w:pPr>
          </w:p>
        </w:tc>
        <w:tc>
          <w:tcPr>
            <w:tcW w:w="1504" w:type="dxa"/>
          </w:tcPr>
          <w:p>
            <w:pPr>
              <w:pStyle w:val="15"/>
              <w:ind w:left="1080" w:leftChars="257" w:hanging="540"/>
              <w:rPr>
                <w:rFonts w:ascii="微软雅黑" w:hAnsi="微软雅黑" w:eastAsia="微软雅黑" w:cs="微软雅黑"/>
                <w:sz w:val="24"/>
                <w:szCs w:val="24"/>
              </w:rPr>
            </w:pPr>
          </w:p>
        </w:tc>
        <w:tc>
          <w:tcPr>
            <w:tcW w:w="2797"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076"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pPr>
              <w:pStyle w:val="15"/>
              <w:ind w:left="1080" w:leftChars="257" w:hanging="540"/>
              <w:rPr>
                <w:rFonts w:ascii="微软雅黑" w:hAnsi="微软雅黑" w:eastAsia="微软雅黑" w:cs="微软雅黑"/>
                <w:sz w:val="24"/>
                <w:szCs w:val="24"/>
              </w:rPr>
            </w:pPr>
          </w:p>
        </w:tc>
        <w:tc>
          <w:tcPr>
            <w:tcW w:w="1504" w:type="dxa"/>
          </w:tcPr>
          <w:p>
            <w:pPr>
              <w:pStyle w:val="15"/>
              <w:ind w:left="1080" w:leftChars="257" w:hanging="540"/>
              <w:rPr>
                <w:rFonts w:ascii="微软雅黑" w:hAnsi="微软雅黑" w:eastAsia="微软雅黑" w:cs="微软雅黑"/>
                <w:sz w:val="24"/>
                <w:szCs w:val="24"/>
              </w:rPr>
            </w:pPr>
          </w:p>
        </w:tc>
        <w:tc>
          <w:tcPr>
            <w:tcW w:w="2797"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076"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90" w:type="dxa"/>
          </w:tcPr>
          <w:p>
            <w:pPr>
              <w:pStyle w:val="15"/>
              <w:ind w:left="1080" w:leftChars="257" w:hanging="540"/>
              <w:rPr>
                <w:rFonts w:ascii="微软雅黑" w:hAnsi="微软雅黑" w:eastAsia="微软雅黑" w:cs="微软雅黑"/>
                <w:sz w:val="24"/>
                <w:szCs w:val="24"/>
              </w:rPr>
            </w:pPr>
          </w:p>
        </w:tc>
        <w:tc>
          <w:tcPr>
            <w:tcW w:w="1504" w:type="dxa"/>
          </w:tcPr>
          <w:p>
            <w:pPr>
              <w:pStyle w:val="15"/>
              <w:ind w:left="1080" w:leftChars="257" w:hanging="540"/>
              <w:rPr>
                <w:rFonts w:ascii="微软雅黑" w:hAnsi="微软雅黑" w:eastAsia="微软雅黑" w:cs="微软雅黑"/>
                <w:sz w:val="24"/>
                <w:szCs w:val="24"/>
              </w:rPr>
            </w:pPr>
          </w:p>
        </w:tc>
        <w:tc>
          <w:tcPr>
            <w:tcW w:w="2797"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076"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90" w:type="dxa"/>
          </w:tcPr>
          <w:p>
            <w:pPr>
              <w:pStyle w:val="15"/>
              <w:ind w:left="1080" w:leftChars="257" w:hanging="540"/>
              <w:rPr>
                <w:rFonts w:ascii="微软雅黑" w:hAnsi="微软雅黑" w:eastAsia="微软雅黑" w:cs="微软雅黑"/>
                <w:sz w:val="24"/>
                <w:szCs w:val="24"/>
              </w:rPr>
            </w:pPr>
          </w:p>
        </w:tc>
        <w:tc>
          <w:tcPr>
            <w:tcW w:w="1504" w:type="dxa"/>
          </w:tcPr>
          <w:p>
            <w:pPr>
              <w:pStyle w:val="15"/>
              <w:ind w:left="1080" w:leftChars="257" w:hanging="540"/>
              <w:rPr>
                <w:rFonts w:ascii="微软雅黑" w:hAnsi="微软雅黑" w:eastAsia="微软雅黑" w:cs="微软雅黑"/>
                <w:sz w:val="24"/>
                <w:szCs w:val="24"/>
              </w:rPr>
            </w:pPr>
          </w:p>
        </w:tc>
        <w:tc>
          <w:tcPr>
            <w:tcW w:w="2797"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506" w:type="dxa"/>
          </w:tcPr>
          <w:p>
            <w:pPr>
              <w:pStyle w:val="15"/>
              <w:ind w:left="1080" w:leftChars="257" w:hanging="540"/>
              <w:rPr>
                <w:rFonts w:ascii="微软雅黑" w:hAnsi="微软雅黑" w:eastAsia="微软雅黑" w:cs="微软雅黑"/>
                <w:sz w:val="24"/>
                <w:szCs w:val="24"/>
              </w:rPr>
            </w:pPr>
          </w:p>
        </w:tc>
        <w:tc>
          <w:tcPr>
            <w:tcW w:w="1076" w:type="dxa"/>
          </w:tcPr>
          <w:p>
            <w:pPr>
              <w:pStyle w:val="15"/>
              <w:ind w:left="1080" w:leftChars="257" w:hanging="540"/>
              <w:rPr>
                <w:rFonts w:ascii="微软雅黑" w:hAnsi="微软雅黑" w:eastAsia="微软雅黑" w:cs="微软雅黑"/>
                <w:sz w:val="24"/>
                <w:szCs w:val="24"/>
              </w:rPr>
            </w:pPr>
          </w:p>
        </w:tc>
      </w:tr>
    </w:tbl>
    <w:p>
      <w:pPr>
        <w:pStyle w:val="15"/>
        <w:rPr>
          <w:rFonts w:ascii="微软雅黑" w:hAnsi="微软雅黑" w:eastAsia="微软雅黑" w:cs="微软雅黑"/>
          <w:sz w:val="24"/>
          <w:szCs w:val="24"/>
        </w:rPr>
      </w:pPr>
    </w:p>
    <w:p>
      <w:pPr>
        <w:pStyle w:val="15"/>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法定代表人或其委托代理人（签字或盖章）:</w:t>
      </w:r>
    </w:p>
    <w:p>
      <w:pPr>
        <w:pStyle w:val="15"/>
        <w:tabs>
          <w:tab w:val="left" w:pos="5370"/>
        </w:tabs>
        <w:ind w:left="1080" w:leftChars="257" w:hanging="540"/>
        <w:rPr>
          <w:rFonts w:ascii="微软雅黑" w:hAnsi="微软雅黑" w:eastAsia="微软雅黑" w:cs="微软雅黑"/>
          <w:b/>
          <w:bCs/>
          <w:sz w:val="22"/>
          <w:szCs w:val="22"/>
        </w:rPr>
      </w:pPr>
      <w:r>
        <w:rPr>
          <w:rFonts w:hint="eastAsia" w:ascii="微软雅黑" w:hAnsi="微软雅黑" w:eastAsia="微软雅黑" w:cs="微软雅黑"/>
          <w:sz w:val="24"/>
          <w:szCs w:val="24"/>
        </w:rPr>
        <w:t>供应商(公章):</w:t>
      </w:r>
    </w:p>
    <w:bookmarkEnd w:id="465"/>
    <w:bookmarkEnd w:id="466"/>
    <w:bookmarkEnd w:id="467"/>
    <w:bookmarkEnd w:id="468"/>
    <w:p>
      <w:pPr>
        <w:ind w:firstLine="2310" w:firstLineChars="1100"/>
        <w:rPr>
          <w:rFonts w:ascii="微软雅黑" w:hAnsi="微软雅黑" w:eastAsia="微软雅黑" w:cs="微软雅黑"/>
        </w:rPr>
      </w:pPr>
      <w:bookmarkStart w:id="485" w:name="_Toc216582818"/>
      <w:bookmarkStart w:id="486" w:name="_Toc515647821"/>
      <w:bookmarkStart w:id="487" w:name="_Toc23"/>
      <w:bookmarkStart w:id="488" w:name="_Toc31439"/>
      <w:bookmarkStart w:id="489" w:name="_Toc1980"/>
    </w:p>
    <w:p>
      <w:pPr>
        <w:ind w:firstLine="2310" w:firstLineChars="1100"/>
        <w:rPr>
          <w:rFonts w:ascii="微软雅黑" w:hAnsi="微软雅黑" w:eastAsia="微软雅黑" w:cs="微软雅黑"/>
        </w:rPr>
      </w:pPr>
    </w:p>
    <w:p>
      <w:pPr>
        <w:rPr>
          <w:rFonts w:ascii="微软雅黑" w:hAnsi="微软雅黑" w:eastAsia="微软雅黑" w:cs="微软雅黑"/>
        </w:rPr>
      </w:pPr>
    </w:p>
    <w:p>
      <w:pPr>
        <w:pStyle w:val="5"/>
        <w:rPr>
          <w:rFonts w:ascii="微软雅黑" w:hAnsi="微软雅黑" w:eastAsia="微软雅黑" w:cs="微软雅黑"/>
        </w:rPr>
      </w:pPr>
    </w:p>
    <w:p>
      <w:pPr>
        <w:rPr>
          <w:rFonts w:ascii="微软雅黑" w:hAnsi="微软雅黑" w:eastAsia="微软雅黑" w:cs="微软雅黑"/>
        </w:rPr>
      </w:pPr>
    </w:p>
    <w:p>
      <w:pPr>
        <w:pStyle w:val="5"/>
        <w:rPr>
          <w:rFonts w:ascii="微软雅黑" w:hAnsi="微软雅黑" w:eastAsia="微软雅黑" w:cs="微软雅黑"/>
        </w:rPr>
      </w:pPr>
    </w:p>
    <w:p>
      <w:pPr>
        <w:rPr>
          <w:rFonts w:ascii="微软雅黑" w:hAnsi="微软雅黑" w:eastAsia="微软雅黑" w:cs="微软雅黑"/>
        </w:rPr>
      </w:pPr>
    </w:p>
    <w:p>
      <w:pPr>
        <w:pStyle w:val="5"/>
        <w:rPr>
          <w:rFonts w:ascii="微软雅黑" w:hAnsi="微软雅黑" w:eastAsia="微软雅黑" w:cs="微软雅黑"/>
        </w:rPr>
      </w:pPr>
    </w:p>
    <w:p/>
    <w:p>
      <w:pPr>
        <w:pStyle w:val="51"/>
        <w:ind w:left="0" w:leftChars="0" w:firstLine="0" w:firstLineChars="0"/>
        <w:jc w:val="both"/>
        <w:outlineLvl w:val="9"/>
        <w:rPr>
          <w:rFonts w:ascii="微软雅黑" w:hAnsi="微软雅黑" w:eastAsia="微软雅黑" w:cs="微软雅黑"/>
          <w:color w:val="auto"/>
          <w:sz w:val="21"/>
          <w:szCs w:val="21"/>
        </w:rPr>
      </w:pPr>
    </w:p>
    <w:bookmarkEnd w:id="485"/>
    <w:bookmarkEnd w:id="486"/>
    <w:bookmarkEnd w:id="487"/>
    <w:bookmarkEnd w:id="488"/>
    <w:bookmarkEnd w:id="489"/>
    <w:p>
      <w:pPr>
        <w:pStyle w:val="4"/>
        <w:spacing w:before="0" w:line="240" w:lineRule="auto"/>
        <w:rPr>
          <w:rFonts w:ascii="微软雅黑" w:hAnsi="微软雅黑" w:eastAsia="微软雅黑" w:cs="微软雅黑"/>
          <w:b/>
          <w:bCs/>
          <w:kern w:val="2"/>
          <w:sz w:val="24"/>
          <w:szCs w:val="24"/>
        </w:rPr>
      </w:pPr>
      <w:bookmarkStart w:id="490" w:name="_Toc7965"/>
      <w:bookmarkStart w:id="491" w:name="_Toc14878"/>
      <w:bookmarkStart w:id="492" w:name="_Toc29782"/>
      <w:bookmarkStart w:id="493" w:name="_Toc28566"/>
      <w:bookmarkStart w:id="494" w:name="_Toc24526"/>
      <w:bookmarkStart w:id="495" w:name="_Toc22640"/>
      <w:bookmarkStart w:id="496" w:name="_Toc1896"/>
      <w:bookmarkStart w:id="497" w:name="_Toc26883"/>
      <w:r>
        <w:rPr>
          <w:rFonts w:hint="eastAsia" w:ascii="微软雅黑" w:hAnsi="微软雅黑" w:eastAsia="微软雅黑" w:cs="微软雅黑"/>
          <w:b/>
          <w:bCs/>
          <w:kern w:val="2"/>
          <w:sz w:val="24"/>
          <w:szCs w:val="24"/>
        </w:rPr>
        <w:t>5、商务条款偏离表</w:t>
      </w:r>
      <w:bookmarkEnd w:id="490"/>
      <w:bookmarkEnd w:id="491"/>
      <w:bookmarkEnd w:id="492"/>
      <w:bookmarkEnd w:id="493"/>
      <w:bookmarkEnd w:id="494"/>
      <w:bookmarkEnd w:id="495"/>
      <w:bookmarkEnd w:id="496"/>
      <w:bookmarkEnd w:id="497"/>
    </w:p>
    <w:p>
      <w:pPr>
        <w:pStyle w:val="15"/>
        <w:ind w:left="1080" w:leftChars="257" w:hanging="540"/>
        <w:rPr>
          <w:rFonts w:ascii="微软雅黑" w:hAnsi="微软雅黑" w:eastAsia="微软雅黑" w:cs="微软雅黑"/>
          <w:sz w:val="24"/>
          <w:szCs w:val="24"/>
        </w:rPr>
      </w:pPr>
    </w:p>
    <w:p>
      <w:pPr>
        <w:pStyle w:val="15"/>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项目名称:                      项目编号:             包号:</w:t>
      </w:r>
    </w:p>
    <w:p>
      <w:pPr>
        <w:pStyle w:val="15"/>
        <w:ind w:left="1080" w:leftChars="257" w:hanging="540"/>
        <w:rPr>
          <w:rFonts w:ascii="微软雅黑" w:hAnsi="微软雅黑" w:eastAsia="微软雅黑" w:cs="微软雅黑"/>
          <w:sz w:val="24"/>
          <w:szCs w:val="24"/>
        </w:rPr>
      </w:pPr>
    </w:p>
    <w:tbl>
      <w:tblPr>
        <w:tblStyle w:val="28"/>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26"/>
        <w:gridCol w:w="2380"/>
        <w:gridCol w:w="238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926" w:type="dxa"/>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招标文件条款号</w:t>
            </w:r>
          </w:p>
        </w:tc>
        <w:tc>
          <w:tcPr>
            <w:tcW w:w="2380" w:type="dxa"/>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招标文件的商务条款</w:t>
            </w:r>
          </w:p>
        </w:tc>
        <w:tc>
          <w:tcPr>
            <w:tcW w:w="2380" w:type="dxa"/>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投标文件的商务条款</w:t>
            </w:r>
          </w:p>
        </w:tc>
        <w:tc>
          <w:tcPr>
            <w:tcW w:w="957" w:type="dxa"/>
          </w:tcPr>
          <w:p>
            <w:pPr>
              <w:pStyle w:val="15"/>
              <w:jc w:val="center"/>
              <w:rPr>
                <w:rFonts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jc w:val="center"/>
              <w:rPr>
                <w:rFonts w:ascii="微软雅黑" w:hAnsi="微软雅黑" w:eastAsia="微软雅黑" w:cs="微软雅黑"/>
                <w:sz w:val="24"/>
                <w:szCs w:val="24"/>
              </w:rPr>
            </w:pPr>
          </w:p>
        </w:tc>
        <w:tc>
          <w:tcPr>
            <w:tcW w:w="2380" w:type="dxa"/>
          </w:tcPr>
          <w:p>
            <w:pPr>
              <w:pStyle w:val="15"/>
              <w:ind w:left="1080" w:leftChars="257" w:hanging="540"/>
              <w:jc w:val="center"/>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95" w:type="dxa"/>
          </w:tcPr>
          <w:p>
            <w:pPr>
              <w:pStyle w:val="15"/>
              <w:ind w:left="1080" w:leftChars="257" w:hanging="540"/>
              <w:rPr>
                <w:rFonts w:ascii="微软雅黑" w:hAnsi="微软雅黑" w:eastAsia="微软雅黑" w:cs="微软雅黑"/>
                <w:sz w:val="24"/>
                <w:szCs w:val="24"/>
              </w:rPr>
            </w:pPr>
          </w:p>
        </w:tc>
        <w:tc>
          <w:tcPr>
            <w:tcW w:w="1926"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2380" w:type="dxa"/>
          </w:tcPr>
          <w:p>
            <w:pPr>
              <w:pStyle w:val="15"/>
              <w:ind w:left="1080" w:leftChars="257" w:hanging="540"/>
              <w:rPr>
                <w:rFonts w:ascii="微软雅黑" w:hAnsi="微软雅黑" w:eastAsia="微软雅黑" w:cs="微软雅黑"/>
                <w:sz w:val="24"/>
                <w:szCs w:val="24"/>
              </w:rPr>
            </w:pPr>
          </w:p>
        </w:tc>
        <w:tc>
          <w:tcPr>
            <w:tcW w:w="957" w:type="dxa"/>
          </w:tcPr>
          <w:p>
            <w:pPr>
              <w:pStyle w:val="15"/>
              <w:ind w:left="1080" w:leftChars="257" w:hanging="540"/>
              <w:rPr>
                <w:rFonts w:ascii="微软雅黑" w:hAnsi="微软雅黑" w:eastAsia="微软雅黑" w:cs="微软雅黑"/>
                <w:sz w:val="24"/>
                <w:szCs w:val="24"/>
              </w:rPr>
            </w:pPr>
          </w:p>
        </w:tc>
      </w:tr>
    </w:tbl>
    <w:p>
      <w:pPr>
        <w:pStyle w:val="15"/>
        <w:ind w:left="1080" w:leftChars="257" w:hanging="540"/>
        <w:rPr>
          <w:rFonts w:ascii="微软雅黑" w:hAnsi="微软雅黑" w:eastAsia="微软雅黑" w:cs="微软雅黑"/>
          <w:sz w:val="24"/>
          <w:szCs w:val="24"/>
        </w:rPr>
      </w:pPr>
    </w:p>
    <w:p>
      <w:pPr>
        <w:pStyle w:val="15"/>
        <w:ind w:left="1080" w:leftChars="257" w:hanging="540"/>
        <w:rPr>
          <w:rFonts w:ascii="微软雅黑" w:hAnsi="微软雅黑" w:eastAsia="微软雅黑" w:cs="微软雅黑"/>
          <w:sz w:val="24"/>
          <w:szCs w:val="24"/>
        </w:rPr>
      </w:pPr>
    </w:p>
    <w:p>
      <w:pPr>
        <w:pStyle w:val="15"/>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法定代表人或其委托代理人（签字或盖章）:</w:t>
      </w:r>
    </w:p>
    <w:p>
      <w:pPr>
        <w:pStyle w:val="15"/>
        <w:tabs>
          <w:tab w:val="left" w:pos="5370"/>
        </w:tabs>
        <w:ind w:left="1080" w:leftChars="257" w:hanging="540"/>
        <w:rPr>
          <w:rFonts w:ascii="微软雅黑" w:hAnsi="微软雅黑" w:eastAsia="微软雅黑" w:cs="微软雅黑"/>
          <w:sz w:val="24"/>
          <w:szCs w:val="24"/>
          <w:u w:val="single"/>
        </w:rPr>
      </w:pPr>
      <w:r>
        <w:rPr>
          <w:rFonts w:hint="eastAsia" w:ascii="微软雅黑" w:hAnsi="微软雅黑" w:eastAsia="微软雅黑" w:cs="微软雅黑"/>
          <w:sz w:val="24"/>
          <w:szCs w:val="24"/>
        </w:rPr>
        <w:t>供应商(公章):</w:t>
      </w:r>
    </w:p>
    <w:p>
      <w:pPr>
        <w:pStyle w:val="15"/>
        <w:ind w:left="1080" w:leftChars="257" w:hanging="540"/>
        <w:rPr>
          <w:rFonts w:ascii="微软雅黑" w:hAnsi="微软雅黑" w:eastAsia="微软雅黑" w:cs="微软雅黑"/>
        </w:rPr>
      </w:pPr>
      <w:r>
        <w:rPr>
          <w:rFonts w:hint="eastAsia" w:ascii="微软雅黑" w:hAnsi="微软雅黑" w:eastAsia="微软雅黑" w:cs="微软雅黑"/>
          <w:u w:val="single"/>
        </w:rPr>
        <w:br w:type="page"/>
      </w:r>
    </w:p>
    <w:p>
      <w:pPr>
        <w:pStyle w:val="4"/>
        <w:spacing w:before="0" w:line="240" w:lineRule="auto"/>
        <w:rPr>
          <w:rFonts w:ascii="微软雅黑" w:hAnsi="微软雅黑" w:eastAsia="微软雅黑" w:cs="微软雅黑"/>
          <w:b/>
          <w:bCs/>
          <w:sz w:val="22"/>
          <w:szCs w:val="22"/>
        </w:rPr>
      </w:pPr>
      <w:bookmarkStart w:id="498" w:name="_Hlt520274065"/>
      <w:bookmarkEnd w:id="498"/>
      <w:bookmarkStart w:id="499" w:name="_Hlt520274911"/>
      <w:bookmarkEnd w:id="499"/>
      <w:bookmarkStart w:id="500" w:name="_Hlt520343392"/>
      <w:bookmarkEnd w:id="500"/>
      <w:bookmarkStart w:id="501" w:name="_Hlt520343000"/>
      <w:bookmarkEnd w:id="501"/>
      <w:bookmarkStart w:id="502" w:name="_Hlt520273973"/>
      <w:bookmarkEnd w:id="502"/>
      <w:bookmarkStart w:id="503" w:name="_Hlt520350957"/>
      <w:bookmarkEnd w:id="503"/>
      <w:bookmarkStart w:id="504" w:name="_Hlt520274407"/>
      <w:bookmarkEnd w:id="504"/>
      <w:bookmarkStart w:id="505" w:name="_Hlt520271212"/>
      <w:bookmarkEnd w:id="505"/>
      <w:bookmarkStart w:id="506" w:name="_Hlt520350918"/>
      <w:bookmarkEnd w:id="506"/>
      <w:bookmarkStart w:id="507" w:name="_Hlt520273711"/>
      <w:bookmarkEnd w:id="507"/>
      <w:bookmarkStart w:id="508" w:name="_Hlt520274393"/>
      <w:bookmarkEnd w:id="508"/>
      <w:bookmarkStart w:id="509" w:name="_Toc21312"/>
      <w:bookmarkStart w:id="510" w:name="_Toc15213"/>
      <w:bookmarkStart w:id="511" w:name="_Toc8638"/>
      <w:bookmarkStart w:id="512" w:name="_Toc6881"/>
      <w:bookmarkStart w:id="513" w:name="_Toc13462"/>
      <w:bookmarkStart w:id="514" w:name="_Toc10079"/>
      <w:bookmarkStart w:id="515" w:name="_Toc18923"/>
      <w:bookmarkStart w:id="516" w:name="_Toc21482"/>
      <w:bookmarkStart w:id="517" w:name="_Toc4073"/>
      <w:bookmarkStart w:id="518" w:name="_Toc3844"/>
      <w:bookmarkStart w:id="519" w:name="_Toc16929"/>
      <w:bookmarkStart w:id="520" w:name="_Toc17820"/>
      <w:bookmarkStart w:id="521" w:name="_Toc10725"/>
      <w:bookmarkStart w:id="522" w:name="_Toc515647823"/>
      <w:bookmarkStart w:id="523" w:name="_Toc22397"/>
      <w:r>
        <w:rPr>
          <w:rFonts w:hint="eastAsia" w:ascii="微软雅黑" w:hAnsi="微软雅黑" w:eastAsia="微软雅黑" w:cs="微软雅黑"/>
          <w:b/>
          <w:bCs/>
          <w:kern w:val="2"/>
          <w:sz w:val="22"/>
          <w:szCs w:val="22"/>
        </w:rPr>
        <w:t xml:space="preserve">6-1  </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hint="eastAsia" w:ascii="微软雅黑" w:hAnsi="微软雅黑" w:eastAsia="微软雅黑" w:cs="微软雅黑"/>
          <w:b/>
          <w:bCs/>
          <w:sz w:val="22"/>
          <w:szCs w:val="22"/>
        </w:rPr>
        <w:t>中小企业声明函</w:t>
      </w:r>
      <w:bookmarkEnd w:id="523"/>
    </w:p>
    <w:p>
      <w:pPr>
        <w:ind w:left="1080" w:leftChars="257" w:hanging="540"/>
        <w:jc w:val="center"/>
        <w:rPr>
          <w:rFonts w:ascii="微软雅黑" w:hAnsi="微软雅黑" w:eastAsia="微软雅黑" w:cs="微软雅黑"/>
          <w:b/>
          <w:bCs/>
          <w:kern w:val="0"/>
          <w:sz w:val="22"/>
          <w:szCs w:val="22"/>
        </w:rPr>
      </w:pPr>
    </w:p>
    <w:p>
      <w:pPr>
        <w:widowControl/>
        <w:spacing w:before="100" w:beforeAutospacing="1" w:after="100" w:afterAutospacing="1"/>
        <w:rPr>
          <w:rFonts w:ascii="微软雅黑" w:hAnsi="微软雅黑" w:eastAsia="微软雅黑" w:cs="微软雅黑"/>
        </w:rPr>
      </w:pPr>
      <w:r>
        <w:rPr>
          <w:rFonts w:hint="eastAsia" w:ascii="微软雅黑" w:hAnsi="微软雅黑" w:eastAsia="微软雅黑" w:cs="微软雅黑"/>
        </w:rPr>
        <w:t>本公司（联合体）郑重声明，根据《政府采购促进中小企业发展管理办法》（财库﹝2020﹞46 号）的规定，本公司（联合体）参加（单位名称）的（项目名称）采购活动，提     供的货物全部由符合政策要求的中小企业制造。相关企业（含联合体中的中小企业、签订分包意向协议的中小企业） 的具体情况如下：</w:t>
      </w:r>
    </w:p>
    <w:p>
      <w:pPr>
        <w:widowControl/>
        <w:spacing w:before="100" w:beforeAutospacing="1" w:after="100" w:afterAutospacing="1"/>
        <w:rPr>
          <w:rFonts w:ascii="微软雅黑" w:hAnsi="微软雅黑" w:eastAsia="微软雅黑" w:cs="微软雅黑"/>
        </w:rPr>
      </w:pPr>
      <w:r>
        <w:rPr>
          <w:rFonts w:hint="eastAsia" w:ascii="微软雅黑" w:hAnsi="微软雅黑" w:eastAsia="微软雅黑" w:cs="微软雅黑"/>
        </w:rPr>
        <w:t xml:space="preserve"> 1、（ 标 的 名 称 ） ， 属 于 （ 采 购 文 件 中 明 确 的 所 属 行 业 ） 行业；制造商为（企业名称），从业人员 </w:t>
      </w:r>
      <w:r>
        <w:rPr>
          <w:rFonts w:hint="eastAsia" w:ascii="微软雅黑" w:hAnsi="微软雅黑" w:eastAsia="微软雅黑" w:cs="微软雅黑"/>
        </w:rPr>
        <w:tab/>
      </w:r>
      <w:r>
        <w:rPr>
          <w:rFonts w:hint="eastAsia" w:ascii="微软雅黑" w:hAnsi="微软雅黑" w:eastAsia="微软雅黑" w:cs="微软雅黑"/>
        </w:rPr>
        <w:t xml:space="preserve">人，营业收入为 </w:t>
      </w:r>
      <w:r>
        <w:rPr>
          <w:rFonts w:hint="eastAsia" w:ascii="微软雅黑" w:hAnsi="微软雅黑" w:eastAsia="微软雅黑" w:cs="微软雅黑"/>
        </w:rPr>
        <w:tab/>
      </w:r>
      <w:r>
        <w:rPr>
          <w:rFonts w:hint="eastAsia" w:ascii="微软雅黑" w:hAnsi="微软雅黑" w:eastAsia="微软雅黑" w:cs="微软雅黑"/>
        </w:rPr>
        <w:t xml:space="preserve">万元，资产总额为 </w:t>
      </w:r>
      <w:r>
        <w:rPr>
          <w:rFonts w:hint="eastAsia" w:ascii="微软雅黑" w:hAnsi="微软雅黑" w:eastAsia="微软雅黑" w:cs="微软雅黑"/>
        </w:rPr>
        <w:tab/>
      </w:r>
      <w:r>
        <w:rPr>
          <w:rFonts w:hint="eastAsia" w:ascii="微软雅黑" w:hAnsi="微软雅黑" w:eastAsia="微软雅黑" w:cs="微软雅黑"/>
        </w:rPr>
        <w:t>万元</w:t>
      </w:r>
      <w:r>
        <w:fldChar w:fldCharType="begin"/>
      </w:r>
      <w:r>
        <w:instrText xml:space="preserve"> HYPERLINK \l "_bookmark0" </w:instrText>
      </w:r>
      <w: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r>
        <w:rPr>
          <w:rFonts w:hint="eastAsia" w:ascii="微软雅黑" w:hAnsi="微软雅黑" w:eastAsia="微软雅黑" w:cs="微软雅黑"/>
        </w:rPr>
        <w:t>，属于（中型企业、小型企业、微型企业）；</w:t>
      </w:r>
    </w:p>
    <w:p>
      <w:pPr>
        <w:widowControl/>
        <w:spacing w:before="100" w:beforeAutospacing="1" w:after="100" w:afterAutospacing="1"/>
        <w:rPr>
          <w:rFonts w:ascii="微软雅黑" w:hAnsi="微软雅黑" w:eastAsia="微软雅黑" w:cs="微软雅黑"/>
        </w:rPr>
      </w:pPr>
      <w:r>
        <w:rPr>
          <w:rFonts w:hint="eastAsia" w:ascii="微软雅黑" w:hAnsi="微软雅黑" w:eastAsia="微软雅黑" w:cs="微软雅黑"/>
        </w:rPr>
        <w:t xml:space="preserve">2、（ 标 的 名 称 ） ， 属 于 （ 采 购 文 件 中 明 确 的 所 属 行 业 ） 行业；制造商为（企业名称），从业人员 </w:t>
      </w:r>
      <w:r>
        <w:rPr>
          <w:rFonts w:hint="eastAsia" w:ascii="微软雅黑" w:hAnsi="微软雅黑" w:eastAsia="微软雅黑" w:cs="微软雅黑"/>
        </w:rPr>
        <w:tab/>
      </w:r>
      <w:r>
        <w:rPr>
          <w:rFonts w:hint="eastAsia" w:ascii="微软雅黑" w:hAnsi="微软雅黑" w:eastAsia="微软雅黑" w:cs="微软雅黑"/>
        </w:rPr>
        <w:t xml:space="preserve">人，营业收入为 </w:t>
      </w:r>
      <w:r>
        <w:rPr>
          <w:rFonts w:hint="eastAsia" w:ascii="微软雅黑" w:hAnsi="微软雅黑" w:eastAsia="微软雅黑" w:cs="微软雅黑"/>
        </w:rPr>
        <w:tab/>
      </w:r>
      <w:r>
        <w:rPr>
          <w:rFonts w:hint="eastAsia" w:ascii="微软雅黑" w:hAnsi="微软雅黑" w:eastAsia="微软雅黑" w:cs="微软雅黑"/>
        </w:rPr>
        <w:t xml:space="preserve">万元，资产总额为 </w:t>
      </w:r>
      <w:r>
        <w:rPr>
          <w:rFonts w:hint="eastAsia" w:ascii="微软雅黑" w:hAnsi="微软雅黑" w:eastAsia="微软雅黑" w:cs="微软雅黑"/>
        </w:rPr>
        <w:tab/>
      </w:r>
      <w:r>
        <w:rPr>
          <w:rFonts w:hint="eastAsia" w:ascii="微软雅黑" w:hAnsi="微软雅黑" w:eastAsia="微软雅黑" w:cs="微软雅黑"/>
        </w:rPr>
        <w:t>万元，属于（中型企业、小型企业、微型企业）；</w:t>
      </w:r>
    </w:p>
    <w:p>
      <w:pPr>
        <w:widowControl/>
        <w:spacing w:before="100" w:beforeAutospacing="1" w:after="100" w:afterAutospacing="1"/>
        <w:rPr>
          <w:rFonts w:ascii="微软雅黑" w:hAnsi="微软雅黑" w:eastAsia="微软雅黑" w:cs="微软雅黑"/>
        </w:rPr>
      </w:pPr>
      <w:r>
        <w:rPr>
          <w:rFonts w:hint="eastAsia" w:ascii="微软雅黑" w:hAnsi="微软雅黑" w:eastAsia="微软雅黑" w:cs="微软雅黑"/>
        </w:rPr>
        <w:t>……</w:t>
      </w:r>
    </w:p>
    <w:p>
      <w:pPr>
        <w:widowControl/>
        <w:spacing w:before="100" w:beforeAutospacing="1" w:after="100" w:afterAutospacing="1"/>
        <w:rPr>
          <w:rFonts w:ascii="微软雅黑" w:hAnsi="微软雅黑" w:eastAsia="微软雅黑" w:cs="微软雅黑"/>
        </w:rPr>
      </w:pPr>
      <w:r>
        <w:rPr>
          <w:rFonts w:hint="eastAsia" w:ascii="微软雅黑" w:hAnsi="微软雅黑" w:eastAsia="微软雅黑" w:cs="微软雅黑"/>
        </w:rPr>
        <w:t>以上企业，不属于大企业的分支机构，不存在控股股东为大企业的情形，也不存在与大企业的负责人为同一人的情形。</w:t>
      </w:r>
    </w:p>
    <w:p>
      <w:pPr>
        <w:widowControl/>
        <w:spacing w:before="100" w:beforeAutospacing="1" w:after="100" w:afterAutospacing="1"/>
        <w:rPr>
          <w:rFonts w:ascii="微软雅黑" w:hAnsi="微软雅黑" w:eastAsia="微软雅黑" w:cs="微软雅黑"/>
        </w:rPr>
      </w:pPr>
      <w:r>
        <w:rPr>
          <w:rFonts w:hint="eastAsia" w:ascii="微软雅黑" w:hAnsi="微软雅黑" w:eastAsia="微软雅黑" w:cs="微软雅黑"/>
        </w:rPr>
        <w:t>本企业对上述声明内容的真实性负责。如有虚假，将依法承担相应责任。</w:t>
      </w:r>
    </w:p>
    <w:p>
      <w:pPr>
        <w:widowControl/>
        <w:spacing w:before="100" w:beforeAutospacing="1" w:after="100" w:afterAutospacing="1"/>
        <w:rPr>
          <w:rFonts w:ascii="微软雅黑" w:hAnsi="微软雅黑" w:eastAsia="微软雅黑" w:cs="微软雅黑"/>
        </w:rPr>
      </w:pPr>
      <w:r>
        <w:rPr>
          <w:rFonts w:hint="eastAsia" w:ascii="微软雅黑" w:hAnsi="微软雅黑" w:eastAsia="微软雅黑" w:cs="微软雅黑"/>
        </w:rPr>
        <w:t>企业名称（盖章）：日期：</w:t>
      </w:r>
    </w:p>
    <w:p>
      <w:pPr>
        <w:rPr>
          <w:rFonts w:ascii="微软雅黑" w:hAnsi="微软雅黑" w:eastAsia="微软雅黑" w:cs="微软雅黑"/>
        </w:rPr>
      </w:pPr>
      <w:r>
        <w:rPr>
          <w:rFonts w:hint="eastAsia" w:ascii="微软雅黑" w:hAnsi="微软雅黑" w:eastAsia="微软雅黑" w:cs="微软雅黑"/>
          <w:b/>
          <w:bCs/>
          <w:kern w:val="0"/>
        </w:rPr>
        <w:t>注：1、须附从业人员、营业收入、资产总额填报上一年度数据，无上一年度数据的新成立企业可不填报。</w:t>
      </w:r>
    </w:p>
    <w:p>
      <w:pPr>
        <w:numPr>
          <w:ilvl w:val="0"/>
          <w:numId w:val="8"/>
        </w:numPr>
        <w:rPr>
          <w:rFonts w:ascii="微软雅黑" w:hAnsi="微软雅黑" w:eastAsia="微软雅黑" w:cs="微软雅黑"/>
          <w:b/>
          <w:bCs/>
          <w:kern w:val="0"/>
        </w:rPr>
      </w:pPr>
      <w:r>
        <w:rPr>
          <w:rFonts w:hint="eastAsia" w:ascii="微软雅黑" w:hAnsi="微软雅黑" w:eastAsia="微软雅黑" w:cs="微软雅黑"/>
          <w:b/>
          <w:bCs/>
          <w:kern w:val="0"/>
        </w:rPr>
        <w:t>潜在投标企业属于中小微企业的，应在投标文件中提供‘’中小企业声明函”如果未提供或提供“中小企业声明函”内容不实的，供应商将承担由此造成的一切不利后果。</w:t>
      </w:r>
    </w:p>
    <w:p>
      <w:pPr>
        <w:spacing w:line="240" w:lineRule="atLeast"/>
        <w:ind w:firstLine="220" w:firstLineChars="100"/>
        <w:rPr>
          <w:rFonts w:ascii="微软雅黑" w:hAnsi="微软雅黑" w:eastAsia="微软雅黑" w:cs="微软雅黑"/>
          <w:b/>
          <w:bCs/>
          <w:kern w:val="0"/>
          <w:sz w:val="22"/>
          <w:szCs w:val="22"/>
        </w:rPr>
      </w:pPr>
      <w:r>
        <w:rPr>
          <w:rFonts w:hint="eastAsia" w:ascii="微软雅黑" w:hAnsi="微软雅黑" w:eastAsia="微软雅黑" w:cs="微软雅黑"/>
          <w:b/>
          <w:bCs/>
          <w:kern w:val="0"/>
          <w:sz w:val="22"/>
          <w:szCs w:val="22"/>
        </w:rPr>
        <w:t>3、本项目所属行业：批发业</w:t>
      </w:r>
    </w:p>
    <w:p>
      <w:pPr>
        <w:ind w:left="315"/>
        <w:rPr>
          <w:rFonts w:ascii="微软雅黑" w:hAnsi="微软雅黑" w:eastAsia="微软雅黑" w:cs="微软雅黑"/>
          <w:b/>
          <w:bCs/>
          <w:kern w:val="0"/>
        </w:rPr>
      </w:pPr>
    </w:p>
    <w:p>
      <w:pPr>
        <w:ind w:left="315"/>
        <w:rPr>
          <w:rFonts w:ascii="微软雅黑" w:hAnsi="微软雅黑" w:eastAsia="微软雅黑" w:cs="微软雅黑"/>
          <w:b/>
          <w:bCs/>
          <w:kern w:val="0"/>
        </w:rPr>
      </w:pPr>
    </w:p>
    <w:p>
      <w:pPr>
        <w:pStyle w:val="5"/>
        <w:rPr>
          <w:rFonts w:ascii="微软雅黑" w:hAnsi="微软雅黑" w:eastAsia="微软雅黑" w:cs="微软雅黑"/>
          <w:b/>
          <w:bCs/>
          <w:szCs w:val="21"/>
        </w:rPr>
      </w:pPr>
    </w:p>
    <w:p>
      <w:pPr>
        <w:pStyle w:val="9"/>
        <w:rPr>
          <w:rFonts w:ascii="微软雅黑" w:hAnsi="微软雅黑" w:eastAsia="微软雅黑" w:cs="微软雅黑"/>
          <w:b/>
          <w:bCs/>
          <w:kern w:val="0"/>
          <w:szCs w:val="21"/>
        </w:rPr>
      </w:pPr>
    </w:p>
    <w:p>
      <w:pPr>
        <w:rPr>
          <w:rFonts w:ascii="微软雅黑" w:hAnsi="微软雅黑" w:eastAsia="微软雅黑" w:cs="微软雅黑"/>
          <w:b/>
          <w:bCs/>
          <w:kern w:val="0"/>
        </w:rPr>
      </w:pPr>
    </w:p>
    <w:p>
      <w:pPr>
        <w:pStyle w:val="5"/>
        <w:rPr>
          <w:rFonts w:ascii="微软雅黑" w:hAnsi="微软雅黑" w:eastAsia="微软雅黑" w:cs="微软雅黑"/>
          <w:b/>
          <w:bCs/>
          <w:szCs w:val="21"/>
        </w:rPr>
      </w:pPr>
    </w:p>
    <w:p>
      <w:pPr>
        <w:pStyle w:val="9"/>
        <w:rPr>
          <w:rFonts w:ascii="微软雅黑" w:hAnsi="微软雅黑" w:eastAsia="微软雅黑" w:cs="微软雅黑"/>
          <w:b/>
          <w:bCs/>
          <w:kern w:val="0"/>
          <w:szCs w:val="21"/>
        </w:rPr>
      </w:pPr>
    </w:p>
    <w:p>
      <w:pPr>
        <w:rPr>
          <w:rFonts w:ascii="微软雅黑" w:hAnsi="微软雅黑" w:eastAsia="微软雅黑" w:cs="微软雅黑"/>
          <w:b/>
          <w:bCs/>
          <w:kern w:val="0"/>
        </w:rPr>
      </w:pPr>
    </w:p>
    <w:p>
      <w:pPr>
        <w:pStyle w:val="5"/>
        <w:rPr>
          <w:rFonts w:ascii="微软雅黑" w:hAnsi="微软雅黑" w:eastAsia="微软雅黑" w:cs="微软雅黑"/>
          <w:b/>
          <w:bCs/>
          <w:szCs w:val="21"/>
        </w:rPr>
      </w:pPr>
    </w:p>
    <w:p>
      <w:pPr>
        <w:pStyle w:val="9"/>
      </w:pPr>
    </w:p>
    <w:p>
      <w:pPr>
        <w:ind w:left="315"/>
        <w:rPr>
          <w:rFonts w:ascii="微软雅黑" w:hAnsi="微软雅黑" w:eastAsia="微软雅黑" w:cs="微软雅黑"/>
          <w:b/>
          <w:bCs/>
          <w:kern w:val="0"/>
        </w:rPr>
      </w:pPr>
    </w:p>
    <w:p>
      <w:pPr>
        <w:ind w:left="315"/>
        <w:rPr>
          <w:rFonts w:ascii="微软雅黑" w:hAnsi="微软雅黑" w:eastAsia="微软雅黑" w:cs="微软雅黑"/>
          <w:b/>
          <w:bCs/>
          <w:kern w:val="0"/>
        </w:rPr>
      </w:pPr>
    </w:p>
    <w:p>
      <w:pPr>
        <w:spacing w:line="400" w:lineRule="exact"/>
        <w:jc w:val="left"/>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附：</w:t>
      </w:r>
    </w:p>
    <w:p>
      <w:pPr>
        <w:widowControl/>
        <w:spacing w:before="100" w:beforeAutospacing="1" w:after="100" w:afterAutospacing="1" w:line="400" w:lineRule="exact"/>
        <w:ind w:left="420" w:leftChars="200"/>
        <w:jc w:val="center"/>
        <w:rPr>
          <w:rFonts w:ascii="微软雅黑" w:hAnsi="微软雅黑" w:eastAsia="微软雅黑" w:cs="微软雅黑"/>
          <w:b/>
          <w:bCs/>
        </w:rPr>
      </w:pPr>
      <w:bookmarkStart w:id="524" w:name="bookmark0"/>
      <w:bookmarkStart w:id="525" w:name="bookmark1"/>
      <w:r>
        <w:rPr>
          <w:rFonts w:hint="eastAsia" w:ascii="微软雅黑" w:hAnsi="微软雅黑" w:eastAsia="微软雅黑" w:cs="微软雅黑"/>
          <w:b/>
          <w:bCs/>
        </w:rPr>
        <w:t>中小企业划分标准</w:t>
      </w:r>
      <w:bookmarkEnd w:id="524"/>
      <w:bookmarkEnd w:id="525"/>
    </w:p>
    <w:p>
      <w:pPr>
        <w:spacing w:line="420" w:lineRule="exact"/>
        <w:ind w:firstLine="480" w:firstLineChars="200"/>
        <w:jc w:val="left"/>
        <w:rPr>
          <w:rFonts w:ascii="微软雅黑" w:hAnsi="微软雅黑" w:eastAsia="微软雅黑" w:cs="微软雅黑"/>
          <w:b/>
          <w:bCs/>
          <w:kern w:val="0"/>
          <w:sz w:val="24"/>
          <w:szCs w:val="24"/>
        </w:rPr>
      </w:pPr>
      <w:bookmarkStart w:id="526" w:name="bookmark4"/>
      <w:bookmarkStart w:id="527" w:name="bookmark5"/>
      <w:r>
        <w:rPr>
          <w:rFonts w:hint="eastAsia" w:ascii="微软雅黑" w:hAnsi="微软雅黑" w:eastAsia="微软雅黑" w:cs="微软雅黑"/>
          <w:kern w:val="0"/>
          <w:sz w:val="24"/>
          <w:szCs w:val="24"/>
        </w:rPr>
        <w:t>工业和信息化部、国家统计局、发展改革委、财政部等四部门《关于印发中 小企业划型标准规定的通知》（工信部联企业〔2011〕300号）规定中小企业划型标准如表所示：</w:t>
      </w:r>
      <w:bookmarkEnd w:id="526"/>
      <w:bookmarkEnd w:id="527"/>
    </w:p>
    <w:tbl>
      <w:tblPr>
        <w:tblStyle w:val="28"/>
        <w:tblW w:w="9793" w:type="dxa"/>
        <w:jc w:val="center"/>
        <w:tblLayout w:type="autofit"/>
        <w:tblCellMar>
          <w:top w:w="0" w:type="dxa"/>
          <w:left w:w="108" w:type="dxa"/>
          <w:bottom w:w="0" w:type="dxa"/>
          <w:right w:w="108" w:type="dxa"/>
        </w:tblCellMar>
      </w:tblPr>
      <w:tblGrid>
        <w:gridCol w:w="2391"/>
        <w:gridCol w:w="849"/>
        <w:gridCol w:w="6553"/>
      </w:tblGrid>
      <w:tr>
        <w:tblPrEx>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营业收入20000万元以下的为中小微型企业。</w:t>
            </w:r>
          </w:p>
        </w:tc>
      </w:tr>
      <w:tr>
        <w:tblPrEx>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500万元-20000万元</w:t>
            </w:r>
          </w:p>
        </w:tc>
      </w:tr>
      <w:tr>
        <w:tblPrEx>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50万元-500万元</w:t>
            </w:r>
          </w:p>
        </w:tc>
      </w:tr>
      <w:tr>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50万元以下</w:t>
            </w:r>
          </w:p>
        </w:tc>
      </w:tr>
      <w:tr>
        <w:tblPrEx>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工业</w:t>
            </w:r>
            <w:r>
              <w:rPr>
                <w:rFonts w:hint="eastAsia" w:ascii="微软雅黑" w:hAnsi="微软雅黑" w:eastAsia="微软雅黑" w:cs="微软雅黑"/>
                <w:kern w:val="0"/>
                <w:lang w:bidi="ar"/>
              </w:rPr>
              <w:br w:type="textWrapping"/>
            </w:r>
            <w:r>
              <w:rPr>
                <w:rFonts w:hint="eastAsia" w:ascii="微软雅黑" w:hAnsi="微软雅黑" w:eastAsia="微软雅黑" w:cs="微软雅黑"/>
                <w:kern w:val="0"/>
                <w:lang w:bidi="ar"/>
              </w:rPr>
              <w:t>（包括采矿业，制造 业，电力、热力、燃 气及水生产和供应</w:t>
            </w:r>
            <w:r>
              <w:rPr>
                <w:rFonts w:hint="eastAsia" w:ascii="微软雅黑" w:hAnsi="微软雅黑" w:eastAsia="微软雅黑" w:cs="微软雅黑"/>
                <w:kern w:val="0"/>
                <w:lang w:bidi="ar"/>
              </w:rPr>
              <w:br w:type="textWrapping"/>
            </w:r>
            <w:r>
              <w:rPr>
                <w:rFonts w:hint="eastAsia" w:ascii="微软雅黑" w:hAnsi="微软雅黑" w:eastAsia="微软雅黑" w:cs="微软雅黑"/>
                <w:kern w:val="0"/>
                <w:lang w:bidi="ar"/>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从业人员1000人以下或营业收入 40000万元以下的为中小微型企业。</w:t>
            </w:r>
          </w:p>
        </w:tc>
      </w:tr>
      <w:tr>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 300人一1000人，且营业收入 2000万元一40000万元</w:t>
            </w:r>
          </w:p>
        </w:tc>
      </w:tr>
      <w:tr>
        <w:tblPrEx>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从业人员20人一300人，且营业收入 300万元一2000万元</w:t>
            </w:r>
          </w:p>
        </w:tc>
      </w:tr>
      <w:tr>
        <w:tblPrEx>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从业人员20人以下或营业收入 300万元以下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营业收入80000万元以下或资产总额 80000万元以下的为中小微型企业。</w:t>
            </w:r>
          </w:p>
        </w:tc>
      </w:tr>
      <w:tr>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营业收入6000万元一80000万元，且资产总额 5000万元一80000万元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营业收入 300万元一6000万元，且资产总额 300万一5000万元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营业收入300万元以下或资产总额 300万元以下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从业人员200人以下或营业收入40000万元以下的为中小微型企业。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从业人员20人一200人，且营业收入5000万元一40000万元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从业人员5人一20人，且营业收入1000万元一5000万元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从业人员5人以下或营业收入1000万元以下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从业人员300人以下或营业收入 20000万元以下的为中小微型企业。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 50人一300人，且营业收入500万元一20000万元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从业人员10人一50人，且营业收入100万元一500万元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从业人员10人以下或营业收入100万元以下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从业人员1000人以下或营业收入 30000万元以下的为中小微型企业。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 300人一1000人，且营业收入 3000万元一30000万元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从业人员20人一300人，且营业收入 200万元一3000万元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从业人员20人以下或营业收入200万元以下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从业人员200人以下或营业收入 30000万元以下的为中小微型企业。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从业人员100人一200人，且营业收入 1000万元一30000万元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从业人员20人一100人，且营业收入 100万元一1000万元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从业人员20人以下或营业收入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从业人员1000人以下或营业收入 30000万元以下的为中小微型企业。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 300人一1000人，且营业收入 2000万元一30000万元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从业人员20人一300人，且营业收入 100万元一2000万元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从业人员20人以下或营业收入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从业人员300人以下或营业收入 10000万元以下的为中小微型企业。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从业人员100人一300人，且营业收入 2000万元一10000万元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从业人员10人一100人，且营业收入 100万元一2000万元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从业人员300人以下或营业收入 10000万元以下的为中小微型企业。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 300人，且营业收入 2000万元一10000万元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从业人员10人一100人，且营业收入 100万元一2000万元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从业人员2000人以下或营业收入 100000万元以下的为中小微型企业。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从业人员100人一2000人，且营业收入 1000万元一10000万元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从业人员10人一100人，且营业收入 100万元一1000万元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从业人员300人以下或营业收入 10000万元以下的为中小微型企业。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 300人，且营业收入 1000万元一10000万元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从业人员10人一100人，且营业收入 50万元一1000万元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从业人员10人以下或营业收入 50万元以下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营业收入200000万元以下或资产总额 10000万元以下的为中小微型企业。</w:t>
            </w:r>
          </w:p>
        </w:tc>
      </w:tr>
      <w:tr>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营业收入1000万元一200000万元，且资产总额 5000万元一10000万元</w:t>
            </w:r>
          </w:p>
        </w:tc>
      </w:tr>
      <w:tr>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营业收入100万元一1000万元，且资产总额 2 000万元一5000 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营业收入100万元以下或资产总额 2000万元以下的为微型企业</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从业人员1000人以下或营业收入 5000万元以下的为中小微型企业。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 300人一1 000人，且营业收入 1000万元一5000万元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从业人员100人一300人，且营业收入 500万元一1000万元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从业人员100人以下或营业收入 500万元以下</w:t>
            </w:r>
          </w:p>
        </w:tc>
      </w:tr>
      <w:tr>
        <w:tblPrEx>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left"/>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从业人员100人一300人，且资产总额 8000万元一120000万元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left"/>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从业人员10人一100人，且资产总额 100万元一8000万元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left"/>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从业人员10人以下或资产总额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从业人员300人以下的为中小微型企业。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从业人员100— 300人</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从业人员10人一100人</w:t>
            </w:r>
          </w:p>
        </w:tc>
      </w:tr>
      <w:tr>
        <w:tblPrEx>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40" w:lineRule="exact"/>
              <w:jc w:val="center"/>
              <w:rPr>
                <w:rFonts w:ascii="微软雅黑" w:hAnsi="微软雅黑" w:eastAsia="微软雅黑" w:cs="微软雅黑"/>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center"/>
              <w:textAlignment w:val="center"/>
              <w:rPr>
                <w:rFonts w:ascii="微软雅黑" w:hAnsi="微软雅黑" w:eastAsia="微软雅黑" w:cs="微软雅黑"/>
              </w:rPr>
            </w:pPr>
            <w:r>
              <w:rPr>
                <w:rFonts w:hint="eastAsia" w:ascii="微软雅黑" w:hAnsi="微软雅黑" w:eastAsia="微软雅黑" w:cs="微软雅黑"/>
                <w:kern w:val="0"/>
                <w:lang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微软雅黑" w:hAnsi="微软雅黑" w:eastAsia="微软雅黑" w:cs="微软雅黑"/>
              </w:rPr>
            </w:pPr>
            <w:r>
              <w:rPr>
                <w:rFonts w:hint="eastAsia" w:ascii="微软雅黑" w:hAnsi="微软雅黑" w:eastAsia="微软雅黑" w:cs="微软雅黑"/>
                <w:kern w:val="0"/>
                <w:lang w:bidi="ar"/>
              </w:rPr>
              <w:t>从业人员10人以下</w:t>
            </w:r>
          </w:p>
        </w:tc>
      </w:tr>
    </w:tbl>
    <w:p>
      <w:pPr>
        <w:snapToGrid w:val="0"/>
        <w:spacing w:line="420" w:lineRule="exact"/>
        <w:contextualSpacing/>
        <w:jc w:val="left"/>
        <w:rPr>
          <w:rFonts w:ascii="微软雅黑" w:hAnsi="微软雅黑" w:eastAsia="微软雅黑" w:cs="微软雅黑"/>
          <w:b/>
          <w:sz w:val="24"/>
          <w:szCs w:val="24"/>
        </w:rPr>
      </w:pPr>
    </w:p>
    <w:p>
      <w:pPr>
        <w:snapToGrid w:val="0"/>
        <w:spacing w:line="420" w:lineRule="exact"/>
        <w:ind w:firstLine="240" w:firstLineChars="100"/>
        <w:contextualSpacing/>
        <w:jc w:val="left"/>
        <w:rPr>
          <w:rFonts w:ascii="微软雅黑" w:hAnsi="微软雅黑" w:eastAsia="微软雅黑" w:cs="微软雅黑"/>
          <w:b/>
          <w:sz w:val="24"/>
          <w:szCs w:val="24"/>
        </w:rPr>
      </w:pPr>
      <w:r>
        <w:rPr>
          <w:rFonts w:hint="eastAsia" w:ascii="微软雅黑" w:hAnsi="微软雅黑" w:eastAsia="微软雅黑" w:cs="微软雅黑"/>
          <w:b/>
          <w:sz w:val="24"/>
          <w:szCs w:val="24"/>
        </w:rPr>
        <w:t>行业包括：</w:t>
      </w:r>
      <w:r>
        <w:rPr>
          <w:rFonts w:hint="eastAsia" w:ascii="微软雅黑" w:hAnsi="微软雅黑" w:eastAsia="微软雅黑" w:cs="微软雅黑"/>
          <w:bCs/>
          <w:sz w:val="24"/>
          <w:szCs w:val="24"/>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sz w:val="24"/>
          <w:szCs w:val="24"/>
        </w:rPr>
        <w:t>。</w:t>
      </w:r>
    </w:p>
    <w:p>
      <w:pPr>
        <w:snapToGrid w:val="0"/>
        <w:spacing w:line="420" w:lineRule="exact"/>
        <w:contextualSpacing/>
        <w:jc w:val="left"/>
        <w:rPr>
          <w:rFonts w:ascii="微软雅黑" w:hAnsi="微软雅黑" w:eastAsia="微软雅黑" w:cs="微软雅黑"/>
          <w:b/>
          <w:sz w:val="24"/>
          <w:szCs w:val="24"/>
        </w:rPr>
      </w:pPr>
      <w:r>
        <w:rPr>
          <w:rFonts w:hint="eastAsia" w:ascii="微软雅黑" w:hAnsi="微软雅黑" w:eastAsia="微软雅黑" w:cs="微软雅黑"/>
          <w:b/>
          <w:sz w:val="24"/>
          <w:szCs w:val="24"/>
        </w:rPr>
        <w:t>说明：</w:t>
      </w:r>
    </w:p>
    <w:p>
      <w:pPr>
        <w:snapToGrid w:val="0"/>
        <w:spacing w:line="420" w:lineRule="exact"/>
        <w:contextualSpacing/>
        <w:jc w:val="left"/>
        <w:rPr>
          <w:rFonts w:ascii="微软雅黑" w:hAnsi="微软雅黑" w:eastAsia="微软雅黑" w:cs="微软雅黑"/>
          <w:sz w:val="24"/>
          <w:szCs w:val="24"/>
        </w:rPr>
      </w:pPr>
      <w:r>
        <w:rPr>
          <w:rFonts w:hint="eastAsia" w:ascii="微软雅黑" w:hAnsi="微软雅黑" w:eastAsia="微软雅黑" w:cs="微软雅黑"/>
          <w:sz w:val="24"/>
          <w:szCs w:val="24"/>
        </w:rPr>
        <w:t>上述标准参照《关于印发中小企业划型标准规定的通知》（工信部联企业[2011]300号），大型、中型和小型企业须同时满足所列指标的下限，否则下划一档；微型企业只需满足所列指标中的一项即可。</w:t>
      </w:r>
    </w:p>
    <w:p>
      <w:pPr>
        <w:snapToGrid w:val="0"/>
        <w:spacing w:line="420" w:lineRule="exact"/>
        <w:ind w:firstLine="480" w:firstLineChars="200"/>
        <w:contextualSpacing/>
        <w:jc w:val="left"/>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rPr>
        <w:t>本招标文件所称中小企业，是指在中华人民共和国境内依法设立，依据国务院批准的</w:t>
      </w:r>
    </w:p>
    <w:p>
      <w:pPr>
        <w:snapToGrid w:val="0"/>
        <w:spacing w:line="420" w:lineRule="exact"/>
        <w:ind w:firstLine="480" w:firstLineChars="200"/>
        <w:contextualSpacing/>
        <w:jc w:val="left"/>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snapToGrid w:val="0"/>
        <w:spacing w:line="420" w:lineRule="exact"/>
        <w:ind w:firstLine="480" w:firstLineChars="200"/>
        <w:contextualSpacing/>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（1）在货物采购项目中，货物由中小企业制造，即货物由中小企业生产且使用该中小企业商号或者注册商标，不对其中涉及的工程承建商和服务的承接商作出要求；</w:t>
      </w:r>
    </w:p>
    <w:p>
      <w:pPr>
        <w:snapToGrid w:val="0"/>
        <w:spacing w:line="420" w:lineRule="exact"/>
        <w:ind w:firstLine="480" w:firstLineChars="200"/>
        <w:contextualSpacing/>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（2）在工程采购项目中，工程由中小企业承建，即工程施工单位为中小企业，不对其中涉及的货物的制造商和服务的承接商作出要求；</w:t>
      </w:r>
    </w:p>
    <w:p>
      <w:pPr>
        <w:snapToGrid w:val="0"/>
        <w:spacing w:line="420" w:lineRule="exact"/>
        <w:ind w:firstLine="480" w:firstLineChars="200"/>
        <w:contextualSpacing/>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420" w:lineRule="exact"/>
        <w:ind w:firstLine="480" w:firstLineChars="200"/>
        <w:contextualSpacing/>
        <w:jc w:val="left"/>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snapToGrid w:val="0"/>
        <w:spacing w:line="420" w:lineRule="exact"/>
        <w:ind w:firstLine="480" w:firstLineChars="200"/>
        <w:contextualSpacing/>
        <w:jc w:val="left"/>
        <w:textAlignment w:val="center"/>
        <w:rPr>
          <w:rFonts w:ascii="微软雅黑" w:hAnsi="微软雅黑" w:eastAsia="微软雅黑" w:cs="微软雅黑"/>
          <w:sz w:val="24"/>
          <w:szCs w:val="24"/>
        </w:rPr>
      </w:pPr>
      <w:r>
        <w:rPr>
          <w:rFonts w:hint="eastAsia" w:ascii="微软雅黑" w:hAnsi="微软雅黑" w:eastAsia="微软雅黑" w:cs="微软雅黑"/>
          <w:sz w:val="24"/>
          <w:szCs w:val="24"/>
        </w:rPr>
        <w:t>依据本招标文件规定享受扶持政策获得政府采购合同的，小微企业不得将合同分包给大中型企业，中型企业不得将合同分包给大型企业。</w:t>
      </w:r>
    </w:p>
    <w:p>
      <w:pPr>
        <w:ind w:left="315"/>
        <w:rPr>
          <w:rFonts w:ascii="微软雅黑" w:hAnsi="微软雅黑" w:eastAsia="微软雅黑" w:cs="微软雅黑"/>
          <w:b/>
          <w:bCs/>
          <w:kern w:val="0"/>
        </w:rPr>
      </w:pPr>
    </w:p>
    <w:p>
      <w:pPr>
        <w:ind w:left="315"/>
        <w:rPr>
          <w:rFonts w:ascii="微软雅黑" w:hAnsi="微软雅黑" w:eastAsia="微软雅黑" w:cs="微软雅黑"/>
          <w:b/>
          <w:bCs/>
          <w:kern w:val="0"/>
        </w:rPr>
      </w:pPr>
    </w:p>
    <w:p>
      <w:pPr>
        <w:ind w:left="315"/>
        <w:rPr>
          <w:rFonts w:ascii="微软雅黑" w:hAnsi="微软雅黑" w:eastAsia="微软雅黑" w:cs="微软雅黑"/>
          <w:b/>
          <w:bCs/>
          <w:kern w:val="0"/>
        </w:rPr>
      </w:pPr>
    </w:p>
    <w:p>
      <w:pPr>
        <w:pStyle w:val="11"/>
        <w:rPr>
          <w:rFonts w:ascii="微软雅黑" w:hAnsi="微软雅黑" w:eastAsia="微软雅黑" w:cs="微软雅黑"/>
          <w:b/>
          <w:bCs/>
          <w:kern w:val="0"/>
          <w:szCs w:val="21"/>
        </w:rPr>
      </w:pPr>
    </w:p>
    <w:p/>
    <w:p>
      <w:pPr>
        <w:ind w:left="315"/>
        <w:rPr>
          <w:rFonts w:ascii="微软雅黑" w:hAnsi="微软雅黑" w:eastAsia="微软雅黑" w:cs="微软雅黑"/>
          <w:b/>
          <w:bCs/>
          <w:kern w:val="0"/>
        </w:rPr>
      </w:pPr>
    </w:p>
    <w:p>
      <w:pPr>
        <w:ind w:left="315"/>
        <w:rPr>
          <w:rFonts w:ascii="微软雅黑" w:hAnsi="微软雅黑" w:eastAsia="微软雅黑" w:cs="微软雅黑"/>
          <w:b/>
          <w:bCs/>
          <w:kern w:val="0"/>
        </w:rPr>
      </w:pPr>
    </w:p>
    <w:p>
      <w:pPr>
        <w:ind w:left="315"/>
        <w:rPr>
          <w:rFonts w:ascii="微软雅黑" w:hAnsi="微软雅黑" w:eastAsia="微软雅黑" w:cs="微软雅黑"/>
        </w:rPr>
      </w:pPr>
      <w:r>
        <w:rPr>
          <w:rFonts w:hint="eastAsia" w:ascii="微软雅黑" w:hAnsi="微软雅黑" w:eastAsia="微软雅黑" w:cs="微软雅黑"/>
          <w:b/>
          <w:bCs/>
          <w:kern w:val="0"/>
        </w:rPr>
        <w:t xml:space="preserve">    </w:t>
      </w:r>
    </w:p>
    <w:p>
      <w:pPr>
        <w:pStyle w:val="4"/>
        <w:spacing w:before="0" w:line="240" w:lineRule="auto"/>
        <w:rPr>
          <w:rFonts w:ascii="微软雅黑" w:hAnsi="微软雅黑" w:eastAsia="微软雅黑" w:cs="微软雅黑"/>
          <w:kern w:val="2"/>
          <w:sz w:val="24"/>
          <w:szCs w:val="24"/>
        </w:rPr>
      </w:pPr>
      <w:bookmarkStart w:id="528" w:name="_Toc29115"/>
      <w:bookmarkStart w:id="529" w:name="_Toc5609"/>
      <w:bookmarkStart w:id="530" w:name="_Toc7018"/>
      <w:bookmarkStart w:id="531" w:name="_Toc2709"/>
      <w:bookmarkStart w:id="532" w:name="_Toc26643"/>
      <w:bookmarkStart w:id="533" w:name="_Toc18860"/>
      <w:bookmarkStart w:id="534" w:name="_Toc752"/>
      <w:bookmarkStart w:id="535" w:name="_Toc28055"/>
      <w:bookmarkStart w:id="536" w:name="_Toc10977"/>
      <w:bookmarkStart w:id="537" w:name="_Toc515647824"/>
      <w:bookmarkStart w:id="538" w:name="_Toc12692"/>
      <w:bookmarkStart w:id="539" w:name="_Toc4543"/>
      <w:bookmarkStart w:id="540" w:name="_Toc11803"/>
      <w:bookmarkStart w:id="541" w:name="_Toc12060"/>
      <w:bookmarkStart w:id="542" w:name="_Toc31550"/>
      <w:r>
        <w:rPr>
          <w:rFonts w:hint="eastAsia" w:ascii="微软雅黑" w:hAnsi="微软雅黑" w:eastAsia="微软雅黑" w:cs="微软雅黑"/>
          <w:b/>
          <w:bCs/>
          <w:kern w:val="2"/>
          <w:sz w:val="24"/>
          <w:szCs w:val="24"/>
        </w:rPr>
        <w:t xml:space="preserve">6-2  </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Start w:id="543" w:name="_Toc732"/>
      <w:bookmarkStart w:id="544" w:name="_Toc15294"/>
      <w:bookmarkStart w:id="545" w:name="_Toc13947"/>
      <w:bookmarkStart w:id="546" w:name="_Toc4244"/>
      <w:bookmarkStart w:id="547" w:name="_Toc19284"/>
      <w:bookmarkStart w:id="548" w:name="_Toc14454"/>
      <w:bookmarkStart w:id="549" w:name="_Toc3420"/>
      <w:bookmarkStart w:id="550" w:name="_Toc30849"/>
      <w:bookmarkStart w:id="551" w:name="_Toc26931"/>
      <w:bookmarkStart w:id="552" w:name="_Toc24860"/>
      <w:bookmarkStart w:id="553" w:name="_Toc32586"/>
      <w:bookmarkStart w:id="554" w:name="_Toc23068"/>
      <w:bookmarkStart w:id="555" w:name="_Toc515647825"/>
      <w:bookmarkStart w:id="556" w:name="_Toc2621"/>
      <w:bookmarkStart w:id="557" w:name="OLE_LINK14"/>
      <w:bookmarkStart w:id="558" w:name="OLE_LINK13"/>
      <w:r>
        <w:rPr>
          <w:rFonts w:hint="eastAsia" w:ascii="微软雅黑" w:hAnsi="微软雅黑" w:eastAsia="微软雅黑" w:cs="微软雅黑"/>
          <w:b/>
          <w:bCs/>
          <w:kern w:val="2"/>
          <w:sz w:val="24"/>
          <w:szCs w:val="24"/>
        </w:rPr>
        <w:t>残疾人福利性单位声明函</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bookmarkEnd w:id="557"/>
    <w:bookmarkEnd w:id="558"/>
    <w:p>
      <w:pPr>
        <w:ind w:left="1080" w:leftChars="257" w:hanging="540"/>
        <w:jc w:val="center"/>
        <w:rPr>
          <w:rFonts w:ascii="微软雅黑" w:hAnsi="微软雅黑" w:eastAsia="微软雅黑" w:cs="微软雅黑"/>
          <w:sz w:val="24"/>
          <w:szCs w:val="24"/>
        </w:rPr>
      </w:pPr>
    </w:p>
    <w:p>
      <w:pPr>
        <w:ind w:firstLine="567"/>
        <w:rPr>
          <w:rFonts w:ascii="微软雅黑" w:hAnsi="微软雅黑" w:eastAsia="微软雅黑" w:cs="微软雅黑"/>
          <w:sz w:val="24"/>
          <w:szCs w:val="24"/>
        </w:rPr>
      </w:pPr>
      <w:r>
        <w:rPr>
          <w:rFonts w:hint="eastAsia" w:ascii="微软雅黑" w:hAnsi="微软雅黑" w:eastAsia="微软雅黑" w:cs="微软雅黑"/>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本单位对上述声明的真实性负责。如有虚假，将依法承担相应责任。</w:t>
      </w:r>
    </w:p>
    <w:p>
      <w:pPr>
        <w:ind w:left="1080" w:leftChars="257" w:hanging="540"/>
        <w:jc w:val="center"/>
        <w:rPr>
          <w:rFonts w:ascii="微软雅黑" w:hAnsi="微软雅黑" w:eastAsia="微软雅黑" w:cs="微软雅黑"/>
          <w:sz w:val="24"/>
          <w:szCs w:val="24"/>
        </w:rPr>
      </w:pPr>
    </w:p>
    <w:p>
      <w:pPr>
        <w:ind w:left="1080" w:leftChars="257" w:hanging="540"/>
        <w:jc w:val="center"/>
        <w:rPr>
          <w:rFonts w:ascii="微软雅黑" w:hAnsi="微软雅黑" w:eastAsia="微软雅黑" w:cs="微软雅黑"/>
          <w:sz w:val="24"/>
          <w:szCs w:val="24"/>
        </w:rPr>
      </w:pPr>
    </w:p>
    <w:p>
      <w:pPr>
        <w:ind w:left="1080" w:leftChars="257" w:hanging="54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残疾人福利性单位名称（公章）：</w:t>
      </w:r>
    </w:p>
    <w:p>
      <w:pPr>
        <w:ind w:left="1080" w:leftChars="257" w:hanging="540"/>
        <w:jc w:val="center"/>
        <w:rPr>
          <w:rFonts w:ascii="微软雅黑" w:hAnsi="微软雅黑" w:eastAsia="微软雅黑" w:cs="微软雅黑"/>
          <w:sz w:val="24"/>
          <w:szCs w:val="24"/>
        </w:rPr>
      </w:pPr>
      <w:r>
        <w:rPr>
          <w:rFonts w:hint="eastAsia" w:ascii="微软雅黑" w:hAnsi="微软雅黑" w:eastAsia="微软雅黑" w:cs="微软雅黑"/>
          <w:sz w:val="24"/>
          <w:szCs w:val="24"/>
        </w:rPr>
        <w:t xml:space="preserve">         日  期：</w:t>
      </w:r>
    </w:p>
    <w:p>
      <w:pPr>
        <w:pStyle w:val="5"/>
        <w:ind w:firstLine="0"/>
        <w:rPr>
          <w:rFonts w:ascii="微软雅黑" w:hAnsi="微软雅黑" w:eastAsia="微软雅黑" w:cs="微软雅黑"/>
          <w:kern w:val="2"/>
        </w:rPr>
      </w:pPr>
    </w:p>
    <w:p>
      <w:pPr>
        <w:ind w:left="1080" w:leftChars="257" w:hanging="540"/>
        <w:jc w:val="center"/>
        <w:rPr>
          <w:rFonts w:ascii="微软雅黑" w:hAnsi="微软雅黑" w:eastAsia="微软雅黑" w:cs="微软雅黑"/>
          <w:sz w:val="24"/>
          <w:szCs w:val="24"/>
        </w:rPr>
      </w:pPr>
    </w:p>
    <w:p>
      <w:pPr>
        <w:pStyle w:val="4"/>
        <w:spacing w:before="0" w:line="240" w:lineRule="auto"/>
        <w:ind w:left="1080" w:leftChars="257" w:hanging="540"/>
        <w:jc w:val="left"/>
        <w:rPr>
          <w:rFonts w:ascii="微软雅黑" w:hAnsi="微软雅黑" w:eastAsia="微软雅黑" w:cs="微软雅黑"/>
          <w:kern w:val="2"/>
        </w:rPr>
      </w:pPr>
      <w:bookmarkStart w:id="559" w:name="_Toc19223"/>
      <w:bookmarkStart w:id="560" w:name="_Toc30795"/>
      <w:bookmarkStart w:id="561" w:name="_Toc22561"/>
      <w:bookmarkStart w:id="562" w:name="_Toc26133"/>
      <w:bookmarkStart w:id="563" w:name="_Toc5527"/>
      <w:bookmarkStart w:id="564" w:name="_Toc6009"/>
      <w:bookmarkStart w:id="565" w:name="_Toc22378"/>
      <w:bookmarkStart w:id="566" w:name="_Toc515647827"/>
      <w:bookmarkStart w:id="567" w:name="_Toc11868"/>
      <w:bookmarkStart w:id="568" w:name="_Toc5568"/>
      <w:bookmarkStart w:id="569" w:name="_Toc30946"/>
      <w:bookmarkStart w:id="570" w:name="_Toc28099"/>
      <w:bookmarkStart w:id="571" w:name="_Toc2304"/>
      <w:bookmarkStart w:id="572" w:name="_Toc6004"/>
      <w:bookmarkStart w:id="573" w:name="_Toc17312"/>
      <w:r>
        <w:rPr>
          <w:rFonts w:hint="eastAsia" w:ascii="微软雅黑" w:hAnsi="微软雅黑" w:eastAsia="微软雅黑" w:cs="微软雅黑"/>
          <w:b/>
          <w:bCs/>
          <w:kern w:val="2"/>
          <w:sz w:val="24"/>
          <w:szCs w:val="24"/>
        </w:rPr>
        <w:t>7、供应商关联单位的说明</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pPr>
        <w:pStyle w:val="5"/>
        <w:ind w:firstLine="480" w:firstLineChars="200"/>
        <w:rPr>
          <w:rFonts w:ascii="微软雅黑" w:hAnsi="微软雅黑" w:eastAsia="微软雅黑" w:cs="微软雅黑"/>
          <w:kern w:val="2"/>
        </w:rPr>
      </w:pPr>
      <w:r>
        <w:rPr>
          <w:rFonts w:hint="eastAsia" w:ascii="微软雅黑" w:hAnsi="微软雅黑" w:eastAsia="微软雅黑" w:cs="微软雅黑"/>
          <w:kern w:val="2"/>
        </w:rPr>
        <w:t>说明：供应商应当如实披露与本单位存在下列关联关系的单位名称：</w:t>
      </w:r>
    </w:p>
    <w:p>
      <w:pPr>
        <w:pStyle w:val="5"/>
        <w:ind w:firstLine="480" w:firstLineChars="200"/>
        <w:rPr>
          <w:rFonts w:ascii="微软雅黑" w:hAnsi="微软雅黑" w:eastAsia="微软雅黑" w:cs="微软雅黑"/>
          <w:kern w:val="2"/>
        </w:rPr>
      </w:pPr>
      <w:r>
        <w:rPr>
          <w:rFonts w:hint="eastAsia" w:ascii="微软雅黑" w:hAnsi="微软雅黑" w:eastAsia="微软雅黑" w:cs="微软雅黑"/>
          <w:kern w:val="2"/>
        </w:rPr>
        <w:t>（1）与供应商单位负责人为同一人的其他单位；</w:t>
      </w:r>
    </w:p>
    <w:p>
      <w:pPr>
        <w:ind w:left="1080" w:leftChars="257" w:hanging="540"/>
        <w:jc w:val="center"/>
        <w:rPr>
          <w:rFonts w:ascii="微软雅黑" w:hAnsi="微软雅黑" w:eastAsia="微软雅黑" w:cs="微软雅黑"/>
        </w:rPr>
      </w:pPr>
      <w:r>
        <w:rPr>
          <w:rFonts w:hint="eastAsia" w:ascii="微软雅黑" w:hAnsi="微软雅黑" w:eastAsia="微软雅黑" w:cs="微软雅黑"/>
        </w:rPr>
        <w:t xml:space="preserve">    （2）与供应商存在直接控股、管理关系的其他单位。</w:t>
      </w:r>
    </w:p>
    <w:p>
      <w:pPr>
        <w:pStyle w:val="5"/>
        <w:rPr>
          <w:rFonts w:ascii="微软雅黑" w:hAnsi="微软雅黑" w:eastAsia="微软雅黑" w:cs="微软雅黑"/>
          <w:kern w:val="2"/>
        </w:rPr>
      </w:pPr>
    </w:p>
    <w:p>
      <w:pPr>
        <w:rPr>
          <w:rFonts w:ascii="微软雅黑" w:hAnsi="微软雅黑" w:eastAsia="微软雅黑" w:cs="微软雅黑"/>
        </w:rPr>
      </w:pPr>
    </w:p>
    <w:p>
      <w:pPr>
        <w:pStyle w:val="5"/>
      </w:pPr>
    </w:p>
    <w:p/>
    <w:p>
      <w:pPr>
        <w:ind w:left="1080" w:leftChars="257" w:hanging="540"/>
        <w:jc w:val="left"/>
        <w:rPr>
          <w:rFonts w:ascii="微软雅黑" w:hAnsi="微软雅黑" w:eastAsia="微软雅黑" w:cs="微软雅黑"/>
          <w:b/>
          <w:bCs/>
          <w:sz w:val="24"/>
          <w:szCs w:val="24"/>
        </w:rPr>
      </w:pPr>
      <w:bookmarkStart w:id="574" w:name="_Toc7414"/>
      <w:bookmarkStart w:id="575" w:name="_Toc515647828"/>
      <w:bookmarkStart w:id="576" w:name="_Toc29367"/>
      <w:bookmarkStart w:id="577" w:name="_Toc17333"/>
      <w:bookmarkStart w:id="578" w:name="_Toc10352"/>
      <w:bookmarkStart w:id="579" w:name="_Toc6932"/>
      <w:bookmarkStart w:id="580" w:name="_Toc23897"/>
      <w:bookmarkStart w:id="581" w:name="_Toc31226"/>
      <w:bookmarkStart w:id="582" w:name="_Toc17843"/>
      <w:bookmarkStart w:id="583" w:name="_Toc25126"/>
      <w:bookmarkStart w:id="584" w:name="_Toc7966"/>
      <w:bookmarkStart w:id="585" w:name="_Toc20015"/>
      <w:bookmarkStart w:id="586" w:name="_Toc15535"/>
      <w:bookmarkStart w:id="587" w:name="_Toc12486"/>
    </w:p>
    <w:p>
      <w:pPr>
        <w:pStyle w:val="4"/>
        <w:spacing w:before="0" w:line="240" w:lineRule="auto"/>
        <w:ind w:left="1080" w:leftChars="257" w:hanging="540"/>
        <w:jc w:val="left"/>
        <w:rPr>
          <w:rFonts w:ascii="微软雅黑" w:hAnsi="微软雅黑" w:eastAsia="微软雅黑" w:cs="微软雅黑"/>
          <w:b/>
          <w:bCs/>
          <w:kern w:val="2"/>
          <w:sz w:val="24"/>
          <w:szCs w:val="24"/>
        </w:rPr>
      </w:pPr>
      <w:bookmarkStart w:id="588" w:name="_Toc3067"/>
      <w:r>
        <w:rPr>
          <w:rFonts w:hint="eastAsia" w:ascii="微软雅黑" w:hAnsi="微软雅黑" w:eastAsia="微软雅黑" w:cs="微软雅黑"/>
          <w:b/>
          <w:bCs/>
          <w:kern w:val="2"/>
          <w:sz w:val="24"/>
          <w:szCs w:val="24"/>
        </w:rPr>
        <w:t>8</w:t>
      </w:r>
      <w:bookmarkEnd w:id="574"/>
      <w:bookmarkEnd w:id="575"/>
      <w:bookmarkEnd w:id="576"/>
      <w:bookmarkEnd w:id="577"/>
      <w:bookmarkEnd w:id="578"/>
      <w:bookmarkStart w:id="589" w:name="_Toc27058"/>
      <w:r>
        <w:rPr>
          <w:rFonts w:hint="eastAsia" w:ascii="微软雅黑" w:hAnsi="微软雅黑" w:eastAsia="微软雅黑" w:cs="微软雅黑"/>
          <w:b/>
          <w:bCs/>
          <w:kern w:val="2"/>
          <w:sz w:val="24"/>
          <w:szCs w:val="24"/>
        </w:rPr>
        <w:t>、供应商可提供有利于投标的其他资格证明材料</w:t>
      </w:r>
      <w:bookmarkEnd w:id="579"/>
      <w:bookmarkEnd w:id="580"/>
      <w:bookmarkEnd w:id="581"/>
      <w:bookmarkEnd w:id="582"/>
      <w:bookmarkEnd w:id="583"/>
      <w:bookmarkEnd w:id="584"/>
      <w:bookmarkEnd w:id="585"/>
      <w:bookmarkEnd w:id="586"/>
      <w:bookmarkEnd w:id="587"/>
      <w:bookmarkEnd w:id="588"/>
      <w:bookmarkEnd w:id="589"/>
    </w:p>
    <w:p>
      <w:pPr>
        <w:jc w:val="left"/>
        <w:rPr>
          <w:rFonts w:ascii="微软雅黑" w:hAnsi="微软雅黑" w:eastAsia="微软雅黑" w:cs="微软雅黑"/>
          <w:sz w:val="24"/>
          <w:szCs w:val="24"/>
        </w:rPr>
      </w:pPr>
    </w:p>
    <w:p>
      <w:pPr>
        <w:pStyle w:val="5"/>
        <w:rPr>
          <w:rFonts w:ascii="微软雅黑" w:hAnsi="微软雅黑" w:eastAsia="微软雅黑" w:cs="微软雅黑"/>
        </w:rPr>
      </w:pPr>
    </w:p>
    <w:p>
      <w:pPr>
        <w:rPr>
          <w:rFonts w:ascii="微软雅黑" w:hAnsi="微软雅黑" w:eastAsia="微软雅黑" w:cs="微软雅黑"/>
        </w:rPr>
      </w:pPr>
    </w:p>
    <w:p>
      <w:pPr>
        <w:pStyle w:val="5"/>
        <w:rPr>
          <w:rFonts w:ascii="微软雅黑" w:hAnsi="微软雅黑" w:eastAsia="微软雅黑" w:cs="微软雅黑"/>
        </w:rPr>
      </w:pPr>
    </w:p>
    <w:p>
      <w:pPr>
        <w:rPr>
          <w:rFonts w:ascii="微软雅黑" w:hAnsi="微软雅黑" w:eastAsia="微软雅黑" w:cs="微软雅黑"/>
        </w:rPr>
      </w:pPr>
    </w:p>
    <w:p>
      <w:pPr>
        <w:pStyle w:val="5"/>
        <w:rPr>
          <w:rFonts w:ascii="微软雅黑" w:hAnsi="微软雅黑" w:eastAsia="微软雅黑" w:cs="微软雅黑"/>
        </w:rPr>
      </w:pPr>
    </w:p>
    <w:p/>
    <w:p>
      <w:pPr>
        <w:rPr>
          <w:rFonts w:ascii="微软雅黑" w:hAnsi="微软雅黑" w:eastAsia="微软雅黑" w:cs="微软雅黑"/>
        </w:rPr>
      </w:pPr>
    </w:p>
    <w:p>
      <w:pPr>
        <w:pStyle w:val="5"/>
        <w:rPr>
          <w:rFonts w:ascii="微软雅黑" w:hAnsi="微软雅黑" w:eastAsia="微软雅黑" w:cs="微软雅黑"/>
        </w:rPr>
      </w:pPr>
    </w:p>
    <w:p>
      <w:pPr>
        <w:rPr>
          <w:rFonts w:ascii="微软雅黑" w:hAnsi="微软雅黑" w:eastAsia="微软雅黑" w:cs="微软雅黑"/>
        </w:rPr>
      </w:pPr>
    </w:p>
    <w:p>
      <w:pPr>
        <w:ind w:left="1080" w:leftChars="257" w:hanging="540"/>
        <w:rPr>
          <w:rFonts w:ascii="微软雅黑" w:hAnsi="微软雅黑" w:eastAsia="微软雅黑" w:cs="微软雅黑"/>
          <w:b/>
          <w:bCs/>
          <w:kern w:val="0"/>
          <w:sz w:val="24"/>
          <w:szCs w:val="24"/>
        </w:rPr>
      </w:pPr>
      <w:bookmarkStart w:id="590" w:name="_Toc31381"/>
      <w:bookmarkStart w:id="591" w:name="_Toc17701"/>
      <w:bookmarkStart w:id="592" w:name="_Toc16684"/>
      <w:bookmarkStart w:id="593" w:name="_Toc25807"/>
      <w:bookmarkStart w:id="594" w:name="_Toc19009"/>
      <w:bookmarkStart w:id="595" w:name="_Toc23424"/>
      <w:bookmarkStart w:id="596" w:name="_Toc2969"/>
    </w:p>
    <w:p>
      <w:pPr>
        <w:ind w:left="1080" w:leftChars="257" w:hanging="540"/>
        <w:outlineLvl w:val="1"/>
        <w:rPr>
          <w:rFonts w:ascii="微软雅黑" w:hAnsi="微软雅黑" w:eastAsia="微软雅黑" w:cs="微软雅黑"/>
          <w:b/>
          <w:bCs/>
          <w:kern w:val="0"/>
          <w:sz w:val="24"/>
          <w:szCs w:val="24"/>
        </w:rPr>
      </w:pPr>
      <w:bookmarkStart w:id="597" w:name="_Toc22803"/>
      <w:r>
        <w:rPr>
          <w:rFonts w:hint="eastAsia" w:ascii="微软雅黑" w:hAnsi="微软雅黑" w:eastAsia="微软雅黑" w:cs="微软雅黑"/>
          <w:b/>
          <w:bCs/>
          <w:kern w:val="0"/>
          <w:sz w:val="24"/>
          <w:szCs w:val="24"/>
        </w:rPr>
        <w:t>9、投标文件格式范本</w:t>
      </w:r>
      <w:bookmarkEnd w:id="590"/>
      <w:bookmarkEnd w:id="591"/>
      <w:bookmarkEnd w:id="592"/>
      <w:bookmarkEnd w:id="593"/>
      <w:bookmarkEnd w:id="594"/>
      <w:bookmarkEnd w:id="595"/>
      <w:bookmarkEnd w:id="596"/>
      <w:bookmarkEnd w:id="597"/>
    </w:p>
    <w:tbl>
      <w:tblPr>
        <w:tblStyle w:val="28"/>
        <w:tblpPr w:leftFromText="180" w:rightFromText="180" w:vertAnchor="text" w:horzAnchor="page" w:tblpX="1380" w:tblpY="440"/>
        <w:tblOverlap w:val="never"/>
        <w:tblW w:w="88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88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90" w:hRule="atLeast"/>
        </w:trPr>
        <w:tc>
          <w:tcPr>
            <w:tcW w:w="8820" w:type="dxa"/>
            <w:shd w:val="clear" w:color="auto" w:fill="FCFEEA"/>
          </w:tcPr>
          <w:p>
            <w:pPr>
              <w:pStyle w:val="11"/>
              <w:spacing w:line="24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（正本或副本）</w:t>
            </w:r>
          </w:p>
          <w:p>
            <w:pPr>
              <w:pStyle w:val="11"/>
              <w:spacing w:line="240" w:lineRule="auto"/>
              <w:ind w:firstLine="4202" w:firstLineChars="1500"/>
              <w:rPr>
                <w:rFonts w:ascii="微软雅黑" w:hAnsi="微软雅黑" w:eastAsia="微软雅黑" w:cs="微软雅黑"/>
                <w:b/>
                <w:bCs/>
                <w:sz w:val="28"/>
                <w:szCs w:val="28"/>
              </w:rPr>
            </w:pPr>
          </w:p>
          <w:p>
            <w:pPr>
              <w:pStyle w:val="11"/>
              <w:spacing w:line="240" w:lineRule="auto"/>
              <w:ind w:firstLine="4202" w:firstLineChars="1500"/>
              <w:rPr>
                <w:rFonts w:ascii="微软雅黑" w:hAnsi="微软雅黑" w:eastAsia="微软雅黑" w:cs="微软雅黑"/>
                <w:b/>
                <w:bCs/>
                <w:sz w:val="28"/>
                <w:szCs w:val="28"/>
              </w:rPr>
            </w:pPr>
          </w:p>
          <w:p>
            <w:pPr>
              <w:pStyle w:val="11"/>
              <w:spacing w:line="240" w:lineRule="auto"/>
              <w:rPr>
                <w:rFonts w:ascii="微软雅黑" w:hAnsi="微软雅黑" w:eastAsia="微软雅黑" w:cs="微软雅黑"/>
                <w:b/>
                <w:bCs/>
                <w:sz w:val="28"/>
                <w:szCs w:val="28"/>
              </w:rPr>
            </w:pPr>
          </w:p>
          <w:p>
            <w:pPr>
              <w:pStyle w:val="11"/>
              <w:spacing w:line="240" w:lineRule="auto"/>
              <w:ind w:firstLine="2521" w:firstLineChars="900"/>
              <w:rPr>
                <w:rFonts w:ascii="微软雅黑" w:hAnsi="微软雅黑" w:eastAsia="微软雅黑" w:cs="微软雅黑"/>
                <w:b/>
                <w:bCs/>
                <w:sz w:val="28"/>
                <w:szCs w:val="28"/>
              </w:rPr>
            </w:pPr>
            <w:r>
              <w:rPr>
                <w:rFonts w:hint="eastAsia" w:ascii="微软雅黑" w:hAnsi="微软雅黑" w:eastAsia="微软雅黑" w:cs="微软雅黑"/>
                <w:b/>
                <w:bCs/>
                <w:sz w:val="28"/>
                <w:szCs w:val="28"/>
              </w:rPr>
              <w:t>***** *** *** *** ***   项目</w:t>
            </w:r>
          </w:p>
          <w:p>
            <w:pPr>
              <w:pStyle w:val="11"/>
              <w:spacing w:line="240" w:lineRule="auto"/>
              <w:jc w:val="center"/>
              <w:rPr>
                <w:rFonts w:ascii="微软雅黑" w:hAnsi="微软雅黑" w:eastAsia="微软雅黑" w:cs="微软雅黑"/>
                <w:b/>
                <w:bCs/>
                <w:sz w:val="21"/>
                <w:szCs w:val="21"/>
              </w:rPr>
            </w:pPr>
          </w:p>
          <w:p>
            <w:pPr>
              <w:pStyle w:val="11"/>
              <w:spacing w:line="240" w:lineRule="auto"/>
              <w:ind w:firstLine="3152" w:firstLineChars="1500"/>
              <w:rPr>
                <w:rFonts w:ascii="微软雅黑" w:hAnsi="微软雅黑" w:eastAsia="微软雅黑" w:cs="微软雅黑"/>
                <w:b/>
                <w:bCs/>
                <w:sz w:val="21"/>
                <w:szCs w:val="21"/>
              </w:rPr>
            </w:pPr>
            <w:r>
              <w:rPr>
                <w:rFonts w:hint="eastAsia" w:ascii="微软雅黑" w:hAnsi="微软雅黑" w:eastAsia="微软雅黑" w:cs="微软雅黑"/>
                <w:b/>
                <w:bCs/>
                <w:sz w:val="21"/>
                <w:szCs w:val="21"/>
              </w:rPr>
              <w:t>编号＊＊＊＊＊＊   包号＊＊＊＊＊</w:t>
            </w:r>
          </w:p>
          <w:p>
            <w:pPr>
              <w:pStyle w:val="11"/>
              <w:spacing w:line="240" w:lineRule="auto"/>
              <w:jc w:val="center"/>
              <w:rPr>
                <w:rFonts w:ascii="微软雅黑" w:hAnsi="微软雅黑" w:eastAsia="微软雅黑" w:cs="微软雅黑"/>
                <w:b/>
                <w:bCs/>
                <w:sz w:val="48"/>
                <w:szCs w:val="48"/>
              </w:rPr>
            </w:pPr>
          </w:p>
          <w:p>
            <w:pPr>
              <w:pStyle w:val="11"/>
              <w:spacing w:line="240" w:lineRule="auto"/>
              <w:jc w:val="center"/>
              <w:rPr>
                <w:rFonts w:ascii="微软雅黑" w:hAnsi="微软雅黑" w:eastAsia="微软雅黑" w:cs="微软雅黑"/>
                <w:b/>
                <w:bCs/>
                <w:sz w:val="48"/>
                <w:szCs w:val="48"/>
              </w:rPr>
            </w:pPr>
            <w:r>
              <w:rPr>
                <w:rFonts w:hint="eastAsia" w:ascii="微软雅黑" w:hAnsi="微软雅黑" w:eastAsia="微软雅黑" w:cs="微软雅黑"/>
                <w:b/>
                <w:bCs/>
                <w:sz w:val="48"/>
                <w:szCs w:val="48"/>
              </w:rPr>
              <w:t>投 标 文 件</w:t>
            </w:r>
          </w:p>
          <w:p>
            <w:pPr>
              <w:jc w:val="center"/>
              <w:rPr>
                <w:rFonts w:ascii="微软雅黑" w:hAnsi="微软雅黑" w:eastAsia="微软雅黑" w:cs="微软雅黑"/>
                <w:b/>
                <w:bCs/>
                <w:sz w:val="32"/>
                <w:szCs w:val="32"/>
              </w:rPr>
            </w:pPr>
          </w:p>
          <w:p>
            <w:pPr>
              <w:pStyle w:val="5"/>
              <w:rPr>
                <w:rFonts w:ascii="微软雅黑" w:hAnsi="微软雅黑" w:eastAsia="微软雅黑" w:cs="微软雅黑"/>
                <w:b/>
                <w:bCs/>
                <w:sz w:val="32"/>
                <w:szCs w:val="32"/>
              </w:rPr>
            </w:pPr>
          </w:p>
          <w:p>
            <w:pPr>
              <w:pStyle w:val="5"/>
              <w:rPr>
                <w:rFonts w:ascii="微软雅黑" w:hAnsi="微软雅黑" w:eastAsia="微软雅黑" w:cs="微软雅黑"/>
                <w:b/>
                <w:bCs/>
                <w:sz w:val="32"/>
                <w:szCs w:val="32"/>
              </w:rPr>
            </w:pPr>
          </w:p>
          <w:p>
            <w:pPr>
              <w:ind w:left="176" w:leftChars="84" w:firstLine="840" w:firstLineChars="400"/>
              <w:rPr>
                <w:rFonts w:ascii="微软雅黑" w:hAnsi="微软雅黑" w:eastAsia="微软雅黑" w:cs="微软雅黑"/>
              </w:rPr>
            </w:pPr>
            <w:r>
              <w:rPr>
                <w:rFonts w:hint="eastAsia" w:ascii="微软雅黑" w:hAnsi="微软雅黑" w:eastAsia="微软雅黑" w:cs="微软雅黑"/>
              </w:rPr>
              <w:t>投 标 单位：</w:t>
            </w:r>
            <w:r>
              <w:rPr>
                <w:rFonts w:hint="eastAsia" w:ascii="微软雅黑" w:hAnsi="微软雅黑" w:eastAsia="微软雅黑" w:cs="微软雅黑"/>
                <w:u w:val="single"/>
              </w:rPr>
              <w:t xml:space="preserve">                                       </w:t>
            </w:r>
            <w:r>
              <w:rPr>
                <w:rFonts w:hint="eastAsia" w:ascii="微软雅黑" w:hAnsi="微软雅黑" w:eastAsia="微软雅黑" w:cs="微软雅黑"/>
              </w:rPr>
              <w:t>（公章）</w:t>
            </w:r>
          </w:p>
          <w:p>
            <w:pPr>
              <w:ind w:left="176" w:leftChars="84" w:firstLine="840" w:firstLineChars="400"/>
              <w:rPr>
                <w:rFonts w:ascii="微软雅黑" w:hAnsi="微软雅黑" w:eastAsia="微软雅黑" w:cs="微软雅黑"/>
                <w:u w:val="single"/>
              </w:rPr>
            </w:pPr>
            <w:r>
              <w:rPr>
                <w:rFonts w:hint="eastAsia" w:ascii="微软雅黑" w:hAnsi="微软雅黑" w:eastAsia="微软雅黑" w:cs="微软雅黑"/>
              </w:rPr>
              <w:t>项目名称：</w:t>
            </w:r>
            <w:r>
              <w:rPr>
                <w:rFonts w:hint="eastAsia" w:ascii="微软雅黑" w:hAnsi="微软雅黑" w:eastAsia="微软雅黑" w:cs="微软雅黑"/>
                <w:u w:val="single"/>
              </w:rPr>
              <w:t xml:space="preserve">                                          </w:t>
            </w:r>
          </w:p>
          <w:p>
            <w:pPr>
              <w:ind w:left="176" w:leftChars="84" w:firstLine="840" w:firstLineChars="400"/>
              <w:rPr>
                <w:rFonts w:ascii="微软雅黑" w:hAnsi="微软雅黑" w:eastAsia="微软雅黑" w:cs="微软雅黑"/>
                <w:u w:val="single"/>
              </w:rPr>
            </w:pPr>
            <w:r>
              <w:rPr>
                <w:rFonts w:hint="eastAsia" w:ascii="微软雅黑" w:hAnsi="微软雅黑" w:eastAsia="微软雅黑" w:cs="微软雅黑"/>
              </w:rPr>
              <w:t>项目编号：</w:t>
            </w:r>
            <w:r>
              <w:rPr>
                <w:rFonts w:hint="eastAsia" w:ascii="微软雅黑" w:hAnsi="微软雅黑" w:eastAsia="微软雅黑" w:cs="微软雅黑"/>
                <w:u w:val="single"/>
              </w:rPr>
              <w:t xml:space="preserve">                                        （包号）</w:t>
            </w:r>
          </w:p>
          <w:p>
            <w:pPr>
              <w:ind w:left="176" w:leftChars="84" w:firstLine="840" w:firstLineChars="400"/>
              <w:rPr>
                <w:rFonts w:ascii="微软雅黑" w:hAnsi="微软雅黑" w:eastAsia="微软雅黑" w:cs="微软雅黑"/>
                <w:u w:val="single"/>
              </w:rPr>
            </w:pPr>
            <w:r>
              <w:rPr>
                <w:rFonts w:hint="eastAsia" w:ascii="微软雅黑" w:hAnsi="微软雅黑" w:eastAsia="微软雅黑" w:cs="微软雅黑"/>
              </w:rPr>
              <w:t>联 系 人：</w:t>
            </w:r>
            <w:r>
              <w:rPr>
                <w:rFonts w:hint="eastAsia" w:ascii="微软雅黑" w:hAnsi="微软雅黑" w:eastAsia="微软雅黑" w:cs="微软雅黑"/>
                <w:u w:val="single"/>
              </w:rPr>
              <w:t xml:space="preserve">                                        </w:t>
            </w:r>
          </w:p>
          <w:p>
            <w:pPr>
              <w:ind w:left="176" w:leftChars="84" w:firstLine="840" w:firstLineChars="400"/>
              <w:rPr>
                <w:rFonts w:ascii="微软雅黑" w:hAnsi="微软雅黑" w:eastAsia="微软雅黑" w:cs="微软雅黑"/>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p>
          <w:p>
            <w:pPr>
              <w:ind w:left="176" w:leftChars="84" w:firstLine="840" w:firstLineChars="400"/>
              <w:rPr>
                <w:rFonts w:ascii="微软雅黑" w:hAnsi="微软雅黑" w:eastAsia="微软雅黑" w:cs="微软雅黑"/>
                <w:u w:val="single"/>
              </w:rPr>
            </w:pPr>
            <w:r>
              <w:rPr>
                <w:rFonts w:hint="eastAsia" w:ascii="微软雅黑" w:hAnsi="微软雅黑" w:eastAsia="微软雅黑" w:cs="微软雅黑"/>
              </w:rPr>
              <w:t xml:space="preserve">地    址  ：  </w:t>
            </w:r>
            <w:r>
              <w:rPr>
                <w:rFonts w:hint="eastAsia" w:ascii="微软雅黑" w:hAnsi="微软雅黑" w:eastAsia="微软雅黑" w:cs="微软雅黑"/>
                <w:u w:val="single"/>
              </w:rPr>
              <w:t xml:space="preserve">                                    </w:t>
            </w:r>
          </w:p>
          <w:p>
            <w:pPr>
              <w:ind w:left="176" w:leftChars="84" w:firstLine="960" w:firstLineChars="400"/>
              <w:rPr>
                <w:rFonts w:ascii="微软雅黑" w:hAnsi="微软雅黑" w:eastAsia="微软雅黑" w:cs="微软雅黑"/>
                <w:sz w:val="24"/>
                <w:szCs w:val="24"/>
              </w:rPr>
            </w:pPr>
          </w:p>
          <w:p>
            <w:pPr>
              <w:jc w:val="center"/>
              <w:rPr>
                <w:rFonts w:ascii="微软雅黑" w:hAnsi="微软雅黑" w:eastAsia="微软雅黑" w:cs="微软雅黑"/>
                <w:b/>
                <w:bCs/>
              </w:rPr>
            </w:pPr>
          </w:p>
          <w:p>
            <w:pPr>
              <w:jc w:val="center"/>
              <w:rPr>
                <w:rFonts w:ascii="微软雅黑" w:hAnsi="微软雅黑" w:eastAsia="微软雅黑" w:cs="微软雅黑"/>
                <w:b/>
                <w:bCs/>
              </w:rPr>
            </w:pPr>
          </w:p>
          <w:p>
            <w:pPr>
              <w:jc w:val="center"/>
              <w:rPr>
                <w:rFonts w:ascii="微软雅黑" w:hAnsi="微软雅黑" w:eastAsia="微软雅黑" w:cs="微软雅黑"/>
                <w:b/>
                <w:bCs/>
              </w:rPr>
            </w:pPr>
            <w:r>
              <w:rPr>
                <w:rFonts w:hint="eastAsia" w:ascii="微软雅黑" w:hAnsi="微软雅黑" w:eastAsia="微软雅黑" w:cs="微软雅黑"/>
                <w:b/>
                <w:bCs/>
              </w:rPr>
              <w:t>注：   在2023年   月  日 *午   之前不得启封</w:t>
            </w:r>
          </w:p>
          <w:p>
            <w:pPr>
              <w:jc w:val="center"/>
              <w:rPr>
                <w:rFonts w:ascii="微软雅黑" w:hAnsi="微软雅黑" w:eastAsia="微软雅黑" w:cs="微软雅黑"/>
                <w:b/>
                <w:bCs/>
              </w:rPr>
            </w:pPr>
          </w:p>
        </w:tc>
      </w:tr>
    </w:tbl>
    <w:p>
      <w:pPr>
        <w:rPr>
          <w:rFonts w:ascii="微软雅黑" w:hAnsi="微软雅黑" w:eastAsia="微软雅黑" w:cs="微软雅黑"/>
          <w:b/>
          <w:bCs/>
          <w:sz w:val="30"/>
          <w:szCs w:val="30"/>
        </w:rPr>
      </w:pPr>
      <w:r>
        <w:rPr>
          <w:rFonts w:hint="eastAsia" w:ascii="微软雅黑" w:hAnsi="微软雅黑" w:eastAsia="微软雅黑" w:cs="微软雅黑"/>
          <w:sz w:val="24"/>
          <w:szCs w:val="24"/>
        </w:rPr>
        <w:br w:type="page"/>
      </w:r>
    </w:p>
    <w:p>
      <w:pPr>
        <w:jc w:val="center"/>
        <w:rPr>
          <w:rFonts w:ascii="微软雅黑" w:hAnsi="微软雅黑" w:eastAsia="微软雅黑" w:cs="微软雅黑"/>
          <w:b/>
          <w:bCs/>
          <w:sz w:val="32"/>
          <w:szCs w:val="32"/>
        </w:rPr>
      </w:pPr>
    </w:p>
    <w:p>
      <w:pPr>
        <w:jc w:val="center"/>
        <w:rPr>
          <w:rFonts w:ascii="微软雅黑" w:hAnsi="微软雅黑" w:eastAsia="微软雅黑" w:cs="微软雅黑"/>
          <w:b/>
          <w:bCs/>
          <w:sz w:val="32"/>
          <w:szCs w:val="32"/>
        </w:rPr>
      </w:pPr>
    </w:p>
    <w:p>
      <w:pPr>
        <w:pStyle w:val="5"/>
        <w:rPr>
          <w:rFonts w:ascii="微软雅黑" w:hAnsi="微软雅黑" w:eastAsia="微软雅黑" w:cs="微软雅黑"/>
          <w:b/>
          <w:bCs/>
          <w:sz w:val="32"/>
          <w:szCs w:val="32"/>
        </w:rPr>
      </w:pPr>
    </w:p>
    <w:p>
      <w:pPr>
        <w:rPr>
          <w:rFonts w:ascii="微软雅黑" w:hAnsi="微软雅黑" w:eastAsia="微软雅黑" w:cs="微软雅黑"/>
          <w:b/>
          <w:bCs/>
          <w:sz w:val="32"/>
          <w:szCs w:val="32"/>
        </w:rPr>
      </w:pPr>
    </w:p>
    <w:p>
      <w:pPr>
        <w:pStyle w:val="5"/>
        <w:rPr>
          <w:rFonts w:ascii="微软雅黑" w:hAnsi="微软雅黑" w:eastAsia="微软雅黑" w:cs="微软雅黑"/>
          <w:b/>
          <w:bCs/>
          <w:sz w:val="32"/>
          <w:szCs w:val="32"/>
        </w:rPr>
      </w:pPr>
    </w:p>
    <w:p/>
    <w:p>
      <w:pPr>
        <w:pStyle w:val="5"/>
        <w:ind w:firstLine="0"/>
        <w:rPr>
          <w:rFonts w:ascii="微软雅黑" w:hAnsi="微软雅黑" w:eastAsia="微软雅黑" w:cs="微软雅黑"/>
        </w:rPr>
      </w:pPr>
    </w:p>
    <w:p>
      <w:pPr>
        <w:pStyle w:val="5"/>
        <w:rPr>
          <w:rFonts w:ascii="微软雅黑" w:hAnsi="微软雅黑" w:eastAsia="微软雅黑" w:cs="微软雅黑"/>
        </w:rPr>
      </w:pPr>
    </w:p>
    <w:p>
      <w:pPr>
        <w:jc w:val="center"/>
        <w:rPr>
          <w:rFonts w:hint="eastAsia" w:ascii="微软雅黑" w:hAnsi="微软雅黑" w:eastAsia="微软雅黑" w:cs="微软雅黑"/>
          <w:b/>
          <w:bCs/>
          <w:sz w:val="44"/>
          <w:szCs w:val="44"/>
          <w:lang w:eastAsia="zh-CN"/>
        </w:rPr>
      </w:pPr>
      <w:r>
        <w:rPr>
          <w:rFonts w:hint="eastAsia" w:ascii="微软雅黑" w:hAnsi="微软雅黑" w:eastAsia="微软雅黑" w:cs="微软雅黑"/>
          <w:b/>
          <w:bCs/>
          <w:sz w:val="44"/>
          <w:szCs w:val="44"/>
          <w:lang w:eastAsia="zh-CN"/>
        </w:rPr>
        <w:t>疏附县人民医院医共体成员单位中药饮片采购项目</w:t>
      </w:r>
    </w:p>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招 标 文 件</w:t>
      </w:r>
    </w:p>
    <w:p>
      <w:pPr>
        <w:jc w:val="center"/>
        <w:rPr>
          <w:rFonts w:ascii="微软雅黑" w:hAnsi="微软雅黑" w:eastAsia="微软雅黑" w:cs="微软雅黑"/>
          <w:b/>
          <w:bCs/>
          <w:sz w:val="40"/>
          <w:szCs w:val="40"/>
        </w:rPr>
      </w:pPr>
    </w:p>
    <w:p>
      <w:pPr>
        <w:jc w:val="center"/>
        <w:rPr>
          <w:rFonts w:ascii="微软雅黑" w:hAnsi="微软雅黑" w:eastAsia="微软雅黑" w:cs="微软雅黑"/>
          <w:b/>
          <w:bCs/>
          <w:sz w:val="32"/>
          <w:szCs w:val="32"/>
        </w:rPr>
      </w:pPr>
      <w:r>
        <w:rPr>
          <w:rFonts w:hint="eastAsia" w:ascii="微软雅黑" w:hAnsi="微软雅黑" w:eastAsia="微软雅黑" w:cs="微软雅黑"/>
          <w:b/>
          <w:bCs/>
          <w:sz w:val="40"/>
          <w:szCs w:val="40"/>
        </w:rPr>
        <w:t>项目编号：  YXGJ(GK)2023-1</w:t>
      </w:r>
      <w:r>
        <w:rPr>
          <w:rFonts w:hint="eastAsia" w:ascii="微软雅黑" w:hAnsi="微软雅黑" w:eastAsia="微软雅黑" w:cs="微软雅黑"/>
          <w:b/>
          <w:bCs/>
          <w:sz w:val="40"/>
          <w:szCs w:val="40"/>
          <w:lang w:val="en-US" w:eastAsia="zh-CN"/>
        </w:rPr>
        <w:t>6</w:t>
      </w:r>
      <w:r>
        <w:rPr>
          <w:rFonts w:hint="eastAsia" w:ascii="微软雅黑" w:hAnsi="微软雅黑" w:eastAsia="微软雅黑" w:cs="微软雅黑"/>
          <w:b/>
          <w:bCs/>
          <w:sz w:val="40"/>
          <w:szCs w:val="40"/>
        </w:rPr>
        <w:t>号</w:t>
      </w:r>
    </w:p>
    <w:p>
      <w:pPr>
        <w:jc w:val="center"/>
        <w:rPr>
          <w:rFonts w:ascii="微软雅黑" w:hAnsi="微软雅黑" w:eastAsia="微软雅黑" w:cs="微软雅黑"/>
          <w:b/>
          <w:bCs/>
          <w:sz w:val="32"/>
          <w:szCs w:val="32"/>
        </w:rPr>
      </w:pPr>
    </w:p>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第 二 册</w:t>
      </w:r>
    </w:p>
    <w:p>
      <w:pPr>
        <w:jc w:val="center"/>
        <w:rPr>
          <w:rFonts w:ascii="微软雅黑" w:hAnsi="微软雅黑" w:eastAsia="微软雅黑" w:cs="微软雅黑"/>
          <w:b/>
          <w:bCs/>
          <w:sz w:val="32"/>
          <w:szCs w:val="32"/>
        </w:rPr>
      </w:pPr>
    </w:p>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 xml:space="preserve">  </w:t>
      </w:r>
    </w:p>
    <w:p>
      <w:pPr>
        <w:ind w:left="1080" w:leftChars="257" w:hanging="540"/>
        <w:rPr>
          <w:rFonts w:ascii="微软雅黑" w:hAnsi="微软雅黑" w:eastAsia="微软雅黑" w:cs="微软雅黑"/>
          <w:b/>
          <w:bCs/>
          <w:sz w:val="28"/>
          <w:szCs w:val="28"/>
        </w:rPr>
      </w:pPr>
    </w:p>
    <w:p>
      <w:pPr>
        <w:ind w:left="1080" w:leftChars="257" w:hanging="540"/>
        <w:rPr>
          <w:rFonts w:ascii="微软雅黑" w:hAnsi="微软雅黑" w:eastAsia="微软雅黑" w:cs="微软雅黑"/>
          <w:b/>
          <w:bCs/>
          <w:sz w:val="28"/>
          <w:szCs w:val="28"/>
        </w:rPr>
      </w:pPr>
    </w:p>
    <w:p>
      <w:pPr>
        <w:pStyle w:val="11"/>
      </w:pPr>
    </w:p>
    <w:p>
      <w:pPr>
        <w:ind w:left="1080" w:leftChars="257" w:hanging="540"/>
        <w:rPr>
          <w:rFonts w:ascii="微软雅黑" w:hAnsi="微软雅黑" w:eastAsia="微软雅黑" w:cs="微软雅黑"/>
          <w:b/>
          <w:bCs/>
          <w:sz w:val="28"/>
          <w:szCs w:val="28"/>
        </w:rPr>
      </w:pPr>
    </w:p>
    <w:p>
      <w:pPr>
        <w:pStyle w:val="5"/>
        <w:rPr>
          <w:rFonts w:ascii="微软雅黑" w:hAnsi="微软雅黑" w:eastAsia="微软雅黑" w:cs="微软雅黑"/>
          <w:b/>
          <w:bCs/>
          <w:sz w:val="28"/>
          <w:szCs w:val="28"/>
        </w:rPr>
      </w:pPr>
    </w:p>
    <w:p>
      <w:pPr>
        <w:pStyle w:val="9"/>
      </w:pPr>
    </w:p>
    <w:p/>
    <w:p>
      <w:pPr>
        <w:rPr>
          <w:rFonts w:ascii="微软雅黑" w:hAnsi="微软雅黑" w:eastAsia="微软雅黑" w:cs="微软雅黑"/>
          <w:b/>
          <w:bCs/>
          <w:sz w:val="52"/>
          <w:szCs w:val="52"/>
        </w:rPr>
      </w:pPr>
    </w:p>
    <w:p>
      <w:pPr>
        <w:pStyle w:val="3"/>
        <w:numPr>
          <w:ilvl w:val="0"/>
          <w:numId w:val="9"/>
        </w:numPr>
        <w:tabs>
          <w:tab w:val="left" w:pos="0"/>
        </w:tabs>
        <w:spacing w:before="0" w:after="0" w:line="240" w:lineRule="auto"/>
        <w:rPr>
          <w:rFonts w:ascii="微软雅黑" w:hAnsi="微软雅黑" w:eastAsia="微软雅黑" w:cs="微软雅黑"/>
          <w:b/>
          <w:bCs/>
        </w:rPr>
      </w:pPr>
      <w:bookmarkStart w:id="598" w:name="_Toc16370"/>
      <w:bookmarkStart w:id="599" w:name="_Toc28765"/>
      <w:bookmarkStart w:id="600" w:name="_Toc219175634"/>
      <w:bookmarkStart w:id="601" w:name="_Toc507399902"/>
      <w:bookmarkStart w:id="602" w:name="_Toc515647829"/>
      <w:bookmarkStart w:id="603" w:name="_Toc218935350"/>
      <w:bookmarkStart w:id="604" w:name="_Toc29715"/>
      <w:bookmarkStart w:id="605" w:name="_Toc216582822"/>
      <w:bookmarkStart w:id="606" w:name="_Toc30980"/>
      <w:bookmarkStart w:id="607" w:name="_Toc10488"/>
      <w:bookmarkStart w:id="608" w:name="_Toc507399903"/>
      <w:bookmarkStart w:id="609" w:name="_Toc216582823"/>
      <w:bookmarkStart w:id="610" w:name="_Toc5272"/>
      <w:bookmarkStart w:id="611" w:name="_Toc31583"/>
      <w:bookmarkStart w:id="612" w:name="_Toc515647830"/>
      <w:bookmarkStart w:id="613" w:name="_Toc512937850"/>
      <w:r>
        <w:rPr>
          <w:rFonts w:hint="eastAsia" w:ascii="微软雅黑" w:hAnsi="微软雅黑" w:eastAsia="微软雅黑" w:cs="微软雅黑"/>
          <w:b/>
          <w:bCs/>
        </w:rPr>
        <w:t xml:space="preserve"> </w:t>
      </w:r>
      <w:bookmarkStart w:id="614" w:name="_Toc8006"/>
      <w:r>
        <w:rPr>
          <w:rFonts w:hint="eastAsia" w:ascii="微软雅黑" w:hAnsi="微软雅黑" w:eastAsia="微软雅黑" w:cs="微软雅黑"/>
          <w:b/>
          <w:bCs/>
        </w:rPr>
        <w:t>投标邀请</w:t>
      </w:r>
      <w:bookmarkEnd w:id="598"/>
      <w:bookmarkEnd w:id="599"/>
      <w:bookmarkEnd w:id="600"/>
      <w:bookmarkEnd w:id="601"/>
      <w:bookmarkEnd w:id="602"/>
      <w:bookmarkEnd w:id="603"/>
      <w:bookmarkEnd w:id="604"/>
      <w:bookmarkEnd w:id="605"/>
      <w:bookmarkEnd w:id="614"/>
    </w:p>
    <w:bookmarkEnd w:id="606"/>
    <w:p>
      <w:pPr>
        <w:tabs>
          <w:tab w:val="left" w:pos="4947"/>
        </w:tabs>
        <w:ind w:right="567"/>
        <w:jc w:val="center"/>
        <w:rPr>
          <w:rFonts w:hint="eastAsia" w:ascii="微软雅黑" w:hAnsi="微软雅黑" w:eastAsia="微软雅黑" w:cs="微软雅黑"/>
          <w:b/>
          <w:sz w:val="36"/>
          <w:szCs w:val="30"/>
          <w:lang w:eastAsia="zh-CN"/>
        </w:rPr>
      </w:pPr>
      <w:bookmarkStart w:id="1815" w:name="_GoBack"/>
      <w:bookmarkStart w:id="615" w:name="_Toc9574"/>
      <w:bookmarkStart w:id="616" w:name="_Toc10812"/>
      <w:bookmarkStart w:id="617" w:name="_Toc31446"/>
      <w:r>
        <w:rPr>
          <w:rFonts w:hint="eastAsia" w:ascii="微软雅黑" w:hAnsi="微软雅黑" w:eastAsia="微软雅黑" w:cs="微软雅黑"/>
          <w:b/>
          <w:sz w:val="36"/>
          <w:szCs w:val="30"/>
          <w:lang w:eastAsia="zh-CN"/>
        </w:rPr>
        <w:t>疏附县人民医院医共体成员单位中药饮片采购项目</w:t>
      </w:r>
    </w:p>
    <w:p>
      <w:pPr>
        <w:tabs>
          <w:tab w:val="left" w:pos="4947"/>
        </w:tabs>
        <w:ind w:right="567"/>
        <w:jc w:val="center"/>
        <w:rPr>
          <w:rFonts w:ascii="微软雅黑" w:hAnsi="微软雅黑" w:eastAsia="微软雅黑" w:cs="微软雅黑"/>
          <w:sz w:val="27"/>
          <w:szCs w:val="27"/>
        </w:rPr>
      </w:pPr>
      <w:r>
        <w:rPr>
          <w:rFonts w:hint="eastAsia" w:ascii="微软雅黑" w:hAnsi="微软雅黑" w:eastAsia="微软雅黑" w:cs="微软雅黑"/>
          <w:b/>
          <w:sz w:val="36"/>
          <w:szCs w:val="30"/>
        </w:rPr>
        <w:t>公开招标公告</w:t>
      </w:r>
      <w:bookmarkEnd w:id="615"/>
      <w:bookmarkEnd w:id="616"/>
      <w:bookmarkEnd w:id="617"/>
    </w:p>
    <w:tbl>
      <w:tblPr>
        <w:tblStyle w:val="29"/>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10060" w:type="dxa"/>
          </w:tcPr>
          <w:p>
            <w:pPr>
              <w:pStyle w:val="24"/>
              <w:widowControl/>
              <w:spacing w:before="75" w:beforeAutospacing="0" w:after="150" w:afterAutospacing="0" w:line="380" w:lineRule="exact"/>
              <w:rPr>
                <w:rFonts w:ascii="微软雅黑" w:hAnsi="微软雅黑" w:eastAsia="微软雅黑" w:cs="微软雅黑"/>
              </w:rPr>
            </w:pPr>
            <w:r>
              <w:rPr>
                <w:rFonts w:hint="eastAsia" w:ascii="微软雅黑" w:hAnsi="微软雅黑" w:eastAsia="微软雅黑" w:cs="微软雅黑"/>
              </w:rPr>
              <w:t>项目概况                                                    </w:t>
            </w:r>
          </w:p>
          <w:p>
            <w:pPr>
              <w:pStyle w:val="24"/>
              <w:widowControl/>
              <w:spacing w:before="75" w:beforeAutospacing="0" w:after="150" w:afterAutospacing="0" w:line="380" w:lineRule="exact"/>
              <w:rPr>
                <w:rFonts w:ascii="微软雅黑" w:hAnsi="微软雅黑" w:eastAsia="微软雅黑" w:cs="微软雅黑"/>
              </w:rPr>
            </w:pPr>
            <w:r>
              <w:rPr>
                <w:rFonts w:hint="eastAsia" w:ascii="微软雅黑" w:hAnsi="微软雅黑" w:eastAsia="微软雅黑" w:cs="微软雅黑"/>
              </w:rPr>
              <w:t xml:space="preserve">  </w:t>
            </w:r>
            <w:r>
              <w:rPr>
                <w:rFonts w:hint="eastAsia" w:ascii="微软雅黑" w:hAnsi="微软雅黑" w:eastAsia="微软雅黑" w:cs="微软雅黑"/>
                <w:lang w:eastAsia="zh-CN"/>
              </w:rPr>
              <w:t>疏附县人民医院医共体成员单位中药饮片采购项目</w:t>
            </w:r>
            <w:r>
              <w:rPr>
                <w:rFonts w:hint="eastAsia" w:ascii="微软雅黑" w:hAnsi="微软雅黑" w:eastAsia="微软雅黑" w:cs="微软雅黑"/>
              </w:rPr>
              <w:t>的潜在供应商应在政采云平台（https://www.zcygov.cn/） 获取采购文件，并于2023年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 xml:space="preserve">6 </w:t>
            </w:r>
            <w:r>
              <w:rPr>
                <w:rFonts w:hint="eastAsia" w:ascii="微软雅黑" w:hAnsi="微软雅黑" w:eastAsia="微软雅黑" w:cs="微软雅黑"/>
              </w:rPr>
              <w:t>日 1</w:t>
            </w:r>
            <w:r>
              <w:rPr>
                <w:rFonts w:hint="eastAsia" w:ascii="微软雅黑" w:hAnsi="微软雅黑" w:eastAsia="微软雅黑" w:cs="微软雅黑"/>
                <w:lang w:val="en-US" w:eastAsia="zh-CN"/>
              </w:rPr>
              <w:t>1</w:t>
            </w:r>
            <w:r>
              <w:rPr>
                <w:rFonts w:hint="eastAsia" w:ascii="微软雅黑" w:hAnsi="微软雅黑" w:eastAsia="微软雅黑" w:cs="微软雅黑"/>
              </w:rPr>
              <w:t xml:space="preserve">:00（北京时间）前提交投标文件。  </w:t>
            </w:r>
          </w:p>
        </w:tc>
      </w:tr>
    </w:tbl>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rPr>
      </w:pPr>
      <w:r>
        <w:rPr>
          <w:rStyle w:val="31"/>
          <w:rFonts w:hint="eastAsia" w:ascii="微软雅黑" w:hAnsi="微软雅黑" w:eastAsia="微软雅黑" w:cs="微软雅黑"/>
        </w:rPr>
        <w:t>一、项目基本情况</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rPr>
      </w:pPr>
      <w:r>
        <w:rPr>
          <w:rFonts w:hint="eastAsia" w:ascii="微软雅黑" w:hAnsi="微软雅黑" w:eastAsia="微软雅黑" w:cs="微软雅黑"/>
        </w:rPr>
        <w:t>     1、项目编号： YXGJ(GK)2023-1</w:t>
      </w:r>
      <w:r>
        <w:rPr>
          <w:rFonts w:hint="eastAsia" w:ascii="微软雅黑" w:hAnsi="微软雅黑" w:eastAsia="微软雅黑" w:cs="微软雅黑"/>
          <w:lang w:val="en-US" w:eastAsia="zh-CN"/>
        </w:rPr>
        <w:t>6</w:t>
      </w:r>
      <w:r>
        <w:rPr>
          <w:rFonts w:hint="eastAsia" w:ascii="微软雅黑" w:hAnsi="微软雅黑" w:eastAsia="微软雅黑" w:cs="微软雅黑"/>
        </w:rPr>
        <w:t>号</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hint="eastAsia" w:ascii="微软雅黑" w:hAnsi="微软雅黑" w:eastAsia="微软雅黑" w:cs="微软雅黑"/>
          <w:lang w:eastAsia="zh-CN"/>
        </w:rPr>
      </w:pPr>
      <w:r>
        <w:rPr>
          <w:rFonts w:hint="eastAsia" w:ascii="微软雅黑" w:hAnsi="微软雅黑" w:eastAsia="微软雅黑" w:cs="微软雅黑"/>
        </w:rPr>
        <w:t> 2、项目名称：</w:t>
      </w:r>
      <w:r>
        <w:rPr>
          <w:rFonts w:hint="eastAsia" w:ascii="微软雅黑" w:hAnsi="微软雅黑" w:eastAsia="微软雅黑" w:cs="微软雅黑"/>
          <w:lang w:eastAsia="zh-CN"/>
        </w:rPr>
        <w:t>疏附县人民医院医共体成员单位中药饮片采购项目</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ascii="微软雅黑" w:hAnsi="微软雅黑" w:eastAsia="微软雅黑" w:cs="微软雅黑"/>
        </w:rPr>
      </w:pPr>
      <w:r>
        <w:rPr>
          <w:rFonts w:hint="eastAsia" w:ascii="微软雅黑" w:hAnsi="微软雅黑" w:eastAsia="微软雅黑" w:cs="微软雅黑"/>
        </w:rPr>
        <w:t>3、采购方式：公开招标</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ascii="微软雅黑" w:hAnsi="微软雅黑" w:eastAsia="微软雅黑" w:cs="微软雅黑"/>
        </w:rPr>
      </w:pPr>
      <w:r>
        <w:rPr>
          <w:rFonts w:hint="eastAsia" w:ascii="微软雅黑" w:hAnsi="微软雅黑" w:eastAsia="微软雅黑" w:cs="微软雅黑"/>
        </w:rPr>
        <w:t>4、项目总预算金额：</w:t>
      </w:r>
      <w:r>
        <w:rPr>
          <w:rFonts w:hint="eastAsia" w:ascii="微软雅黑" w:hAnsi="微软雅黑" w:eastAsia="微软雅黑" w:cs="微软雅黑"/>
          <w:lang w:val="en-US" w:eastAsia="zh-CN"/>
        </w:rPr>
        <w:t>293.528216</w:t>
      </w:r>
      <w:r>
        <w:rPr>
          <w:rFonts w:hint="eastAsia" w:ascii="微软雅黑" w:hAnsi="微软雅黑" w:eastAsia="微软雅黑" w:cs="微软雅黑"/>
        </w:rPr>
        <w:t>万</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ascii="微软雅黑" w:hAnsi="微软雅黑" w:eastAsia="微软雅黑" w:cs="微软雅黑"/>
        </w:rPr>
      </w:pPr>
      <w:r>
        <w:rPr>
          <w:rFonts w:hint="eastAsia" w:ascii="微软雅黑" w:hAnsi="微软雅黑" w:eastAsia="微软雅黑" w:cs="微软雅黑"/>
        </w:rPr>
        <w:t>5、采购需求：</w:t>
      </w:r>
      <w:r>
        <w:rPr>
          <w:rFonts w:hint="eastAsia" w:ascii="微软雅黑" w:hAnsi="微软雅黑" w:eastAsia="微软雅黑" w:cs="微软雅黑"/>
          <w:lang w:eastAsia="zh-CN"/>
        </w:rPr>
        <w:t>疏附县医共体成员单位中药饮片一批。</w:t>
      </w:r>
      <w:r>
        <w:rPr>
          <w:rFonts w:hint="eastAsia" w:ascii="微软雅黑" w:hAnsi="微软雅黑" w:eastAsia="微软雅黑" w:cs="微软雅黑"/>
        </w:rPr>
        <w:t>（具体数量及规格要求详见招标文件）</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382"/>
        <w:textAlignment w:val="auto"/>
        <w:rPr>
          <w:rFonts w:hint="eastAsia" w:ascii="微软雅黑" w:hAnsi="微软雅黑" w:eastAsia="微软雅黑" w:cs="微软雅黑"/>
          <w:lang w:eastAsia="zh-CN"/>
        </w:rPr>
      </w:pPr>
      <w:r>
        <w:rPr>
          <w:rFonts w:hint="eastAsia" w:ascii="微软雅黑" w:hAnsi="微软雅黑" w:eastAsia="微软雅黑" w:cs="微软雅黑"/>
        </w:rPr>
        <w:t>6、资金来源：</w:t>
      </w:r>
      <w:r>
        <w:rPr>
          <w:rFonts w:hint="eastAsia" w:ascii="微软雅黑" w:hAnsi="微软雅黑" w:eastAsia="微软雅黑" w:cs="微软雅黑"/>
          <w:lang w:eastAsia="zh-CN"/>
        </w:rPr>
        <w:t>自筹</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240" w:firstLineChars="100"/>
        <w:textAlignment w:val="auto"/>
        <w:rPr>
          <w:rFonts w:ascii="微软雅黑" w:hAnsi="微软雅黑" w:eastAsia="微软雅黑" w:cs="微软雅黑"/>
        </w:rPr>
      </w:pPr>
      <w:r>
        <w:rPr>
          <w:rFonts w:hint="eastAsia" w:ascii="微软雅黑" w:hAnsi="微软雅黑" w:eastAsia="微软雅黑" w:cs="微软雅黑"/>
        </w:rPr>
        <w:t>    本项目（否）接受联合体投标。  </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rPr>
      </w:pPr>
      <w:r>
        <w:rPr>
          <w:rFonts w:hint="eastAsia" w:ascii="微软雅黑" w:hAnsi="微软雅黑" w:eastAsia="微软雅黑" w:cs="微软雅黑"/>
          <w:b/>
          <w:bCs/>
        </w:rPr>
        <w:t>二、申请人的资格要求：</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1、满足《中华人民共和国政府采购法》第二十二条规定；</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①具有独立承担民事责任的能力；（投标时，提供在中华人民共和国境内注册的法人或其他组织的营业执照或事业单位法人证书或社会团体法人登记证书）</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②提供法定代表人资格证明及授权书、被授权人身份证；(法定代表人投标需提供法定代表人身份证)；</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③本单位依法缴纳的近3个月内任意一个月的社会保险的凭据；</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④税务部门出具的近3个月内人任意一个月的完税证明（依法免缴的应提供依法免缴的相关证明文件或零申报报表）；</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⑤提供近两年任意一年完整的财务审计报告（成立不满一年的可提供近一个月的银行资信证明）；</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⑥参与政府采购活动前3年内未被列入失信、重大税收违法案件、财政部门禁止参加政府采购活动的承诺书；</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⑦提供针对本次项目的反商业贿赂承诺书。</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⑧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24"/>
        <w:keepNext w:val="0"/>
        <w:keepLines w:val="0"/>
        <w:pageBreakBefore w:val="0"/>
        <w:widowControl/>
        <w:numPr>
          <w:ilvl w:val="0"/>
          <w:numId w:val="10"/>
        </w:numPr>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落实政府采购政策需满足的资格要求：</w:t>
      </w:r>
      <w:r>
        <w:rPr>
          <w:rFonts w:hint="eastAsia" w:ascii="微软雅黑" w:hAnsi="微软雅黑" w:eastAsia="微软雅黑" w:cs="微软雅黑"/>
          <w:lang w:eastAsia="zh-CN"/>
        </w:rPr>
        <w:t>供应商为中小企业</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3、本项目的特定资格要求：</w:t>
      </w:r>
      <w:r>
        <w:rPr>
          <w:rFonts w:hint="eastAsia" w:ascii="微软雅黑" w:hAnsi="微软雅黑" w:eastAsia="微软雅黑" w:cs="微软雅黑"/>
          <w:lang w:eastAsia="zh-CN"/>
        </w:rPr>
        <w:t>具有有效的</w:t>
      </w:r>
      <w:r>
        <w:rPr>
          <w:rFonts w:hint="eastAsia" w:ascii="微软雅黑" w:hAnsi="微软雅黑" w:eastAsia="微软雅黑" w:cs="微软雅黑"/>
        </w:rPr>
        <w:t>《药品生产许可证》或《药品经营许可证》</w:t>
      </w:r>
      <w:r>
        <w:rPr>
          <w:rFonts w:hint="eastAsia" w:ascii="微软雅黑" w:hAnsi="微软雅黑" w:eastAsia="微软雅黑" w:cs="微软雅黑"/>
          <w:lang w:eastAsia="zh-CN"/>
        </w:rPr>
        <w:t>。</w:t>
      </w:r>
      <w:r>
        <w:rPr>
          <w:rFonts w:hint="eastAsia" w:ascii="微软雅黑" w:hAnsi="微软雅黑" w:eastAsia="微软雅黑" w:cs="微软雅黑"/>
        </w:rPr>
        <w:t> </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rPr>
      </w:pPr>
      <w:r>
        <w:rPr>
          <w:rFonts w:hint="eastAsia" w:ascii="微软雅黑" w:hAnsi="微软雅黑" w:eastAsia="微软雅黑" w:cs="微软雅黑"/>
          <w:b/>
          <w:bCs/>
        </w:rPr>
        <w:t>三、获取采购文件</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left="458" w:leftChars="218"/>
        <w:textAlignment w:val="auto"/>
        <w:rPr>
          <w:rFonts w:ascii="微软雅黑" w:hAnsi="微软雅黑" w:eastAsia="微软雅黑" w:cs="微软雅黑"/>
        </w:rPr>
      </w:pPr>
      <w:r>
        <w:rPr>
          <w:rFonts w:hint="eastAsia" w:ascii="微软雅黑" w:hAnsi="微软雅黑" w:eastAsia="微软雅黑" w:cs="微软雅黑"/>
        </w:rPr>
        <w:t> 时间：2023年</w:t>
      </w: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 xml:space="preserve"> 日至2023年</w:t>
      </w:r>
      <w:r>
        <w:rPr>
          <w:rFonts w:hint="eastAsia" w:ascii="微软雅黑" w:hAnsi="微软雅黑" w:eastAsia="微软雅黑" w:cs="微软雅黑"/>
          <w:lang w:val="en-US" w:eastAsia="zh-CN"/>
        </w:rPr>
        <w:t>10</w:t>
      </w:r>
      <w:r>
        <w:rPr>
          <w:rFonts w:hint="eastAsia" w:ascii="微软雅黑" w:hAnsi="微软雅黑" w:eastAsia="微软雅黑" w:cs="微软雅黑"/>
        </w:rPr>
        <w:t>月</w:t>
      </w:r>
      <w:r>
        <w:rPr>
          <w:rFonts w:hint="eastAsia" w:ascii="微软雅黑" w:hAnsi="微软雅黑" w:eastAsia="微软雅黑" w:cs="微软雅黑"/>
          <w:lang w:val="en-US" w:eastAsia="zh-CN"/>
        </w:rPr>
        <w:t>23</w:t>
      </w:r>
      <w:r>
        <w:rPr>
          <w:rFonts w:hint="eastAsia" w:ascii="微软雅黑" w:hAnsi="微软雅黑" w:eastAsia="微软雅黑" w:cs="微软雅黑"/>
        </w:rPr>
        <w:t>日，每天上午10:00至14:00，下午</w:t>
      </w:r>
      <w:r>
        <w:rPr>
          <w:rFonts w:hint="eastAsia" w:ascii="微软雅黑" w:hAnsi="微软雅黑" w:eastAsia="微软雅黑" w:cs="微软雅黑"/>
          <w:lang w:val="en-US" w:eastAsia="zh-CN"/>
        </w:rPr>
        <w:t>15:30</w:t>
      </w:r>
      <w:r>
        <w:rPr>
          <w:rFonts w:hint="eastAsia" w:ascii="微软雅黑" w:hAnsi="微软雅黑" w:eastAsia="微软雅黑" w:cs="微软雅黑"/>
        </w:rPr>
        <w:t>至</w:t>
      </w:r>
      <w:r>
        <w:rPr>
          <w:rFonts w:hint="eastAsia" w:ascii="微软雅黑" w:hAnsi="微软雅黑" w:eastAsia="微软雅黑" w:cs="微软雅黑"/>
          <w:lang w:val="en-US" w:eastAsia="zh-CN"/>
        </w:rPr>
        <w:t>19:30</w:t>
      </w:r>
      <w:r>
        <w:rPr>
          <w:rFonts w:hint="eastAsia" w:ascii="微软雅黑" w:hAnsi="微软雅黑" w:eastAsia="微软雅黑" w:cs="微软雅黑"/>
        </w:rPr>
        <w:t>（北京时间，法定节假日除外）</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地点：政采云平台（https://www.zcygov.cn/） </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方式：（1）线上获取（登录政府采购云平台 → 项目采购 → 获取招标文件）。（2）供应商获取招标文件前应注册成为政府采购云平台正式供应商。</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rPr>
      </w:pPr>
      <w:r>
        <w:rPr>
          <w:rFonts w:hint="eastAsia" w:ascii="微软雅黑" w:hAnsi="微软雅黑" w:eastAsia="微软雅黑" w:cs="微软雅黑"/>
          <w:b/>
          <w:bCs/>
        </w:rPr>
        <w:t>四、投标文件提交 </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 截止时间：2023年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 xml:space="preserve">6 </w:t>
      </w:r>
      <w:r>
        <w:rPr>
          <w:rFonts w:hint="eastAsia" w:ascii="微软雅黑" w:hAnsi="微软雅黑" w:eastAsia="微软雅黑" w:cs="微软雅黑"/>
        </w:rPr>
        <w:t>日 1</w:t>
      </w:r>
      <w:r>
        <w:rPr>
          <w:rFonts w:hint="eastAsia" w:ascii="微软雅黑" w:hAnsi="微软雅黑" w:eastAsia="微软雅黑" w:cs="微软雅黑"/>
          <w:lang w:val="en-US" w:eastAsia="zh-CN"/>
        </w:rPr>
        <w:t>1</w:t>
      </w:r>
      <w:r>
        <w:rPr>
          <w:rFonts w:hint="eastAsia" w:ascii="微软雅黑" w:hAnsi="微软雅黑" w:eastAsia="微软雅黑" w:cs="微软雅黑"/>
        </w:rPr>
        <w:t>:00（北京时间）</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 地点：政采云平台（https://www.zcygov.cn/）</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rPr>
      </w:pPr>
      <w:r>
        <w:rPr>
          <w:rFonts w:hint="eastAsia" w:ascii="微软雅黑" w:hAnsi="微软雅黑" w:eastAsia="微软雅黑" w:cs="微软雅黑"/>
          <w:b/>
          <w:bCs/>
        </w:rPr>
        <w:t>五、投标文件开启 </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  开启时间：2023年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 xml:space="preserve">6 </w:t>
      </w:r>
      <w:r>
        <w:rPr>
          <w:rFonts w:hint="eastAsia" w:ascii="微软雅黑" w:hAnsi="微软雅黑" w:eastAsia="微软雅黑" w:cs="微软雅黑"/>
        </w:rPr>
        <w:t>日 1</w:t>
      </w:r>
      <w:r>
        <w:rPr>
          <w:rFonts w:hint="eastAsia" w:ascii="微软雅黑" w:hAnsi="微软雅黑" w:eastAsia="微软雅黑" w:cs="微软雅黑"/>
          <w:lang w:val="en-US" w:eastAsia="zh-CN"/>
        </w:rPr>
        <w:t>1</w:t>
      </w:r>
      <w:r>
        <w:rPr>
          <w:rFonts w:hint="eastAsia" w:ascii="微软雅黑" w:hAnsi="微软雅黑" w:eastAsia="微软雅黑" w:cs="微软雅黑"/>
        </w:rPr>
        <w:t>:00（北京时间）</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  地点：政采云平台（https://www.zcygov.cn/）</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b/>
          <w:bCs/>
        </w:rPr>
      </w:pPr>
      <w:r>
        <w:rPr>
          <w:rFonts w:hint="eastAsia" w:ascii="微软雅黑" w:hAnsi="微软雅黑" w:eastAsia="微软雅黑" w:cs="微软雅黑"/>
          <w:b/>
          <w:bCs/>
        </w:rPr>
        <w:t>六、公告期限</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rPr>
      </w:pPr>
      <w:r>
        <w:rPr>
          <w:rFonts w:hint="eastAsia" w:ascii="微软雅黑" w:hAnsi="微软雅黑" w:eastAsia="微软雅黑" w:cs="微软雅黑"/>
        </w:rPr>
        <w:t>    自本公告发布之日起5个工作日。</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Fonts w:ascii="微软雅黑" w:hAnsi="微软雅黑" w:eastAsia="微软雅黑" w:cs="微软雅黑"/>
        </w:rPr>
      </w:pPr>
      <w:r>
        <w:rPr>
          <w:rFonts w:hint="eastAsia" w:ascii="微软雅黑" w:hAnsi="微软雅黑" w:eastAsia="微软雅黑" w:cs="微软雅黑"/>
          <w:b/>
          <w:bCs/>
        </w:rPr>
        <w:t>七、其他补充事宜</w:t>
      </w:r>
      <w:r>
        <w:rPr>
          <w:rFonts w:hint="eastAsia" w:ascii="微软雅黑" w:hAnsi="微软雅黑" w:eastAsia="微软雅黑" w:cs="微软雅黑"/>
        </w:rPr>
        <w:t> </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2.本项目实行网上投标，采用电子投标文件(供应商须使用CA加密设备通过政采云电子投标客户端制作投标文件)。若供应商参与投标，自行承担投标一切费用。</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5.供应商在开标时须使用制作加密电子投标文件所使用的CA锁及电脑，电脑须提前配置好浏览器（建议使用谷歌浏览器），以便开标时解锁。</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kinsoku/>
        <w:wordWrap/>
        <w:overflowPunct/>
        <w:topLinePunct w:val="0"/>
        <w:autoSpaceDE/>
        <w:autoSpaceDN/>
        <w:bidi w:val="0"/>
        <w:adjustRightInd/>
        <w:snapToGrid/>
        <w:spacing w:line="440" w:lineRule="exact"/>
        <w:ind w:firstLine="540"/>
        <w:textAlignment w:val="auto"/>
        <w:rPr>
          <w:rFonts w:ascii="微软雅黑" w:hAnsi="微软雅黑" w:eastAsia="微软雅黑" w:cs="微软雅黑"/>
          <w:b/>
          <w:bCs/>
          <w:sz w:val="24"/>
          <w:szCs w:val="24"/>
        </w:rPr>
      </w:pPr>
      <w:r>
        <w:rPr>
          <w:rFonts w:hint="eastAsia" w:ascii="微软雅黑" w:hAnsi="微软雅黑" w:eastAsia="微软雅黑" w:cs="微软雅黑"/>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b/>
          <w:bCs/>
        </w:rPr>
      </w:pPr>
      <w:r>
        <w:rPr>
          <w:rFonts w:hint="eastAsia" w:ascii="微软雅黑" w:hAnsi="微软雅黑" w:eastAsia="微软雅黑" w:cs="微软雅黑"/>
          <w:b/>
          <w:bCs/>
        </w:rPr>
        <w:t>特别提示：</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Fonts w:ascii="微软雅黑" w:hAnsi="微软雅黑" w:eastAsia="微软雅黑" w:cs="微软雅黑"/>
          <w:kern w:val="2"/>
        </w:rPr>
      </w:pPr>
      <w:r>
        <w:rPr>
          <w:rFonts w:hint="eastAsia" w:ascii="微软雅黑" w:hAnsi="微软雅黑" w:eastAsia="微软雅黑" w:cs="微软雅黑"/>
        </w:rPr>
        <w:t>1、超过200</w:t>
      </w:r>
      <w:r>
        <w:rPr>
          <w:rFonts w:hint="eastAsia" w:ascii="微软雅黑" w:hAnsi="微软雅黑" w:eastAsia="微软雅黑" w:cs="微软雅黑"/>
          <w:kern w:val="2"/>
        </w:rPr>
        <w:t>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微软雅黑" w:hAnsi="微软雅黑" w:eastAsia="微软雅黑" w:cs="微软雅黑"/>
          <w:sz w:val="24"/>
          <w:szCs w:val="24"/>
        </w:rPr>
      </w:pPr>
      <w:r>
        <w:rPr>
          <w:rFonts w:hint="eastAsia" w:ascii="微软雅黑" w:hAnsi="微软雅黑" w:eastAsia="微软雅黑" w:cs="微软雅黑"/>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80" w:firstLineChars="200"/>
        <w:textAlignment w:val="auto"/>
        <w:rPr>
          <w:rStyle w:val="35"/>
          <w:rFonts w:ascii="微软雅黑" w:hAnsi="微软雅黑" w:eastAsia="微软雅黑" w:cs="微软雅黑"/>
        </w:rPr>
      </w:pPr>
      <w:r>
        <w:rPr>
          <w:rFonts w:hint="eastAsia" w:ascii="微软雅黑" w:hAnsi="微软雅黑" w:eastAsia="微软雅黑" w:cs="微软雅黑"/>
          <w:kern w:val="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5"/>
          <w:rFonts w:hint="eastAsia" w:ascii="微软雅黑" w:hAnsi="微软雅黑" w:eastAsia="微软雅黑" w:cs="微软雅黑"/>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textAlignment w:val="auto"/>
        <w:rPr>
          <w:rStyle w:val="35"/>
          <w:rFonts w:ascii="微软雅黑" w:hAnsi="微软雅黑" w:eastAsia="微软雅黑" w:cs="微软雅黑"/>
          <w:b/>
          <w:bCs/>
        </w:rPr>
      </w:pPr>
      <w:r>
        <w:rPr>
          <w:rStyle w:val="35"/>
          <w:rFonts w:hint="eastAsia" w:ascii="微软雅黑" w:hAnsi="微软雅黑" w:eastAsia="微软雅黑" w:cs="微软雅黑"/>
          <w:b/>
          <w:bCs/>
        </w:rPr>
        <w:t>八、凡对本次招标提出询问，请按以下方式联系</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35"/>
          <w:rFonts w:ascii="微软雅黑" w:hAnsi="微软雅黑" w:eastAsia="微软雅黑" w:cs="微软雅黑"/>
        </w:rPr>
      </w:pPr>
      <w:r>
        <w:rPr>
          <w:rStyle w:val="35"/>
          <w:rFonts w:hint="eastAsia" w:ascii="微软雅黑" w:hAnsi="微软雅黑" w:eastAsia="微软雅黑" w:cs="微软雅黑"/>
        </w:rPr>
        <w:t>1.采购人信息</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35"/>
          <w:rFonts w:hint="eastAsia" w:ascii="微软雅黑" w:hAnsi="微软雅黑" w:eastAsia="微软雅黑" w:cs="微软雅黑"/>
          <w:lang w:eastAsia="zh-CN"/>
        </w:rPr>
      </w:pPr>
      <w:r>
        <w:rPr>
          <w:rStyle w:val="35"/>
          <w:rFonts w:hint="eastAsia" w:ascii="微软雅黑" w:hAnsi="微软雅黑" w:eastAsia="微软雅黑" w:cs="微软雅黑"/>
        </w:rPr>
        <w:t>名 称：</w:t>
      </w:r>
      <w:r>
        <w:rPr>
          <w:rStyle w:val="35"/>
          <w:rFonts w:hint="eastAsia" w:ascii="微软雅黑" w:hAnsi="微软雅黑" w:eastAsia="微软雅黑" w:cs="微软雅黑"/>
          <w:lang w:eastAsia="zh-CN"/>
        </w:rPr>
        <w:t>疏附县人民医院</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35"/>
          <w:rFonts w:hint="eastAsia" w:ascii="微软雅黑" w:hAnsi="微软雅黑" w:eastAsia="微软雅黑" w:cs="微软雅黑"/>
          <w:lang w:eastAsia="zh-CN"/>
        </w:rPr>
      </w:pPr>
      <w:r>
        <w:rPr>
          <w:rStyle w:val="35"/>
          <w:rFonts w:hint="eastAsia" w:ascii="微软雅黑" w:hAnsi="微软雅黑" w:eastAsia="微软雅黑" w:cs="微软雅黑"/>
        </w:rPr>
        <w:t>联系人：</w:t>
      </w:r>
      <w:r>
        <w:rPr>
          <w:rStyle w:val="35"/>
          <w:rFonts w:hint="eastAsia" w:ascii="微软雅黑" w:hAnsi="微软雅黑" w:eastAsia="微软雅黑" w:cs="微软雅黑"/>
          <w:lang w:eastAsia="zh-CN"/>
        </w:rPr>
        <w:t>田甜</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联系方式：</w:t>
      </w:r>
      <w:r>
        <w:rPr>
          <w:rFonts w:hint="eastAsia" w:ascii="微软雅黑" w:hAnsi="微软雅黑" w:eastAsia="微软雅黑" w:cs="微软雅黑"/>
          <w:lang w:val="en-US" w:eastAsia="zh-CN"/>
        </w:rPr>
        <w:t>15809980219</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Fonts w:ascii="微软雅黑" w:hAnsi="微软雅黑" w:eastAsia="微软雅黑" w:cs="微软雅黑"/>
        </w:rPr>
      </w:pPr>
      <w:r>
        <w:rPr>
          <w:rFonts w:hint="eastAsia" w:ascii="微软雅黑" w:hAnsi="微软雅黑" w:eastAsia="微软雅黑" w:cs="微软雅黑"/>
        </w:rPr>
        <w:t>2.采购代理机构信息</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35"/>
          <w:rFonts w:ascii="微软雅黑" w:hAnsi="微软雅黑" w:eastAsia="微软雅黑" w:cs="微软雅黑"/>
        </w:rPr>
      </w:pPr>
      <w:bookmarkStart w:id="618" w:name="_Toc24709"/>
      <w:bookmarkStart w:id="619" w:name="_Toc17272"/>
      <w:bookmarkStart w:id="620" w:name="_Toc11627"/>
      <w:r>
        <w:rPr>
          <w:rStyle w:val="35"/>
          <w:rFonts w:hint="eastAsia" w:ascii="微软雅黑" w:hAnsi="微软雅黑" w:eastAsia="微软雅黑" w:cs="微软雅黑"/>
        </w:rPr>
        <w:t>名    称：</w:t>
      </w:r>
      <w:bookmarkEnd w:id="618"/>
      <w:bookmarkEnd w:id="619"/>
      <w:bookmarkEnd w:id="620"/>
      <w:r>
        <w:rPr>
          <w:rStyle w:val="35"/>
          <w:rFonts w:hint="eastAsia" w:ascii="微软雅黑" w:hAnsi="微软雅黑" w:eastAsia="微软雅黑" w:cs="微软雅黑"/>
        </w:rPr>
        <w:t>新疆永信国金工程管理咨询有限公司</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35"/>
          <w:rFonts w:ascii="微软雅黑" w:hAnsi="微软雅黑" w:eastAsia="微软雅黑" w:cs="微软雅黑"/>
        </w:rPr>
      </w:pPr>
      <w:bookmarkStart w:id="621" w:name="_Toc7142"/>
      <w:bookmarkStart w:id="622" w:name="_Toc21793"/>
      <w:bookmarkStart w:id="623" w:name="_Toc31217"/>
      <w:r>
        <w:rPr>
          <w:rStyle w:val="35"/>
          <w:rFonts w:hint="eastAsia" w:ascii="微软雅黑" w:hAnsi="微软雅黑" w:eastAsia="微软雅黑" w:cs="微软雅黑"/>
        </w:rPr>
        <w:t>地　　址：</w:t>
      </w:r>
      <w:bookmarkEnd w:id="621"/>
      <w:bookmarkEnd w:id="622"/>
      <w:bookmarkEnd w:id="623"/>
      <w:r>
        <w:rPr>
          <w:rStyle w:val="35"/>
          <w:rFonts w:hint="eastAsia" w:ascii="微软雅黑" w:hAnsi="微软雅黑" w:eastAsia="微软雅黑" w:cs="微软雅黑"/>
        </w:rPr>
        <w:t>喀什市明宇广场写字楼B座5楼519室</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35"/>
          <w:rFonts w:ascii="微软雅黑" w:hAnsi="微软雅黑" w:eastAsia="微软雅黑" w:cs="微软雅黑"/>
        </w:rPr>
      </w:pPr>
      <w:bookmarkStart w:id="624" w:name="_Toc21494"/>
      <w:bookmarkStart w:id="625" w:name="_Toc9618"/>
      <w:bookmarkStart w:id="626" w:name="_Toc9353"/>
      <w:r>
        <w:rPr>
          <w:rStyle w:val="35"/>
          <w:rFonts w:hint="eastAsia" w:ascii="微软雅黑" w:hAnsi="微软雅黑" w:eastAsia="微软雅黑" w:cs="微软雅黑"/>
        </w:rPr>
        <w:t>联 系 人：</w:t>
      </w:r>
      <w:bookmarkEnd w:id="624"/>
      <w:bookmarkEnd w:id="625"/>
      <w:bookmarkEnd w:id="626"/>
      <w:r>
        <w:rPr>
          <w:rStyle w:val="35"/>
          <w:rFonts w:hint="eastAsia" w:ascii="微软雅黑" w:hAnsi="微软雅黑" w:eastAsia="微软雅黑" w:cs="微软雅黑"/>
          <w:lang w:eastAsia="zh-CN"/>
        </w:rPr>
        <w:t>陈玉杰</w:t>
      </w:r>
      <w:r>
        <w:rPr>
          <w:rStyle w:val="35"/>
          <w:rFonts w:hint="eastAsia" w:ascii="微软雅黑" w:hAnsi="微软雅黑" w:eastAsia="微软雅黑" w:cs="微软雅黑"/>
        </w:rPr>
        <w:t>　</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440" w:lineRule="exact"/>
        <w:ind w:firstLine="420"/>
        <w:textAlignment w:val="auto"/>
        <w:rPr>
          <w:rStyle w:val="35"/>
          <w:rFonts w:ascii="微软雅黑" w:hAnsi="微软雅黑" w:eastAsia="微软雅黑" w:cs="微软雅黑"/>
        </w:rPr>
      </w:pPr>
      <w:bookmarkStart w:id="627" w:name="_Toc6311"/>
      <w:bookmarkStart w:id="628" w:name="_Toc18984"/>
      <w:bookmarkStart w:id="629" w:name="_Toc9066"/>
      <w:r>
        <w:rPr>
          <w:rStyle w:val="35"/>
          <w:rFonts w:hint="eastAsia" w:ascii="微软雅黑" w:hAnsi="微软雅黑" w:eastAsia="微软雅黑" w:cs="微软雅黑"/>
        </w:rPr>
        <w:t>联系电话：</w:t>
      </w:r>
      <w:bookmarkEnd w:id="627"/>
      <w:bookmarkEnd w:id="628"/>
      <w:bookmarkEnd w:id="629"/>
      <w:r>
        <w:rPr>
          <w:rStyle w:val="35"/>
          <w:rFonts w:hint="eastAsia" w:ascii="微软雅黑" w:hAnsi="微软雅黑" w:eastAsia="微软雅黑" w:cs="微软雅黑"/>
        </w:rPr>
        <w:t>15569228338</w:t>
      </w:r>
    </w:p>
    <w:bookmarkEnd w:id="1815"/>
    <w:p/>
    <w:p>
      <w:pPr>
        <w:pStyle w:val="24"/>
        <w:widowControl/>
        <w:spacing w:before="75" w:beforeAutospacing="0" w:after="75" w:afterAutospacing="0"/>
        <w:ind w:firstLine="420"/>
        <w:rPr>
          <w:rStyle w:val="35"/>
          <w:rFonts w:ascii="微软雅黑" w:hAnsi="微软雅黑" w:eastAsia="微软雅黑" w:cs="微软雅黑"/>
        </w:rPr>
      </w:pPr>
    </w:p>
    <w:p>
      <w:pPr>
        <w:pStyle w:val="24"/>
        <w:widowControl/>
        <w:spacing w:before="75" w:beforeAutospacing="0" w:after="75" w:afterAutospacing="0"/>
        <w:ind w:firstLine="420"/>
        <w:rPr>
          <w:rStyle w:val="35"/>
          <w:rFonts w:ascii="微软雅黑" w:hAnsi="微软雅黑" w:eastAsia="微软雅黑" w:cs="微软雅黑"/>
        </w:rPr>
      </w:pPr>
    </w:p>
    <w:p>
      <w:pPr>
        <w:pStyle w:val="24"/>
        <w:widowControl/>
        <w:spacing w:before="75" w:beforeAutospacing="0" w:after="75" w:afterAutospacing="0"/>
        <w:ind w:firstLine="420"/>
        <w:rPr>
          <w:rStyle w:val="35"/>
          <w:rFonts w:ascii="微软雅黑" w:hAnsi="微软雅黑" w:eastAsia="微软雅黑" w:cs="微软雅黑"/>
        </w:rPr>
      </w:pPr>
    </w:p>
    <w:p>
      <w:pPr>
        <w:pStyle w:val="24"/>
        <w:widowControl/>
        <w:spacing w:before="75" w:beforeAutospacing="0" w:after="75" w:afterAutospacing="0"/>
        <w:ind w:firstLine="420"/>
        <w:rPr>
          <w:rStyle w:val="35"/>
          <w:rFonts w:ascii="微软雅黑" w:hAnsi="微软雅黑" w:eastAsia="微软雅黑" w:cs="微软雅黑"/>
        </w:rPr>
      </w:pPr>
    </w:p>
    <w:p>
      <w:pPr>
        <w:pStyle w:val="24"/>
        <w:widowControl/>
        <w:spacing w:before="75" w:beforeAutospacing="0" w:after="75" w:afterAutospacing="0"/>
        <w:ind w:firstLine="420"/>
        <w:rPr>
          <w:rStyle w:val="35"/>
          <w:rFonts w:ascii="微软雅黑" w:hAnsi="微软雅黑" w:eastAsia="微软雅黑" w:cs="微软雅黑"/>
        </w:rPr>
      </w:pPr>
    </w:p>
    <w:p>
      <w:pPr>
        <w:pStyle w:val="24"/>
        <w:widowControl/>
        <w:spacing w:before="75" w:beforeAutospacing="0" w:after="75" w:afterAutospacing="0"/>
        <w:ind w:firstLine="420"/>
        <w:rPr>
          <w:rStyle w:val="35"/>
          <w:rFonts w:ascii="微软雅黑" w:hAnsi="微软雅黑" w:eastAsia="微软雅黑" w:cs="微软雅黑"/>
        </w:rPr>
      </w:pPr>
    </w:p>
    <w:p>
      <w:pPr>
        <w:pStyle w:val="24"/>
        <w:widowControl/>
        <w:spacing w:before="75" w:beforeAutospacing="0" w:after="75" w:afterAutospacing="0"/>
        <w:ind w:firstLine="420"/>
        <w:rPr>
          <w:rStyle w:val="35"/>
          <w:rFonts w:ascii="微软雅黑" w:hAnsi="微软雅黑" w:eastAsia="微软雅黑" w:cs="微软雅黑"/>
        </w:rPr>
      </w:pPr>
    </w:p>
    <w:p>
      <w:pPr>
        <w:pStyle w:val="24"/>
        <w:widowControl/>
        <w:spacing w:before="75" w:beforeAutospacing="0" w:after="75" w:afterAutospacing="0"/>
        <w:ind w:firstLine="420"/>
        <w:rPr>
          <w:rStyle w:val="35"/>
          <w:rFonts w:ascii="微软雅黑" w:hAnsi="微软雅黑" w:eastAsia="微软雅黑" w:cs="微软雅黑"/>
        </w:rPr>
      </w:pPr>
    </w:p>
    <w:p>
      <w:pPr>
        <w:pStyle w:val="24"/>
        <w:widowControl/>
        <w:spacing w:before="75" w:beforeAutospacing="0" w:after="75" w:afterAutospacing="0"/>
        <w:ind w:firstLine="420"/>
        <w:rPr>
          <w:rStyle w:val="35"/>
          <w:rFonts w:ascii="微软雅黑" w:hAnsi="微软雅黑" w:eastAsia="微软雅黑" w:cs="微软雅黑"/>
        </w:rPr>
      </w:pPr>
    </w:p>
    <w:p/>
    <w:p>
      <w:pPr>
        <w:spacing w:line="460" w:lineRule="exact"/>
        <w:rPr>
          <w:rFonts w:ascii="微软雅黑" w:hAnsi="微软雅黑" w:eastAsia="微软雅黑" w:cs="微软雅黑"/>
          <w:sz w:val="27"/>
          <w:szCs w:val="27"/>
        </w:rPr>
      </w:pPr>
    </w:p>
    <w:p>
      <w:pPr>
        <w:pStyle w:val="3"/>
        <w:numPr>
          <w:ilvl w:val="0"/>
          <w:numId w:val="9"/>
        </w:numPr>
        <w:tabs>
          <w:tab w:val="left" w:pos="0"/>
        </w:tabs>
        <w:spacing w:before="0" w:after="0" w:line="240" w:lineRule="auto"/>
        <w:rPr>
          <w:rFonts w:ascii="微软雅黑" w:hAnsi="微软雅黑" w:eastAsia="微软雅黑" w:cs="微软雅黑"/>
          <w:b/>
          <w:bCs/>
        </w:rPr>
      </w:pPr>
      <w:bookmarkStart w:id="630" w:name="_Toc9325"/>
      <w:r>
        <w:rPr>
          <w:rFonts w:hint="eastAsia" w:ascii="微软雅黑" w:hAnsi="微软雅黑" w:eastAsia="微软雅黑" w:cs="微软雅黑"/>
          <w:b/>
          <w:bCs/>
        </w:rPr>
        <w:t>供应商须知资料表</w:t>
      </w:r>
      <w:bookmarkEnd w:id="607"/>
      <w:bookmarkEnd w:id="608"/>
      <w:bookmarkEnd w:id="609"/>
      <w:bookmarkEnd w:id="610"/>
      <w:bookmarkEnd w:id="611"/>
      <w:bookmarkEnd w:id="612"/>
      <w:bookmarkEnd w:id="630"/>
    </w:p>
    <w:bookmarkEnd w:id="613"/>
    <w:p>
      <w:pPr>
        <w:ind w:firstLine="360" w:firstLineChars="15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本表是本招标项目的具体资料，是对供应商须知的具体补充和修改，如有矛盾，应以本资料表为准。</w:t>
      </w:r>
    </w:p>
    <w:tbl>
      <w:tblPr>
        <w:tblStyle w:val="28"/>
        <w:tblW w:w="101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04"/>
        <w:gridCol w:w="87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1404" w:type="dxa"/>
            <w:tcBorders>
              <w:top w:val="single" w:color="auto" w:sz="12" w:space="0"/>
            </w:tcBorders>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条款号</w:t>
            </w:r>
          </w:p>
        </w:tc>
        <w:tc>
          <w:tcPr>
            <w:tcW w:w="8715" w:type="dxa"/>
            <w:tcBorders>
              <w:top w:val="single" w:color="auto" w:sz="12" w:space="0"/>
            </w:tcBorders>
            <w:vAlign w:val="center"/>
          </w:tcPr>
          <w:p>
            <w:pPr>
              <w:spacing w:line="380" w:lineRule="exact"/>
              <w:ind w:left="1080" w:leftChars="257" w:hanging="540"/>
              <w:rPr>
                <w:rFonts w:ascii="微软雅黑" w:hAnsi="微软雅黑" w:eastAsia="微软雅黑" w:cs="微软雅黑"/>
                <w:b/>
                <w:bCs/>
                <w:sz w:val="24"/>
                <w:szCs w:val="24"/>
              </w:rPr>
            </w:pPr>
            <w:r>
              <w:rPr>
                <w:rFonts w:hint="eastAsia" w:ascii="微软雅黑" w:hAnsi="微软雅黑" w:eastAsia="微软雅黑" w:cs="微软雅黑"/>
                <w:b/>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1.1</w:t>
            </w:r>
          </w:p>
        </w:tc>
        <w:tc>
          <w:tcPr>
            <w:tcW w:w="8715" w:type="dxa"/>
            <w:vAlign w:val="center"/>
          </w:tcPr>
          <w:p>
            <w:pPr>
              <w:spacing w:line="380" w:lineRule="exact"/>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采购人：</w:t>
            </w:r>
            <w:r>
              <w:rPr>
                <w:rFonts w:hint="eastAsia" w:ascii="微软雅黑" w:hAnsi="微软雅黑" w:eastAsia="微软雅黑" w:cs="微软雅黑"/>
                <w:sz w:val="24"/>
                <w:szCs w:val="24"/>
                <w:lang w:eastAsia="zh-CN"/>
              </w:rPr>
              <w:t>疏附县人民医院</w:t>
            </w:r>
          </w:p>
          <w:p>
            <w:pPr>
              <w:spacing w:line="380" w:lineRule="exact"/>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lang w:eastAsia="zh-CN"/>
              </w:rPr>
              <w:t>田甜</w:t>
            </w:r>
            <w:r>
              <w:rPr>
                <w:rFonts w:hint="eastAsia" w:ascii="微软雅黑" w:hAnsi="微软雅黑" w:eastAsia="微软雅黑" w:cs="微软雅黑"/>
                <w:sz w:val="24"/>
                <w:szCs w:val="24"/>
              </w:rPr>
              <w:t xml:space="preserve">      联系电话：</w:t>
            </w:r>
            <w:r>
              <w:rPr>
                <w:rFonts w:hint="eastAsia" w:ascii="微软雅黑" w:hAnsi="微软雅黑" w:eastAsia="微软雅黑" w:cs="微软雅黑"/>
                <w:sz w:val="24"/>
                <w:szCs w:val="24"/>
                <w:lang w:eastAsia="zh-CN"/>
              </w:rPr>
              <w:t>15809980219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1"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1.2</w:t>
            </w:r>
          </w:p>
        </w:tc>
        <w:tc>
          <w:tcPr>
            <w:tcW w:w="8715" w:type="dxa"/>
            <w:vAlign w:val="center"/>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 xml:space="preserve">采购代理机构：新疆永信国金工程管理咨询有限公司 </w:t>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地址：</w:t>
            </w:r>
            <w:r>
              <w:rPr>
                <w:rStyle w:val="35"/>
                <w:rFonts w:hint="eastAsia" w:ascii="微软雅黑" w:hAnsi="微软雅黑" w:eastAsia="微软雅黑" w:cs="微软雅黑"/>
                <w:sz w:val="24"/>
                <w:szCs w:val="24"/>
              </w:rPr>
              <w:t>喀什市明宇广场写字楼B座5楼519室</w:t>
            </w:r>
          </w:p>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rPr>
              <w:t>联系人：</w:t>
            </w:r>
            <w:r>
              <w:rPr>
                <w:rStyle w:val="35"/>
                <w:rFonts w:hint="eastAsia" w:ascii="微软雅黑" w:hAnsi="微软雅黑" w:eastAsia="微软雅黑" w:cs="微软雅黑"/>
                <w:sz w:val="24"/>
                <w:szCs w:val="24"/>
                <w:lang w:eastAsia="zh-CN"/>
              </w:rPr>
              <w:t>陈玉杰</w:t>
            </w:r>
            <w:r>
              <w:rPr>
                <w:rFonts w:hint="eastAsia" w:ascii="微软雅黑" w:hAnsi="微软雅黑" w:eastAsia="微软雅黑" w:cs="微软雅黑"/>
                <w:sz w:val="24"/>
              </w:rPr>
              <w:t xml:space="preserve">      联系电话：15569228338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1.3.4</w:t>
            </w:r>
          </w:p>
        </w:tc>
        <w:tc>
          <w:tcPr>
            <w:tcW w:w="8715" w:type="dxa"/>
            <w:vAlign w:val="center"/>
          </w:tcPr>
          <w:p>
            <w:pPr>
              <w:spacing w:line="380" w:lineRule="exact"/>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合格供应商的其他资格要求：</w:t>
            </w:r>
          </w:p>
          <w:p>
            <w:pPr>
              <w:pStyle w:val="5"/>
              <w:numPr>
                <w:ilvl w:val="0"/>
                <w:numId w:val="11"/>
              </w:numPr>
              <w:spacing w:line="380" w:lineRule="exact"/>
              <w:ind w:firstLine="0"/>
              <w:jc w:val="both"/>
              <w:rPr>
                <w:rFonts w:ascii="微软雅黑" w:hAnsi="微软雅黑" w:eastAsia="微软雅黑" w:cs="微软雅黑"/>
                <w:b/>
                <w:bCs/>
              </w:rPr>
            </w:pPr>
            <w:r>
              <w:rPr>
                <w:rFonts w:hint="eastAsia" w:ascii="微软雅黑" w:hAnsi="微软雅黑" w:eastAsia="微软雅黑" w:cs="微软雅黑"/>
                <w:b/>
                <w:bCs/>
              </w:rPr>
              <w:t>符合《中华人民共和国政府采购法》第二十二条的规定</w:t>
            </w:r>
          </w:p>
          <w:p>
            <w:pPr>
              <w:pStyle w:val="5"/>
              <w:spacing w:line="380" w:lineRule="exact"/>
              <w:ind w:firstLine="0"/>
              <w:jc w:val="both"/>
              <w:rPr>
                <w:rFonts w:ascii="微软雅黑" w:hAnsi="微软雅黑" w:eastAsia="微软雅黑" w:cs="微软雅黑"/>
                <w:b/>
                <w:bCs/>
              </w:rPr>
            </w:pPr>
            <w:r>
              <w:rPr>
                <w:rFonts w:hint="eastAsia" w:ascii="微软雅黑" w:hAnsi="微软雅黑" w:eastAsia="微软雅黑" w:cs="微软雅黑"/>
                <w:b/>
                <w:bCs/>
              </w:rPr>
              <w:t>①具有独立承担民事责任的能力；（投标时，提供在中华人民共和国境内注册的法人或其他组织的营业执照或事业单位法人证书或社会团体法人登记证书）</w:t>
            </w:r>
          </w:p>
          <w:p>
            <w:pPr>
              <w:pStyle w:val="5"/>
              <w:spacing w:line="380" w:lineRule="exact"/>
              <w:ind w:firstLine="0"/>
              <w:jc w:val="both"/>
              <w:rPr>
                <w:rFonts w:ascii="微软雅黑" w:hAnsi="微软雅黑" w:eastAsia="微软雅黑" w:cs="微软雅黑"/>
                <w:b/>
                <w:bCs/>
              </w:rPr>
            </w:pPr>
            <w:r>
              <w:rPr>
                <w:rFonts w:hint="eastAsia" w:ascii="微软雅黑" w:hAnsi="微软雅黑" w:eastAsia="微软雅黑" w:cs="微软雅黑"/>
                <w:b/>
                <w:bCs/>
              </w:rPr>
              <w:t>②</w:t>
            </w:r>
            <w:r>
              <w:rPr>
                <w:rFonts w:hint="eastAsia" w:ascii="微软雅黑" w:hAnsi="微软雅黑" w:eastAsia="微软雅黑" w:cs="微软雅黑"/>
                <w:b/>
                <w:bCs/>
                <w:lang w:eastAsia="zh-CN"/>
              </w:rPr>
              <w:t>具有有效的</w:t>
            </w:r>
            <w:r>
              <w:rPr>
                <w:rFonts w:hint="eastAsia" w:ascii="微软雅黑" w:hAnsi="微软雅黑" w:eastAsia="微软雅黑" w:cs="微软雅黑"/>
                <w:b/>
                <w:bCs/>
              </w:rPr>
              <w:t>《药品生产许可证》或《药品经营许可证》。</w:t>
            </w:r>
          </w:p>
          <w:p>
            <w:pPr>
              <w:pStyle w:val="5"/>
              <w:spacing w:line="380" w:lineRule="exact"/>
              <w:ind w:firstLine="0"/>
              <w:jc w:val="both"/>
              <w:rPr>
                <w:rFonts w:ascii="微软雅黑" w:hAnsi="微软雅黑" w:eastAsia="微软雅黑" w:cs="微软雅黑"/>
                <w:b/>
                <w:bCs/>
              </w:rPr>
            </w:pPr>
            <w:r>
              <w:rPr>
                <w:rFonts w:hint="eastAsia" w:ascii="微软雅黑" w:hAnsi="微软雅黑" w:eastAsia="微软雅黑" w:cs="微软雅黑"/>
                <w:b/>
                <w:bCs/>
              </w:rPr>
              <w:t>③提供法定代表人资格证明及授权书、被授权人身份证；(法定代表人投标需提供法定代表人身份证)；</w:t>
            </w:r>
          </w:p>
          <w:p>
            <w:pPr>
              <w:pStyle w:val="5"/>
              <w:spacing w:line="380" w:lineRule="exact"/>
              <w:ind w:firstLine="0"/>
              <w:jc w:val="both"/>
              <w:rPr>
                <w:rFonts w:ascii="微软雅黑" w:hAnsi="微软雅黑" w:eastAsia="微软雅黑" w:cs="微软雅黑"/>
                <w:b/>
                <w:bCs/>
              </w:rPr>
            </w:pPr>
            <w:r>
              <w:rPr>
                <w:rFonts w:hint="eastAsia" w:ascii="微软雅黑" w:hAnsi="微软雅黑" w:eastAsia="微软雅黑" w:cs="微软雅黑"/>
                <w:b/>
                <w:bCs/>
              </w:rPr>
              <w:t>④本单位依法缴纳的近3个月内任意一个月的社会保险的凭据；</w:t>
            </w:r>
          </w:p>
          <w:p>
            <w:pPr>
              <w:pStyle w:val="5"/>
              <w:spacing w:line="380" w:lineRule="exact"/>
              <w:ind w:firstLine="0"/>
              <w:jc w:val="both"/>
              <w:rPr>
                <w:rFonts w:ascii="微软雅黑" w:hAnsi="微软雅黑" w:eastAsia="微软雅黑" w:cs="微软雅黑"/>
                <w:b/>
                <w:bCs/>
              </w:rPr>
            </w:pPr>
            <w:r>
              <w:rPr>
                <w:rFonts w:hint="eastAsia" w:ascii="微软雅黑" w:hAnsi="微软雅黑" w:eastAsia="微软雅黑" w:cs="微软雅黑"/>
                <w:b/>
                <w:bCs/>
              </w:rPr>
              <w:t>⑤税务部门出具的近3个月内人任意一个月的完税证明（依法免缴的应提供依法免缴的相关证明文件或零申报报表）；</w:t>
            </w:r>
          </w:p>
          <w:p>
            <w:pPr>
              <w:pStyle w:val="5"/>
              <w:spacing w:line="380" w:lineRule="exact"/>
              <w:ind w:firstLine="0"/>
              <w:jc w:val="both"/>
              <w:rPr>
                <w:rFonts w:ascii="微软雅黑" w:hAnsi="微软雅黑" w:eastAsia="微软雅黑" w:cs="微软雅黑"/>
                <w:b/>
                <w:bCs/>
              </w:rPr>
            </w:pPr>
            <w:r>
              <w:rPr>
                <w:rFonts w:hint="eastAsia" w:ascii="微软雅黑" w:hAnsi="微软雅黑" w:eastAsia="微软雅黑" w:cs="微软雅黑"/>
                <w:b/>
                <w:bCs/>
              </w:rPr>
              <w:t>⑥提供近两年任意一年完整的财务审计报告（成立不满一年的可提供近一个月的银行资信证明）；</w:t>
            </w:r>
          </w:p>
          <w:p>
            <w:pPr>
              <w:pStyle w:val="5"/>
              <w:spacing w:line="380" w:lineRule="exact"/>
              <w:ind w:firstLine="0"/>
              <w:jc w:val="both"/>
              <w:rPr>
                <w:rFonts w:ascii="微软雅黑" w:hAnsi="微软雅黑" w:eastAsia="微软雅黑" w:cs="微软雅黑"/>
                <w:b/>
                <w:bCs/>
              </w:rPr>
            </w:pPr>
            <w:r>
              <w:rPr>
                <w:rFonts w:hint="eastAsia" w:ascii="微软雅黑" w:hAnsi="微软雅黑" w:eastAsia="微软雅黑" w:cs="微软雅黑"/>
                <w:b/>
                <w:bCs/>
              </w:rPr>
              <w:t>⑦参与政府采购活动前3年内未被列入失信、重大税收违法案件、财政部门禁止参加政府采购活动的承诺书；</w:t>
            </w:r>
          </w:p>
          <w:p>
            <w:pPr>
              <w:pStyle w:val="5"/>
              <w:spacing w:line="380" w:lineRule="exact"/>
              <w:ind w:firstLine="0"/>
              <w:jc w:val="both"/>
              <w:rPr>
                <w:rFonts w:ascii="微软雅黑" w:hAnsi="微软雅黑" w:eastAsia="微软雅黑" w:cs="微软雅黑"/>
                <w:b/>
                <w:bCs/>
              </w:rPr>
            </w:pPr>
            <w:r>
              <w:rPr>
                <w:rFonts w:hint="eastAsia" w:ascii="微软雅黑" w:hAnsi="微软雅黑" w:eastAsia="微软雅黑" w:cs="微软雅黑"/>
                <w:b/>
                <w:bCs/>
              </w:rPr>
              <w:t>⑧提供针对本次项目的反商业贿赂承诺书。</w:t>
            </w:r>
          </w:p>
          <w:p>
            <w:pPr>
              <w:pStyle w:val="5"/>
              <w:spacing w:line="380" w:lineRule="exact"/>
              <w:ind w:firstLine="0"/>
              <w:jc w:val="both"/>
              <w:rPr>
                <w:rFonts w:ascii="微软雅黑" w:hAnsi="微软雅黑" w:eastAsia="微软雅黑" w:cs="微软雅黑"/>
                <w:b/>
                <w:bCs/>
              </w:rPr>
            </w:pPr>
            <w:r>
              <w:rPr>
                <w:rFonts w:hint="eastAsia" w:ascii="微软雅黑" w:hAnsi="微软雅黑" w:eastAsia="微软雅黑" w:cs="微软雅黑"/>
                <w:b/>
                <w:bCs/>
              </w:rPr>
              <w:t>⑨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5"/>
              <w:spacing w:line="380" w:lineRule="exact"/>
              <w:ind w:firstLine="0"/>
              <w:jc w:val="both"/>
              <w:rPr>
                <w:rFonts w:ascii="微软雅黑" w:hAnsi="微软雅黑" w:eastAsia="微软雅黑" w:cs="微软雅黑"/>
                <w:b/>
                <w:bCs/>
                <w:highlight w:val="none"/>
              </w:rPr>
            </w:pPr>
            <w:r>
              <w:rPr>
                <w:rFonts w:hint="eastAsia" w:ascii="微软雅黑" w:hAnsi="微软雅黑" w:eastAsia="微软雅黑" w:cs="微软雅黑"/>
                <w:b/>
                <w:bCs/>
                <w:highlight w:val="none"/>
              </w:rPr>
              <w:t>2、投标保证金有效凭证。</w:t>
            </w:r>
          </w:p>
          <w:p>
            <w:pPr>
              <w:pStyle w:val="5"/>
              <w:spacing w:line="380" w:lineRule="exact"/>
              <w:ind w:firstLine="0"/>
              <w:jc w:val="both"/>
              <w:rPr>
                <w:rFonts w:ascii="微软雅黑" w:hAnsi="微软雅黑" w:eastAsia="微软雅黑" w:cs="微软雅黑"/>
                <w:b/>
                <w:bCs/>
                <w:highlight w:val="none"/>
              </w:rPr>
            </w:pPr>
            <w:r>
              <w:rPr>
                <w:rFonts w:hint="eastAsia" w:ascii="微软雅黑" w:hAnsi="微软雅黑" w:eastAsia="微软雅黑" w:cs="微软雅黑"/>
                <w:b/>
                <w:bCs/>
                <w:highlight w:val="none"/>
              </w:rPr>
              <w:t>提示：1、完税证明中“税种”非养老保险、医疗保险、失业保险、工伤保险和生育保险。请各投标供应商注意！</w:t>
            </w:r>
          </w:p>
          <w:p>
            <w:pPr>
              <w:spacing w:line="380" w:lineRule="exact"/>
              <w:ind w:firstLine="240" w:firstLineChars="100"/>
              <w:rPr>
                <w:rFonts w:ascii="微软雅黑" w:hAnsi="微软雅黑" w:eastAsia="微软雅黑" w:cs="微软雅黑"/>
              </w:rPr>
            </w:pPr>
            <w:r>
              <w:rPr>
                <w:rFonts w:hint="eastAsia" w:ascii="微软雅黑" w:hAnsi="微软雅黑" w:eastAsia="微软雅黑" w:cs="微软雅黑"/>
                <w:b/>
                <w:iCs/>
                <w:sz w:val="24"/>
                <w:szCs w:val="24"/>
              </w:rPr>
              <w:t>2、未通过资格审查的投标人不进入评标；通过资格审查的投标人少于不足三家的，不得评标。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 xml:space="preserve">1.3.5   </w:t>
            </w:r>
          </w:p>
        </w:tc>
        <w:tc>
          <w:tcPr>
            <w:tcW w:w="8715"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是否允许采购进口产品：</w:t>
            </w:r>
            <w:r>
              <w:rPr>
                <w:rFonts w:hint="eastAsia" w:ascii="微软雅黑" w:hAnsi="微软雅黑" w:eastAsia="微软雅黑" w:cs="微软雅黑"/>
                <w:sz w:val="24"/>
                <w:szCs w:val="24"/>
                <w:u w:val="single"/>
              </w:rPr>
              <w:t xml:space="preserve"> 否 </w:t>
            </w:r>
            <w:r>
              <w:rPr>
                <w:rFonts w:hint="eastAsia" w:ascii="微软雅黑" w:hAnsi="微软雅黑" w:eastAsia="微软雅黑" w:cs="微软雅黑"/>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1.3.6</w:t>
            </w:r>
          </w:p>
        </w:tc>
        <w:tc>
          <w:tcPr>
            <w:tcW w:w="8715"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是否为专门面向中小企业采购：</w:t>
            </w:r>
            <w:r>
              <w:rPr>
                <w:rFonts w:hint="eastAsia" w:ascii="微软雅黑" w:hAnsi="微软雅黑" w:eastAsia="微软雅黑" w:cs="微软雅黑"/>
                <w:sz w:val="24"/>
                <w:szCs w:val="24"/>
                <w:u w:val="single"/>
              </w:rPr>
              <w:t xml:space="preserve">  否  </w:t>
            </w:r>
            <w:r>
              <w:rPr>
                <w:rFonts w:hint="eastAsia" w:ascii="微软雅黑" w:hAnsi="微软雅黑" w:eastAsia="微软雅黑" w:cs="微软雅黑"/>
                <w:i/>
                <w:iCs/>
                <w:sz w:val="24"/>
                <w:szCs w:val="24"/>
              </w:rPr>
              <w:t>（是、否）</w:t>
            </w:r>
            <w:r>
              <w:rPr>
                <w:rFonts w:hint="eastAsia" w:ascii="微软雅黑" w:hAnsi="微软雅黑" w:eastAsia="微软雅黑" w:cs="微软雅黑"/>
                <w:b/>
                <w:bCs/>
                <w:i/>
                <w:iCs/>
                <w:sz w:val="24"/>
                <w:szCs w:val="24"/>
              </w:rPr>
              <w:t>（注：本项目</w:t>
            </w:r>
            <w:r>
              <w:rPr>
                <w:rFonts w:hint="eastAsia" w:ascii="微软雅黑" w:hAnsi="微软雅黑" w:eastAsia="微软雅黑" w:cs="微软雅黑"/>
                <w:b/>
                <w:bCs/>
                <w:i/>
                <w:iCs/>
                <w:sz w:val="24"/>
                <w:szCs w:val="24"/>
                <w:lang w:eastAsia="zh-CN"/>
              </w:rPr>
              <w:t>属于专门面向中小企业的项目</w:t>
            </w:r>
            <w:r>
              <w:rPr>
                <w:rFonts w:hint="eastAsia" w:ascii="微软雅黑" w:hAnsi="微软雅黑" w:eastAsia="微软雅黑" w:cs="微软雅黑"/>
                <w:b/>
                <w:bCs/>
                <w:i/>
                <w:iCs/>
                <w:sz w:val="24"/>
                <w:szCs w:val="24"/>
              </w:rPr>
              <w:t>，</w:t>
            </w:r>
            <w:r>
              <w:rPr>
                <w:rFonts w:hint="eastAsia" w:ascii="微软雅黑" w:hAnsi="微软雅黑" w:eastAsia="微软雅黑" w:cs="微软雅黑"/>
                <w:b/>
                <w:bCs/>
                <w:i/>
                <w:iCs/>
                <w:sz w:val="24"/>
                <w:szCs w:val="24"/>
                <w:lang w:eastAsia="zh-CN"/>
              </w:rPr>
              <w:t>不做价格扣除后参与价格评审，</w:t>
            </w:r>
            <w:r>
              <w:rPr>
                <w:rFonts w:hint="eastAsia" w:ascii="微软雅黑" w:hAnsi="微软雅黑" w:eastAsia="微软雅黑" w:cs="微软雅黑"/>
                <w:b/>
                <w:bCs/>
                <w:i/>
                <w:iCs/>
                <w:sz w:val="24"/>
                <w:szCs w:val="24"/>
              </w:rPr>
              <w:t>供应商所提供的货物全部属于小微企业的，需提供中小企业声明函，）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1.4</w:t>
            </w:r>
          </w:p>
        </w:tc>
        <w:tc>
          <w:tcPr>
            <w:tcW w:w="8715"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是否允许联合体投标：</w:t>
            </w:r>
            <w:r>
              <w:rPr>
                <w:rFonts w:hint="eastAsia" w:ascii="微软雅黑" w:hAnsi="微软雅黑" w:eastAsia="微软雅黑" w:cs="微软雅黑"/>
                <w:sz w:val="24"/>
                <w:szCs w:val="24"/>
                <w:u w:val="single"/>
              </w:rPr>
              <w:t xml:space="preserve">  否  </w:t>
            </w:r>
            <w:r>
              <w:rPr>
                <w:rFonts w:hint="eastAsia" w:ascii="微软雅黑" w:hAnsi="微软雅黑" w:eastAsia="微软雅黑" w:cs="微软雅黑"/>
                <w:i/>
                <w:iCs/>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1.4.8</w:t>
            </w:r>
          </w:p>
        </w:tc>
        <w:tc>
          <w:tcPr>
            <w:tcW w:w="8715" w:type="dxa"/>
            <w:shd w:val="clear" w:color="auto" w:fill="auto"/>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2.2</w:t>
            </w:r>
          </w:p>
        </w:tc>
        <w:tc>
          <w:tcPr>
            <w:tcW w:w="8715" w:type="dxa"/>
            <w:shd w:val="clear" w:color="auto" w:fill="auto"/>
            <w:vAlign w:val="center"/>
          </w:tcPr>
          <w:p>
            <w:pPr>
              <w:pStyle w:val="5"/>
              <w:spacing w:line="380" w:lineRule="exact"/>
              <w:ind w:firstLine="0"/>
              <w:jc w:val="both"/>
              <w:rPr>
                <w:rFonts w:eastAsia="微软雅黑"/>
              </w:rPr>
            </w:pPr>
            <w:r>
              <w:rPr>
                <w:rFonts w:hint="eastAsia" w:ascii="黑体" w:hAnsi="黑体" w:eastAsia="黑体" w:cs="黑体"/>
                <w:b/>
                <w:bCs/>
              </w:rPr>
              <w:t>预算金额：</w:t>
            </w:r>
            <w:r>
              <w:rPr>
                <w:rFonts w:hint="eastAsia" w:ascii="黑体" w:hAnsi="黑体" w:eastAsia="黑体" w:cs="黑体"/>
                <w:b/>
                <w:bCs/>
                <w:lang w:val="en-US" w:eastAsia="zh-CN"/>
              </w:rPr>
              <w:t>293.528216</w:t>
            </w:r>
            <w:r>
              <w:rPr>
                <w:rFonts w:hint="eastAsia" w:ascii="黑体" w:hAnsi="黑体" w:eastAsia="黑体" w:cs="黑体"/>
                <w:b/>
                <w:bCs/>
              </w:rPr>
              <w:t>万</w:t>
            </w:r>
            <w:r>
              <w:rPr>
                <w:rFonts w:hint="eastAsia" w:eastAsia="微软雅黑"/>
                <w:b/>
                <w:bC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0"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12.1</w:t>
            </w:r>
          </w:p>
        </w:tc>
        <w:tc>
          <w:tcPr>
            <w:tcW w:w="8715"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 xml:space="preserve">投标保证金形式：☑保函  ☑电汇  □支票   ☑对公转账   </w:t>
            </w:r>
          </w:p>
          <w:p>
            <w:pPr>
              <w:spacing w:line="3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投标保证金金额：</w:t>
            </w:r>
            <w:r>
              <w:rPr>
                <w:rFonts w:hint="eastAsia" w:ascii="微软雅黑" w:hAnsi="微软雅黑" w:eastAsia="微软雅黑" w:cs="微软雅黑"/>
                <w:b/>
                <w:bCs/>
                <w:sz w:val="24"/>
                <w:szCs w:val="24"/>
                <w:lang w:val="en-US" w:eastAsia="zh-CN"/>
              </w:rPr>
              <w:t>58000</w:t>
            </w:r>
            <w:r>
              <w:rPr>
                <w:rFonts w:hint="eastAsia" w:ascii="微软雅黑" w:hAnsi="微软雅黑" w:eastAsia="微软雅黑" w:cs="微软雅黑"/>
                <w:b/>
                <w:bCs/>
                <w:sz w:val="24"/>
                <w:szCs w:val="24"/>
              </w:rPr>
              <w:t>元（大写：</w:t>
            </w:r>
            <w:r>
              <w:rPr>
                <w:rFonts w:hint="eastAsia" w:ascii="微软雅黑" w:hAnsi="微软雅黑" w:eastAsia="微软雅黑" w:cs="微软雅黑"/>
                <w:b/>
                <w:bCs/>
                <w:sz w:val="24"/>
                <w:szCs w:val="24"/>
                <w:lang w:eastAsia="zh-CN"/>
              </w:rPr>
              <w:t>伍万捌仟元整</w:t>
            </w:r>
            <w:r>
              <w:rPr>
                <w:rFonts w:hint="eastAsia" w:ascii="微软雅黑" w:hAnsi="微软雅黑" w:eastAsia="微软雅黑" w:cs="微软雅黑"/>
                <w:b/>
                <w:bCs/>
                <w:sz w:val="24"/>
                <w:szCs w:val="24"/>
              </w:rPr>
              <w:t>）</w:t>
            </w:r>
          </w:p>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（按照分包预算金额2%以内的整数计算）</w:t>
            </w:r>
          </w:p>
          <w:p>
            <w:pPr>
              <w:spacing w:line="3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保证金收款人：</w:t>
            </w:r>
          </w:p>
          <w:p>
            <w:pPr>
              <w:spacing w:line="3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单位名称：新疆永信国金工程管理咨询有限公司</w:t>
            </w:r>
          </w:p>
          <w:p>
            <w:pPr>
              <w:spacing w:line="3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开户行： 中国银行喀什市西域大道支行</w:t>
            </w:r>
          </w:p>
          <w:p>
            <w:pPr>
              <w:spacing w:line="3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账号：107086326183</w:t>
            </w:r>
          </w:p>
          <w:p>
            <w:pPr>
              <w:spacing w:line="38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联系人：陈工     联系电话：15569228338</w:t>
            </w:r>
          </w:p>
          <w:p>
            <w:pPr>
              <w:spacing w:line="380" w:lineRule="exact"/>
              <w:rPr>
                <w:rFonts w:ascii="微软雅黑" w:hAnsi="微软雅黑" w:eastAsia="微软雅黑" w:cs="微软雅黑"/>
                <w:sz w:val="24"/>
                <w:szCs w:val="24"/>
              </w:rPr>
            </w:pPr>
            <w:r>
              <w:rPr>
                <w:rFonts w:hint="eastAsia" w:ascii="微软雅黑" w:hAnsi="微软雅黑" w:eastAsia="微软雅黑" w:cs="微软雅黑"/>
                <w:b/>
                <w:bCs/>
                <w:sz w:val="24"/>
                <w:szCs w:val="24"/>
              </w:rPr>
              <w:t xml:space="preserve">（电汇时请在汇款备注栏注明项目名称，并注明是投标保证金，否则视为无效投标保证金。）      </w:t>
            </w:r>
            <w:r>
              <w:rPr>
                <w:rFonts w:hint="eastAsia" w:ascii="微软雅黑" w:hAnsi="微软雅黑" w:eastAsia="微软雅黑" w:cs="微软雅黑"/>
                <w:sz w:val="24"/>
                <w:szCs w:val="24"/>
              </w:rPr>
              <w:t xml:space="preserve">    </w:t>
            </w:r>
          </w:p>
          <w:p>
            <w:pPr>
              <w:spacing w:line="380" w:lineRule="exact"/>
              <w:rPr>
                <w:rFonts w:ascii="微软雅黑" w:hAnsi="微软雅黑" w:eastAsia="微软雅黑" w:cs="微软雅黑"/>
                <w:sz w:val="24"/>
                <w:szCs w:val="24"/>
              </w:rPr>
            </w:pPr>
            <w:r>
              <w:rPr>
                <w:rFonts w:hint="eastAsia" w:ascii="微软雅黑" w:hAnsi="微软雅黑" w:eastAsia="微软雅黑" w:cs="微软雅黑"/>
                <w:b/>
                <w:bCs/>
                <w:sz w:val="24"/>
                <w:szCs w:val="24"/>
              </w:rPr>
              <w:t>保证金缴纳要求：</w:t>
            </w:r>
            <w:r>
              <w:rPr>
                <w:rFonts w:hint="eastAsia" w:ascii="微软雅黑" w:hAnsi="微软雅黑" w:eastAsia="微软雅黑" w:cs="微软雅黑"/>
                <w:sz w:val="24"/>
                <w:szCs w:val="24"/>
              </w:rPr>
              <w:t>保证金须在开标前从投标供应商的基本账户一次性汇入指定账户，不接受现金、支票及任何个人、分公司汇款。若没有在规定时间内汇入指定账户，视为自动放弃本项目投标。打款时注明投标保证金项目名称。投标人未按本条规定提交投标保证金的，其投标将被认定为投标无效。</w:t>
            </w:r>
          </w:p>
          <w:p>
            <w:pPr>
              <w:spacing w:line="380" w:lineRule="exact"/>
              <w:rPr>
                <w:rFonts w:ascii="微软雅黑" w:hAnsi="微软雅黑" w:eastAsia="微软雅黑" w:cs="微软雅黑"/>
                <w:sz w:val="24"/>
                <w:szCs w:val="24"/>
              </w:rPr>
            </w:pPr>
            <w:r>
              <w:rPr>
                <w:rFonts w:hint="eastAsia" w:ascii="微软雅黑" w:hAnsi="微软雅黑" w:eastAsia="微软雅黑" w:cs="微软雅黑"/>
                <w:b/>
                <w:bCs/>
                <w:sz w:val="24"/>
                <w:szCs w:val="24"/>
              </w:rPr>
              <w:t>保证金的退还：</w:t>
            </w:r>
            <w:r>
              <w:fldChar w:fldCharType="begin"/>
            </w:r>
            <w: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fldChar w:fldCharType="separate"/>
            </w:r>
            <w:r>
              <w:rPr>
                <w:rFonts w:hint="eastAsia" w:ascii="微软雅黑" w:hAnsi="微软雅黑" w:eastAsia="微软雅黑" w:cs="微软雅黑"/>
                <w:sz w:val="24"/>
                <w:szCs w:val="24"/>
              </w:rPr>
              <w:t>《中华人民共和国政府采购法实施条例》第三十三条规定，①未中标供应商的投标保证金在中标通知书发出后5个工作日内退还；②中标供应商的保证金在供应商与采购人采购合同签订后5个工作日内退还（供应商需将采购合同发至邮箱1543019885@qq.com后</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13.1</w:t>
            </w:r>
          </w:p>
        </w:tc>
        <w:tc>
          <w:tcPr>
            <w:tcW w:w="8715" w:type="dxa"/>
            <w:vAlign w:val="center"/>
          </w:tcPr>
          <w:p>
            <w:pPr>
              <w:spacing w:line="380" w:lineRule="exact"/>
              <w:rPr>
                <w:rFonts w:ascii="微软雅黑" w:hAnsi="微软雅黑" w:eastAsia="微软雅黑" w:cs="微软雅黑"/>
                <w:sz w:val="24"/>
                <w:szCs w:val="24"/>
                <w:u w:val="single"/>
              </w:rPr>
            </w:pPr>
            <w:r>
              <w:rPr>
                <w:rFonts w:hint="eastAsia" w:ascii="微软雅黑" w:hAnsi="微软雅黑" w:eastAsia="微软雅黑" w:cs="微软雅黑"/>
                <w:sz w:val="24"/>
                <w:szCs w:val="24"/>
              </w:rPr>
              <w:t>投标有效期：</w:t>
            </w:r>
            <w:r>
              <w:rPr>
                <w:rFonts w:hint="eastAsia" w:ascii="微软雅黑" w:hAnsi="微软雅黑" w:eastAsia="微软雅黑" w:cs="微软雅黑"/>
                <w:sz w:val="24"/>
                <w:szCs w:val="24"/>
                <w:u w:val="single"/>
              </w:rPr>
              <w:t>　90　</w:t>
            </w:r>
            <w:r>
              <w:rPr>
                <w:rFonts w:hint="eastAsia" w:ascii="微软雅黑" w:hAnsi="微软雅黑" w:eastAsia="微软雅黑" w:cs="微软雅黑"/>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60"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14.1</w:t>
            </w:r>
          </w:p>
        </w:tc>
        <w:tc>
          <w:tcPr>
            <w:tcW w:w="8715" w:type="dxa"/>
            <w:vAlign w:val="center"/>
          </w:tcPr>
          <w:p>
            <w:pPr>
              <w:pStyle w:val="5"/>
              <w:spacing w:line="380" w:lineRule="exact"/>
              <w:jc w:val="both"/>
              <w:rPr>
                <w:rFonts w:ascii="微软雅黑" w:hAnsi="微软雅黑" w:eastAsia="微软雅黑" w:cs="微软雅黑"/>
              </w:rPr>
            </w:pPr>
            <w:r>
              <w:rPr>
                <w:rFonts w:hint="eastAsia" w:ascii="微软雅黑" w:hAnsi="微软雅黑" w:eastAsia="微软雅黑" w:cs="微软雅黑"/>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rPr>
              <w:t>（2）本项目实行网上投标，采用电子投标文件(供应商须使用CA加密设备通过政采云电子投标客户端制作投标文件)。若供应商参与投标，自行承担投标一切费用。</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rPr>
              <w:t>（3）各供应商应在开标前应确保成为新疆政府采购网正式注册入库供应商，并完成CA数字证书申领。因未注册入库、未办理CA数字证书等原因造成无法投标或投标失败等后果由供应商自行承担。</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rPr>
              <w:t>（5）供应商在开标时须使用制作加密电子投标文件所使用的CA锁及电脑，电脑须提前配置好浏览器（建议使用谷歌浏览器），以便开标时解锁。</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rPr>
              <w:t>（6）投标保证金缴纳及确认时间：凡拟参加本次招标项目的供应商，必须在开标前将投标保证金汇入指定账户。投标保证金汇款凭证上用途栏应注明:招标项目名称+投标保证金。否则，届时其投标将被拒绝。</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rPr>
              <w:t>（9）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rPr>
              <w:t>（10）</w:t>
            </w:r>
            <w:r>
              <w:rPr>
                <w:rFonts w:hint="eastAsia" w:ascii="微软雅黑" w:hAnsi="微软雅黑" w:eastAsia="微软雅黑" w:cs="微软雅黑"/>
                <w:b/>
                <w:bCs/>
              </w:rPr>
              <w:t>中标供应商在中标公告公示期结束后5个工作日内将纸质版投标文件送至或邮寄至代理机构备案，纸质版投标文件包括“开标一览表及资格证明文件”和“商务及技术文件”两部分，两部分合订成一册递交。</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b/>
                <w:bCs/>
              </w:rPr>
              <w:t>递交数量</w:t>
            </w:r>
            <w:r>
              <w:rPr>
                <w:rFonts w:hint="eastAsia" w:ascii="微软雅黑" w:hAnsi="微软雅黑" w:eastAsia="微软雅黑" w:cs="微软雅黑"/>
              </w:rPr>
              <w:t>：正本：壹份、副本：贰份；电子文档1份（以正本为准，副本可以是正本的复印件）</w:t>
            </w:r>
          </w:p>
          <w:p>
            <w:pPr>
              <w:pStyle w:val="5"/>
              <w:spacing w:line="380" w:lineRule="exact"/>
              <w:jc w:val="both"/>
              <w:rPr>
                <w:rFonts w:ascii="微软雅黑" w:hAnsi="微软雅黑" w:eastAsia="微软雅黑" w:cs="微软雅黑"/>
              </w:rPr>
            </w:pPr>
            <w:bookmarkStart w:id="631" w:name="_Toc14647"/>
            <w:r>
              <w:rPr>
                <w:rFonts w:hint="eastAsia" w:ascii="微软雅黑" w:hAnsi="微软雅黑" w:eastAsia="微软雅黑" w:cs="微软雅黑"/>
                <w:b/>
                <w:bCs/>
              </w:rPr>
              <w:t>纸质投标文件的签署及规定：</w:t>
            </w:r>
            <w:bookmarkEnd w:id="631"/>
            <w:r>
              <w:rPr>
                <w:rFonts w:hint="eastAsia" w:ascii="微软雅黑" w:hAnsi="微软雅黑" w:eastAsia="微软雅黑" w:cs="微软雅黑"/>
              </w:rPr>
              <w:t>投标文件的正副本需打印或用不褪色墨水书写，并由供应商的法定代表人或经其正式委托代理人按招标文件规定在投标文件上签字或盖章，并加盖单位印章。</w:t>
            </w:r>
          </w:p>
          <w:p>
            <w:pPr>
              <w:pStyle w:val="5"/>
              <w:spacing w:line="380" w:lineRule="exact"/>
              <w:jc w:val="both"/>
              <w:rPr>
                <w:rFonts w:ascii="微软雅黑" w:hAnsi="微软雅黑" w:eastAsia="微软雅黑" w:cs="微软雅黑"/>
                <w:b/>
                <w:bCs/>
              </w:rPr>
            </w:pPr>
            <w:r>
              <w:rPr>
                <w:rFonts w:hint="eastAsia" w:ascii="微软雅黑" w:hAnsi="微软雅黑" w:eastAsia="微软雅黑" w:cs="微软雅黑"/>
                <w:b/>
                <w:bCs/>
              </w:rPr>
              <w:t>（11）解密时长为30分钟。</w:t>
            </w:r>
          </w:p>
          <w:p>
            <w:pPr>
              <w:pStyle w:val="5"/>
              <w:spacing w:line="380" w:lineRule="exact"/>
              <w:jc w:val="both"/>
              <w:rPr>
                <w:rFonts w:ascii="微软雅黑" w:hAnsi="微软雅黑" w:eastAsia="微软雅黑" w:cs="微软雅黑"/>
              </w:rPr>
            </w:pPr>
            <w:r>
              <w:rPr>
                <w:rFonts w:hint="eastAsia" w:ascii="微软雅黑" w:hAnsi="微软雅黑" w:eastAsia="微软雅黑" w:cs="微软雅黑"/>
                <w:b/>
                <w:bCs/>
              </w:rPr>
              <w:t>（12）须供应商提供备份的投标文件,后缀为.bfbs。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16.1</w:t>
            </w:r>
          </w:p>
        </w:tc>
        <w:tc>
          <w:tcPr>
            <w:tcW w:w="8715" w:type="dxa"/>
            <w:shd w:val="clear" w:color="auto" w:fill="auto"/>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投标截止时间：2023年</w:t>
            </w:r>
            <w:r>
              <w:rPr>
                <w:rFonts w:hint="eastAsia" w:ascii="微软雅黑" w:hAnsi="微软雅黑" w:eastAsia="微软雅黑" w:cs="微软雅黑"/>
                <w:sz w:val="24"/>
                <w:szCs w:val="24"/>
                <w:lang w:val="en-US" w:eastAsia="zh-CN"/>
              </w:rPr>
              <w:t>11</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 xml:space="preserve">6 </w:t>
            </w:r>
            <w:r>
              <w:rPr>
                <w:rFonts w:hint="eastAsia" w:ascii="微软雅黑" w:hAnsi="微软雅黑" w:eastAsia="微软雅黑" w:cs="微软雅黑"/>
                <w:sz w:val="24"/>
                <w:szCs w:val="24"/>
              </w:rPr>
              <w:t>日 1</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:00</w:t>
            </w:r>
            <w:r>
              <w:rPr>
                <w:rFonts w:hint="eastAsia" w:ascii="微软雅黑" w:hAnsi="微软雅黑" w:eastAsia="微软雅黑" w:cs="微软雅黑"/>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18.1</w:t>
            </w:r>
          </w:p>
        </w:tc>
        <w:tc>
          <w:tcPr>
            <w:tcW w:w="8715" w:type="dxa"/>
            <w:shd w:val="clear" w:color="auto" w:fill="auto"/>
            <w:vAlign w:val="center"/>
          </w:tcPr>
          <w:p>
            <w:pPr>
              <w:spacing w:line="380" w:lineRule="exact"/>
              <w:rPr>
                <w:rFonts w:ascii="微软雅黑" w:hAnsi="微软雅黑" w:eastAsia="微软雅黑" w:cs="微软雅黑"/>
                <w:sz w:val="24"/>
                <w:szCs w:val="24"/>
                <w:u w:val="single"/>
              </w:rPr>
            </w:pPr>
            <w:r>
              <w:rPr>
                <w:rFonts w:hint="eastAsia" w:ascii="微软雅黑" w:hAnsi="微软雅黑" w:eastAsia="微软雅黑" w:cs="微软雅黑"/>
                <w:sz w:val="24"/>
                <w:szCs w:val="24"/>
              </w:rPr>
              <w:t>开标时间：2023年</w:t>
            </w:r>
            <w:r>
              <w:rPr>
                <w:rFonts w:hint="eastAsia" w:ascii="微软雅黑" w:hAnsi="微软雅黑" w:eastAsia="微软雅黑" w:cs="微软雅黑"/>
                <w:sz w:val="24"/>
                <w:szCs w:val="24"/>
                <w:lang w:val="en-US" w:eastAsia="zh-CN"/>
              </w:rPr>
              <w:t>11</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 xml:space="preserve">6 </w:t>
            </w:r>
            <w:r>
              <w:rPr>
                <w:rFonts w:hint="eastAsia" w:ascii="微软雅黑" w:hAnsi="微软雅黑" w:eastAsia="微软雅黑" w:cs="微软雅黑"/>
                <w:sz w:val="24"/>
                <w:szCs w:val="24"/>
              </w:rPr>
              <w:t>日 1</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:00</w:t>
            </w:r>
            <w:r>
              <w:rPr>
                <w:rFonts w:hint="eastAsia" w:ascii="微软雅黑" w:hAnsi="微软雅黑" w:eastAsia="微软雅黑" w:cs="微软雅黑"/>
                <w:sz w:val="24"/>
                <w:szCs w:val="24"/>
              </w:rPr>
              <w:t>（北京时间）</w:t>
            </w:r>
          </w:p>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开标地点：政采云平台（https://login.zcygov.cn/user-login/#/login）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23.2</w:t>
            </w:r>
          </w:p>
        </w:tc>
        <w:tc>
          <w:tcPr>
            <w:tcW w:w="8715" w:type="dxa"/>
            <w:vAlign w:val="center"/>
          </w:tcPr>
          <w:p>
            <w:pPr>
              <w:spacing w:line="380" w:lineRule="exact"/>
              <w:rPr>
                <w:rFonts w:ascii="微软雅黑" w:hAnsi="微软雅黑" w:eastAsia="微软雅黑" w:cs="微软雅黑"/>
                <w:i/>
                <w:iCs/>
                <w:sz w:val="24"/>
                <w:szCs w:val="24"/>
              </w:rPr>
            </w:pPr>
            <w:r>
              <w:rPr>
                <w:rFonts w:hint="eastAsia" w:ascii="微软雅黑" w:hAnsi="微软雅黑" w:eastAsia="微软雅黑" w:cs="微软雅黑"/>
                <w:sz w:val="24"/>
                <w:szCs w:val="24"/>
              </w:rPr>
              <w:t>评标方法：适用</w:t>
            </w:r>
            <w:r>
              <w:rPr>
                <w:rFonts w:hint="eastAsia" w:ascii="微软雅黑" w:hAnsi="微软雅黑" w:eastAsia="微软雅黑" w:cs="微软雅黑"/>
                <w:sz w:val="24"/>
                <w:szCs w:val="24"/>
                <w:u w:val="single"/>
              </w:rPr>
              <w:t>　综合评分法　</w:t>
            </w:r>
            <w:r>
              <w:rPr>
                <w:rFonts w:hint="eastAsia" w:ascii="微软雅黑" w:hAnsi="微软雅黑" w:eastAsia="微软雅黑" w:cs="微软雅黑"/>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27</w:t>
            </w:r>
          </w:p>
        </w:tc>
        <w:tc>
          <w:tcPr>
            <w:tcW w:w="8715"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推荐中标候选供应商</w:t>
            </w:r>
            <w:r>
              <w:rPr>
                <w:rFonts w:hint="eastAsia" w:ascii="微软雅黑" w:hAnsi="微软雅黑" w:eastAsia="微软雅黑" w:cs="微软雅黑"/>
                <w:sz w:val="24"/>
                <w:szCs w:val="24"/>
                <w:lang w:eastAsia="zh-CN"/>
              </w:rPr>
              <w:t>（入围单位）</w:t>
            </w:r>
            <w:r>
              <w:rPr>
                <w:rFonts w:hint="eastAsia" w:ascii="微软雅黑" w:hAnsi="微软雅黑" w:eastAsia="微软雅黑" w:cs="微软雅黑"/>
                <w:sz w:val="24"/>
                <w:szCs w:val="24"/>
              </w:rPr>
              <w:t>的数量：</w:t>
            </w:r>
            <w:r>
              <w:rPr>
                <w:rFonts w:hint="eastAsia" w:ascii="微软雅黑" w:hAnsi="微软雅黑" w:eastAsia="微软雅黑" w:cs="微软雅黑"/>
                <w:sz w:val="24"/>
                <w:szCs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27</w:t>
            </w:r>
          </w:p>
        </w:tc>
        <w:tc>
          <w:tcPr>
            <w:tcW w:w="8715"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招标人是否委托评标委员会直接确定中标人：</w:t>
            </w:r>
            <w:r>
              <w:rPr>
                <w:rFonts w:hint="eastAsia" w:ascii="微软雅黑" w:hAnsi="微软雅黑" w:eastAsia="微软雅黑" w:cs="微软雅黑"/>
                <w:sz w:val="24"/>
                <w:szCs w:val="24"/>
                <w:u w:val="single"/>
              </w:rPr>
              <w:t xml:space="preserve"> 否  </w:t>
            </w:r>
            <w:r>
              <w:rPr>
                <w:rFonts w:hint="eastAsia" w:ascii="微软雅黑" w:hAnsi="微软雅黑" w:eastAsia="微软雅黑" w:cs="微软雅黑"/>
                <w:sz w:val="24"/>
                <w:szCs w:val="24"/>
              </w:rPr>
              <w:t xml:space="preserve"> </w:t>
            </w:r>
            <w:r>
              <w:rPr>
                <w:rFonts w:hint="eastAsia" w:ascii="微软雅黑" w:hAnsi="微软雅黑" w:eastAsia="微软雅黑" w:cs="微软雅黑"/>
                <w:i/>
                <w:iCs/>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1"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31.1</w:t>
            </w:r>
          </w:p>
        </w:tc>
        <w:tc>
          <w:tcPr>
            <w:tcW w:w="8715" w:type="dxa"/>
            <w:vAlign w:val="center"/>
          </w:tcPr>
          <w:p>
            <w:pPr>
              <w:spacing w:line="380" w:lineRule="exact"/>
              <w:rPr>
                <w:rFonts w:ascii="微软雅黑" w:hAnsi="微软雅黑" w:eastAsia="微软雅黑" w:cs="微软雅黑"/>
                <w:i/>
                <w:iCs/>
                <w:sz w:val="24"/>
                <w:szCs w:val="24"/>
              </w:rPr>
            </w:pPr>
            <w:r>
              <w:rPr>
                <w:rFonts w:hint="eastAsia" w:ascii="微软雅黑" w:hAnsi="微软雅黑" w:eastAsia="微软雅黑" w:cs="微软雅黑"/>
                <w:sz w:val="24"/>
                <w:szCs w:val="24"/>
              </w:rPr>
              <w:t>履约保证金金额：合同总价的</w:t>
            </w:r>
            <w:r>
              <w:rPr>
                <w:rFonts w:hint="eastAsia" w:ascii="微软雅黑" w:hAnsi="微软雅黑" w:eastAsia="微软雅黑" w:cs="微软雅黑"/>
                <w:sz w:val="24"/>
                <w:szCs w:val="24"/>
                <w:u w:val="single"/>
              </w:rPr>
              <w:t>　5%　</w:t>
            </w:r>
            <w:r>
              <w:rPr>
                <w:rFonts w:hint="eastAsia" w:ascii="微软雅黑" w:hAnsi="微软雅黑" w:eastAsia="微软雅黑" w:cs="微软雅黑"/>
                <w:i/>
                <w:iCs/>
                <w:sz w:val="24"/>
                <w:szCs w:val="24"/>
              </w:rPr>
              <w:t>（不得超过政府采购合同金额的10%）</w:t>
            </w:r>
          </w:p>
          <w:p>
            <w:pPr>
              <w:spacing w:line="380" w:lineRule="exact"/>
              <w:rPr>
                <w:rFonts w:ascii="微软雅黑" w:hAnsi="微软雅黑" w:eastAsia="微软雅黑" w:cs="微软雅黑"/>
                <w:sz w:val="24"/>
                <w:szCs w:val="24"/>
                <w:u w:val="single"/>
              </w:rPr>
            </w:pPr>
            <w:r>
              <w:rPr>
                <w:rFonts w:hint="eastAsia" w:ascii="微软雅黑" w:hAnsi="微软雅黑" w:eastAsia="微软雅黑" w:cs="微软雅黑"/>
                <w:sz w:val="24"/>
                <w:szCs w:val="24"/>
              </w:rPr>
              <w:t>履约保证金形式：☑保函  ☑电汇  □支票   ☑对公转账</w:t>
            </w:r>
          </w:p>
          <w:p>
            <w:pPr>
              <w:spacing w:line="380" w:lineRule="exact"/>
              <w:rPr>
                <w:rFonts w:ascii="微软雅黑" w:hAnsi="微软雅黑" w:eastAsia="微软雅黑" w:cs="微软雅黑"/>
                <w:sz w:val="24"/>
                <w:szCs w:val="24"/>
                <w:u w:val="single"/>
              </w:rPr>
            </w:pPr>
            <w:r>
              <w:rPr>
                <w:rFonts w:hint="eastAsia" w:ascii="微软雅黑" w:hAnsi="微软雅黑" w:eastAsia="微软雅黑" w:cs="微软雅黑"/>
                <w:sz w:val="24"/>
                <w:szCs w:val="24"/>
              </w:rPr>
              <w:t xml:space="preserve">提交履约保证金的时间：签订合同前 </w:t>
            </w:r>
            <w:r>
              <w:rPr>
                <w:rFonts w:hint="eastAsia" w:ascii="微软雅黑" w:hAnsi="微软雅黑" w:eastAsia="微软雅黑" w:cs="微软雅黑"/>
                <w:sz w:val="24"/>
                <w:szCs w:val="24"/>
                <w:u w:val="single"/>
              </w:rPr>
              <w:t xml:space="preserve">  5  </w:t>
            </w:r>
            <w:r>
              <w:rPr>
                <w:rFonts w:hint="eastAsia" w:ascii="微软雅黑" w:hAnsi="微软雅黑" w:eastAsia="微软雅黑" w:cs="微软雅黑"/>
                <w:sz w:val="24"/>
                <w:szCs w:val="24"/>
              </w:rPr>
              <w:t>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1"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32</w:t>
            </w:r>
          </w:p>
        </w:tc>
        <w:tc>
          <w:tcPr>
            <w:tcW w:w="8715" w:type="dxa"/>
            <w:vAlign w:val="center"/>
          </w:tcPr>
          <w:p>
            <w:pPr>
              <w:spacing w:line="360" w:lineRule="exact"/>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rPr>
              <w:t>中标服务费：根据发改委价格[2015]299文件：本项目服务费按照差额定律累进计费方式计算收取。</w:t>
            </w:r>
          </w:p>
          <w:p>
            <w:pPr>
              <w:spacing w:line="36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标准如下：</w:t>
            </w:r>
          </w:p>
          <w:p>
            <w:pPr>
              <w:spacing w:line="36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成交金额100万元以下的部分,货物类采购费率1.50%,</w:t>
            </w:r>
          </w:p>
          <w:p>
            <w:pPr>
              <w:spacing w:line="36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成交金额100万元至500万元的部分,货物类采购费率1.10%,</w:t>
            </w:r>
          </w:p>
          <w:p>
            <w:pPr>
              <w:spacing w:line="360" w:lineRule="exact"/>
              <w:rPr>
                <w:rFonts w:ascii="微软雅黑" w:hAnsi="微软雅黑" w:eastAsia="微软雅黑" w:cs="微软雅黑"/>
                <w:b/>
                <w:bCs/>
                <w:sz w:val="24"/>
                <w:szCs w:val="24"/>
              </w:rPr>
            </w:pPr>
            <w:r>
              <w:rPr>
                <w:rFonts w:hint="eastAsia" w:ascii="微软雅黑" w:hAnsi="微软雅黑" w:eastAsia="微软雅黑" w:cs="微软雅黑"/>
                <w:b/>
                <w:bCs/>
                <w:sz w:val="24"/>
                <w:szCs w:val="24"/>
              </w:rPr>
              <w:t>成交金额500万元至1000万元的部分,货物类采购费率0.80%。</w:t>
            </w:r>
          </w:p>
          <w:p>
            <w:pPr>
              <w:spacing w:line="380" w:lineRule="exact"/>
              <w:rPr>
                <w:rFonts w:eastAsia="微软雅黑"/>
                <w:b/>
                <w:bCs/>
              </w:rPr>
            </w:pPr>
            <w:r>
              <w:rPr>
                <w:rFonts w:hint="eastAsia" w:ascii="微软雅黑" w:hAnsi="微软雅黑" w:eastAsia="微软雅黑" w:cs="微软雅黑"/>
                <w:b/>
                <w:bCs/>
                <w:sz w:val="24"/>
                <w:szCs w:val="24"/>
              </w:rPr>
              <w:t>（由中标供应商支付）。</w:t>
            </w:r>
          </w:p>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支付形式：</w:t>
            </w:r>
            <w:r>
              <w:rPr>
                <w:rFonts w:hint="eastAsia" w:ascii="微软雅黑" w:hAnsi="微软雅黑" w:eastAsia="微软雅黑" w:cs="微软雅黑"/>
                <w:sz w:val="24"/>
                <w:szCs w:val="24"/>
                <w:u w:val="single"/>
              </w:rPr>
              <w:t xml:space="preserve">  对公转账  </w:t>
            </w:r>
          </w:p>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支付时间：</w:t>
            </w:r>
            <w:r>
              <w:rPr>
                <w:rFonts w:hint="eastAsia" w:ascii="微软雅黑" w:hAnsi="微软雅黑" w:eastAsia="微软雅黑" w:cs="微软雅黑"/>
                <w:sz w:val="24"/>
                <w:szCs w:val="24"/>
                <w:u w:val="single"/>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404"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33.1</w:t>
            </w:r>
          </w:p>
        </w:tc>
        <w:tc>
          <w:tcPr>
            <w:tcW w:w="8715" w:type="dxa"/>
            <w:vAlign w:val="center"/>
          </w:tcPr>
          <w:p>
            <w:pPr>
              <w:spacing w:line="380" w:lineRule="exact"/>
              <w:rPr>
                <w:rFonts w:ascii="微软雅黑" w:hAnsi="微软雅黑" w:eastAsia="微软雅黑" w:cs="微软雅黑"/>
                <w:sz w:val="24"/>
                <w:szCs w:val="24"/>
              </w:rPr>
            </w:pPr>
            <w:r>
              <w:rPr>
                <w:rFonts w:hint="eastAsia" w:ascii="微软雅黑" w:hAnsi="微软雅黑" w:eastAsia="微软雅黑" w:cs="微软雅黑"/>
                <w:sz w:val="24"/>
                <w:szCs w:val="24"/>
              </w:rPr>
              <w:t>本项目是否属于信用担保试点范围：</w:t>
            </w:r>
            <w:r>
              <w:rPr>
                <w:rFonts w:hint="eastAsia" w:ascii="微软雅黑" w:hAnsi="微软雅黑" w:eastAsia="微软雅黑" w:cs="微软雅黑"/>
                <w:sz w:val="24"/>
                <w:szCs w:val="24"/>
                <w:u w:val="single"/>
              </w:rPr>
              <w:t xml:space="preserve">  否  </w:t>
            </w:r>
            <w:r>
              <w:rPr>
                <w:rFonts w:hint="eastAsia" w:ascii="微软雅黑" w:hAnsi="微软雅黑" w:eastAsia="微软雅黑" w:cs="微软雅黑"/>
                <w:sz w:val="24"/>
                <w:szCs w:val="24"/>
              </w:rPr>
              <w:t xml:space="preserve"> </w:t>
            </w:r>
            <w:r>
              <w:rPr>
                <w:rFonts w:hint="eastAsia" w:ascii="微软雅黑" w:hAnsi="微软雅黑" w:eastAsia="微软雅黑" w:cs="微软雅黑"/>
                <w:i/>
                <w:iCs/>
                <w:sz w:val="24"/>
                <w:szCs w:val="24"/>
              </w:rPr>
              <w:t>（是、否）</w:t>
            </w:r>
          </w:p>
        </w:tc>
      </w:tr>
    </w:tbl>
    <w:p>
      <w:pPr>
        <w:pStyle w:val="5"/>
        <w:ind w:firstLine="0"/>
        <w:jc w:val="center"/>
        <w:rPr>
          <w:rFonts w:ascii="微软雅黑" w:hAnsi="微软雅黑" w:eastAsia="微软雅黑" w:cs="微软雅黑"/>
          <w:sz w:val="28"/>
          <w:szCs w:val="28"/>
        </w:rPr>
        <w:sectPr>
          <w:headerReference r:id="rId3" w:type="default"/>
          <w:footerReference r:id="rId4" w:type="default"/>
          <w:pgSz w:w="11905" w:h="16838"/>
          <w:pgMar w:top="1440" w:right="1080" w:bottom="1440" w:left="1080" w:header="851" w:footer="992" w:gutter="0"/>
          <w:cols w:space="0" w:num="1"/>
          <w:docGrid w:linePitch="312" w:charSpace="0"/>
        </w:sectPr>
      </w:pPr>
    </w:p>
    <w:p>
      <w:pPr>
        <w:numPr>
          <w:ilvl w:val="0"/>
          <w:numId w:val="9"/>
        </w:numPr>
        <w:jc w:val="center"/>
        <w:outlineLvl w:val="0"/>
        <w:rPr>
          <w:rFonts w:ascii="微软雅黑" w:hAnsi="微软雅黑" w:eastAsia="微软雅黑" w:cs="微软雅黑"/>
          <w:b/>
          <w:bCs/>
          <w:kern w:val="44"/>
          <w:sz w:val="28"/>
          <w:szCs w:val="28"/>
        </w:rPr>
      </w:pPr>
      <w:bookmarkStart w:id="632" w:name="_Toc11557"/>
      <w:r>
        <w:rPr>
          <w:rFonts w:hint="eastAsia" w:ascii="微软雅黑" w:hAnsi="微软雅黑" w:eastAsia="微软雅黑" w:cs="微软雅黑"/>
          <w:b/>
          <w:bCs/>
          <w:kern w:val="44"/>
          <w:sz w:val="28"/>
          <w:szCs w:val="28"/>
        </w:rPr>
        <w:t>货物需求一览表及技术规格</w:t>
      </w:r>
      <w:bookmarkEnd w:id="632"/>
    </w:p>
    <w:p>
      <w:pPr>
        <w:pStyle w:val="2"/>
        <w:rPr>
          <w:rFonts w:ascii="微软雅黑" w:hAnsi="微软雅黑" w:eastAsia="微软雅黑" w:cs="微软雅黑"/>
          <w:sz w:val="24"/>
          <w:szCs w:val="24"/>
        </w:rPr>
      </w:pPr>
      <w:bookmarkStart w:id="633" w:name="_Toc32647"/>
      <w:bookmarkStart w:id="634" w:name="_Toc218935355"/>
      <w:bookmarkStart w:id="635" w:name="_Toc515647832"/>
      <w:bookmarkStart w:id="636" w:name="_Toc11259"/>
      <w:bookmarkStart w:id="637" w:name="_Toc7971"/>
      <w:bookmarkStart w:id="638" w:name="_Toc507399907"/>
      <w:bookmarkStart w:id="639" w:name="_Toc219175639"/>
      <w:bookmarkStart w:id="640" w:name="_Toc216582826"/>
    </w:p>
    <w:p>
      <w:pPr>
        <w:pStyle w:val="2"/>
        <w:numPr>
          <w:ilvl w:val="0"/>
          <w:numId w:val="12"/>
        </w:numPr>
        <w:outlineLvl w:val="1"/>
        <w:rPr>
          <w:rFonts w:ascii="微软雅黑" w:hAnsi="微软雅黑" w:eastAsia="微软雅黑" w:cs="微软雅黑"/>
          <w:b/>
          <w:bCs/>
          <w:sz w:val="24"/>
          <w:szCs w:val="24"/>
        </w:rPr>
      </w:pPr>
      <w:bookmarkStart w:id="641" w:name="_Toc2756"/>
      <w:bookmarkStart w:id="642" w:name="_Toc11303"/>
      <w:r>
        <w:rPr>
          <w:rFonts w:hint="eastAsia" w:ascii="微软雅黑" w:hAnsi="微软雅黑" w:eastAsia="微软雅黑" w:cs="微软雅黑"/>
          <w:b/>
          <w:bCs/>
          <w:sz w:val="24"/>
          <w:szCs w:val="24"/>
        </w:rPr>
        <w:t>采购需求</w:t>
      </w:r>
      <w:bookmarkEnd w:id="641"/>
      <w:bookmarkEnd w:id="642"/>
    </w:p>
    <w:p>
      <w:pPr>
        <w:rPr>
          <w:rFonts w:ascii="微软雅黑" w:hAnsi="微软雅黑" w:eastAsia="微软雅黑" w:cs="微软雅黑"/>
          <w:b/>
          <w:bCs/>
          <w:sz w:val="24"/>
          <w:szCs w:val="24"/>
        </w:rPr>
      </w:pPr>
    </w:p>
    <w:p>
      <w:pPr>
        <w:jc w:val="center"/>
        <w:rPr>
          <w:rFonts w:hint="eastAsia" w:ascii="黑体" w:hAnsi="黑体" w:eastAsia="黑体" w:cs="黑体"/>
          <w:b/>
          <w:bCs/>
          <w:sz w:val="28"/>
          <w:szCs w:val="28"/>
          <w:lang w:eastAsia="zh-CN"/>
        </w:rPr>
      </w:pPr>
      <w:r>
        <w:rPr>
          <w:rFonts w:hint="eastAsia"/>
          <w:b/>
          <w:bCs/>
          <w:sz w:val="52"/>
          <w:szCs w:val="52"/>
          <w:lang w:eastAsia="zh-CN"/>
        </w:rPr>
        <w:t>医共体中药饮片采购</w:t>
      </w:r>
    </w:p>
    <w:tbl>
      <w:tblPr>
        <w:tblStyle w:val="29"/>
        <w:tblW w:w="14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701"/>
        <w:gridCol w:w="1352"/>
        <w:gridCol w:w="1048"/>
        <w:gridCol w:w="6101"/>
        <w:gridCol w:w="2281"/>
        <w:gridCol w:w="1342"/>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序号</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药品名称</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预采购量</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单位</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形状说明</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执行标准</w:t>
            </w:r>
          </w:p>
        </w:tc>
        <w:tc>
          <w:tcPr>
            <w:tcW w:w="134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2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阿胶</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aps w:val="0"/>
                <w:color w:val="000000"/>
                <w:spacing w:val="0"/>
                <w:sz w:val="24"/>
                <w:szCs w:val="24"/>
                <w:shd w:val="clear" w:color="auto" w:fill="FFFFFF"/>
              </w:rPr>
              <w:t>本品呈长方形块、方形块或丁状。棕色至黑褐色，有光泽。质硬而脆，断面光亮，碎片对光照视呈棕色半透明状。气微，味微甘。</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艾绒</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120</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2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val="0"/>
                <w:bCs w:val="0"/>
                <w:sz w:val="24"/>
                <w:szCs w:val="24"/>
                <w:lang w:val="en-US" w:eastAsia="zh-CN"/>
              </w:rPr>
              <w:t>3</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艾条</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9000</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个</w:t>
            </w:r>
          </w:p>
        </w:tc>
        <w:tc>
          <w:tcPr>
            <w:tcW w:w="6101" w:type="dxa"/>
            <w:noWrap w:val="0"/>
            <w:vAlign w:val="top"/>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aps w:val="0"/>
                <w:color w:val="000000"/>
                <w:spacing w:val="0"/>
                <w:sz w:val="24"/>
                <w:szCs w:val="24"/>
                <w:shd w:val="clear" w:color="auto" w:fill="FFFFFF"/>
              </w:rPr>
              <w:t>本品呈圆柱状，长20~21cm，直径1.7~1.8cm；气香，点燃后不熄灭，烟气特异。</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天津市中药饮片炮制规范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06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艾叶</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90</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aps w:val="0"/>
                <w:color w:val="000000"/>
                <w:spacing w:val="0"/>
                <w:sz w:val="24"/>
                <w:szCs w:val="24"/>
                <w:shd w:val="clear" w:color="auto" w:fill="FFFFFF"/>
              </w:rPr>
              <w:t>本品多皱缩、破碎，有短柄。完整叶片展平后呈卵状椭圆形，羽状深裂，裂片椭圆状披针形，边缘有不规则的粗锯齿；上表面灰绿色或深黄绿色，有稀疏的柔毛和腺点；下表面密生灰白色绒毛。质柔软。气清香，味苦。</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巴戟天</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aps w:val="0"/>
                <w:color w:val="000000"/>
                <w:spacing w:val="0"/>
                <w:sz w:val="24"/>
                <w:szCs w:val="24"/>
                <w:shd w:val="clear" w:color="auto" w:fill="FFFFFF"/>
              </w:rPr>
              <w:t>本品为扁圆柱形，略弯曲，长短不等，直径0.5～2cm。表面灰黄色或暗灰色，具纵纹和横裂纹，有的皮部横向断离露出木部；质韧，断面皮部厚，紫色或淡紫色，易与木部剥离；木部坚硬，黄棕色或黄白色，直径1～5mm。气微，味甘而微涩。</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白扁豆</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aps w:val="0"/>
                <w:color w:val="000000"/>
                <w:spacing w:val="0"/>
                <w:sz w:val="24"/>
                <w:szCs w:val="24"/>
                <w:shd w:val="clear" w:color="auto" w:fill="FFFFFF"/>
              </w:rPr>
              <w:t>本品呈扁椭圆形或扁卵圆形，长8～13mm，宽6～9mm，厚约7mm。表面淡黄白色或淡黄色，平滑，略有光泽，一侧边缘有隆起的白色眉状种阜。质坚硬。种皮薄而脆，子叶2，肥厚，黄白色。气微，味淡，嚼之有豆腥气。</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7</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白附片</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eastAsia="zh-CN"/>
              </w:rPr>
              <w:t>上海市中药炮制规范</w:t>
            </w:r>
            <w:r>
              <w:rPr>
                <w:rFonts w:hint="eastAsia" w:ascii="微软雅黑" w:hAnsi="微软雅黑" w:eastAsia="微软雅黑" w:cs="微软雅黑"/>
                <w:sz w:val="24"/>
                <w:szCs w:val="24"/>
                <w:vertAlign w:val="baseline"/>
                <w:lang w:val="en-US" w:eastAsia="zh-CN"/>
              </w:rPr>
              <w:t>1994年版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 xml:space="preserve">   白花蛇舌草</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江苏省中药炮制规范</w:t>
            </w:r>
            <w:r>
              <w:rPr>
                <w:rFonts w:hint="eastAsia" w:ascii="微软雅黑" w:hAnsi="微软雅黑" w:eastAsia="微软雅黑" w:cs="微软雅黑"/>
                <w:sz w:val="24"/>
                <w:szCs w:val="24"/>
                <w:vertAlign w:val="baseline"/>
                <w:lang w:val="en-US" w:eastAsia="zh-CN"/>
              </w:rPr>
              <w:t>2020年版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白芥子</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2005年版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9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白茅根</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aps w:val="0"/>
                <w:color w:val="000000"/>
                <w:spacing w:val="0"/>
                <w:sz w:val="24"/>
                <w:szCs w:val="24"/>
                <w:shd w:val="clear" w:color="auto" w:fill="FFFFFF"/>
              </w:rPr>
              <w:t>本品呈长圆柱形，长30～60cm，直径0.2～0.4cm。表面黄白色或淡黄色，微有光泽，具纵皱纹，节明显，稍突起，节间长短不等，通常长1.5～3cm。体轻，质略脆，断面皮部白色，多有裂隙，放射状排列，中柱淡黄色，易与皮部剥离。气微，味微甜。</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白芍</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aps w:val="0"/>
                <w:color w:val="000000"/>
                <w:spacing w:val="0"/>
                <w:sz w:val="24"/>
                <w:szCs w:val="24"/>
                <w:shd w:val="clear" w:color="auto" w:fill="FFFFFF"/>
              </w:rPr>
              <w:t>本品呈圆柱形，平直或稍弯曲，两端平截，长5～18cm，直径1～2.5cm。表面类白色或淡棕红色，光洁或有纵皱纹及细根痕，偶有残存的棕褐色外皮。质坚实，不易折断，断面较平坦，类白色或微带棕红色，形成层环明显，射线放射状。气微，味微苦、酸。</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白术</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aps w:val="0"/>
                <w:color w:val="000000"/>
                <w:spacing w:val="0"/>
                <w:sz w:val="24"/>
                <w:szCs w:val="24"/>
                <w:shd w:val="clear" w:color="auto" w:fill="FFFFFF"/>
              </w:rPr>
              <w:t>本品为不规则的肥厚团块，长3～13cm，直径1.5～7cm。表面灰黄色或灰棕色，有瘤状突起及断续的纵皱和沟纹，并有须根痕，顶端有残留茎基和芽痕。质坚硬不易折断，断面不平坦，黄白色至淡棕色，有棕黄色的点状油室散在；烘干者断面角质样，色较深或有裂隙。气清香，味甘、微辛，嚼之略带黏性。</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白芷</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圆锥形，长10～25cm，直径1.5～2.5cm。表面灰棕色或黄棕色，根头部钝四棱形或近圆形，具纵皱纹、支根痕及皮孔样的横向突起，有的排列成四纵行。顶端有凹陷的茎痕。质坚实，断面白色或灰白色，粉性，形成层环棕色，近方形或近圆形，皮部散有多数棕色油点。气芳香，味辛、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百部</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直立百部  呈纺锤形，上端较细长，皱缩弯曲，长5～12cm，直径0.5～1cm。表面黄白色或淡棕黄色，有不规则深纵沟，间或有横皱纹。质脆，易折断，断面平坦，角质样，淡黄棕色或黄白色，皮部较宽，中柱扁缩。气微，味甘、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百合</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椭圆形，长2～5cm，宽1～2cm，中部厚1.3～4mm。表面黄白色至淡棕黄色，有的微带紫色，有数条纵直平行的白色维管束。顶端稍尖，基部较宽，边缘薄，微波状，略向内弯曲。质硬而脆，断面较平坦，角质样。气微，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5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柏子仁</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本品呈长卵形或长椭圆形，长4～7mm，直径1.5～3mm。表面黄白色或淡黄棕色，外包膜质内种皮，顶端略尖，有深褐色的小点，基部钝圆。质软，富油性。气微香，味淡。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败酱草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板蓝根</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稍扭曲，长10～20cm，直径0.5～1cm。表面淡灰黄色或淡棕黄色，有纵皱纹、横长皮孔样突起及支根痕。根头略膨大，可见暗绿色或暗棕色轮状排列的叶柄残基和密集的疣状突起。体实，质略软，断面皮部黄白色，木部黄色。气微，味微甜后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eastAsia="zh-CN"/>
              </w:rPr>
              <w:t>内蒙古蒙药饮片炮制规范</w:t>
            </w:r>
            <w:r>
              <w:rPr>
                <w:rFonts w:hint="eastAsia" w:ascii="微软雅黑" w:hAnsi="微软雅黑" w:eastAsia="微软雅黑" w:cs="微软雅黑"/>
                <w:i w:val="0"/>
                <w:iCs w:val="0"/>
                <w:color w:val="000000"/>
                <w:sz w:val="24"/>
                <w:szCs w:val="24"/>
                <w:u w:val="none"/>
                <w:lang w:val="en-US" w:eastAsia="zh-CN"/>
              </w:rPr>
              <w:t>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0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薄荷</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茎呈方柱形，有对生分枝，长15～40cm，直径0.2～0.4cm；表面紫棕色或淡绿色，棱角处具茸毛，节间长2～5cm；质脆，断面白色，髓部中空。叶对生，有短柄；叶片皱缩卷曲，完整者展平后呈宽披针形、长椭圆形或卵形，长2～7cm，宽1～3cm；上表面深绿色，下表面灰绿色，稀被茸毛，有凹点状腺鳞。轮伞花序腋生，花萼钟状，先端5齿裂，花冠淡紫色。揉搓后有特殊清凉香气，味辛凉。</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北柴胡</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eastAsia="zh-CN"/>
              </w:rPr>
              <w:t>贵州省中药饮片炮制规范</w:t>
            </w:r>
            <w:r>
              <w:rPr>
                <w:rFonts w:hint="eastAsia" w:ascii="微软雅黑" w:hAnsi="微软雅黑" w:eastAsia="微软雅黑" w:cs="微软雅黑"/>
                <w:i w:val="0"/>
                <w:iCs w:val="0"/>
                <w:color w:val="000000"/>
                <w:sz w:val="24"/>
                <w:szCs w:val="24"/>
                <w:u w:val="none"/>
                <w:lang w:val="en-US" w:eastAsia="zh-CN"/>
              </w:rPr>
              <w:t>1986年版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北沙参</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细长圆柱形，偶有分枝，长15～45cm，直径0.4～1.2cm。表面淡黄白色，略粗糙，偶有残存外皮，不去外皮的表面黄棕色。全体有细纵皱纹和纵沟，并有棕黄色点状细根痕；顶端常留有黄棕色根茎残基；上端稍细，中部略粗，下部渐细。质脆，易折断，断面皮部浅黄白色，木部黄色。气特异，味微甘。</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2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槟榔</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扁球形或圆锥形，高1.5～3.5cm，底部直径1.5～3cm。表面淡黄棕色或淡红棕色，具稍凹下的网状沟纹，底部中心有圆形凹陷的珠孔，其旁有1明显瘢痕状种脐。质坚硬，不易破碎，断面可见棕色种皮与白色胚乳相间的大理石样花纹。气微，味涩、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补骨脂</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肾形，略扁，长3～5mm，宽2～4mm，厚约1.5mm。表面黑色、黑褐色或灰褐色，具细微网状皱纹。顶端圆钝，有一小突起，凹侧有果梗痕。质硬。果皮薄，与种子不易分离；种子1枚，子叶2，黄白色，有油性。气香，味辛、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0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苍术</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茅苍术  呈不规则连珠状或结节状圆柱形，略弯曲，偶有分枝，长3～10cm，直径1～2cm。表面灰棕色，有皱纹、横曲纹及残留须根，顶端具茎痕或残留茎基。质坚实，断面黄白色或灰白色，散有多数橙黄色或棕红色油室，暴露稍久，可析出白色细针状结晶。气香特异，味微甘、辛、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北苍术  呈疙瘩块状或结节状圆柱形，长4～9cm，直径1～4cm。表面黑棕色，除去外皮者黄棕色。质较疏松，断面散有黄棕色油室。香气较淡，味辛、苦。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蝉蜕</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略呈椭圆形而弯曲，长约3.5cm，宽约2cm。表面黄棕色，半透明，有光泽。头部有丝状触角1对，多已断落，复眼突出。额部先端突出，口吻发达，上唇宽短，下唇伸长成管状。胸部背面呈十字形裂开，裂口向内卷曲，脊背两旁具小翅2对；腹面有足3对，被黄棕色细毛。腹部钝圆，共9节。体轻，中空，易碎。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炒麦芽</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eastAsia="zh-CN"/>
              </w:rPr>
              <w:t>北京市中药饮片炮制规范</w:t>
            </w:r>
            <w:r>
              <w:rPr>
                <w:rFonts w:hint="eastAsia" w:ascii="微软雅黑" w:hAnsi="微软雅黑" w:eastAsia="微软雅黑" w:cs="微软雅黑"/>
                <w:i w:val="0"/>
                <w:iCs w:val="0"/>
                <w:color w:val="000000"/>
                <w:sz w:val="24"/>
                <w:szCs w:val="24"/>
                <w:u w:val="none"/>
                <w:lang w:val="en-US" w:eastAsia="zh-CN"/>
              </w:rPr>
              <w:t>2008年版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7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车前子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本品呈椭圆形、不规则长圆形或三角状长圆形，略扁，长约2mm，宽约1mm。表面黄棕色至黑褐色，有细皱纹，一面有灰白色凹点状种脐。质硬。气微，味淡。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29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陈皮</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陈皮  常剥成数瓣，基部相连，有的呈不规则的片状，厚1～4mm。外表面橙红色或红棕色，有细皱纹和凹下的点状油室；内表面浅黄白色，粗糙，附黄白色或黄棕色筋络状维管束。质稍硬而脆。气香，味辛、苦。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广陈皮  常3瓣相连，形状整齐，厚度均匀，约1mm。外表面橙黄色至棕褐色，点状油室较大，对光照视，透明清晰。质较柔软。</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right="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赤芍</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稍弯曲，长5～40cm，直径0.5～3cm。表面棕褐色，粗糙，有纵沟和皱纹，并有须根痕和横长的皮孔样突起，有的外皮易脱落。质硬而脆，易折断，断面粉白色或粉红色，皮部窄，木部放射状纹理明显，有的有裂隙。气微香，味微苦、酸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eastAsia="zh-CN"/>
              </w:rPr>
              <w:t>内蒙古蒙药饮片炮制规范</w:t>
            </w:r>
            <w:r>
              <w:rPr>
                <w:rFonts w:hint="eastAsia" w:ascii="微软雅黑" w:hAnsi="微软雅黑" w:eastAsia="微软雅黑" w:cs="微软雅黑"/>
                <w:i w:val="0"/>
                <w:iCs w:val="0"/>
                <w:color w:val="000000"/>
                <w:sz w:val="24"/>
                <w:szCs w:val="24"/>
                <w:u w:val="none"/>
                <w:lang w:val="en-US" w:eastAsia="zh-CN"/>
              </w:rPr>
              <w:t>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赤小豆</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赤小豆  呈长圆形而稍扁，长5～8mm，直径3～5mm。表面紫红色，无光泽或微有光泽；一侧有线形突起的种脐，偏向一端，白色，约为全长2/3，中间凹陷成纵沟；另侧有1条不明显的棱脊。质硬，不易破碎。子叶2，乳白色。气微，味微甘。</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3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川楝子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类球形，直径2～3.2cm。表面金黄色至棕黄色，微有光泽，少数凹陷或皱缩，具深棕色小点。顶端有花柱残痕，基部凹陷，有果梗痕。外果皮革质，与果肉间常成空隙，果肉松软，淡黄色，遇水润湿显黏性。果核球形或卵圆形，质坚硬，两端平截，有6～8条纵棱，内分6～8室，每室含黑棕色长圆形的种子1粒。气特异，味酸、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5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川牛膝</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近圆柱形，微扭曲，向下略细或有少数分枝，长30～60cm，直径0.5～3cm。表面黄棕色或灰褐色，具纵皱纹、支根痕和多数横长的皮孔样突起。质韧，不易折断，断面浅黄色或棕黄色，维管束点状，排列成数轮同心环。气微，味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川芎</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不规则结节状拳形团块，直径2～7cm。表面灰褐色或褐色，粗糙皱缩，有多数平行隆起的轮节，顶端有凹陷的类圆形茎痕，下侧及轮节上有多数小瘤状根痕。质坚实，不易折断，断面黄白色或灰黄色，散有黄棕色的油室，形成层环呈波状。气浓香，味苦、辛，稍有麻舌感，微回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醋三棱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eastAsia="zh-CN"/>
              </w:rPr>
              <w:t>北京市中药饮片炮制规范</w:t>
            </w:r>
            <w:r>
              <w:rPr>
                <w:rFonts w:hint="eastAsia" w:ascii="微软雅黑" w:hAnsi="微软雅黑" w:eastAsia="微软雅黑" w:cs="微软雅黑"/>
                <w:i w:val="0"/>
                <w:iCs w:val="0"/>
                <w:color w:val="000000"/>
                <w:sz w:val="24"/>
                <w:szCs w:val="24"/>
                <w:u w:val="none"/>
                <w:lang w:val="en-US" w:eastAsia="zh-CN"/>
              </w:rPr>
              <w:t>2008年版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大黄</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类圆柱形、圆锥形、卵圆形或不规则块状，长3～17cm，直径3～10cm。除尽外皮者表面黄棕色至红棕色，有的可见类白色网状纹理及星点（异型维管束）散在，残留的外皮棕褐色，多具绳孔及粗皱纹。质坚实，有的中心稍松软，断面淡红棕色或黄棕色，显颗粒性；根茎髓部宽广，有星点 环列或散在；根木部发达，具放射状纹理，形成层环明显，无星点。气清香，味苦而微涩，嚼之粘牙，有沙粒感。</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大青叶</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多皱缩卷曲，有的破碎。完整叶片展平后呈长椭圆形至长圆状倒披针形，长5～20cm，宽2～6cm；上表面暗灰绿色，有的可见色较深稍突起的小点；先端钝，全缘或微波状，基部狭窄下延至叶柄呈翼状；叶柄长4～10cm，淡棕 黄色。质脆。气微，味微酸、苦、涩。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i w:val="0"/>
                <w:iCs w:val="0"/>
                <w:color w:val="000000"/>
                <w:sz w:val="24"/>
                <w:szCs w:val="24"/>
                <w:u w:val="none"/>
                <w:lang w:eastAsia="zh-CN"/>
              </w:rPr>
              <w:t>内蒙古蒙药饮片炮制规范</w:t>
            </w:r>
            <w:r>
              <w:rPr>
                <w:rFonts w:hint="eastAsia" w:ascii="微软雅黑" w:hAnsi="微软雅黑" w:eastAsia="微软雅黑" w:cs="微软雅黑"/>
                <w:i w:val="0"/>
                <w:iCs w:val="0"/>
                <w:color w:val="000000"/>
                <w:sz w:val="24"/>
                <w:szCs w:val="24"/>
                <w:u w:val="none"/>
                <w:lang w:val="en-US" w:eastAsia="zh-CN"/>
              </w:rPr>
              <w:t>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大血藤</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本品呈圆柱形，略弯曲，长30～60cm，直径1～ 3cm。表面灰棕色，粗糙，外皮常呈鳞片状剥落，剥落处显暗红棕色，有的可见膨大的节和略凹陷的枝痕或叶痕。质硬，断面皮部红棕色，有数处向内嵌入木部，木部黄白色，有多数细孔状导管，射线呈放射状排列。气微，味微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大枣</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本品呈椭圆形或球形，长2～3.5cm，直径 1.5～2.5cm。表面暗红色，略带光泽，有不规则皱纹。基部凹陷，有短果梗。外果皮薄，中果皮棕黄色或淡褐色，肉质，柔软，富糖性而油润。果核纺锤形，两端锐尖，质坚硬。气微香，味甜。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034"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丹参</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本品根茎短粗，顶端有时残留茎基。根数条，长圆柱形，略弯曲，有的分枝并具须状细根，长10～20cm，直径0.3～1cm。表面棕红色或暗棕红色，粗糙，具纵皱纹。老根外皮疏松，多显紫棕色，常呈鳞片状剥落。质硬而脆，断面疏松，有裂隙或略平整而致密，皮部棕红色，木部灰黄色或紫褐色，导管束黄白色，呈放射状排列。气微，味微苦涩。</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　　栽培品较粗壮，直径0.5～1.5cm。表面红棕色，具纵皱纹，外皮紧贴不易剥落。质坚实，断面较平整，略呈角质样。</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淡豆豉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本品呈椭圆形，略扁，长0.6～1cm，直径0.5～0.7cm。表面黑色，皱缩不平，一侧有长椭圆形种脐。质稍柔软或脆，断面棕黑色。气香，味微甘。</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天津市中药饮片炮制规范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淡竹叶</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长25～75cm。茎呈圆柱形，有节，表面淡黄绿色，断面中空。叶鞘开裂。叶片披针形，有的皱缩卷曲，长5～20cm，宽1～3.5cm；表面浅绿色或黄绿色。叶脉平行，具横行小脉，形成长方形的网格状，下表面尤为明显。体轻，质柔韧。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当归</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本品略呈圆柱形，下部有支根3～5条或更多，长15～25cm。表面浅棕色至棕褐色，具纵皱纹和横长皮孔样突起。根头（归头）直径1.5～4cm，具环纹，上端圆钝，或具数个明显突出的根茎痕，有紫色或黄绿色的茎和叶鞘的残基；主根（归身）表面凹凸不平；支根（归尾）直径0.3～1cm，上粗下细，多扭曲，有少数须根痕。质柔韧，断面黄白色或淡黄棕色，皮部厚，有裂隙和多数棕色点状分泌腔，木部色较淡，形成层环黄棕色。有浓郁的香气，味甘、辛、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　　柴性大、干枯无油或断面呈绿褐色者不可供药用。</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481"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党参片</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党参 呈长圆柱形，稍弯曲，长10～35cm，直径0.4～2cm。表面灰黄色、黄棕色至灰棕色，根头部有多数疣状突起的茎痕及芽，每个茎痕的顶端呈凹下的圆点状；根头下有致密的环状横纹，向下渐稀疏，有的达全长的一半，栽培品环状横纹少或无；全体有纵皱纹和散在的横长皮孔样突起，支根断落处常有黑褐色胶状物。质稍柔软或稍硬而略带韧性，断面稍平坦，有裂隙或放射状纹理，皮部淡棕黄色至黄棕色，木部淡黄色至黄色。有特殊香气，味微甜。</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素花党参（西党参） 长10～35cm，直径0.5～2.5cm。表面黄白色至灰黄色，根头下致密的环状横纹常达全长的一半以上。断面裂隙较多，皮部灰白色至淡棕色。</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川党参 长10～45cm，直径0.5～2cm。表面灰黄色至黄棕色，有明显不规则的纵沟。质较软而结实，断面裂隙较少，皮部黄白色。</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right="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地黄</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鲜地黄  呈纺锤形或条状，长8～24cm，直径2～9cm。外皮薄，表面浅红黄色，具弯曲的纵皱纹、芽痕、横长皮孔样突起及不规则疤痕。肉质，易断，断面皮部淡黄白色，可见橘红色油点，木部黄白色，导管呈放射状排列。气微，味微甜、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95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地龙</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广地龙 呈长条状薄片，弯曲，边缘略卷，长15～20cm，宽1～2cm。全体具环节，背部棕褐色至紫灰色，腹部浅黄棕色；第14～16环节为生殖带，习称“白颈”，较光亮。体前端稍尖，尾端钝圆，刚毛圈粗糙而硬，色稍浅。雄生殖孔在第18环节腹侧刚毛圈一小孔突上，外缘有数环绕的浅皮褶，内侧刚毛圈隆起，前面两边有横排（一排或二排）小乳突，每边10～20个不等。受精囊孔2对，位于7/8至8/9环节间一椭圆形突起上，约占节周5/11。体轻，略呈革质，不易折断。气腥，味微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65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豆蔻</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9</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240" w:firstLineChars="10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原豆蔻     呈类球形，直径1.2～1.8cm。表面黄白色至淡黄棕色，有3条较深的纵向槽纹,顶端有突起的柱基， 基部有凹下的果柄痕，两端均具浅棕色绒毛。果皮体轻,质脆，易纵向裂开，内分3室，每室含种子约10粒；种子呈不规则多面体，背面略隆起，直径3～4mm，表面暗棕色，有皱纹,并被有残留的假种皮。气芳香，味辛凉略似樟脑。</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印尼白蔻    个略小。表面黄白色，有的微显紫棕色。果皮较薄，种子瘦瘪。气味较弱。</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right="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4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独活</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根略呈圆柱形，下部2～3分枝或更多，长10～30cm。根头部膨大，圆锥状，多横皱纹，直径1.5～3cm，顶端有茎、叶的残基或凹陷。表面灰褐色或棕褐色，具纵皱纹，有横长皮孔样突起及稍突起的细根痕。质较硬，受潮则变软，断面皮部灰白色，有多数散在的棕色油室，木部灰黄色至黄棕色，形成层环棕色。有特异香气，味苦、辛、微麻舌。</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7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杜仲</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板片状或两边稍向内卷，大小不一，厚3～7mm。外表面淡棕色或灰褐色，有明显的皱纹或纵裂槽纹，有的树皮较薄，未去粗皮，可见明显的皮孔。内表面暗紫色，光滑。质脆，易折断，断面有细密、银白色、富弹性的橡胶丝相连。气微，味稍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14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49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莪术</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蓬莪术  呈卵圆形、长卵形、圆锥形或长纺锤形，顶端多钝尖，基部钝圆，长2～8cm，直径1.5～4cm。表面灰黄色至灰棕色，上部环节突起，有圆形微凹的须根痕或残留的须根，有的两侧各有1列下陷的芽痕和类圆形的侧生根茎 痕，有的可见刀削痕。体重，质坚实，断面灰褐色至蓝褐色，蜡样，常附有灰棕色粉末，皮层与中柱易分离，内皮层环纹棕褐色。气微香，味微苦而辛。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7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防风</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圆锥形或长圆柱形，下部渐细，有的略弯曲，长15～30cm，直径0.5～2cm。表面灰棕色或棕褐色，粗糙，有纵皱纹、多数横长皮孔样突起及点状的细根痕。根头部有明显密集的环纹，有的环纹上残存棕褐色毛状叶基。体轻，质松，易折断，断面不平坦，皮部棕黄色至棕色，有裂隙，木部黄色。气特异，味微甘。</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防己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圆柱形、半圆柱形或块状，多弯曲，长5～10cm，直径1～5cm。表面淡灰黄色，在弯曲处常有深陷横沟而成结节状的瘤块样。体重，质坚实，断面平坦，灰白色，富粉性，有排列较稀疏的放射状纹理。气微，味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茯苓</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茯苓个  呈类球形、椭圆形、扁圆形或不规则团块，大小不一。外皮薄而粗糙，棕褐色至黑褐色，有明显的皱缩纹理。体重，质坚实，断面颗粒性，有的具裂隙，外层淡棕色，内部白色，少数淡红色，有的中间抱有松根。气微，味淡，嚼之粘牙。</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6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浮小麦</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eastAsia="zh-CN"/>
              </w:rPr>
              <w:t>宁夏中药饮片炮制规范</w:t>
            </w:r>
            <w:r>
              <w:rPr>
                <w:rFonts w:hint="eastAsia" w:ascii="微软雅黑" w:hAnsi="微软雅黑" w:eastAsia="微软雅黑" w:cs="微软雅黑"/>
                <w:i w:val="0"/>
                <w:iCs w:val="0"/>
                <w:color w:val="000000"/>
                <w:sz w:val="24"/>
                <w:szCs w:val="24"/>
                <w:u w:val="none"/>
                <w:lang w:val="en-US" w:eastAsia="zh-CN"/>
              </w:rPr>
              <w:t>2017年版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6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附片</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6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甘草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甘草 根呈圆柱形，长25～100cm，直径0.6～3.5cm。外皮松紧不一。表面红棕色或灰棕色，具显著的纵皱纹、沟纹、皮孔及稀疏的细根痕。质坚实，断面略显纤维性，黄白色，粉性，形成层环明显，射线放射状，有的有裂隙。根茎呈圆柱形，表面有芽痕，断面中部有髓。气微，味甜而特殊。</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胀果甘草 根和根茎木质粗壮，有的分枝，外皮粗糙，多灰棕色或灰褐色。质坚硬，木质纤维多，粉性小。根茎不定芽多而粗大。</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光果甘草 根和根茎质地较坚实，有的分枝，外皮不粗糙，多灰棕色，皮孔细而不明显。</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right="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85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干姜</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378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干姜　呈扁平块状，具指状分枝，长3～7cm，厚1～2cm。表面灰黄色或浅灰棕色，粗糙，具纵皱纹和明显的环节。分枝处常有鳞叶残存，分枝顶端有茎痕或芽。质坚实，断面黄白色或灰白色，粉性或颗粒性，内皮层环纹明显，维管束及黄色油点散在。气香、特异，味辛辣。</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干姜片　本品呈不规则纵切片或斜切片，具指状分枝，长1～6cm，宽1～2cm，厚0.2～0.4cm。外皮灰黄色或浅黄棕色，粗糙，具纵皱纹及明显的环节。切面灰黄色或灰白色，略显粉性，可见较多的纵向纤维，有的呈毛状。质坚实，断面纤维性。气香、特异，味辛辣。</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i w:val="0"/>
                <w:iCs w:val="0"/>
                <w:color w:val="000000"/>
                <w:sz w:val="24"/>
                <w:szCs w:val="24"/>
                <w:u w:val="none"/>
                <w:lang w:eastAsia="zh-CN"/>
              </w:rPr>
              <w:t>上海市中药饮片炮制规范</w:t>
            </w:r>
            <w:r>
              <w:rPr>
                <w:rFonts w:hint="eastAsia" w:ascii="微软雅黑" w:hAnsi="微软雅黑" w:eastAsia="微软雅黑" w:cs="微软雅黑"/>
                <w:i w:val="0"/>
                <w:iCs w:val="0"/>
                <w:color w:val="000000"/>
                <w:sz w:val="24"/>
                <w:szCs w:val="24"/>
                <w:u w:val="no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i w:val="0"/>
                <w:iCs w:val="0"/>
                <w:color w:val="000000"/>
                <w:sz w:val="24"/>
                <w:szCs w:val="24"/>
                <w:u w:val="none"/>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5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葛根</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本品呈纵切的长方形厚片或小方块，长5～35cm，厚0.5～1cm。外皮淡棕色至棕色，有纵皱纹，粗糙。切面黄白色至淡黄棕色，有的纹理明显。质韧，纤维性强。气微，味微甜。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6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葛花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i w:val="0"/>
                <w:iCs w:val="0"/>
                <w:color w:val="000000"/>
                <w:sz w:val="24"/>
                <w:szCs w:val="24"/>
                <w:u w:val="none"/>
                <w:lang w:eastAsia="zh-CN"/>
              </w:rPr>
              <w:t>宁夏中药饮片炮制规范</w:t>
            </w:r>
            <w:r>
              <w:rPr>
                <w:rFonts w:hint="eastAsia" w:ascii="微软雅黑" w:hAnsi="微软雅黑" w:eastAsia="微软雅黑" w:cs="微软雅黑"/>
                <w:i w:val="0"/>
                <w:iCs w:val="0"/>
                <w:color w:val="000000"/>
                <w:sz w:val="24"/>
                <w:szCs w:val="24"/>
                <w:u w:val="none"/>
                <w:lang w:val="en-US" w:eastAsia="zh-CN"/>
              </w:rPr>
              <w:t>2017年版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37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59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钩藤</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茎枝呈圆柱形或类方柱形，长2～3cm，直径0.2～0.5cm。表面红棕色至紫红色者具细纵纹，光滑无毛；黄绿色至灰褐色者有的可见白色点状皮孔，被黄褐色柔毛。多数枝节上对生两个向下弯曲的钩（不育花序梗），或仅一侧有钩，另一侧为突起的疤痕；钩略扁或稍圆，先端细尖，基部较阔；钩基部的枝上可见叶柄脱落后的窝点状痕迹和环状的托叶痕。质坚韧，断面黄棕色，皮部纤维性，髓部黄白色或中空。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i w:val="0"/>
                <w:iCs w:val="0"/>
                <w:color w:val="000000"/>
                <w:sz w:val="24"/>
                <w:szCs w:val="24"/>
                <w:u w:val="none"/>
                <w:lang w:eastAsia="zh-CN"/>
              </w:rPr>
              <w:t>上海市中药饮片炮制规范</w:t>
            </w:r>
            <w:r>
              <w:rPr>
                <w:rFonts w:hint="eastAsia" w:ascii="微软雅黑" w:hAnsi="微软雅黑" w:eastAsia="微软雅黑" w:cs="微软雅黑"/>
                <w:i w:val="0"/>
                <w:iCs w:val="0"/>
                <w:color w:val="000000"/>
                <w:sz w:val="24"/>
                <w:szCs w:val="24"/>
                <w:u w:val="no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狗脊</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的长块状，长10～30cm，直径2～10cm。表面深棕色，残留金黄色绒毛；上面有数个红棕色的木质叶柄，下面残存黑色细根。质坚硬，不易折断。无臭，味淡、微涩。生狗脊片呈不规则长条形或圆形，长5～20cm，直径2～10cm，厚1.5～5mm；切面浅棕色，较平滑，近边缘1～4mm处有1条棕黄色隆起的木质部环纹或条纹，边缘不整齐，偶有金黄色绒毛残留；质脆，易折断，有粉性。熟狗脊片呈黑棕色，质坚硬。</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i w:val="0"/>
                <w:iCs w:val="0"/>
                <w:color w:val="000000"/>
                <w:sz w:val="24"/>
                <w:szCs w:val="24"/>
                <w:u w:val="none"/>
                <w:lang w:eastAsia="zh-CN"/>
              </w:rPr>
              <w:t>上海市中药饮片炮制规范</w:t>
            </w:r>
            <w:r>
              <w:rPr>
                <w:rFonts w:hint="eastAsia" w:ascii="微软雅黑" w:hAnsi="微软雅黑" w:eastAsia="微软雅黑" w:cs="微软雅黑"/>
                <w:i w:val="0"/>
                <w:iCs w:val="0"/>
                <w:color w:val="000000"/>
                <w:sz w:val="24"/>
                <w:szCs w:val="24"/>
                <w:u w:val="no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枸杞子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类纺锤形或椭圆形，长6～20mm，直径3～10mm。表面红色或暗红色，顶端有小突起状的花柱痕，基部有白色的果梗痕。果皮柔韧，皱缩；果肉肉质，柔润。种子20～50粒，类肾形，扁而翘，长1.5～1.9mm，宽1～1.7mm，表面浅黄色或棕黄色。气微，味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65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骨碎补</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扁平长条状，多弯曲，有分枝，长5～15cm，宽1～1.5cm，厚0.2～0.5cm。表面密被深棕色至暗棕色的小鳞片，柔软如毛，经火燎者呈棕褐色或暗褐色，两侧及上表面均具突起或凹下的圆形叶痕，少数有叶柄残基和须根残留。体轻，质脆，易折断，断面红棕色，维管束呈黄色点状，排列成环。气微，味淡、微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瓜蒌</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类球形或宽椭圆形，长7～15cm，直径6～10cm。表面橙红色或橙黄色，皱缩或较光滑，顶端有圆形的花柱残基，基部略尖，具残存的果梗。轻重不一。质脆，易破开，内表面黄白色，有红黄色丝络，果瓤橙黄色，黏稠，与多数种子粘结成团。具焦糖气，味微酸、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eastAsia="zh-CN"/>
              </w:rPr>
              <w:t>湖南省中药饮片炮制规范</w:t>
            </w:r>
            <w:r>
              <w:rPr>
                <w:rFonts w:hint="eastAsia" w:ascii="微软雅黑" w:hAnsi="微软雅黑" w:eastAsia="微软雅黑" w:cs="微软雅黑"/>
                <w:i w:val="0"/>
                <w:iCs w:val="0"/>
                <w:color w:val="000000"/>
                <w:sz w:val="24"/>
                <w:szCs w:val="24"/>
                <w:u w:val="none"/>
                <w:lang w:val="en-US" w:eastAsia="zh-CN"/>
              </w:rPr>
              <w:t>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桂枝</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圆柱形，多分枝，长30～75cm，粗端直径0.3～1cm。表面红棕色至棕色，有纵棱线、细皱纹及小疙瘩状的叶痕、枝痕和芽痕，皮孔点状。质硬而脆，易折断。切片厚2～4mm，切面皮部红棕色，木部黄白色至浅黄棕色，髓部略呈方形。有特异香气，味甜、微辛，皮部味较浓。</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海风藤</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ind w:firstLine="720" w:firstLineChars="300"/>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aps w:val="0"/>
                <w:color w:val="000000"/>
                <w:spacing w:val="0"/>
                <w:sz w:val="24"/>
                <w:szCs w:val="24"/>
                <w:shd w:val="clear" w:color="auto" w:fill="FFFFFF"/>
              </w:rPr>
              <w:t>本品呈扁圆柱形，微弯曲，长15～60cm，直径0.3～2cm。表面灰褐色或褐色，粗糙，有纵向棱状纹理及明显的节，节间长3～12cm，节部膨大，上生不定根。体轻，质脆，易折断，断面不整齐，皮部窄，木部宽广，灰黄色，导管孔多数，射线灰白色，放射状排列，皮部与木部交界处常有裂隙，中心有灰褐色髓。气香，味微苦、辛。</w:t>
            </w:r>
            <w:r>
              <w:rPr>
                <w:rFonts w:hint="eastAsia" w:ascii="微软雅黑" w:hAnsi="微软雅黑" w:eastAsia="微软雅黑" w:cs="微软雅黑"/>
                <w:i w:val="0"/>
                <w:iCs w:val="0"/>
                <w:caps w:val="0"/>
                <w:color w:val="000000"/>
                <w:spacing w:val="0"/>
                <w:sz w:val="24"/>
                <w:szCs w:val="24"/>
                <w:shd w:val="clear" w:color="auto" w:fill="FFFFFF"/>
                <w:lang w:val="en-US" w:eastAsia="zh-CN"/>
              </w:rPr>
              <w:t xml:space="preserve">                 </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83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海螵蛸</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无针乌贼  呈扁长椭圆形，中间厚，边缘薄，长9～14cm，宽2.5～3.5cm，厚约1.3cm。背面有磁白色脊状隆起，两侧略显微红色，有不甚明显的细小疣点；腹面白色，自尾端到中部有细密波状横层纹；角质缘半透明，尾部较宽平，无骨针。体轻，质松，易折断，断面粉质，显疏松层纹。气微腥，味微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金乌贼  长13～23cm，宽约6.5cm。背面疣点明显，略呈层状排列;腹面的细密波状横层纹占全体大部分，中间有纵向浅槽;尾部角质缘渐宽，向腹面翘起，末端有1骨针，多已断落。</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18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海藻</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大叶海藻 皱缩卷曲，黑褐色，有的被白霜，长30～60cm。主干呈圆柱状，具圆锥形突起，主枝自主干两侧生出，侧枝自主枝叶腋生出，具短小的刺状突起。初生叶披针形或倒卵形，长5～7cm，宽约1cm，全缘或具粗锯齿；次生叶条形或披针形，叶腋间有着生条状叶的小枝。气囊黑褐色，球形或卵圆形，有的有柄，顶端钝圆，有的具细短尖。质脆，潮润时柔软；水浸后膨胀，肉质，黏滑。气腥，味微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小叶海藻  较小，长15～40cm。分枝互生，无刺状突起。叶条形或细匙形，先端稍膨大，中空。气囊腋生，纺锤形或球形，囊柄较长。质较硬。</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right="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何首乌</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本品呈团块状或不规则纺锤形，长6～15cm，直 径4～12cm。表面红棕色或红褐色，皱缩不平，有浅沟，并有横长皮孔样突起和细根痕。体重，质坚实，不易折断，断面浅黄棕色或浅红棕色，显粉性，皮部有4～11个类圆形异型维管束环列，形成云锦状花纹，中央木部较大，有的呈木心。气微， 味微苦而甘涩。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9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荷叶</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半圆形或折扇形，展开后呈类圆形，全缘或稍呈波状，直径20～50cm。上表面深绿色或黄绿色，较粗糙；下表面淡灰棕色，较光滑，有粗脉21～22条，自中心向四周射出；中心有突起的叶柄残基。质脆，易破碎。稍有清香气，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70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红花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本品为不带子房的管状花，长1～2cm。表面红黄色或红色。花冠筒细长，先端5裂，裂片呈狭条形，长5～8mm；雄蕊5，花药聚合成筒状，黄白色；柱头长圆柱形，顶端微分叉。质柔软。气微香，味微苦。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12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71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厚朴</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干皮</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卷筒状或双卷筒状，长30～35cm，厚0.2～0.7cm，习称“筒朴”；近根部的干皮一端展开如喇叭口，长13～25cm，厚0.3-0.8cm，习称“靴筒朴”。外表面灰棕色或灰褐色，粗糙，有时呈鳞片状，较易剥落，有明显椭圆形皮孔和纵皱纹，刮去粗皮者显黄棕色。内表面紫棕色或深紫褐色，较平滑，具细密纵纹，划之显油痕。质坚硬，不易折断，断面颗粒性，外层灰棕色，内层紫褐色或棕色，有油性，有的可见多数小亮星。气香，味辛辣、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根皮（根朴） 呈单筒状或不规则块片；有的弯曲似鸡肠，习称“鸡肠朴”。质硬，较易折断，断面纤维性。</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枝皮（枝朴）呈单筒状，长10～20cm，厚0.1～0.2cm。质脆，易折断，断面纤维性。</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right="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滑石粉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本品为白色或类白色、微细、无砂性的粉末，手摸有滑腻感。气微，味淡。</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　　本品在水、稀盐酸或稀氢氧化钠溶液中均不溶解。</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sz w:val="24"/>
                <w:szCs w:val="24"/>
                <w:u w:val="none"/>
                <w:lang w:eastAsia="zh-CN"/>
              </w:rPr>
              <w:t>内蒙古蒙药饮片炮制规范</w:t>
            </w:r>
            <w:r>
              <w:rPr>
                <w:rFonts w:hint="eastAsia" w:ascii="微软雅黑" w:hAnsi="微软雅黑" w:eastAsia="微软雅黑" w:cs="微软雅黑"/>
                <w:i w:val="0"/>
                <w:iCs w:val="0"/>
                <w:color w:val="000000"/>
                <w:sz w:val="24"/>
                <w:szCs w:val="24"/>
                <w:u w:val="none"/>
                <w:lang w:val="en-US" w:eastAsia="zh-CN"/>
              </w:rPr>
              <w:t>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2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73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化橘红</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化州柚 呈对折的七角或展平的五角星状，单片呈柳叶形。完整者展平后直径15～28cm，厚0.2～0.5cm。外表面黄绿色，密布茸毛，有皱纹及小油室；内表面黄白色或淡黄棕色，有脉络纹。质脆，易折断，断面不整齐，外缘有1列不整齐的下凹的油室，内侧稍柔而有弹性。气芳香，味苦、微辛。</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柚 外表面黄绿色至黄棕色，无毛。</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right="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74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黄柏</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板片状或浅槽状，长宽不一，厚1～6mm。外表面黄褐色或黄棕色，平坦或具纵沟纹，有的可见皮孔痕及残存的灰褐色粗皮；内表面暗黄色或淡棕色，具细密的纵棱纹。体轻，质硬，断面纤维性，呈裂片状分层，深黄色。气微，味极苦，嚼之有黏性。</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00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75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黄精</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大黄精</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肥厚肉质的结节块状，结节长可达10cm以上，宽3～6cm，厚2～3cm。表面淡黄色至黄棕色，具环节，有皱纹及须根痕，结节上侧茎痕呈圆盘状，圆周凹入，中部突出。质硬而韧，不易折断，断面角质，淡黄色至黄棕色。气微，味甜，嚼之有黏性。</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鸡头黄精</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呈结节状弯柱形，长3～10cm，直径0.5～1.5cm。结节长2～4cm，略呈圆锥形，常有分枝。表面黄白色或灰黄色，半透明，有纵皱纹，茎痕圆形，直径5～8mm。</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姜形黄精</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呈长条结节块状，长短不等，常数个块状结节相连。表面灰黄色或黄褐色，粗糙，结节上侧有突出的圆盘状茎痕，直径0.8～1.5cm。</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味苦者不可药用。</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right="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4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76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黄连</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135</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味连 多集聚成簇，常弯曲，形如鸡爪，单枝根茎长3～6cm，直径0.3～0.8cm。表面灰黄色或黄褐色，粗糙，有不规则结节状隆起、须根及须根残基，有的节间表面平滑如茎秆，习称“过桥”。上部多残留褐色鳞叶，顶端常留有残余的茎或叶柄。质硬，断面不整齐，皮部橙红色或暗棕色，木部鲜黄色或橙黄色，呈放射状排列，髓部有的中空。气微，味极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雅连</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多为单枝，略呈圆柱形，微弯曲，长4～8cm，直径0.5～1cm。“过桥”较长。顶端有少许残茎。</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云连</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弯曲呈钩状，多为单枝，较细小。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right="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77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黄芪</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有的有分枝，上端较粗，长30～90cm，直径1～3.5cm。表面淡棕黄色或淡棕褐色，有不整齐的纵皱纹或纵沟。质硬而韧，不易折断，断面纤维性强，并显粉性，皮部黄白色，木部淡黄色，有放射状纹理和裂隙，老根中心偶呈枯朽状，黑褐色或呈空洞。气微，味微甜，嚼之微有豆腥味。</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9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78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黄芩片</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本品呈圆锥形，扭曲，长8～25cm，直径1～3cm。表面棕黄色或深黄色，有稀疏的疣状细根痕，上部较粗糙，有扭曲的纵皱纹或不规则的网纹，下部有顺纹和细皱纹。质硬而脆，易折断，断面黄色，中心红棕色；老根中心呈枯朽状或中空，暗棕色或棕黑色。气微，味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　　栽培品较细长，多有分枝。表面浅黄棕色，外皮紧贴，纵皱纹较细腻。断面黄色或浅黄色，略呈角质样。味微苦。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79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火麻仁</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本品呈卵圆形，长4～5.5mm，直径2.5～4mm。表面灰绿色或灰黄色，有微细的白色或棕色网纹，两边有棱，顶端略尖，基部有1圆形果梗痕。果皮薄而脆，易破碎。种皮绿色，子叶2，乳白色，富油性。气微，味淡。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47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藿香</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茎略呈方柱形，多分枝，枝条稍曲折，长30～60cm，直径0.2～0.7cm；表面被柔毛；质脆，易折断，断面中部有髓；老茎类圆柱形，直径1～1.2cm，被灰褐色栓皮。叶对生，皱缩成团，展平后叶片呈卵形或椭圆形，长4～9cm，宽3～7cm；两面均被灰白色绒毛；先端短尖或钝圆，基部楔形或钝圆，边缘具大小不规则的钝齿；叶柄细，长2～5cm，被柔毛。气香特异，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甘肃省中药材标准2020年版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鸡内金</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本品为不规则卷片，厚约2mm。表面黄色、黄绿色或黄褐色，薄而半透明，具明显的条状皱纹。质脆，易碎，断面角质样，有光泽。气微腥，味微苦。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5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鸡血藤</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椭圆形、长矩圆形或不规则的斜切片，厚0.3～1cm。栓皮灰棕色，有的可见灰白色斑，栓皮脱落处显红棕色。质坚硬。切面木部红棕色或棕色，导管孔多数；韧皮部有树脂状分泌物呈红棕色至黑棕色，与木部相间排列呈数个同心性椭圆形环或偏心性半圆形环；髓部偏向一侧。气微，味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姜半夏</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本品呈片状、不规则颗粒状或类球形。表面棕色至棕褐色。质硬脆，断面淡黄棕色，常具角质样光泽。气微香，味淡、微有麻舌感，嚼之略粘牙。</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北京市中药饮片炮制规范2008年版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姜黄</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9</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卵圆形、圆柱形或纺锤形，常弯曲，有的具短叉状分枝，长2～5cm，直径1～3cm。表面深黄色，粗糙，有皱缩纹理和明显环节，并有圆形分枝痕及须根痕。质坚实，不易折断，断面棕黄色至金黄色，角质样，有蜡样光泽，内皮层环纹明显，维管束呈点状散在。气香特异，味苦、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天津市中药饮片炮制规范2012年版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僵蚕</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略呈圆柱形，多弯曲皱缩。长2～5cm，直径0.5～0.7cm。表面灰黄色，被有白色粉霜状的气生菌丝和分生孢子。头部较圆，足8对，体节明显，尾部略呈二分歧状。质硬而脆，易折断，断面平坦，外层白色，中间有亮棕色或亮黑色的丝腺环4个。气微腥，味微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421"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金钱草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常缠结成团，无毛或被疏柔毛。茎扭曲，表面棕色或暗棕红色，有纵纹，下部茎节上有时具须根，断面实心。叶对生，多皱缩，展平后呈宽卵形或心形，长1～4cm，宽1～5cm，基部微凹，全缘；上表面灰绿色或棕褐色，下表面色较浅，主脉明显突起，用水浸后，对光透视可见黑色或褐色条纹；叶柄长1～4cm。有的带花，花黄色，单生叶腋，具长梗。蒴果球形。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浙江省中药炮制规范2015年版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金银花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棒状，上粗下细，略弯曲，长2～3cm，上部直径约3mm，下部直径约1.5mm。表面黄白色或绿白色（贮久色渐深），密被短柔毛。偶见叶状苞片。花萼绿色，先端5裂，裂片有毛，长约2mm。开放者花冠筒状，先端二唇形；雄蕊5，附于筒壁，黄色；雌蕊1，子房无毛。气清香，味淡、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ind w:firstLine="480" w:firstLineChars="200"/>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荆芥</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茎呈方柱形，上部有分枝，长50～80cm，直径0.2～0.4cm；表面淡黄绿色或淡紫红色，被短柔毛；体轻，质脆，断面类白色。叶对生，多已脱落，叶片3～5羽状分裂，裂片细长。穗状轮伞花序顶生，长2～9cm，直径约0.7cm。花冠多脱落，宿萼钟状，先端5齿裂，淡棕色或黄绿色，被短柔毛；小坚果棕黑色。气芳香，味微涩而辛凉。</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荆芥穗</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本品穗状轮伞花序呈圆柱形，长3～15cm，直径约7mm。花冠多脱落，宿萼黄绿色，钟形，质脆易碎，内有棕黑色小坚果。气芳香，味微涩而辛凉。</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天津市中药饮片炮制规范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6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桔梗</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或略呈纺锤形，下部渐细，有的有分枝，略扭曲，长7～20cm，直径0.7～2cm。表面淡黄白色至黄色，不去外皮者表面黄棕色至灰棕色，具纵扭皱沟，并有横长的皮孔样斑痕及支根痕，上部有横纹。有的顶端有较短的根茎或不明显，其上有数个半月形茎痕。质脆，断面不平坦，形成层环棕色，皮部黄白色，有裂隙，木部淡黄色。气微，味微甜后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6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菊花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亳菊</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 xml:space="preserve">  呈倒圆锥形或圆筒形，有时稍压扁呈扇形，直径1.5～3cm，离散。总苞碟状；总苞片3～4层，卵形或椭圆形，草质，黄绿色或褐绿色，外面被柔毛，边缘膜质。花托半球形，无托片或托毛。舌状花数层，雌性，位于外围，类白色，劲直，上举，纵向折缩，散生金黄色腺点；管状花多数，两性，位于中央，为舌状花所隐藏，黄色，顶端5齿裂。瘦果不发育，无冠毛。体轻，质柔润，干时松脆。气清香，味甘、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滁菊</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呈不规则球形或扁球形，直径1.5～2.5cm。舌状花类白色，不规则扭曲，内卷，边缘皱缩，有时可见淡褐色腺点；管状花大多隐藏。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贡菊</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呈扁球形或不规则球形，直径1.5～2.5cm。舌状花白色或类白色，斜升，上部反折，边缘稍内卷而皱缩，通常无腺点；管状花少，外露。</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杭菊</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呈碟形或扁球形，直径2.5～4cm，常数个相连成片。舌状花类白色或黄色，平展或微折叠，彼此粘连，通常无腺点；管状花多数，外露。</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怀菊</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呈不规则球形或扁球形，直径1.5～2.5cm。多数为舌状花，舌状花类白色或黄色，不规则扭曲，内卷，边缘皱缩，有时可见腺点；管状花大多隐藏。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决明子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决明  略呈菱方形或短圆柱形，两端平行倾斜，长3～7mm，宽2～4mm。表面绿棕色或暗棕色，平滑有光泽。一端较平坦，另端斜尖，背腹面各有1条突起的棱线，棱线两侧各有1条斜向对称而色较浅的线形凹纹。质坚硬，不易破碎。种皮薄，子叶2，黄色，呈“S”形折曲并重叠。气微，味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小决明  呈短圆柱形，较小，长3～5mm，宽2～3mm。表面棱线两侧各有1片宽广的浅黄棕色带。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苦参</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圆柱形，下部常有分枝，长10～30cm，直径1～6.5cm。表面灰棕色或棕黄色，具纵皱纹和横长皮孔样突起，外皮薄，多破裂反卷，易剥落，剥落处显黄色，光滑。质硬，不易折断，断面纤维性；切片厚3～6mm；切面黄白色，具放射状纹理和裂隙，有的具异型维管束呈同心性环列或不规则散在。气微，味极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苦杏仁</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扁心形，长1～1.9cm，宽0.8～1.5cm，厚0.5～0.8cm。表面黄棕色至深棕色，一端尖，另端钝圆，肥厚，左右不对称，尖端一侧有短线形种脐，圆端合点处向上具多数深棕色的脉纹。种皮薄，子叶2，乳白色，富油性。气微，味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款冬花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圆棒状。单生或2～3个基部连生，长1～2.5cm，直径0.5～1cm。上端较粗，下端渐细或带有短梗，外面被有多数鱼鳞状苞片。苞片外表面紫红色或淡红色，内表面密被白色絮状茸毛。体轻，撕开后可见白色茸毛。气香，味微苦而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5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莱菔子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本品呈类卵圆形或椭圆形，稍扁，长2.5～4mm，宽2~3mm。表面黄棕色、红棕色或灰棕色。一端有深棕色圆形种脐，一侧有数条纵沟。种皮薄而脆，子叶2，黄白色，有油性。气微，味淡、微苦辛。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59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连翘</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本品呈长卵形至卵形，稍扁，长1.5～2.5cm，直径0.5～1. 3cm。表面有不规则的纵皱纹和多数突起的小斑点，两面各有1条明显的纵沟。顶端锐尖，基部有小果梗或已脱落。青翘多不开裂，表面绿褐色，突起的灰白色小斑点较少；质硬，种子多数，黄绿色，细长，一侧有翅。老翘自顶端开裂或裂成两瓣，表面黄棕色或红棕色，内表面多为浅黄棕色， 平滑，具一纵隔；质脆；种子棕色，多已脱落。气微香，味苦。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六神曲</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34"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99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龙胆草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茎呈圆柱形，少分枝，长30～100cm，直径0.2～0.6cm；表面黄绿色或浅棕黄色，有纵棱和多数白色长绒毛；质硬而脆，易折断。单叶互生，叶片多卷缩、破碎，完整者展平后呈羽状深裂至全裂，裂片披针形，黄绿色，两面密被白色绒毛；下部叶具柄，上部叶几无柄。头状花序直径约l cm，花黄白色。瘦果浅黄色，扁平，冠毛长5～6mm。气微，味极苦。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四川省中药饮片炮制规范2015年版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2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龙骨</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本品为棕黄色至棕褐色的片或薄膜衣片，除去包衣后显棕黄色至棕褐色；味微苦。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湖北省中药饮片炮制规范2010年版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5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龙眼肉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本品为纵向破裂的不规则薄片，或呈囊状，长约1.5cm，宽2～4cm，厚约0.1cm。棕黄色至棕褐色，半透明。外表面皱缩不平，内表面光亮而有细纵皱纹。薄片者质柔润，囊状者质稍硬。气微香，味甜。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芦根</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鲜芦根  呈长圆柱形，有的略扁，长短不一，直径1～2cm。表面黄白色，有光泽，外皮疏松可剥离，节呈环状，有残根和芽痕。体轻，质韧，不易折断。切断面黄白色，中空，壁厚1～2mm，有小孔排列成环。气微，味甘。</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芦根  呈扁圆柱形。节处较硬，节间有纵皱纹。</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罗布麻叶</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多皱缩卷曲，有的破碎，完整叶片展平后呈椭圆状披针形或卵圆状披针形，长2～5cm，宽0.5～2cm。淡绿色或灰绿色，先端钝，有小芒尖，基部钝圆或楔形，边缘具细齿，常反卷，两面无毛，叶脉于下表面突起；叶柄细，长约4mm。质脆。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304"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麻黄</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草麻黄</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细长圆柱形，少分枝，直径1～2mm。有的带少量棕色木质茎。表面淡绿色至黄绿色，有细纵脊线，触之微有粗糙感。节明显，节间长2～6cm。节上有膜质鳞叶，长3～4mm；裂片2（稀3），锐三角形，先端灰白色，反曲，基部联合成筒状，红棕色。体轻，质脆，易折断，断面略呈纤维性，周边绿黄色，髓部红棕色，近圆形。气微香，味涩、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中麻黄</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多分枝，直径1.5～3mm，有粗糙感。节上膜质鳞叶长2～3mm，裂片3（稀2），先端锐尖。断面髓部呈三角状圆形。</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木贼麻黄</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较多分枝，直径1～1.5mm，无粗糙感。节间长1.5～3cm。膜质鳞叶长1～2mm；裂片2（稀3），上部为短三角形，灰白色，先端多不反曲，基部棕红色至棕黑色。</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6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马齿笕</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麦冬</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本品呈纺锤形，两端略尖，长1.5～3cm，直径0.3～0.6cm。表面淡黄色或灰黄色，有细纵纹。质柔韧，断面黄白色，半透明，中柱细小。气微香，味甘、微苦。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麦芽</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梭形，长8～12mm，直径3～4mm。表面淡黄色，背面为外稃包围，具5脉；腹面为内稃包围。除去内外稃后，腹面有1条纵沟；基部胚根处生出幼芽和须根，幼芽长披针状条形，长约5mm。须根数条，纤细而弯曲。质硬，断面白色，粉性。气微，味微甘。</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00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ind w:firstLine="480" w:firstLineChars="200"/>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芒硝</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本品为棱柱状、长方形或不规则块状及粒状。无色透明或类白色半透明。质脆，易碎，断面呈玻璃样光泽。气微，味咸。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内蒙古蒙药饮片炮制规范2020年版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4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109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ind w:firstLine="480" w:firstLineChars="200"/>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没药</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9</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天然没药  呈不规则颗粒性团块，大小不等，大者直径长达6cm以上。表面黄棕色或红棕色，近半透明部分呈棕黑色，被有黄色粉尘。质坚脆，破碎面不整齐，无光泽。有特异香气，味苦而微辛。</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胶质没药  呈不规则块状和颗粒，多黏结成大小不等的团块，大者直径长达6cm以上，表面棕黄色至棕褐色，不透明，质坚实或疏松，有特异香气，味苦而有黏性。</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天津市中药饮片炮制规范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牡丹皮</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连丹皮    呈筒状或半筒状，有纵剖开的裂缝，略向内卷曲或张开，长5～20cm，直径0. 5～1. 2cm，厚0. 1～ 0.4cm。外表面灰褐色或黄褐色，有多数横长皮孔样突起和细根痕，栓皮脱落处粉红色；内表面淡灰黄色或浅棕色，有明显的细纵纹，常见发亮的结晶。质硬而脆，易折断，断面较平坦，淡粉红色，粉性。气芳香，味微苦而涩。</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刮丹皮    外表面有刮刀削痕，外表面红棕色或淡灰黄色， 有时可见灰褐色斑点状残存外皮。</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5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牡蛎</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长牡蛎    呈长片状，背腹缘几平行，长10～50cm，高4～15cm。右壳较小，鳞片坚厚，层状或层纹状排列。壳外面平坦或具数个凹陷，淡紫色、灰白色或黄褐色；内面瓷白色，壳顶二侧无小齿。左壳凹陷深，鳞片较右壳粗大，壳顶附着面小。质硬，断面层状，洁白。气微，味微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大连湾牡蛎    呈类三角形，背腹缘呈八字形。右壳外面淡黄色，具疏松的同心鳞片，鳞片起伏成波浪状，内面白色。左壳同心鳞片坚厚，自壳顶部放射肋数个，明显，内面凹下呈盒状，铰合面小。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近江牡蛎    呈圆形、卵圆形或三角形等。右壳外面稍不平，有灰、紫、棕、黄等色，环生同心鳞片，幼体者鳞片薄而脆， 多年生长后鳞片层层相叠，内面白色，边缘有的淡紫色。</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7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木瓜</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长圆形，多纵剖成两半，长4～9cm，宽2～5cm，厚1～2.5cm。外表面紫红色或红棕色，有不规则的深皱纹；剖面边缘向内卷曲，果肉红棕色，中心部分凹陷，棕黄色；种子扁长三角形，多脱落。质坚硬。气微清香，味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木香</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或半圆柱形，长5～10cm，直径0.5～5cm。表面黄棕色至灰褐色，有明显的皱纹、纵沟及侧根痕。质坚，不易折断，断面灰褐色至暗褐色，周边灰黄色或浅棕黄色，形成层环棕色，有放射状纹理及散在的褐色点状油室。气香特异，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牛蒡子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倒卵形，略扁，微弯曲，长5～7mm,宽2～3mm。表面灰褐色，带紫黑色斑点，有数条纵棱，通常中间1～2条较明显。顶端钝圆，稍宽，顶面有圆环，中间具点状花柱残迹；基部略窄，着生面色较淡。果皮较硬，子叶2，淡黄白色，富油性。气微，味苦后微辛而稍麻舌。</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sz w:val="24"/>
                <w:szCs w:val="24"/>
                <w:u w:val="none"/>
                <w:lang w:eastAsia="zh-CN"/>
              </w:rPr>
              <w:t>内蒙古蒙药饮片炮制规范</w:t>
            </w:r>
            <w:r>
              <w:rPr>
                <w:rFonts w:hint="eastAsia" w:ascii="微软雅黑" w:hAnsi="微软雅黑" w:eastAsia="微软雅黑" w:cs="微软雅黑"/>
                <w:i w:val="0"/>
                <w:iCs w:val="0"/>
                <w:color w:val="000000"/>
                <w:sz w:val="24"/>
                <w:szCs w:val="24"/>
                <w:u w:val="none"/>
                <w:lang w:val="en-US" w:eastAsia="zh-CN"/>
              </w:rPr>
              <w:t>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28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牛膝</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细长圆柱形，挺直或稍弯曲，长15～70cm，直径0.4～1cm。表面灰黄色或淡棕色，有微扭曲的细纵皱纹、排列稀疏的侧根痕和横长皮孔样的突起。质硬脆，易折断，受潮后变软，断面平坦，淡棕色，略呈角质样而油润，中心维管束木质部较大，黄白色，其外周散有多数黄白色点状维管束，断续排列成2～4轮。气微，味微甜而稍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24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胖大海</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纺锤形或椭圆形，长2～3cm，直径1～1.5cm。先端钝圆，基部略尖而歪，具浅色的圆形种脐。表面棕色或暗棕色，微有光泽，具不规则的干缩皱纹。外层种皮极薄，质脆，易脱落。中层种皮较厚，黑褐色，质松易碎，遇水膨胀成海绵状。断面可见散在的树脂状小点。内层种皮可与中层种皮剥离，稍革质，内有2片肥厚胚乳，广卵形；子叶2枚，菲薄，紧贴于胚乳内侧，与胚乳等大。气微，味淡，嚼之有黏性。</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24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佩兰</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茎呈圆柱形，长30～100cm，直径0.2～0.5cm；表面黄棕色或黄绿色，有的带紫色，有明显的节和纵棱线；质脆，断面髓部白色或中空。叶对生，有柄，叶片多皱缩、破碎，绿褐色；完整叶片3裂或不分裂，分裂者中间裂片较大，展平后呈披针形或长圆状披针形，基部狭窄，边缘有锯齿；不分裂者展平后呈卵圆形、卵状披针形或椭圆形。气芳香，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枇杷叶</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圆形或倒卵形，长12～30cm，宽4～9cm。先端尖，基部楔形，边缘有疏锯齿，近基部全缘。上表面灰绿色、黄棕色或红棕色，较光滑；下表面密被黄色绒毛，主脉于下表面显著突起，侧脉羽状；叶柄极短，被棕黄色绒毛。革质而脆，易折断。气微，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59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119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蒲公英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皱缩卷曲的团块。根呈圆锥状，多弯曲，长3～7cm；表面棕褐色，抽皱；根头部有棕褐色或黄白色的茸毛，有的已脱落。叶基生，多皱缩破碎，完整叶片呈倒披针形，绿褐色或暗灰绿色，先端尖或钝，边缘浅裂或羽状分裂，基部渐狭，下延呈柄状，下表面主脉明显。花茎1至数条，每条顶生头状花序，总苞片多层，内面一层较长，花冠黄褐色或淡黄白色。有的可见多数具白色冠毛的长椭圆形瘦果。气微，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sz w:val="24"/>
                <w:szCs w:val="24"/>
                <w:u w:val="none"/>
                <w:lang w:eastAsia="zh-CN"/>
              </w:rPr>
              <w:t>内蒙古蒙药饮片炮制规范</w:t>
            </w:r>
            <w:r>
              <w:rPr>
                <w:rFonts w:hint="eastAsia" w:ascii="微软雅黑" w:hAnsi="微软雅黑" w:eastAsia="微软雅黑" w:cs="微软雅黑"/>
                <w:i w:val="0"/>
                <w:iCs w:val="0"/>
                <w:color w:val="000000"/>
                <w:sz w:val="24"/>
                <w:szCs w:val="24"/>
                <w:u w:val="none"/>
                <w:lang w:val="en-US" w:eastAsia="zh-CN"/>
              </w:rPr>
              <w:t>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24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前胡</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的圆柱形、圆锥形或纺锤形，稍扭曲，下部常有分枝，长3～15cm，直径1～2cm。表面黑褐色或灰黄色，根头部多有茎痕和纤维状叶鞘残基，上端有密集的细环纹，下部有纵沟、纵皱纹及横向皮孔样突起。质较柔软，干者质硬，可折断，断面不整齐，淡黄白色，皮部散有多数棕黄色油点，形成层环纹棕色，射线放射状。气芳香，味微苦、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8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芡实</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本品呈类球形，多为破粒，完整者直径5～8mm。表面有棕红色或红褐色内种皮，一端黄白色，约占全体1/3，有凹点状的种脐痕，除去内种皮显白色。质较硬，断面白色，粉性。气微，味淡。</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w:t>
            </w:r>
            <w:r>
              <w:rPr>
                <w:rFonts w:hint="eastAsia" w:ascii="微软雅黑" w:hAnsi="微软雅黑" w:eastAsia="微软雅黑" w:cs="微软雅黑"/>
                <w:b/>
                <w:bCs/>
                <w:i w:val="0"/>
                <w:iCs w:val="0"/>
                <w:caps w:val="0"/>
                <w:color w:val="000000"/>
                <w:spacing w:val="0"/>
                <w:sz w:val="24"/>
                <w:szCs w:val="24"/>
                <w:shd w:val="clear" w:color="auto" w:fill="FFFFFF"/>
              </w:rPr>
              <w:t>【鉴别】</w:t>
            </w:r>
            <w:r>
              <w:rPr>
                <w:rFonts w:hint="eastAsia" w:ascii="微软雅黑" w:hAnsi="微软雅黑" w:eastAsia="微软雅黑" w:cs="微软雅黑"/>
                <w:i w:val="0"/>
                <w:iCs w:val="0"/>
                <w:caps w:val="0"/>
                <w:color w:val="000000"/>
                <w:spacing w:val="0"/>
                <w:sz w:val="24"/>
                <w:szCs w:val="24"/>
                <w:shd w:val="clear" w:color="auto" w:fill="FFFFFF"/>
              </w:rPr>
              <w:t>（1）本品粉末类白色。主为淀粉粒，单粒类圆形，直径1～4μm，大粒脐点隐约可见；复粒多数由百余分粒组成，类球形，直径13～35μm，少数由2～3分粒组成。</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　　（2）取本品粉末2g，加二氯甲烷30ml，超声处理15分钟，滤过，滤液蒸干，残渣加乙酸乙酯2ml使溶解，作为供试品溶液。另取芡实对照药材2g，同法制成对照药材溶液。照薄层色谱法（通则0502）试验，吸取上述两种溶液各10μl，分别点于同一硅胶G薄层板上，以正己烷-丙酮（5：1）为展开剂，展开，取出，晾干，喷以10%硫酸乙醇溶液，在105℃加热至斑点显色清晰。供试品色谱中，在与对照药材色谱相应的位置上，显相同颜色的斑点。</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茜草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根茎呈结节状，丛生粗细不等的根。根呈圆柱形，略弯曲，长10～25cm，直径0.2～1cm；表面红棕色或暗棕色，具细纵皱纹和少数细根痕;皮部脱落处呈黄红色。质脆，易折断，断面平坦皮部狭，紫红色，木部宽广，浅黄红色，导管孔多数。气微，味微苦，久嚼刺舌。</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13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羌活</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羌活    为圆柱状略弯曲的根茎，长4～13cm，直径0.6～2.5cm，顶端具茎痕。表面棕褐色至黑褐色，外皮脱落处呈黄色。节间缩短，呈紧密隆起的环状，形似蚕，习称“蚕羌”；节间延长，形如竹节状，习称“竹节羌”。节上有多数点状或瘤状突起的根痕及棕色破碎鳞片。体轻，质脆，易折断，断面不平整，有多数裂隙，皮部黄棕色至暗棕色，油润，有棕色油点，木部黄白色，射线明显，髓部黄色至黄棕色。气香，味微苦而辛。</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宽叶羌活    为根茎和根。根茎类圆柱形，顶端具茎和叶鞘残基，根类圆锥形，有纵皱纹和皮孔；表面棕褐色，近根茎处有较密的环纹，长8～15cm，直径1～3cm，习称“条羌”。有的根茎粗大，不规则结节状，顶部具数个茎基，根较细，习称“大头羌”。质松脆，易折断，断面略平坦，皮部浅棕色，木部黄白色。气味较淡。</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4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秦艽</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秦艽 呈类圆柱形，上粗下细，扭曲不直，长10～30cm，直径1～3cm。表面黄棕色或灰黄色，有纵向或扭曲的纵皱纹，顶端有残存茎基及纤维状叶鞘。质硬而脆，易折断，断面略显油性，皮部黄色或棕黄色，木部黄色。气特异，味苦、微涩。</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麻花艽 呈类圆锥形，多由数个小根纠聚而膨大，直径可达7cm。表面棕褐色，粗糙，有裂隙呈网状孔纹。质松脆，易折断，断面多呈枯朽状。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小秦艽 呈类圆锥形或类圆柱形，长8～15cm，直径0.2～1cm。表面棕黄色。主根通常1个，残存的茎基有纤维状叶鞘，下部多分枝。断面黄白色。</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青蒿</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茎呈圆柱形，上部多分枝，长30～80cm，直径0.2～0.6cm；表面黄绿色或棕黄色，具纵棱线；质略硬，易折断，断面中部有髓。叶互生，暗绿色或棕绿色，卷缩易碎，完整者展平后为三回羽状深裂，裂片和小裂片矩圆形或长椭圆形，两面被短毛。气香特异，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浙江省中药炮制规范2015年版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83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瞿麦</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瞿麦  茎圆柱形，上部有分枝，长30～60cm；表面淡绿色或黄绿色，光滑无毛，节明显，略膨大，断面中空。叶对生，多皱缩，展平叶片呈条形至条状披针形。枝端具花及果实，花萼筒状，长2.7～3.7cm；苞片4～6，宽卵形，长约为萼筒的1/4；花瓣棕紫色或棕黄色，卷曲，先端深裂成丝状。蒴果长筒形，与宿萼等长。种子细小，多数。气微，味淡。</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　　石竹  萼筒长1.4～1.8cm，苞片长约为萼筒的1/2；花瓣先端浅齿裂。</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1"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全蝎</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头胸部与前腹部呈扁平长椭圆形，后腹部呈尾状，皱缩弯曲，完整者体长约6cm。头胸部呈绿褐色，前面有1对短小的螯肢和1对较长大的钳状脚须，形似蟹螯，背面覆有梯形背甲，腹面有足4对，均为7节，末端各具2爪钩；前腹部由7节组成，第7节色深，背甲上有5条隆脊线。背面绿褐色，后腹部棕黄色，6节，节上均有纵沟，末节有锐钩状毒刺，毒刺下方无距。气微腥，味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484"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人参</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主根呈纺锤形或圆柱形，长3～15cm，直径1～ 2cm。表面灰黄色，上部或全体有疏浅断续的粗横纹及明显的纵皱，下部有支根2～3条，并着生多数细长的须根，须根上常有不明显的细小疣状突出。根茎（芦头）长1～4cm，直径 0.3～1.5cm，多拘挛而弯曲，具不定根（艼）和稀疏的凹窝状茎痕（芦碗）。质较硬，断面淡黄白色，显粉性，形成层环纹棕 黄色，皮部有黄棕色的点状树脂道及放射状裂隙。香气特异， 味微苦、甘。</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　　或主根多与根茎近等长或较短，呈圆柱形、菱角形或人字形，长1～6cm。表面灰黄色，具纵皱纹，上部或中下部有环纹。支根多为2～3条，须根少而细长，清晰不乱，有较明显的疣状突起。根茎细长，少数粗短，中上部具稀疏或密集而深陷的茎痕。不定根较细，多下垂。</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21"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肉苁蓉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肉苁蓉  呈扁圆柱形，稍弯曲，长3～15cm，直径2～8cm。表面棕褐色或灰棕色，密被覆瓦状排列的肉质鳞叶，通常鳞叶先端已断。体重，质硬，微有柔性，不易折断，断面棕褐色，有淡棕色点状维管束，排列成波状环纹。气微，味甜、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管花肉苁蓉  呈类纺锤形、扁纺锤形或扁柱形，稍弯曲，长5～25cm，直径2.5～9cm。表面棕褐色至黑褐色。断面颗粒状，灰棕色至灰褐色，散生点状维管束。</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24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肉桂</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219</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槽状或卷筒状，长30～40cm，宽或直径3～10cm，厚0.2～0.8cm。外表面灰棕色，稍粗糙，有不规则的细皱纹和横向突起的皮孔，有的可见灰白色的斑纹；内表面红棕色，略平坦，有细纵纹，划之显油痕。质硬而脆，易折断，断面不平坦，外层棕色而较粗糙，内层红棕色而油润，两层间有1条黄棕色的线纹。气香浓烈，味甜、辣。</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乳香</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卵形滴乳状、类圆形颗粒或粘合成大小不等的不规则块状物。大者长达2cm（乳香珠）或5cm（原乳香）。表面黄白色，半透明，被有黄白色粉末，久存则颜色加深。质脆，遇热软化。破碎面有玻璃样或蜡样光泽。具特异香气，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sz w:val="24"/>
                <w:szCs w:val="24"/>
                <w:u w:val="none"/>
                <w:lang w:eastAsia="zh-CN"/>
              </w:rPr>
              <w:t>内蒙古蒙药饮片炮制规范</w:t>
            </w:r>
            <w:r>
              <w:rPr>
                <w:rFonts w:hint="eastAsia" w:ascii="微软雅黑" w:hAnsi="微软雅黑" w:eastAsia="微软雅黑" w:cs="微软雅黑"/>
                <w:i w:val="0"/>
                <w:iCs w:val="0"/>
                <w:color w:val="000000"/>
                <w:sz w:val="24"/>
                <w:szCs w:val="24"/>
                <w:u w:val="none"/>
                <w:lang w:val="en-US" w:eastAsia="zh-CN"/>
              </w:rPr>
              <w:t>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三七粉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山东省中药饮片炮制规范2012年版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24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桑寄生</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15</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茎枝呈圆柱形，长3～4cm，直径0.2～1cm；表面红褐色或灰褐色，具细纵纹，并有多数细小突起的棕色皮孔，嫩枝有的可见棕褐色茸毛；质坚硬，断面不整齐，皮部红棕色，木部色较浅。叶多卷曲，具短柄；叶片展平后呈卵形或椭圆形，长3~8cm，宽2～5cm；表面黄褐色，幼叶被细茸毛，先端钝圆，基部圆形或宽楔形，全缘；革质。气微，味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天津市中药饮片炮制规范2012年版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桑叶</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多皱缩、破碎。完整者有柄，叶片展平后呈卵形或宽卵形，长8～15cm，宽7～13cm。先端渐尖，基部截形、圆形或心形，边缘有锯齿或钝锯齿，有的不规则分裂。上表面黄绿色或浅黄棕色，有的有小疣状突起；下表面颜色稍浅，叶脉突出，小脉网状，脉上被疏毛，脉基具簇毛。质脆。气微，味淡、微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12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桑枝</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本品呈长圆柱形，少有分枝，长短不一，直径</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　　0.5～1.5cm。表面灰黄色或黄褐色，有多数黄褐色点状皮孔及细纵纹，并有灰白色略呈半圆形的叶痕和黄棕色的腋芽。质坚韧，不易折断，断面纤维性。切片厚0.2～0.5cm，皮部较薄，木部黄白色，射线放射状，髓部白色或黄白色。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00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砂仁</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阳春砂、绿壳砂</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椭圆形或卵圆形，有不明显的三棱，长1.5～2cm，直径1～1.5cm。表面棕褐色，密生刺状突起，顶端有花被残基，基部常有果梗。果皮薄而软。种子集结成团，具三钝棱，中有白色隔膜，将种子团分成3瓣，每瓣有种子5～26粒。种子为不规则多面体，直径2～3mm；表面棕红色或暗褐色，有细皱纹，外被淡棕色膜质假种皮；质硬，胚乳灰白色。气芳香而浓烈，味辛凉、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海南砂</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呈长椭圆形或卵圆形，有明显的三棱，长1.5～2cm，直径0.8～1.2cm。表面被片状、分枝的软刺，基部具果梗痕。果皮厚而硬。种子团较小，每瓣有种子3～24粒；种子直径1.5～2mm。气味稍淡。</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0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山药</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毛山药　本品略呈圆柱形，弯曲而稍扁，长15～30cm，直径1.5～6cm。表面黄白色或淡黄色，有纵沟、纵皱纹及须根痕，偶有浅棕色外皮残留。体重，质坚实，不易折断，断面白色，粉性。气微，味淡、微酸，嚼之发黏。</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山药片　为不规则的厚片，皱缩不平，切面白色或黄白色，质坚脆，粉性。气微，味淡、微酸。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光山药　呈圆柱形，两端平齐，长9~18cm，直径1.5～3cm。表面光滑，白色或黄白色。</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天津市中药饮片炮制规范2018年版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6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山萸肉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陕西省中药饮片标准第一册</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139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山楂</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圆形片，皱缩不平，直径1～2.5cm，厚0.2～0.4cm。外皮红色，具皱纹，有灰白色小斑点。果肉深黄色至浅棕色。中部横切片具5粒浅黄色果核，但核多脱落而中空。有的片上可见短而细的果梗或花萼残迹。气微清香，味酸、微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蛇床子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双悬果，呈椭圆形，长2～4mm，直径约2mm。表面灰黄色或灰褐色，顶端有2枚向外弯曲的柱基，基部偶有细梗。分果的背面有薄而突起的纵棱5条，接合面平坦，有2条棕色略突起的纵棱线。果皮松脆，揉搓易脱落。种子细小，灰棕色，显油性。气香，味辛凉，有麻舌感。</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2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射干</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结节状，长3～10cm，直径1～2cm。表面黄褐色、棕褐色或黑褐色，皱缩，有较密的环纹。上面有数个圆盘状凹陷的茎痕，偶有茎基残存；下面有残留细根及根痕。质硬，断面黄色，颗粒性。气微，味苦、微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sz w:val="24"/>
                <w:szCs w:val="24"/>
                <w:u w:val="none"/>
                <w:lang w:eastAsia="zh-CN"/>
              </w:rPr>
              <w:t>内蒙古蒙药饮片炮制规范</w:t>
            </w:r>
            <w:r>
              <w:rPr>
                <w:rFonts w:hint="eastAsia" w:ascii="微软雅黑" w:hAnsi="微软雅黑" w:eastAsia="微软雅黑" w:cs="微软雅黑"/>
                <w:i w:val="0"/>
                <w:iCs w:val="0"/>
                <w:color w:val="000000"/>
                <w:sz w:val="24"/>
                <w:szCs w:val="24"/>
                <w:u w:val="none"/>
                <w:lang w:val="en-US" w:eastAsia="zh-CN"/>
              </w:rPr>
              <w:t>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 xml:space="preserve">    伸筋草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匍匐茎呈细圆柱形，略弯曲，长可达2m，直径1～3mm，其下有黄白色细根；直立茎作二叉状分枝。叶密生茎上，螺旋状排列，皱缩弯曲，线形或针形，长3～5mm，黄绿色至淡黄棕色，无毛，先端芒状，全缘，易碎断。质柔软，断面皮部浅黄色，木部类白色。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升麻</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不规则的长形块状，多分枝，呈结节状，长10～20cm，直径2～4cm。表面黑褐色或棕褐色，粗糙不平，有坚硬的细须根残留，上面有数个圆形空洞的茎基痕，洞内壁显网状沟纹；下面凹凸不平，具须根痕。体轻，质坚硬，不易折断，断面不平坦，有裂隙，纤维性，黄绿色或淡黄白色。气微，味微苦而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6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生蒲黄</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生石膏</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北京市中药饮片炮制规范2005年版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24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石菖蒲</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扁圆柱形，多弯曲，常有分枝，长3～20cm，直径0.3～1cm。表面棕褐色或灰棕色，粗糙，有疏密不匀的环节，节间长0.2～0.8cm，具细纵纹，一面残留须根或圆点状根痕；叶痕呈三角形，左右交互排列，有的其上有毛鳞状的叶基残余。质硬，断面纤维性，类白色或微红色，内皮层环明显，可见多数维管束小点及棕色油细胞。气芳香，味苦、微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9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首乌藤</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圆柱形，稍扭曲，具分枝，长短不一，直径4～7mm。表面紫红色或紫褐色，粗糙，具扭曲的纵皱纹，节部略膨大，有侧枝痕，外皮菲薄，可剥离。质脆，易折断，断面皮部紫红色，木部黄白色或淡棕色，导管孔明显，髓部疏松，类白色。切段者呈圆柱形的段。外表面紫红色或紫褐色，切面皮部紫红色，木部黄白色或淡棕色，导管孔明显，髓部疏松，类白色。气微，味微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熟地黄</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本品为不规则的块片、碎块，大小、厚薄不一。表面乌黑色，有光泽，黏性大。质柔软而带韧性，不易折断，断面乌黑色，有光泽。气微，味甜。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29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149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水蛭</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蚂蟥 呈扁平纺锤形，有多数环节，长4～10cm，宽0.5～2cm。背部黑褐色或黑棕色，稍隆起，用水浸后，可见黑色斑点排成5条纵纹；腹面平坦，棕黄色。两侧棕黄色，前端略尖，后端钝圆，两端各具1吸盘，前吸盘不显著，后吸盘较大。质脆，易折断，断面胶质状。气微腥。</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水蛭 扁长圆柱形，体多弯曲扭转，长2～5cm，宽0.2～0.3cm。</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柳叶蚂蟥 狭长而扁，长5～12cm，宽0.1-0.5cm。</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5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丝瓜络</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本品为丝状维管束交织而成，多呈长棱形或长圆筒形，略弯曲，长30～70cm，直径7～10cm。表面黄白色。体轻，质韧，有弹性，不能折断。横切面可见子房3室，呈空洞状。气微，味淡。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酸枣仁</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扁圆形或扁椭圆形，长5～9mm，宽5～7mm，厚约3mm。表面紫红色或紫褐色，平滑有光泽，有的有裂纹。有的两面均呈圆隆状突起；有的一面较平坦，中间有1条隆起的纵线纹；另一面稍突起。一端凹陷，可见线形种脐；另端有细小突起的合点。种皮较脆，胚乳白色，子叶2，浅黄色，富油性。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2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太子参</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细长纺锤形或细长条形，稍弯曲，长3～10cm，直径0.2～0.6cm。表面灰黄色至黄棕色，较光滑，微有纵皱纹，凹陷处有须根痕。顶端有茎痕。质硬而脆，断面较平坦，周边淡黄棕色，中心淡黄白色，角质样。气微，味微甘。</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47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桃仁</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桃仁  呈扁长卵形，长1.2～1.8cm，宽0.8～1.2cm，厚0.2～0.4cm。表面黄棕色至红棕色，密布颗粒状突起。一端尖，中部膨大，另端钝圆稍偏斜，边缘较薄。尖端一侧有短线形种脐，圆端有颜色略深不甚明显的合点，自合点处散出多数纵向维管束。种皮薄，子叶2，类白色，富油性。气微，味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山桃仁  呈类卵圆形，较小而肥厚，长约0.9cm，宽约0.7cm，厚约0.5cm。</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4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天冬</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本品呈长纺锤形，略弯曲，长5～18cm，直径0.5～2cm。表面黄白色至淡黄棕色，半透明，光滑或具深浅不等的纵皱纹，偶有残存的灰棕色外皮。质硬或柔润，有黏性，断面角质样，中柱黄白色。气微，味甜、微苦。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5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天花粉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圆柱形、纺锤形或瓣块状，长8～16cm，直径1.5～5.5cm。表面黄白色或淡棕黄色，有纵皱纹、细根痕及略凹陷的横长皮孔，有的有黄棕色外皮残留。质坚实，断面白色或淡黄色，富粉性，横切面可见黄色木质部，略呈放射状排列，纵切面可见黄色条纹状木质部。气微，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天麻</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椭圆形或长条形，略扁，皱缩而稍弯曲，长3～15cm，宽1.5～6cm，厚0.5～2cm。表面黄白色至黄棕色，有纵皱纹及由潜伏芽排列而成的横环纹多轮，有时可见棕褐色菌索。顶端有红棕色至深棕色鹦嘴状的芽或残留茎基；另端有圆脐形疤痕。质坚硬，不易折断，断面较平坦，黄白色至淡棕色，角质样。气微，味甘。</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葶苈子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南葶苈子    呈长圆形略扁，长约0.8～1.2mm，宽约0.5mm。表面棕色或红棕色，微有光泽，具纵沟2条，其中1条较明显。一端钝圆，另端微凹或较平截，种脐类白色，位于凹入端或平截处。气微，味微辛、苦，略带黏性。</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北葶苈子    呈扁卵形，长1～1.5mm，宽0.5～1mm。一端钝圆，另端尖而微凹，种脐位于凹入端。味微辛辣，黏性较强。</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浙江省中药炮制规范2015年版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通草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长20～40cm，直径1～2.5cm。表面白色或淡黄色，有浅纵沟纹。体轻，质松软，稍有弹性，易折断，断面平坦，显银白色光泽，中部有直径0.3～1.5cm的空心或半透明的薄膜，纵剖面呈梯状排列，实心者少见。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00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159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菟丝子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本品呈类球形，直径1～2mm。表面灰棕色至棕褐色，粗糙，种脐线形或扁圆形。质坚实，不易以指甲压碎。气微，味淡。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王不留行</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本品呈球形，直径约2mm。表面黑色，少数红棕色，略有光泽，有细密颗粒状突起，一侧有1凹陷的纵沟。质硬。胚乳白色，胚弯曲成环，子叶2。气微，味微涩、苦。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69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威灵仙</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威灵仙</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根茎呈柱状，长1.5-10cm，直径0.3～1.5cm；表面淡棕黄色；顶端残留茎基；质较坚韧，断面纤维性；下侧着生多数细根。根呈细长圆柱形，稍弯曲，长7～15cm，直径0.1～0.3cm；表面黑褐色，有细纵纹，有的皮部脱落，露出黄白色木部；质硬脆，易折断，断面皮部较广，木部淡黄色，略呈方形，皮部与木部间常有裂隙。气微，味淡。</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棉团铁线莲</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根茎呈短柱状，长1～4cm，直径0.5～1cm。根长4～20cm，直径0.1～0.2cm；表面棕褐色至棕黑色；断面木部圆形。味咸。</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东北铁线莲</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根茎呈柱状，长1～11cm，直径0.5～2.5cm。根较密集，长5～23cm，直径0.1-0.4cm；表面棕黑色；断面木部近圆形。味辛辣。</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5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乌梅</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本品呈类球形或扁球形，直径1.5～3cm。表面乌黑色或棕黑色，皱缩不平，基部有圆形果梗痕。果核坚硬，椭圆形，棕黄色，表面有凹点；种子扁卵形，淡黄色。气微，味极酸。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0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乌药</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本品多呈纺锤状，略弯曲，有的中部收缩成连珠状，长6～15cm，直径1～3cm。表面黄棕色或黄褐色，有纵皱纹及稀疏的细根痕。质坚硬。切片厚0.2～2mm，切面黄白色或淡黄棕色，射线放射状，可见年轮环纹，中心颜色较深。气香，味微苦、辛，有清凉感。</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　　质老、不呈纺锤状的直根，不可供药用。</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吴茱萸</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本品呈球形或略呈五角状扁球形，直径2～ 5mm。表面暗黄绿色至褐色，粗糙，有多数点状突起或凹下的油点。顶端有五角星状的裂隙，基部残留被有黄色茸毛的果梗。质硬而脆，横切面可见子房5室，每室有淡黄色种子1粒。气芳香浓郁，味辛辣而苦。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9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蜈蚣</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扁平长条形，长9～15cm，宽0.5～1cm。由头部和躯干部组成，全体共22个环节。头部暗红色或红褐色，略有光泽，有头板覆盖，头板近圆形，前端稍突出，两侧贴有颚肢一对，前端两侧有触角一对。躯干部第一背板与头板同色，其余20个背板为棕绿色或墨绿色，具光泽，自第四背板至第二十背板上常有两条纵沟线；腹部淡黄色或棕黄色，皱缩；自第二节起，每节两侧有步足一对；步足黄色或红褐色，偶有黄白色，呈弯钩形，最末一对步足尾状，故又称尾足，易脱落。质脆，断面有裂隙。气微腥，有特殊刺鼻的臭气，味辛、微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五加皮</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卷筒状，长5～15cm，直径0.4～1.4cm，厚约0.2cm。外表面灰褐色，有稍扭曲的纵皱纹和横长皮孔样斑痕；内表面淡黄色或灰黄色，有细纵纹。体轻，质脆，易折断，断面不整齐，灰白色。气微香，味微辣而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五灵脂</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天津市中药饮片炮制规范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4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五味子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的球形或扁球形，直径5～8mm。表面红色、紫红色或暗红色，皱缩，显油润；有的表面呈黑红色或出现“白霜”。果肉柔软，种子1～2，肾形，表面棕黄色，有光泽，种皮薄而脆。果肉气微，味酸；种子破碎后，有香气，味辛、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06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169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细辛</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9</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北细辛常卷曲成团。根茎横生呈不规则圆柱状，具短分枝，长1～10cm，直径0.2～0.4cm；表面灰棕色，粗糙，有环形的节，节间长0.2～0.3cm，分枝顶端有碗状的茎痕。根细长，密生节上，长10～20cm，直径0.1cm；表面灰黄色，平滑或具纵皱纹；有须根和须根痕；质脆，易折断，断面平坦，黄白色或白色。气辛香，味辛辣、麻舌。</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汉城细辛根茎直径0.1~0.5cm，节间长0.1～1cm。</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　　华细辛根茎长5～20cm，直径0.1~0.2cm，节间长0.2~1cm。气味较弱。</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夏枯草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略扁，长1.5～8cm，直径0.8～1.5cm；淡棕色至棕红色。全穗由数轮至10数轮宿萼与苞片组成，每轮有对生苞片2片，呈扇形，先端尖尾状，脉纹明显，外表面有白毛。每一苞片内有花3朵，花冠多已脱落，宿萼二唇形，内有小坚果4枚，卵圆形，棕色，尖端有白色突起。体轻。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仙茅</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本品呈圆柱形，略弯曲，长3～10cm，直径0.4～1.2cm。表面棕色至褐色，粗糙，有细孔状的须根痕和横皱纹。质硬而脆，易折断，断面不平坦，灰白色至棕褐色，近中心处色较深。气微香，味微苦、辛。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47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香附</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 xml:space="preserve">    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多呈纺锤形，有的略弯曲，长2～3.5cm，直径0.5～1cm。表面棕褐色或黑褐色，有纵皱纹，并有6～10个略隆起的环节，节上有未除净的棕色毛须和须根断痕；去净毛须者较光滑，环节不明显。质硬，经蒸煮者断面黄棕色或红棕色，角质样；生晒者断面色白而显粉性，内皮层环纹明显，中柱色较深，点状维管束散在。气香，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24"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小茴香</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9</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双悬果，呈圆柱形，有的稍弯曲，长4～8mm，直径1.5～2.5mm。表面黄绿色或淡黄色，两端略尖，顶端残留有黄棕色突起的柱基，基部有时有细小的果梗。分果呈长椭圆形，背面有纵棱5条，接合面平坦而较宽。横切面略呈五边形，背面的四边约等长。有特异香气，味微甜、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薤白</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小根蒜    呈不规则卵圆形，高0.5～1.5cm，直径0.5～1.8cm。表面黄白色或淡黄棕色，皱缩，半透明，有类白色膜质鳞片包被，底部有突起的鳞茎盘。质硬，角质样。有蒜臭，味微辣。</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薤    呈略扁的长卵形，高1～3cm，直径0.3～1.2cm。表面淡黄棕色或棕褐色，具浅纵皱纹。质较软，断面可见鳞叶2～3层。嚼之粘牙。</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0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辛夷</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望春花    呈长卵形，似毛笔头，长1.2～2.5cm, 直径0.8～1.5cm。基部常具短梗，长约5mm，梗上有类白色点状皮孔。苞片2～3层，每层2片，两层苞片间有小鳞芽，苞片外表面密被灰白色或灰绿色茸毛，内表面类棕色，无毛。花被片9，棕色，外轮花被片3，条形，约为内两轮长的1/4，呈萼片状，内两轮花被片6，每轮3，轮状排列。雄蕊和雌蕊多数，螺旋状排列。体轻，质脆。气芳香，味辛凉而稍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玉兰    长1.5～3cm，直径1～1.5cm。基部枝梗较粗壮,皮孔浅棕色。苞片外表面密被灰白色或灰绿色茸毛。花被片9，内外轮同型。</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武当玉兰    长2～4cm，直径1～2cm。基部枝梗粗壮，皮孔红棕色。苞片外表面密被淡黄色或淡黄绿色茸毛，有的最外层苞片茸毛已脱落而呈黑褐色。花被片10～12（15）,内外轮无显著差异。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default"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续断</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略扁，有的微弯曲，长5～15cm，直径0.5～2cm。表面灰褐色或黄褐色，有稍扭曲或明显扭曲的纵皱及沟纹，可见横列的皮孔样斑痕和少数须根痕。质软，久置后变硬，易折断，断面不平坦，皮部墨绿色或棕色，外缘褐色或淡褐色，木部黄褐色，导管束呈放射状排列。气微香，味苦、微甜而后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玄参</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类圆柱形，中间略粗或上粗下细，有的微弯曲，长6～20cm，直径1～3cm。表面灰黄色或灰褐色，有不规则的纵沟、横长皮孔样突起和稀疏的横裂纹和须根痕。质坚实，不易折断，断面黑色，微有光泽。气特异似焦糖，味甘、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36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益母草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鲜益母草 幼苗期无茎，基生叶圆心形，5～9浅裂，每裂片有2～3钝齿。花前期茎呈方柱形，上部多分枝，四面凹下成纵沟，长30～60cm，直径0.2-0.5cm；表面青绿色；质鲜嫩，断面中部有髓。叶交互对生，有柄；叶片青绿色，质鲜嫩，揉之有汁；下部茎生叶掌状3裂，上部叶羽状深裂或浅裂成3片，裂片全缘或具少数锯齿。气微，味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干益母草  茎表面灰绿色或黄绿色；体轻，质韧，断面中部有髓。叶片灰绿色，多皱缩、破碎，易脱落。轮伞花序腋生，小花淡紫色，花萼筒状，花冠二唇形。切段者长约2cm。</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179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益智仁</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湖南省中药饮片炮制规范2010年版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薏苡仁</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宽卵形或长椭圆形，长4～8mm，宽3～6mm。表面乳白色，光滑，偶有残存的黄褐色种皮；一端钝圆，另端较宽而微凹，有1淡棕色点状种脐；背面圆凸，腹面有1条较宽而深的纵沟。质坚实，断面白色，粉性。气微，味微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83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淫羊藿</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淫羊藿</w:t>
            </w:r>
            <w:r>
              <w:rPr>
                <w:rFonts w:hint="eastAsia" w:ascii="微软雅黑" w:hAnsi="微软雅黑" w:eastAsia="微软雅黑" w:cs="微软雅黑"/>
                <w:i w:val="0"/>
                <w:iCs w:val="0"/>
                <w:caps w:val="0"/>
                <w:color w:val="000000"/>
                <w:spacing w:val="0"/>
                <w:sz w:val="24"/>
                <w:szCs w:val="24"/>
                <w:shd w:val="clear" w:color="auto" w:fill="FFFFFF"/>
              </w:rPr>
              <w:tab/>
            </w:r>
            <w:r>
              <w:rPr>
                <w:rFonts w:hint="eastAsia" w:ascii="微软雅黑" w:hAnsi="微软雅黑" w:eastAsia="微软雅黑" w:cs="微软雅黑"/>
                <w:i w:val="0"/>
                <w:iCs w:val="0"/>
                <w:caps w:val="0"/>
                <w:color w:val="000000"/>
                <w:spacing w:val="0"/>
                <w:sz w:val="24"/>
                <w:szCs w:val="24"/>
                <w:shd w:val="clear" w:color="auto" w:fill="FFFFFF"/>
              </w:rPr>
              <w:t>二回三出复叶；小叶片卵圆形，长3～8cm，宽2～6cm；先端微尖，顶生小叶基部心形，两侧小叶较小，偏心形，外侧较大，呈耳状，边缘具黄色刺毛状细锯齿；上表面黄绿色，下表面灰绿色，主脉7～9条，基部有稀疏细长毛，细脉两面突起，网脉明显；小叶柄长1～5cm。叶片近革质。气微，味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箭叶淫羊藿      一回三出复叶，小叶片长卵形至卵状披针形，长4～12cm，宽2.5～5cm；先端渐尖，两侧小叶基部明显偏斜，外侧多呈箭形。下表面疏被粗短伏毛或近无毛。叶片革质。</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柔毛淫羊藿      一回三出复叶；叶下表面及叶柄密被绒毛状柔毛。</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朝鲜淫羊藿      二回三出复叶；小叶较大，长4～10cm，宽3.5～7cm，先端长尖。叶片较薄。</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1"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玉竹</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圆柱形，略扁，少有分枝，长4～18cm，直径0.3～1.6cm。表面黄白色或淡黄棕色，半透明，具纵皱纹和微隆起的环节，有白色圆点状的须根痕和圆盘状茎痕。质硬而脆或稍软，易折断，断面角质样或显颗粒性。气微，味甘，嚼之发黏。</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82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郁金</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温郁金  呈长圆形或卵圆形，稍扁，有的微弯曲，两端渐尖，长3.5～7cm，直径1.2～2.5cm。表面灰褐色或灰棕色，具不规则的纵皱纹，纵纹隆起处色较浅。质坚实，断面灰棕色，角质样；内皮层环明显。气微香，味微苦。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黄丝郁金  呈纺锤形，有的一端细长，长2.5～4.5cm，直径1～1.5cm。表面棕灰色或灰黄色，具细皱纹。断面橙黄色，外周棕黄色至棕红色。气芳香，味辛辣。</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桂郁金  呈长圆锥形或长圆形，长2～6.5cm，直径1～1.8cm。表面具疏浅纵纹或较粗糙网状皱纹。气微，味微辛苦。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绿丝郁金  呈长椭圆形，较粗壮，长1.5-3.5cm，直径1～l.2cm。气微，味淡。</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4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元胡（醋延胡索）</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本品呈不规则的扁球形，直径0.5～1.5cm。表面黄色或黄褐色，有不规则网状皱纹。顶端有略凹陷的茎痕，底部常有疙瘩状突起。质硬而脆，断面黄色，角质样，有蜡样光泽。气微，味苦。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5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远志</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圆柱形，略弯曲，长2～30cm，直径0.2～1cm。表面灰黄色至灰棕色，有较密并深陷的横皱纹、纵皱纹及裂纹，老根的横皱纹较密更深陷，略呈结节状。质硬而脆，易折断，断面皮部棕黄色，木部黄白色，皮部易与木部剥离，抽取木心者中空。气微，味苦、微辛，嚼之有刺喉感。</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皂角刺</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本品为主刺和1～2次分枝的棘刺。主刺长圆锥形，长3～15cm或更长，直径0. 3～1cm；分枝刺长1～6cm，刺端锐尖。表面紫棕色或棕褐色。体轻，质坚硬，不易折断。切片厚0. 1～0.3cm，常带有尖细的刺端；木部黄白色，髓部疏松，淡红棕色；质脆，易折断。气微，味淡。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43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泽泻</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类球形、椭圆形或卵圆形，长2～7cm，直径2～6cm。表面淡黄色至淡黄棕色，有不规则的横向环状浅沟纹和多数细小突起的须根痕，底部有的有瘤状芽痕。质坚实，断面黄白色，粉性，有多数细孔。气微，味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赭石</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本品为鲕状、豆状、肾状集合体，多呈不规则的扁平块状。暗棕红色或灰黑色，条痕樱红色或红棕色，有的有金属光泽。一面多有圆形的突起，习称 “钉头”另一面与突起相对应处有同样大小的凹窝。体重，质硬，砸碎后断面显层叠状。气微，味淡。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4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189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浙贝母</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大贝  为鳞茎外层的单瓣鳞叶，略呈新月形，高1～2cm，直径2～3.5cm。外表面类白色至淡黄色，内表面白色或淡棕色，被有白色粉末。质硬而脆，易折断，断面白色至黄白色，富粉性。气微，味微苦。</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　　珠贝  为完整的鳞茎，呈扁圆形，高1～1.5cm，直径1～2.5cm。表面黄棕色至黄褐色，有不规则的皱纹；或表面类白色至淡黄色，较光滑或被有白色粉末。质硬，不易折断，断面淡黄色或类白色，略带角质状或粉性；外层鳞叶2瓣，肥厚，略似肾形，互相抱合，内有小鳞叶2～3枚和干缩的残茎。</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浙贝片  为椭圆形或类圆形片，大小不一，长1.5～3.5cm，宽1～2cm，厚0.2～0.4cm。外皮黄褐色或灰褐色，略皱缩；或淡黄色，较光滑。切面微鼓起，灰白色；或平坦，粉白色。质脆，易折断，断面粉白色，富粉性。</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知母</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条状，微弯曲，略扁，偶有分枝，长3～15cm，直径0.8～1.5cm，一端有浅黄色的茎叶残痕。表面黄棕色至棕色，上面有一凹沟，具紧密排列的环状节，节上密生黄棕色的残存叶基，由两侧向根茎上方生长；下面隆起而略皱缩，并有凹陷或突起的点状根痕。质硬，易折断，断面黄白色。气微，味微甜、略苦，嚼之带黏性。</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24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栀子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长卵圆形或椭圆形，长1.5～3.5cm，直径1～1.5cm。表面红黄色或棕红色，具6条翅状纵棱，棱间常有1条明显的纵脉纹，并有分枝。顶端残存萼片，基部稍尖，有残留果梗。果皮薄而脆，略有光泽；内表面色较浅，有光泽，具2～3条隆起的假隔膜。种子多数，扁卵圆形，集结成团，深红色或红黄色，表面密具细小疣状突起。气微，味微酸而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06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枳壳</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半球形，直径3～5cm。外果皮棕褐色至褐色，有颗粒状突起，突起的顶端有凹点状油室；有明显的花柱残迹或果梗痕。切面中果皮黄白色，光滑而稍隆起，厚0.4～1.3cm，边缘散有1～2列油室，瓤囊7～12瓣，少数至15瓣，汁囊干缩呈棕色至棕褐色，内藏种子。质坚硬，不易折断。气清香，味苦、微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枳实</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半球形，少数为球形，直径0.5-2.5cm。外果皮黑绿色或棕褐色，具颗粒状突起和皱纹，有明显的花柱残迹或果梗痕。切面中果皮略隆起，厚0.3～1.2cm，黄白色或黄褐色，边缘有1～2列油室，瓤囊棕褐色。质坚硬。气清香，味苦、微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制草乌</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9</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本品呈不规则圆形或近三角形的片。表面黑褐色，有灰白色多角形形成层环和点状维管束，并有空隙，周边皱缩或弯曲。质脆。气微，味微辛辣，稍有麻舌感。</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湖南省中药饮片炮制规范2010年版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00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制川乌</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15</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本品为不规则或长三角形的片。表面黑褐色或黄褐色，有灰棕色形成层环纹。体轻，质脆，断面有光泽。气微，微有麻舌感。</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北京市中药饮片炮制规范2008年版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00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制何首乌</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本品呈不规则皱缩状的块片，厚约1cm。表面黑褐色或棕褐色，凹凸不平。质坚硬，断面角质样，棕褐色或黑色。气微，味微甘而苦涩。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北京市中药饮片炮制规范2008年版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炙甘草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本品呈类圆形或椭圆形切片。外表皮红棕色或灰棕色，微有光泽。切面黄色至深黄色，形成层环明显，射线放射状。略有黏性。具焦香气，味甜。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北京市中药饮片炮制规范2005年版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5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猪苓</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本品呈条形、类圆形或扁块状，有的有分枝，长5～25cm，直径2～6cm。表面黑色、灰黑色或棕黑色，皱缩或有瘤状突起。体轻，质硬，断面类白色或黄白色，略呈颗粒状。气微，味淡。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0"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199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竹茹</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本品为卷曲成团的不规则丝条或呈长条形薄片状。宽窄厚薄不等，浅绿色、黄绿色或黄白色。纤维性，体轻松，质柔韧，有弹性。气微，味淡。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3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紫草（新疆紫草）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新疆紫草（软紫草）  呈不规则的长圆柱形，多扭曲，长7～20cm，直径1～2.5cm。表面紫红色或紫褐色，皮部疏松，呈条形片状，常10余层重叠，易剥落。顶端有的可见分歧的茎残基。体轻，质松软，易折断，断面不整齐，木部较小，黄白色或黄色。气特异，味微苦、涩。</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rPr>
            </w:pPr>
            <w:r>
              <w:rPr>
                <w:rFonts w:hint="eastAsia" w:ascii="微软雅黑" w:hAnsi="微软雅黑" w:eastAsia="微软雅黑" w:cs="微软雅黑"/>
                <w:i w:val="0"/>
                <w:iCs w:val="0"/>
                <w:caps w:val="0"/>
                <w:color w:val="000000"/>
                <w:spacing w:val="0"/>
                <w:sz w:val="24"/>
                <w:szCs w:val="24"/>
                <w:shd w:val="clear" w:color="auto" w:fill="FFFFFF"/>
              </w:rPr>
              <w:t>内蒙紫草  呈圆锥形或圆柱形，扭曲，长6～20cm，直径0.5～4cm。根头部略粗大，顶端有残茎1或多个，被短硬毛。表面紫红色或暗紫色，皮部略薄，常数层相叠，易剥离。质硬而脆，易折断，断面较整齐，皮部紫红色，木部较小，黄白色。气特异，味涩。</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480"/>
              <w:jc w:val="left"/>
              <w:rPr>
                <w:rFonts w:hint="eastAsia" w:ascii="微软雅黑" w:hAnsi="微软雅黑" w:eastAsia="微软雅黑" w:cs="微软雅黑"/>
                <w:i w:val="0"/>
                <w:iCs w:val="0"/>
                <w:caps w:val="0"/>
                <w:color w:val="000000"/>
                <w:spacing w:val="0"/>
                <w:sz w:val="24"/>
                <w:szCs w:val="24"/>
                <w:shd w:val="clear" w:color="auto" w:fill="FFFFFF"/>
                <w:lang w:val="en-US" w:eastAsia="zh-CN"/>
              </w:rPr>
            </w:pPr>
            <w:r>
              <w:rPr>
                <w:rFonts w:hint="eastAsia" w:ascii="微软雅黑" w:hAnsi="微软雅黑" w:eastAsia="微软雅黑" w:cs="微软雅黑"/>
                <w:b/>
                <w:bCs/>
                <w:i w:val="0"/>
                <w:iCs w:val="0"/>
                <w:caps w:val="0"/>
                <w:color w:val="000000"/>
                <w:spacing w:val="0"/>
                <w:sz w:val="24"/>
                <w:szCs w:val="24"/>
                <w:shd w:val="clear" w:color="auto" w:fill="FFFFFF"/>
                <w:lang w:val="en-US" w:eastAsia="zh-CN"/>
              </w:rPr>
              <w:t>（供应商投标以上产品任选一种即可）</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1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紫苏梗</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方柱形，四棱钝圆，长短不一，直径0.5～1.5cm。表面紫棕色或暗紫色，四面有纵沟和细纵纹，节部稍膨大，有对生的枝痕和叶痕。体轻，质硬，断面裂片状。切片厚2～5mm，常呈斜长方形，木部黄白色，射线细密，呈放射状，髓部白色，疏松或脱落。气微香，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紫苏叶</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叶片多皱缩卷曲、破碎，完整者展平后呈卵圆形，长4～11cm，宽2.5～9cm。先端长尖或急尖，基部圆形或宽楔形，边缘具圆锯齿。两面紫色或上表面绿色，下表面紫色，疏生灰白色毛，下表面有多数凹点状的腺鳞。叶柄长2～7cm，紫色或紫绿色。质脆。带嫩枝者，枝的直径2～5mm，紫绿色，断面中部有髓。气清香，味微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2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紫苏子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呈卵圆形或类球形，直径约1.5mm。表面灰棕色或灰褐色，有微隆起的暗紫色网纹，基部稍尖，有灰白色点状果梗痕。果皮薄而脆，易压碎。种子黄白色，种皮膜质，子叶2，类白色，有油性。压碎有香气，味微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8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紫苑</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3</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100" w:beforeAutospacing="0" w:after="100" w:afterAutospacing="0" w:line="320" w:lineRule="exact"/>
              <w:ind w:left="0" w:right="0" w:firstLine="0"/>
              <w:jc w:val="left"/>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aps w:val="0"/>
                <w:color w:val="000000"/>
                <w:spacing w:val="0"/>
                <w:sz w:val="24"/>
                <w:szCs w:val="24"/>
                <w:shd w:val="clear" w:color="auto" w:fill="FFFFFF"/>
              </w:rPr>
              <w:t>本品根茎呈不规则块状，大小不一，顶端有茎、叶的残基；质稍硬。根茎簇生多数细根，长3～15cm，直径0.1～0.3cm，多编成辫状；表面紫红色或灰红色，有纵皱纹；质较柔韧。气微香，味甜、微苦。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sz w:val="24"/>
                <w:szCs w:val="24"/>
                <w:u w:val="no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荜茇</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呈圆柱形，稍弯曲，由多数小浆果集合而成，长1. 5〜3 5cm，直径0. 3〜0 5cm小浆果球形，直径约0.1cm。有特异香气，味辛辣</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新疆维吾尔自治区维吾尔药材标准》2010年版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丁香</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296.4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略呈研棒状，长1〜2cm。花冠圆球形，直略呈研棒状，长1〜2cm。花冠圆球形，直 径0.3-0. 5cm，花瓣4，复瓦状抱合，棕褐色或褐黄色</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上海市中药饮片炮制规范</w:t>
            </w:r>
            <w:r>
              <w:rPr>
                <w:rFonts w:hint="eastAsia" w:ascii="微软雅黑" w:hAnsi="微软雅黑" w:eastAsia="微软雅黑" w:cs="微软雅黑"/>
                <w:i w:val="0"/>
                <w:iCs w:val="0"/>
                <w:color w:val="000000"/>
                <w:sz w:val="24"/>
                <w:szCs w:val="24"/>
                <w:u w:val="none"/>
                <w:lang w:val="en-US" w:eastAsia="zh-CN"/>
              </w:rPr>
              <w:t>2018年</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黑胡椒</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192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呈球形，直径3.5.-5mm，表面黑褐色，具隆起网状皱纹，顶端有细小花柱残迹，切断面黄白色，粉性，中有小空隙</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自治区中药维吾尔药饮片炮制规范2010年版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4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曼陀罗子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228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本品呈肾形,略扁,长3-4mm,宽2.5-3.2mm。表面黑色或棕黑色,具隆起的问纹,追布小回点。种脐位于一侧,平坦。气微,味辛辣。</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209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蜘蛛香</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270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品根茎呈圆柱形，略扁，稍弯曲，少分枝，长1. 5~8cm，直径0.5〜2cm；表面暗棕色或灰褐色质脆。气特异，味微苦、辛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上海市中药饮片炮制规范</w:t>
            </w:r>
            <w:r>
              <w:rPr>
                <w:rFonts w:hint="eastAsia" w:ascii="微软雅黑" w:hAnsi="微软雅黑" w:eastAsia="微软雅黑" w:cs="微软雅黑"/>
                <w:i w:val="0"/>
                <w:iCs w:val="0"/>
                <w:color w:val="000000"/>
                <w:sz w:val="24"/>
                <w:szCs w:val="24"/>
                <w:u w:val="none"/>
                <w:lang w:val="en-US" w:eastAsia="zh-CN"/>
              </w:rPr>
              <w:t>2018年</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芦荟</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体轻，质硬，不易破碎，有特殊臭气，味极苦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新疆维吾尔自治区中药维吾尔药饮片炮制规范 2010年</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601"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香茅</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188.4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呈短段,直径2~3mm。表面淡黄棕色或微绿色,节处膨大质脆,易折断,断面中空。叶片狭条形或长线形,长7~20cm,宽1~5mm。叶鞘基部多破碎,上部叶鞘短于节间。叶舌长1~1.5mm,黄白色,膜质。有时可见稀疏的圆锥花序。果实淡黄棕色,骨质,长约5mm。有特异香气,嚼之有麻舌感。</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菝葜</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188.4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不规则块状或弯曲扁柱形，有结节状隆起，长10~20cm，直径2〜4cm表面黄棕色或紫棕色折断时有粉尘飞扬。气微，味微苦、涩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新疆维吾尔自治区维吾尔药材标准》2010年版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pStyle w:val="2"/>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24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蜀葵子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150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本品呈扁圆形，直径4~8mm, 表面灰黑色，具放射状纹理，中部略凸起，中脐 部凹陷，边缘白色，并具一环状纵沟。除去果皮，种子呈三角状肾形，甬状肾形，表面棕褐色， 长3~4mm,质坚， 子叶黄白色。 气微，味淡。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《新疆维吾尔自治区维吾尔药材标准》2010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pStyle w:val="2"/>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水菖蒲</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200.4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本品呈扁圆柱形，多弯曲，常有分枝，质硬，断面纤维性，类白色或微红色，气芳香，味苦、 微辛。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湖北省中药饮材质量标准</w:t>
            </w:r>
            <w:r>
              <w:rPr>
                <w:rFonts w:hint="eastAsia" w:ascii="微软雅黑" w:hAnsi="微软雅黑" w:eastAsia="微软雅黑" w:cs="微软雅黑"/>
                <w:i w:val="0"/>
                <w:iCs w:val="0"/>
                <w:color w:val="000000"/>
                <w:sz w:val="24"/>
                <w:szCs w:val="24"/>
                <w:u w:val="none"/>
                <w:lang w:val="en-US" w:eastAsia="zh-CN"/>
              </w:rPr>
              <w:t>2018年</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肉豆蔻</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212.4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本品呈卵圆形或椭圆形，富油性。气香浓烈，味辛。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新疆维吾尔自治区中药维吾尔药饮片炮制规范 2010年</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骆驼篷子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156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呈圆锥状三角形四面体，长2-4mm，中部直径1-2mm，表面棕色至褐色，粗糙</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自治区中药维吾尔药饮片炮制规范2020年版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荜茇</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呈圆柱形，稍弯曲，由多数小浆果集合而成，长1. 5〜3 5cm，直径0. 3〜0 5cm小浆果球形，直径约0.1cm。有特异香气，味辛辣</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新疆维吾尔自治区维吾尔药材标准》2010年版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9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时萝子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209.4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本品为双悬果，多数开裂为分果，呈扁广椭圆形，长3~5mm，宽 1~3mm，厚约 1mm。表面呈黄绿色至灰棕色，背部有 3条不明显的肋线。两侧肋线扩展成翅状，边缘灰白色。多数分离或未分离的双悬果基部有残存果柄。气芳香，味辛凉。</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21"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地锦草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地锦  本品呈段状。根细小。茎细，呈叉状分枝，表面黄绿色或紫红色，光滑无毛或疏生白色细柔毛；质脆，易折断，断面黄白色，中空。单叶对生，具淡红色短柄或几无柄；叶片多皱缩或已脱落；绿色或带紫红色，通常无毛或疏生细柔毛；先端钝圆，基部偏斜，边缘具小锯齿或呈微波状。可见蒴果三棱状球形，表面光滑。种子细小，卵形，褐色。气微，味微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上海市中药饮片炮制规范</w:t>
            </w:r>
            <w:r>
              <w:rPr>
                <w:rFonts w:hint="eastAsia" w:ascii="微软雅黑" w:hAnsi="微软雅黑" w:eastAsia="微软雅黑" w:cs="微软雅黑"/>
                <w:i w:val="0"/>
                <w:iCs w:val="0"/>
                <w:color w:val="000000"/>
                <w:sz w:val="24"/>
                <w:szCs w:val="24"/>
                <w:u w:val="no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花椒</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224.4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粉末黄棕色。外果皮表皮细胞垂周壁连珠状增厚。草酸钙簇晶较多见，直径10〜40pm。</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安徽省中药饮片炮制规范</w:t>
            </w:r>
            <w:r>
              <w:rPr>
                <w:rFonts w:hint="eastAsia" w:ascii="微软雅黑" w:hAnsi="微软雅黑" w:eastAsia="微软雅黑" w:cs="微软雅黑"/>
                <w:i w:val="0"/>
                <w:iCs w:val="0"/>
                <w:color w:val="000000"/>
                <w:sz w:val="24"/>
                <w:szCs w:val="24"/>
                <w:u w:val="none"/>
                <w:lang w:val="en-US" w:eastAsia="zh-CN"/>
              </w:rPr>
              <w:t>2019版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24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三条筋</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212.4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本品呈广披针形或长圆形，长7~ 15cm,宽2.5~9cm.先端渐尖，基部楔形，全缘。上表面黄绿色或黄棕色，光滑，有光泽;下表面稀被柔毛，野脉3条显著凸起;细--略呈黄向平行。叶脉长0.5~1.3cm略呈四棱形。革质稍韧。气香，味微甜，幸。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《新疆维吾尔自治区维吾尔药材标准》2010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黄芥子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呈球形，直径1.5～2.5mm。表面灰白色至淡黄色，具细微的网纹，有明显的点状种脐。种皮薄而脆，破开后内有白色折叠的子叶，有油性。气微，味辛辣。</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自定义标准</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223</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徐长卿</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eastAsia="zh-CN"/>
              </w:rPr>
              <w:t>本品根茎呈不规则形状，有盘节，长</w:t>
            </w:r>
            <w:r>
              <w:rPr>
                <w:rFonts w:hint="eastAsia" w:ascii="微软雅黑" w:hAnsi="微软雅黑" w:eastAsia="微软雅黑" w:cs="微软雅黑"/>
                <w:sz w:val="24"/>
                <w:szCs w:val="24"/>
                <w:vertAlign w:val="baseline"/>
                <w:lang w:val="en-US" w:eastAsia="zh-CN"/>
              </w:rPr>
              <w:t>0.5~3.5cm，直径2~4mm，断面中空；根茎</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eastAsia="zh-CN"/>
              </w:rPr>
              <w:t>上海市中药饮片炮制规范</w:t>
            </w:r>
            <w:r>
              <w:rPr>
                <w:rFonts w:hint="eastAsia" w:ascii="微软雅黑" w:hAnsi="微软雅黑" w:eastAsia="微软雅黑" w:cs="微软雅黑"/>
                <w:sz w:val="24"/>
                <w:szCs w:val="24"/>
                <w:vertAlign w:val="baseline"/>
                <w:lang w:val="en-US" w:eastAsia="zh-CN"/>
              </w:rPr>
              <w:t>2018年版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224</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胆南星</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本品呈方块或圆柱状。棕黄色，灰棕色或棕黑色。质硬。气微腥，味苦。</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荜拔</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呈圆柱形，稍弯曲，由多数小浆果集合而成，长1. 5〜3 5cm，直径0. 3〜0 5cm小浆果球形，直径约0.1cm。有特异香气，味辛辣</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新疆维吾尔自治区维吾尔药材标准》2010年版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601"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洋甘菊</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179.4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茎枝细弱，具纵棱，直径1~2mm.绿色至红褐色。总苞呈半圆形,2层，边缘宽膜质，长卵形，内外层均绿，外层苟片具绒毛花托呈圆锥形，宽1.5~2mm。花异形，边花舌状，雌性。花瓣宽卵形，白色，宽2mm.先端浅裂，中央花两性,管状，黄色，顶端4~5齿裂。气芳香，味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《新疆维吾尔自治区维吾尔药材标准》2010年版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227</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青香茅</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无</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新疆维吾尔自治区中药维吾尔药饮片炮制规范 2010年</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秋水山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224.4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片状或丝状，易断，断面白色或淡灰黄色，粉性，气味芳香，味苦。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新疆维吾尔自治区中药维吾尔药饮片炮制规范 2010年</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c>
          <w:tcPr>
            <w:tcW w:w="23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229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檀香</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本品为长短不一的圆柱形木段。质坚实，不易折断。气清香，燃烧时香气更浓；味淡，嚼之微有辛辣感。</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新疆维吾尔自治区中药维吾尔药饮片炮制规范 2010年</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230</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黄花柳</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无</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新疆维吾尔自治区中药维吾尔药饮片炮制规范 2010年</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13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小豆蔻</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30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呈长卵圆形，两端尖，具三钝棱，长10～20mm，直径5～10mm。表面淡棕色至灰白色，有细密的纵纹，顶端有突起的柱基，基部有凹入的果柄痕，果皮质韧，不易开裂。子房3室，中轴胎座，每室含种子5～9粒。种子呈长卵形或3～4面形，长3～4mm，厚约3mm，表面淡橙色或暗红棕色，背面微隆起，腹面有沟纹，外被无色薄膜状假种皮。断面白色。气芳香而浓烈，味辣、微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31"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高良姜</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 xml:space="preserve"> 本品呈圆柱形，多弯曲，有分枝，表面棕红色至暗褐色，气香，味辛辣。</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上海市中药饮片炮制规范</w:t>
            </w:r>
            <w:r>
              <w:rPr>
                <w:rFonts w:hint="eastAsia" w:ascii="微软雅黑" w:hAnsi="微软雅黑" w:eastAsia="微软雅黑" w:cs="微软雅黑"/>
                <w:i w:val="0"/>
                <w:iCs w:val="0"/>
                <w:color w:val="000000"/>
                <w:sz w:val="24"/>
                <w:szCs w:val="24"/>
                <w:u w:val="none"/>
                <w:lang w:val="en-US" w:eastAsia="zh-CN"/>
              </w:rPr>
              <w:t>2018年</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601"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茴芹果</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为双悬果，多连接而少分离，呈卵圆形，长2.5-4毫米，直径约1.5毫米。表面灰绿色或灰棕色，顶端狭细，基部宽圆，分果具5条明显的肋线，微隆起，肋间具有短刚毛。分果横切面置解剖镜下观察，背面具20-30个细小的油室，结合面存有较大的油室2-3个。气芳香，味甜。</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9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菟丝草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24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本品茎多缠绕成团,棕黄色,柔细。叶退化成鳞片状,多脱落。花簇生于茎节,成球形。常有圆形或扁球形的果实,棕黄色。气微,味苦.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9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芹菜籽</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24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处狭。腹部较大，有5个环节。气特异，味咸。 出血</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24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玫瑰花瓣（干）</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42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略呈半球形或不规则团状，直径0.7～1.5cm。残留花梗上被细柔毛，花托半球形，与花萼基部合生；萼片5，披针形，黄绿色或棕绿色，被有细柔毛；花瓣多皱缩，展平后宽卵形，呈覆瓦状排列，紫红色，有的黄棕色；雄蕊多数，黄褐色；花柱多数，柱头在花托口集成头状，略突出，短于雄蕊。体轻，质脆。气芳香浓郁，味微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424"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石榴花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54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本品多皱缩，有的破碎，完整者展平后呈卵形或卵圆形长20~ 30mm,宽20-25mm.， 花瓣红色或暗红色，羽状网脉，主脉基部宽至先端渐细，顶端圆形，边缘微状,具疏而浅的钝锯齿,基部宽楔形或近圆形。薄而质脆，易碎。气微，味苦涩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新疆维吾尔自治区中药维吾尔药饮片炮制规范 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pStyle w:val="2"/>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06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中亚白及</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本品呈卵圆形，椭圆形，类圆形或掌形，长1.5~4cm,直径0.5~2cm。表面黄白色，至淡灰色，有少数的细皱纹，时有粗皱缩;质坚实，沉重，致密，微半透明，断面较质样。无臭，味淡。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86"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239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 xml:space="preserve"> 香青兰</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18</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茎方形，四棱。表面黄绿色或紫红色。被倒向疏柔毛，体轻，质泡，折断面白色，中空。叶对生，有柄多脱落或破碎;完整者披针形或狭披针形，长2~5cm，边缘有三角形锯齿，基部2齿常具芒刺，两面叶脉疏被细毛，叶背面有凹陷的棕色腺点。轮伞花序顶生，苞片长圆形，每侧有3~4个长刺齿，背面有腺点;花萼筒状，长约1cm,有纵向纹理，先端5齿裂，齿间具疣状突起，花多萎缩，蓝紫色。气清香，味微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06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薰衣草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90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本品茎方形,密被白色毛,折断面黄白色或灰白色,有时可见中央有细小的空腔。轮拿花序生于核的上部,花尊一形,简状,长约5m,具5读,其中1因特肥大；花二唇形，蓝色，长6-10mm, 气芳香，味幸晾。</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没食子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45</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呈类球形， 直径1~2.5cm,有短柄。表面灰绿色、灰黑色或灰黄色，有多数小瘤状突起有的可见通往表面的小孔道。无臭，味涩而苦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上海市中药饮片炮制规范</w:t>
            </w:r>
            <w:r>
              <w:rPr>
                <w:rFonts w:hint="eastAsia" w:ascii="微软雅黑" w:hAnsi="微软雅黑" w:eastAsia="微软雅黑" w:cs="微软雅黑"/>
                <w:i w:val="0"/>
                <w:iCs w:val="0"/>
                <w:color w:val="000000"/>
                <w:sz w:val="24"/>
                <w:szCs w:val="24"/>
                <w:u w:val="no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7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肉桂子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ind w:firstLine="720" w:firstLineChars="300"/>
              <w:jc w:val="both"/>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36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呈倒圆锥形,长4-18mm,直径4-7mm。宿尊杯状,长5-11mm,直径4-7mm,边像有不明显的6波读裂:表面色至黑据色,有校,下部延长成筒,有的连有果柄。宿等内有未成熟的果,椭圆形或类圆形,直径2-5mm。黄棕色至棕褐色,略有光泽,有皱纹:顶端稍平截上部有一微凸起的花柱残基,下部圆纯,可见凸起的子房柄,质松数、易压碎,气香,味甜而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天津市中药饮片炮制规范</w:t>
            </w:r>
            <w:r>
              <w:rPr>
                <w:rFonts w:hint="eastAsia" w:ascii="微软雅黑" w:hAnsi="微软雅黑" w:eastAsia="微软雅黑" w:cs="微软雅黑"/>
                <w:b w:val="0"/>
                <w:bCs w:val="0"/>
                <w:i w:val="0"/>
                <w:iCs w:val="0"/>
                <w:color w:val="000000"/>
                <w:sz w:val="24"/>
                <w:szCs w:val="24"/>
                <w:u w:val="no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7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阿勃勒</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24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干燥荚果圆柱形，长30-60cm,直径1. 5-2cm,顶端尖，基部有时具木质状的果柄。表面暗褐色，平滑而带光泽,腹缝、背缝明显。果皮薄,硬而木质状,内有多数横隔每隔有种子1粒，具长而暗色的珠柄，附着于腹缝。种子扁卵圆形，长约8mm,宽约6mm,厚约4mm,赤褐色，光滑而质坚，内为淡黄色，胚乳角质状，胚弯曲。味甜而微酸，有特异臭。</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2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244</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蜀葵花</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86.4</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eastAsia="zh-CN"/>
              </w:rPr>
              <w:t>本品呈皱缩破碎，完整的花瓣呈三角状阔倒卵形，长</w:t>
            </w:r>
            <w:r>
              <w:rPr>
                <w:rFonts w:hint="eastAsia" w:ascii="微软雅黑" w:hAnsi="微软雅黑" w:eastAsia="微软雅黑" w:cs="微软雅黑"/>
                <w:sz w:val="24"/>
                <w:szCs w:val="24"/>
                <w:vertAlign w:val="baseline"/>
                <w:lang w:val="en-US" w:eastAsia="zh-CN"/>
              </w:rPr>
              <w:t>7-10cm。宽7-12cm，表面有纵向脉纹，呈放射状，淡棕色，边缘浅波状；内面基部紫褐色。雄蕊多数，联合成管状，长1.5-2.5cm。气微香，味甘淡。</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《新疆维吾尔自治区维吾尔药材标准》2010年版（第一册</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3"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245</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曼陀蓬子</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26.4</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无</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自定义</w:t>
            </w:r>
          </w:p>
        </w:tc>
        <w:tc>
          <w:tcPr>
            <w:tcW w:w="1342"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橄榄油</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3600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50ml（瓶）</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本品为透明的黄色或黄绿色澄清液体，味微特异。</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r>
              <w:rPr>
                <w:rFonts w:hint="eastAsia" w:ascii="微软雅黑" w:hAnsi="微软雅黑" w:eastAsia="微软雅黑" w:cs="微软雅黑"/>
                <w:b w:val="0"/>
                <w:bCs w:val="0"/>
                <w:i w:val="0"/>
                <w:iCs w:val="0"/>
                <w:color w:val="000000"/>
                <w:sz w:val="24"/>
                <w:szCs w:val="24"/>
                <w:u w:val="none"/>
                <w:lang w:val="en-US" w:eastAsia="zh-CN"/>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9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247</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玫瑰花油</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3600</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瓶</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kern w:val="0"/>
                <w:sz w:val="24"/>
                <w:szCs w:val="24"/>
                <w:u w:val="none"/>
                <w:lang w:val="en-US" w:eastAsia="zh-CN" w:bidi="ar"/>
              </w:rPr>
              <w:t>本品为透明的黄色或黄绿色澄清液体，味微芳香</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《新疆维吾尔自治区维吾尔药材标准》2010年版（第一册</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92"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248</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对叶大草</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21</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自定义</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《新疆维吾尔自治区维吾尔药材标准》2010年版（第一册</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069"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249</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eastAsia="zh-CN"/>
              </w:rPr>
              <w:t>孜然</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12</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eastAsia="zh-CN"/>
              </w:rPr>
              <w:t>果实细卵状长圆形，两端稍弯，略呈半月形，灰黄绿色，灰黄色或灰绿色。多以分果存在，分果具</w:t>
            </w:r>
            <w:r>
              <w:rPr>
                <w:rFonts w:hint="eastAsia" w:ascii="微软雅黑" w:hAnsi="微软雅黑" w:eastAsia="微软雅黑" w:cs="微软雅黑"/>
                <w:sz w:val="24"/>
                <w:szCs w:val="24"/>
                <w:vertAlign w:val="baseline"/>
                <w:lang w:val="en-US" w:eastAsia="zh-CN"/>
              </w:rPr>
              <w:t>5条纵棱，具众多短毛，具特异芳香，味微辛辣，以颗粒饱满，色灰绿色者为佳</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《新疆维吾尔自治区维吾尔药材标准》2010年版（第一册</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番泻叶</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呈长卵形或卵状披针形，上表面黄绿色，下表面浅黄绿色，无毛或近无毛，叶脉稍隆起。革质。 气微弱而特异，味微苦，稍有黏性。</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上海市中药饮片炮制规范</w:t>
            </w:r>
            <w:r>
              <w:rPr>
                <w:rFonts w:hint="eastAsia" w:ascii="微软雅黑" w:hAnsi="微软雅黑" w:eastAsia="微软雅黑" w:cs="微软雅黑"/>
                <w:i w:val="0"/>
                <w:iCs w:val="0"/>
                <w:color w:val="000000"/>
                <w:sz w:val="24"/>
                <w:szCs w:val="24"/>
                <w:u w:val="none"/>
                <w:lang w:val="en-US" w:eastAsia="zh-CN"/>
              </w:rPr>
              <w:t>2018年版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黄连片</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多集聚成簇，常弯曲，形如鸡爪，单枝根茎长3〜6cm，直径0.3-0. 8cmo表面灰黄色或黄褐色，粗糙气微，味极苦</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四川省中药饮片炮制规范</w:t>
            </w:r>
            <w:r>
              <w:rPr>
                <w:rFonts w:hint="eastAsia" w:ascii="微软雅黑" w:hAnsi="微软雅黑" w:eastAsia="微软雅黑" w:cs="微软雅黑"/>
                <w:i w:val="0"/>
                <w:iCs w:val="0"/>
                <w:color w:val="000000"/>
                <w:sz w:val="24"/>
                <w:szCs w:val="24"/>
                <w:u w:val="none"/>
                <w:lang w:val="en-US" w:eastAsia="zh-CN"/>
              </w:rPr>
              <w:t>2015年版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统货</w:t>
            </w:r>
          </w:p>
          <w:p>
            <w:pPr>
              <w:pStyle w:val="2"/>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i w:val="0"/>
                <w:iCs w:val="0"/>
                <w:color w:val="000000"/>
                <w:sz w:val="24"/>
                <w:szCs w:val="24"/>
                <w:u w:val="none"/>
                <w:lang w:eastAsia="zh-CN"/>
              </w:rPr>
              <w:t>产地四川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95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牛舌草</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呈短段,茎具棱,表面淡绿色,有纵皱纹,具白硬刺和刺落后微凸起的白色刺痕,质坚脆,断而黄白色,多中空。叶多破碎,卷曲或皱缩,上表面黄绿色,下表面淡黄绿色微灰白,上下表面均具众多的白色坚硬刺,或刺落后的白色斑痕。叶柄三棱形,多扭曲,上具白刺和刺痕,叶脉两边多向上表面皱卷,完整叶片展开后,先端饨圆,叶片厚全缘,形似牛舌。气微芳香,味淡,具黏性。</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《新疆维吾尔自治区维吾尔药材标准》2010年版（第一册）</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7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蓝薊花</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12</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本品略呈扁圆锥形, 上宽下窄, 长1. 5～3.0cm, 表面具纵棱及短柔毛, 下端细, 棕色, 直径1～2mm, 上端不整齐, 蓝色至紫红色, 宽3～10mm。水浸泡后完整花冠斜钟状, 两侧对称。檐部不等浅裂, 上方一个裂片较大。内具雄蕊五枚, 花丝长1～2.5cm, 花药长圆形; 花柱多伸出或脱离, 长1.2～2. 5cm, 顶端2裂。气微, 味淡。</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《新疆维吾尔自治区维吾尔药材标准》2010年版（第一册）</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甘松</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90</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本品略呈圆锥形，气特异，味苦而辛，有清凉感。</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天津市中药饮片炮制规范</w:t>
            </w:r>
            <w:r>
              <w:rPr>
                <w:rFonts w:hint="eastAsia" w:ascii="微软雅黑" w:hAnsi="微软雅黑" w:eastAsia="微软雅黑" w:cs="微软雅黑"/>
                <w:i w:val="0"/>
                <w:iCs w:val="0"/>
                <w:color w:val="000000"/>
                <w:sz w:val="24"/>
                <w:szCs w:val="24"/>
                <w:u w:val="none"/>
                <w:lang w:val="en-US" w:eastAsia="zh-CN"/>
              </w:rPr>
              <w:t>2018年</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24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255</w:t>
            </w:r>
          </w:p>
        </w:tc>
        <w:tc>
          <w:tcPr>
            <w:tcW w:w="17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豆蔻</w:t>
            </w:r>
          </w:p>
        </w:tc>
        <w:tc>
          <w:tcPr>
            <w:tcW w:w="1352"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6</w:t>
            </w:r>
          </w:p>
        </w:tc>
        <w:tc>
          <w:tcPr>
            <w:tcW w:w="1048"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eastAsia="zh-CN"/>
              </w:rPr>
              <w:t>原豆蔻，呈类球形，直径</w:t>
            </w:r>
            <w:r>
              <w:rPr>
                <w:rFonts w:hint="eastAsia" w:ascii="微软雅黑" w:hAnsi="微软雅黑" w:eastAsia="微软雅黑" w:cs="微软雅黑"/>
                <w:sz w:val="24"/>
                <w:szCs w:val="24"/>
                <w:vertAlign w:val="baseline"/>
                <w:lang w:val="en-US" w:eastAsia="zh-CN"/>
              </w:rPr>
              <w:t>1.2-1.8cm。表面黄白色至淡黄色，有3条较深的纵向槽纹，顶端有突起的柱基。果皮体轻，质脆，易纵向裂开，内分3室，每室含种子约10粒；种子呈不规则多面体，背部略微隆起。气芳香，味辛凉略似樟脑。</w:t>
            </w:r>
          </w:p>
        </w:tc>
        <w:tc>
          <w:tcPr>
            <w:tcW w:w="2281" w:type="dxa"/>
            <w:noWrap w:val="0"/>
            <w:vAlign w:val="top"/>
          </w:tcPr>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eastAsia="zh-CN"/>
              </w:rPr>
              <w:t>安徽省中药饮片炮制规范</w:t>
            </w:r>
            <w:r>
              <w:rPr>
                <w:rFonts w:hint="eastAsia" w:ascii="微软雅黑" w:hAnsi="微软雅黑" w:eastAsia="微软雅黑" w:cs="微软雅黑"/>
                <w:sz w:val="24"/>
                <w:szCs w:val="24"/>
                <w:vertAlign w:val="baseline"/>
                <w:lang w:val="en-US" w:eastAsia="zh-CN"/>
              </w:rPr>
              <w:t>2019年版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5"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罗勒子</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本品卵形，表面多数黑色，顶端稍尖，有白色胚，气微味微，苦涩。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《新疆维吾尔自治区维吾尔药材标准》2010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7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玫瑰花瓣</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略呈半球形或不规则团状，直径0.7～1.5cm。残留花梗上被细柔毛，花托半球形，与花萼基部合生；萼片5，披针形，黄绿色或棕绿色，被有细柔毛；花瓣多皱缩，展平后宽卵形，呈覆瓦状排列，紫红色，有的黄棕色；雄蕊多数，黄褐色；花柱多数，柱头在花托口集成头状，略突出，短于雄蕊。体轻，质脆。气芳香浓郁，味微苦涩。</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 2010 年版</w:t>
            </w:r>
          </w:p>
        </w:tc>
        <w:tc>
          <w:tcPr>
            <w:tcW w:w="1342"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b w:val="0"/>
                <w:bCs w:val="0"/>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247"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天山堇菜</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2"/>
                <w:sz w:val="24"/>
                <w:szCs w:val="24"/>
                <w:u w:val="none"/>
                <w:lang w:val="en-US" w:eastAsia="zh-CN" w:bidi="ar-SA"/>
              </w:rPr>
              <w:t>54</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本品主根较粗壮,圆锥形。表面浅褐色至灰白色有不规则的纵皱纹。根茎具环纹及叶柄残基。叶皱缩,多破碎,完整叶湿润展开后呈匙形或椭圆形,灰绿色,顶端钝圆,基部楔形,下延,有长柄。花灰蓝色,夢片5,披针形,花瓣5,倒卵形,两侧对称,灰蓝色。气微芳香,味微苦辛。</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b w:val="0"/>
                <w:bCs w:val="0"/>
                <w:i w:val="0"/>
                <w:iCs w:val="0"/>
                <w:color w:val="000000"/>
                <w:kern w:val="0"/>
                <w:sz w:val="24"/>
                <w:szCs w:val="24"/>
                <w:u w:val="none"/>
                <w:lang w:val="en-US" w:eastAsia="zh-CN" w:bidi="ar"/>
              </w:rPr>
              <w:t>新疆维吾尔自治区中药维吾尔药饮片炮制规范2010 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b w:val="0"/>
                <w:bCs w:val="0"/>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98" w:hRule="atLeast"/>
          <w:jc w:val="center"/>
        </w:trPr>
        <w:tc>
          <w:tcPr>
            <w:tcW w:w="909" w:type="dxa"/>
            <w:noWrap w:val="0"/>
            <w:vAlign w:val="top"/>
          </w:tcPr>
          <w:p>
            <w:pPr>
              <w:keepNext w:val="0"/>
              <w:keepLines w:val="0"/>
              <w:pageBreakBefore w:val="0"/>
              <w:kinsoku/>
              <w:wordWrap/>
              <w:overflowPunct/>
              <w:topLinePunct w:val="0"/>
              <w:autoSpaceDE/>
              <w:autoSpaceDN/>
              <w:bidi w:val="0"/>
              <w:adjustRightInd/>
              <w:spacing w:line="320" w:lineRule="exact"/>
              <w:jc w:val="center"/>
              <w:rPr>
                <w:rFonts w:hint="eastAsia" w:ascii="微软雅黑" w:hAnsi="微软雅黑" w:eastAsia="微软雅黑" w:cs="微软雅黑"/>
                <w:sz w:val="24"/>
                <w:szCs w:val="24"/>
                <w:vertAlign w:val="baseline"/>
                <w:lang w:val="en-US" w:eastAsia="zh-CN"/>
              </w:rPr>
            </w:pPr>
          </w:p>
          <w:p>
            <w:pPr>
              <w:keepNext w:val="0"/>
              <w:keepLines w:val="0"/>
              <w:pageBreakBefore w:val="0"/>
              <w:kinsoku/>
              <w:wordWrap/>
              <w:overflowPunct/>
              <w:topLinePunct w:val="0"/>
              <w:autoSpaceDE/>
              <w:autoSpaceDN/>
              <w:bidi w:val="0"/>
              <w:adjustRightInd/>
              <w:spacing w:line="320" w:lineRule="exact"/>
              <w:jc w:val="both"/>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259</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芹菜根</w:t>
            </w:r>
          </w:p>
        </w:tc>
        <w:tc>
          <w:tcPr>
            <w:tcW w:w="135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2"/>
                <w:sz w:val="24"/>
                <w:szCs w:val="24"/>
                <w:u w:val="none"/>
                <w:lang w:val="en-US" w:eastAsia="zh-CN" w:bidi="ar-SA"/>
              </w:rPr>
              <w:t>6</w:t>
            </w:r>
          </w:p>
        </w:tc>
        <w:tc>
          <w:tcPr>
            <w:tcW w:w="1048"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kg</w:t>
            </w:r>
          </w:p>
        </w:tc>
        <w:tc>
          <w:tcPr>
            <w:tcW w:w="610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主根长圆锥形或略呈类纺锤形，长2~15 rm ，直径0.5-2.5 em ，表面棕灰色，具明显纵纹表面粗糙，灰棕色，质硬，断面黄白色，形成层环纹黄棕色。气微，味微咸。</w:t>
            </w:r>
          </w:p>
        </w:tc>
        <w:tc>
          <w:tcPr>
            <w:tcW w:w="2281"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自治区中药维吾尔药饮片炮制规范2010年版</w:t>
            </w:r>
          </w:p>
        </w:tc>
        <w:tc>
          <w:tcPr>
            <w:tcW w:w="1342"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一级</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微软雅黑" w:hAnsi="微软雅黑" w:eastAsia="微软雅黑" w:cs="微软雅黑"/>
                <w:i w:val="0"/>
                <w:iCs w:val="0"/>
                <w:color w:val="000000"/>
                <w:kern w:val="2"/>
                <w:sz w:val="24"/>
                <w:szCs w:val="24"/>
                <w:u w:val="none"/>
                <w:lang w:val="en-US" w:eastAsia="zh-CN" w:bidi="ar-SA"/>
              </w:rPr>
            </w:pPr>
            <w:r>
              <w:rPr>
                <w:rFonts w:hint="eastAsia" w:ascii="微软雅黑" w:hAnsi="微软雅黑" w:eastAsia="微软雅黑" w:cs="微软雅黑"/>
                <w:i w:val="0"/>
                <w:iCs w:val="0"/>
                <w:color w:val="000000"/>
                <w:sz w:val="24"/>
                <w:szCs w:val="24"/>
                <w:u w:val="none"/>
                <w:lang w:eastAsia="zh-CN"/>
              </w:rPr>
              <w:t>统货</w:t>
            </w:r>
          </w:p>
        </w:tc>
      </w:tr>
    </w:tbl>
    <w:p>
      <w:pPr>
        <w:jc w:val="both"/>
        <w:rPr>
          <w:rFonts w:hint="eastAsia" w:ascii="宋体" w:hAnsi="宋体" w:eastAsia="宋体" w:cs="宋体"/>
          <w:sz w:val="24"/>
          <w:szCs w:val="24"/>
          <w:lang w:eastAsia="zh-CN"/>
        </w:rPr>
      </w:pPr>
    </w:p>
    <w:p>
      <w:pPr>
        <w:pStyle w:val="27"/>
        <w:rPr>
          <w:rFonts w:hint="eastAsia" w:ascii="微软雅黑" w:hAnsi="微软雅黑" w:eastAsia="微软雅黑" w:cs="微软雅黑"/>
          <w:highlight w:val="none"/>
          <w:lang w:val="en-US" w:eastAsia="zh-CN"/>
        </w:rPr>
      </w:pPr>
      <w:r>
        <w:rPr>
          <w:rFonts w:hint="eastAsia" w:ascii="微软雅黑" w:hAnsi="微软雅黑" w:eastAsia="微软雅黑" w:cs="微软雅黑"/>
          <w:b/>
          <w:bCs/>
          <w:highlight w:val="none"/>
          <w:lang w:val="en-US" w:eastAsia="zh-CN"/>
        </w:rPr>
        <w:t>注：本项目供应商入围数量为3家，所有供应商不可选择性投标，投标人须100%满足目录中所有品种的供货需求，否则视为对招标文件的不响应，投标无效</w:t>
      </w:r>
      <w:r>
        <w:rPr>
          <w:rFonts w:hint="eastAsia" w:ascii="微软雅黑" w:hAnsi="微软雅黑" w:eastAsia="微软雅黑" w:cs="微软雅黑"/>
          <w:highlight w:val="none"/>
          <w:lang w:val="en-US" w:eastAsia="zh-CN"/>
        </w:rPr>
        <w:t>。</w:t>
      </w:r>
    </w:p>
    <w:p>
      <w:pPr>
        <w:jc w:val="center"/>
        <w:rPr>
          <w:rFonts w:hint="eastAsia" w:ascii="宋体" w:hAnsi="宋体" w:eastAsia="宋体" w:cs="宋体"/>
          <w:sz w:val="24"/>
          <w:szCs w:val="24"/>
          <w:lang w:eastAsia="zh-CN"/>
        </w:rPr>
      </w:pPr>
    </w:p>
    <w:p>
      <w:pPr>
        <w:outlineLvl w:val="1"/>
        <w:rPr>
          <w:rFonts w:hint="eastAsia" w:ascii="微软雅黑" w:hAnsi="微软雅黑" w:eastAsia="微软雅黑" w:cs="微软雅黑"/>
          <w:b/>
          <w:bCs/>
          <w:sz w:val="24"/>
          <w:szCs w:val="24"/>
        </w:rPr>
        <w:sectPr>
          <w:headerReference r:id="rId5" w:type="default"/>
          <w:footerReference r:id="rId6" w:type="default"/>
          <w:pgSz w:w="16838" w:h="11905" w:orient="landscape"/>
          <w:pgMar w:top="1083" w:right="1440" w:bottom="1083" w:left="1440" w:header="851" w:footer="992" w:gutter="0"/>
          <w:cols w:space="0" w:num="1"/>
          <w:rtlGutter w:val="0"/>
          <w:docGrid w:linePitch="462" w:charSpace="0"/>
        </w:sectPr>
      </w:pPr>
    </w:p>
    <w:p>
      <w:pPr>
        <w:outlineLvl w:val="1"/>
        <w:rPr>
          <w:rFonts w:ascii="微软雅黑" w:hAnsi="微软雅黑" w:eastAsia="微软雅黑" w:cs="微软雅黑"/>
          <w:sz w:val="24"/>
          <w:szCs w:val="24"/>
        </w:rPr>
      </w:pPr>
      <w:bookmarkStart w:id="643" w:name="_Toc32402"/>
      <w:r>
        <w:rPr>
          <w:rFonts w:hint="eastAsia" w:ascii="微软雅黑" w:hAnsi="微软雅黑" w:eastAsia="微软雅黑" w:cs="微软雅黑"/>
          <w:b/>
          <w:bCs/>
          <w:sz w:val="24"/>
          <w:szCs w:val="24"/>
        </w:rPr>
        <w:t>二、项目其他要求：</w:t>
      </w:r>
      <w:bookmarkEnd w:id="643"/>
    </w:p>
    <w:p>
      <w:pPr>
        <w:pStyle w:val="5"/>
        <w:rPr>
          <w:rFonts w:ascii="微软雅黑" w:hAnsi="微软雅黑" w:eastAsia="微软雅黑" w:cs="微软雅黑"/>
          <w:b/>
          <w:bCs/>
        </w:rPr>
      </w:pPr>
      <w:r>
        <w:rPr>
          <w:rFonts w:ascii="微软雅黑" w:hAnsi="微软雅黑" w:eastAsia="微软雅黑" w:cs="微软雅黑"/>
          <w:b/>
          <w:bCs/>
        </w:rPr>
        <w:t>1.质量要求:</w:t>
      </w:r>
    </w:p>
    <w:p>
      <w:pPr>
        <w:pStyle w:val="5"/>
        <w:rPr>
          <w:rFonts w:ascii="微软雅黑" w:hAnsi="微软雅黑" w:eastAsia="微软雅黑" w:cs="微软雅黑"/>
          <w:b/>
          <w:bCs/>
        </w:rPr>
      </w:pPr>
      <w:r>
        <w:rPr>
          <w:rFonts w:ascii="微软雅黑" w:hAnsi="微软雅黑" w:eastAsia="微软雅黑" w:cs="微软雅黑"/>
          <w:b w:val="0"/>
          <w:bCs w:val="0"/>
        </w:rPr>
        <w:t>1.1、饮片的技术标准按《中国药典》、《中华人民共和国卫生部药品标准 （维吾尔药分册）》、《新疆维吾尔自治区维吾尔药材标准》、《新疆维吾尔  药材标准2010年版（第一册）》、《新疆维吾尔自治区中药维吾尔药饮片炮制规范》、其它地方标准和我院自定标准执行。</w:t>
      </w:r>
    </w:p>
    <w:p>
      <w:pPr>
        <w:pStyle w:val="5"/>
        <w:ind w:left="0" w:leftChars="0" w:firstLine="0" w:firstLineChars="0"/>
        <w:rPr>
          <w:rFonts w:ascii="微软雅黑" w:hAnsi="微软雅黑" w:eastAsia="微软雅黑" w:cs="微软雅黑"/>
          <w:b w:val="0"/>
          <w:bCs w:val="0"/>
        </w:rPr>
      </w:pPr>
      <w:r>
        <w:rPr>
          <w:rFonts w:ascii="微软雅黑" w:hAnsi="微软雅黑" w:eastAsia="微软雅黑" w:cs="微软雅黑"/>
          <w:b w:val="0"/>
          <w:bCs w:val="0"/>
        </w:rPr>
        <w:t>备注：供应商每次送货必须有检验报告单（如不具备自检能力的，需提供第三方全检报告单，并自行承担费用），以上资料随货同行；</w:t>
      </w:r>
    </w:p>
    <w:p>
      <w:pPr>
        <w:pStyle w:val="5"/>
        <w:rPr>
          <w:rFonts w:ascii="微软雅黑" w:hAnsi="微软雅黑" w:eastAsia="微软雅黑" w:cs="微软雅黑"/>
          <w:b w:val="0"/>
          <w:bCs w:val="0"/>
        </w:rPr>
      </w:pPr>
      <w:r>
        <w:rPr>
          <w:rFonts w:ascii="微软雅黑" w:hAnsi="微软雅黑" w:eastAsia="微软雅黑" w:cs="微软雅黑"/>
          <w:b w:val="0"/>
          <w:bCs w:val="0"/>
        </w:rPr>
        <w:t>1.2、所投中药饮片供货时必须提供生产企业质量检验报告书，贵细药材每 批供货需提供省级部门出具检验报告，毒性药材每批供货需要炮制达到标准检验报告书。不能提供检验报告的医疗机构拒收。</w:t>
      </w:r>
    </w:p>
    <w:p>
      <w:pPr>
        <w:pStyle w:val="5"/>
        <w:rPr>
          <w:rFonts w:ascii="微软雅黑" w:hAnsi="微软雅黑" w:eastAsia="微软雅黑" w:cs="微软雅黑"/>
          <w:b w:val="0"/>
          <w:bCs w:val="0"/>
        </w:rPr>
      </w:pPr>
      <w:r>
        <w:rPr>
          <w:rFonts w:ascii="微软雅黑" w:hAnsi="微软雅黑" w:eastAsia="微软雅黑" w:cs="微软雅黑"/>
          <w:b w:val="0"/>
          <w:bCs w:val="0"/>
        </w:rPr>
        <w:t>1.3、严禁提供假冒伪劣产品，严禁以次充好。</w:t>
      </w:r>
    </w:p>
    <w:p>
      <w:pPr>
        <w:pStyle w:val="5"/>
        <w:rPr>
          <w:rFonts w:ascii="微软雅黑" w:hAnsi="微软雅黑" w:eastAsia="微软雅黑" w:cs="微软雅黑"/>
          <w:b w:val="0"/>
          <w:bCs w:val="0"/>
        </w:rPr>
      </w:pPr>
      <w:r>
        <w:rPr>
          <w:rFonts w:ascii="微软雅黑" w:hAnsi="微软雅黑" w:eastAsia="微软雅黑" w:cs="微软雅黑"/>
          <w:b/>
          <w:bCs/>
        </w:rPr>
        <w:t>1.4、质保期：</w:t>
      </w:r>
      <w:r>
        <w:rPr>
          <w:rFonts w:ascii="微软雅黑" w:hAnsi="微软雅黑" w:eastAsia="微软雅黑" w:cs="微软雅黑"/>
          <w:b w:val="0"/>
          <w:bCs w:val="0"/>
        </w:rPr>
        <w:t>产品剩余保质期不得短于保质期的70%，近效期药品中标人必须无条件包退换。</w:t>
      </w:r>
    </w:p>
    <w:p>
      <w:pPr>
        <w:pStyle w:val="5"/>
        <w:rPr>
          <w:rFonts w:ascii="微软雅黑" w:hAnsi="微软雅黑" w:eastAsia="微软雅黑" w:cs="微软雅黑"/>
          <w:b w:val="0"/>
          <w:bCs w:val="0"/>
        </w:rPr>
      </w:pPr>
      <w:r>
        <w:rPr>
          <w:rFonts w:ascii="微软雅黑" w:hAnsi="微软雅黑" w:eastAsia="微软雅黑" w:cs="微软雅黑"/>
          <w:b w:val="0"/>
          <w:bCs w:val="0"/>
        </w:rPr>
        <w:t>1.5、检查和验收：中标人在发货前，对货物的质量、规格、数量等进行准 确和全面的检验。中标人在送货时需向采购人提交每批次药检报告书（加盖中标人单位公章）。</w:t>
      </w:r>
    </w:p>
    <w:p>
      <w:pPr>
        <w:pStyle w:val="5"/>
        <w:rPr>
          <w:rFonts w:ascii="微软雅黑" w:hAnsi="微软雅黑" w:eastAsia="微软雅黑" w:cs="微软雅黑"/>
          <w:b/>
          <w:bCs/>
        </w:rPr>
      </w:pPr>
      <w:r>
        <w:rPr>
          <w:rFonts w:ascii="微软雅黑" w:hAnsi="微软雅黑" w:eastAsia="微软雅黑" w:cs="微软雅黑"/>
          <w:b/>
          <w:bCs/>
        </w:rPr>
        <w:t>2.服务要求：</w:t>
      </w:r>
    </w:p>
    <w:p>
      <w:pPr>
        <w:pStyle w:val="5"/>
        <w:rPr>
          <w:rFonts w:ascii="微软雅黑" w:hAnsi="微软雅黑" w:eastAsia="微软雅黑" w:cs="微软雅黑"/>
          <w:b w:val="0"/>
          <w:bCs w:val="0"/>
        </w:rPr>
      </w:pPr>
      <w:r>
        <w:rPr>
          <w:rFonts w:ascii="微软雅黑" w:hAnsi="微软雅黑" w:eastAsia="微软雅黑" w:cs="微软雅黑"/>
          <w:b w:val="0"/>
          <w:bCs w:val="0"/>
        </w:rPr>
        <w:t>2.1包装：提供的全部货物按国家规定的保护措施进行包装，每一个包装箱应附一份详细装箱单，包装、标记和包装内外的单据应符合国家要求；</w:t>
      </w:r>
    </w:p>
    <w:p>
      <w:pPr>
        <w:pStyle w:val="5"/>
        <w:rPr>
          <w:rFonts w:ascii="微软雅黑" w:hAnsi="微软雅黑" w:eastAsia="微软雅黑" w:cs="微软雅黑"/>
          <w:b w:val="0"/>
          <w:bCs w:val="0"/>
        </w:rPr>
      </w:pPr>
      <w:r>
        <w:rPr>
          <w:rFonts w:ascii="微软雅黑" w:hAnsi="微软雅黑" w:eastAsia="微软雅黑" w:cs="微软雅黑"/>
          <w:b w:val="0"/>
          <w:bCs w:val="0"/>
        </w:rPr>
        <w:t>2.2供应商提供的药品质量和服务应随时接受医院的检查和监管，中药房负责对中药饮片的供货商所提供的药品质量负责监督。</w:t>
      </w:r>
    </w:p>
    <w:p>
      <w:pPr>
        <w:pStyle w:val="5"/>
        <w:rPr>
          <w:rFonts w:ascii="微软雅黑" w:hAnsi="微软雅黑" w:eastAsia="微软雅黑" w:cs="微软雅黑"/>
          <w:b w:val="0"/>
          <w:bCs w:val="0"/>
        </w:rPr>
      </w:pPr>
      <w:r>
        <w:rPr>
          <w:rFonts w:ascii="微软雅黑" w:hAnsi="微软雅黑" w:eastAsia="微软雅黑" w:cs="微软雅黑"/>
          <w:b w:val="0"/>
          <w:bCs w:val="0"/>
        </w:rPr>
        <w:t>2.3中标人对交付采购人的中药饮片质量承担全程责任。采购人有权按照国家的相关规定，对中标人交付的药品进行验收。对药品是否合格双方有争议时 , 采购人有权将争议药品送具备法定资质的第三方检验机构进行鉴定，并以鉴 定结论作为验收依据，鉴定费由中标人承担。中标人所供中药饮片必须提供同 批次检验报告单、随货同行票据、销售发票及货物清单，货物清单必须标注中药饮片、生产厂家、规格、批号、效期、批准文号、供货单位、数量、供货价 、售价、供货日期，必须做到货票相符。并由负责人根据上述物票信息逐一验 收合格签字确认后方可办理入库手续。（已经实行批准文号管理的，需标明批准文号）；</w:t>
      </w:r>
    </w:p>
    <w:p>
      <w:pPr>
        <w:pStyle w:val="5"/>
        <w:rPr>
          <w:rFonts w:ascii="微软雅黑" w:hAnsi="微软雅黑" w:eastAsia="微软雅黑" w:cs="微软雅黑"/>
          <w:b w:val="0"/>
          <w:bCs w:val="0"/>
        </w:rPr>
      </w:pPr>
      <w:r>
        <w:rPr>
          <w:rFonts w:ascii="微软雅黑" w:hAnsi="微软雅黑" w:eastAsia="微软雅黑" w:cs="微软雅黑"/>
          <w:b w:val="0"/>
          <w:bCs w:val="0"/>
        </w:rPr>
        <w:t>2.4中标人必须保障产品齐全，保证药品质量、执行国家物价的前提下按约定的药品品种、剂型、规格、数量、价格、供货方式等供货，不得以任何借口 （如无货，采购量少等）不执行采购人采购计划从而影响采购方的临床用药，保证临床用药不断档。（投标人提供《承诺函》）</w:t>
      </w:r>
    </w:p>
    <w:p>
      <w:pPr>
        <w:pStyle w:val="5"/>
        <w:rPr>
          <w:rFonts w:ascii="微软雅黑" w:hAnsi="微软雅黑" w:eastAsia="微软雅黑" w:cs="微软雅黑"/>
          <w:b w:val="0"/>
          <w:bCs w:val="0"/>
        </w:rPr>
      </w:pPr>
      <w:r>
        <w:rPr>
          <w:rFonts w:ascii="微软雅黑" w:hAnsi="微软雅黑" w:eastAsia="微软雅黑" w:cs="微软雅黑"/>
          <w:b w:val="0"/>
          <w:bCs w:val="0"/>
        </w:rPr>
        <w:t>2.5在中标人供货期间，中标人必须按照清单中产品进行供货，如确遇清单中某些产品无法供货或制造商断货，须提前告知采购人并提供书面声明，同一 品种连续三次无法供货或者供货期内两次药材验收不合格的，采购人有权取消 中标人的供货资格。（投标人提供《承诺函》）每次配送的时间和数量以甲方 的采购计划为准，原则上发出计划后24小时内送达采购人指定地点。中标人应保证所配送的品种、规格、及生产企业相一致。</w:t>
      </w:r>
    </w:p>
    <w:p>
      <w:pPr>
        <w:pStyle w:val="5"/>
        <w:rPr>
          <w:rFonts w:ascii="微软雅黑" w:hAnsi="微软雅黑" w:eastAsia="微软雅黑" w:cs="微软雅黑"/>
          <w:b/>
          <w:bCs/>
        </w:rPr>
      </w:pPr>
      <w:r>
        <w:rPr>
          <w:rFonts w:ascii="微软雅黑" w:hAnsi="微软雅黑" w:eastAsia="微软雅黑" w:cs="微软雅黑"/>
          <w:b/>
          <w:bCs/>
        </w:rPr>
        <w:t>3.售后服务</w:t>
      </w:r>
    </w:p>
    <w:p>
      <w:pPr>
        <w:pStyle w:val="5"/>
        <w:rPr>
          <w:rFonts w:ascii="微软雅黑" w:hAnsi="微软雅黑" w:eastAsia="微软雅黑" w:cs="微软雅黑"/>
          <w:b w:val="0"/>
          <w:bCs w:val="0"/>
        </w:rPr>
      </w:pPr>
      <w:r>
        <w:rPr>
          <w:rFonts w:ascii="微软雅黑" w:hAnsi="微软雅黑" w:eastAsia="微软雅黑" w:cs="微软雅黑"/>
          <w:b w:val="0"/>
          <w:bCs w:val="0"/>
        </w:rPr>
        <w:t>3.1中标人在收到采购人药品采购计划后，无论计划品种、数量多少，24小时内将药品完好无损送至采购人指定地点， (供应商于收到供货通知后立即予以 回复采购人是否能够按时供货，紧急药品4小时内送达，节假日照常配送)。如  遇特殊情况无法按时送达货品时需与采购人沟通，且一年不得超过三次）。供货方承担药品包装与配送费。</w:t>
      </w:r>
    </w:p>
    <w:p>
      <w:pPr>
        <w:pStyle w:val="5"/>
        <w:rPr>
          <w:rFonts w:ascii="微软雅黑" w:hAnsi="微软雅黑" w:eastAsia="微软雅黑" w:cs="微软雅黑"/>
          <w:b w:val="0"/>
          <w:bCs w:val="0"/>
        </w:rPr>
      </w:pPr>
      <w:r>
        <w:rPr>
          <w:rFonts w:ascii="微软雅黑" w:hAnsi="微软雅黑" w:eastAsia="微软雅黑" w:cs="微软雅黑"/>
          <w:b w:val="0"/>
          <w:bCs w:val="0"/>
        </w:rPr>
        <w:t>3.2所送货物需与采购计划相一致，未经允许不得擅自更改计划。</w:t>
      </w:r>
    </w:p>
    <w:p>
      <w:pPr>
        <w:pStyle w:val="5"/>
        <w:rPr>
          <w:rFonts w:ascii="微软雅黑" w:hAnsi="微软雅黑" w:eastAsia="微软雅黑" w:cs="微软雅黑"/>
          <w:b w:val="0"/>
          <w:bCs w:val="0"/>
        </w:rPr>
      </w:pPr>
      <w:r>
        <w:rPr>
          <w:rFonts w:ascii="微软雅黑" w:hAnsi="微软雅黑" w:eastAsia="微软雅黑" w:cs="微软雅黑"/>
          <w:b w:val="0"/>
          <w:bCs w:val="0"/>
        </w:rPr>
        <w:t>3.3采购人发现进货的药品破损、近效期、包装不合格或有质量问题的，中标人应保证及时更换或退货处理。</w:t>
      </w:r>
    </w:p>
    <w:p>
      <w:pPr>
        <w:pStyle w:val="5"/>
        <w:rPr>
          <w:rFonts w:ascii="微软雅黑" w:hAnsi="微软雅黑" w:eastAsia="微软雅黑" w:cs="微软雅黑"/>
          <w:b w:val="0"/>
          <w:bCs w:val="0"/>
        </w:rPr>
      </w:pPr>
      <w:r>
        <w:rPr>
          <w:rFonts w:ascii="微软雅黑" w:hAnsi="微软雅黑" w:eastAsia="微软雅黑" w:cs="微软雅黑"/>
          <w:b w:val="0"/>
          <w:bCs w:val="0"/>
        </w:rPr>
        <w:t>3.4如果在供货中出现政策性第三方交易平台或其他集中采购平台有同类品</w:t>
      </w:r>
    </w:p>
    <w:p>
      <w:pPr>
        <w:pStyle w:val="5"/>
        <w:rPr>
          <w:rFonts w:ascii="微软雅黑" w:hAnsi="微软雅黑" w:eastAsia="微软雅黑" w:cs="微软雅黑"/>
          <w:b w:val="0"/>
          <w:bCs w:val="0"/>
        </w:rPr>
      </w:pPr>
      <w:r>
        <w:rPr>
          <w:rFonts w:ascii="微软雅黑" w:hAnsi="微软雅黑" w:eastAsia="微软雅黑" w:cs="微软雅黑"/>
          <w:b w:val="0"/>
          <w:bCs w:val="0"/>
        </w:rPr>
        <w:t>种可线上采购时，采购人有权终止合同自行转平台采购（投标人提供《承诺函》) 。</w:t>
      </w:r>
    </w:p>
    <w:p>
      <w:pPr>
        <w:pStyle w:val="5"/>
        <w:rPr>
          <w:rFonts w:ascii="微软雅黑" w:hAnsi="微软雅黑" w:eastAsia="微软雅黑" w:cs="微软雅黑"/>
          <w:b w:val="0"/>
          <w:bCs w:val="0"/>
        </w:rPr>
      </w:pPr>
      <w:r>
        <w:rPr>
          <w:rFonts w:ascii="微软雅黑" w:hAnsi="微软雅黑" w:eastAsia="微软雅黑" w:cs="微软雅黑"/>
          <w:b w:val="0"/>
          <w:bCs w:val="0"/>
        </w:rPr>
        <w:t>3.5中药饮片在储存，使用过程中出现吸潮，结块，发霉等一切药品质量问题时时，应10日内提供退换和承担相应赔偿。</w:t>
      </w:r>
    </w:p>
    <w:p>
      <w:pPr>
        <w:pStyle w:val="5"/>
        <w:rPr>
          <w:rFonts w:ascii="微软雅黑" w:hAnsi="微软雅黑" w:eastAsia="微软雅黑" w:cs="微软雅黑"/>
          <w:b w:val="0"/>
          <w:bCs w:val="0"/>
        </w:rPr>
      </w:pPr>
      <w:r>
        <w:rPr>
          <w:rFonts w:ascii="微软雅黑" w:hAnsi="微软雅黑" w:eastAsia="微软雅黑" w:cs="微软雅黑"/>
          <w:b w:val="0"/>
          <w:bCs w:val="0"/>
        </w:rPr>
        <w:t>3.6投标人所供中药饮片在临床应用因质量问题引起的不良事件以及可疑不良事件，所产生的一切责任及费用由供方承担。</w:t>
      </w:r>
    </w:p>
    <w:p>
      <w:pPr>
        <w:pStyle w:val="5"/>
        <w:rPr>
          <w:rFonts w:ascii="微软雅黑" w:hAnsi="微软雅黑" w:eastAsia="微软雅黑" w:cs="微软雅黑"/>
          <w:b w:val="0"/>
          <w:bCs w:val="0"/>
        </w:rPr>
      </w:pPr>
      <w:r>
        <w:rPr>
          <w:rFonts w:ascii="微软雅黑" w:hAnsi="微软雅黑" w:eastAsia="微软雅黑" w:cs="微软雅黑"/>
          <w:b w:val="0"/>
          <w:bCs w:val="0"/>
        </w:rPr>
        <w:t>3.7因质量问题使医院因此蒙受经济及名誉损失，由供货方承担。</w:t>
      </w:r>
    </w:p>
    <w:p>
      <w:pPr>
        <w:pStyle w:val="5"/>
        <w:rPr>
          <w:rFonts w:ascii="微软雅黑" w:hAnsi="微软雅黑" w:eastAsia="微软雅黑" w:cs="微软雅黑"/>
          <w:b w:val="0"/>
          <w:bCs w:val="0"/>
        </w:rPr>
      </w:pPr>
      <w:r>
        <w:rPr>
          <w:rFonts w:ascii="微软雅黑" w:hAnsi="微软雅黑" w:eastAsia="微软雅黑" w:cs="微软雅黑"/>
          <w:b w:val="0"/>
          <w:bCs w:val="0"/>
        </w:rPr>
        <w:t>3.8投标人所供中药饮片因中包装标识、说明书及质量管理等不符合要求，被药监部门判为假、劣药时，所产生的一切费用由供方承担。</w:t>
      </w:r>
    </w:p>
    <w:p>
      <w:pPr>
        <w:pStyle w:val="5"/>
        <w:rPr>
          <w:rFonts w:ascii="微软雅黑" w:hAnsi="微软雅黑" w:eastAsia="微软雅黑" w:cs="微软雅黑"/>
          <w:b w:val="0"/>
          <w:bCs w:val="0"/>
        </w:rPr>
      </w:pPr>
      <w:r>
        <w:rPr>
          <w:rFonts w:ascii="微软雅黑" w:hAnsi="微软雅黑" w:eastAsia="微软雅黑" w:cs="微软雅黑"/>
          <w:b w:val="0"/>
          <w:bCs w:val="0"/>
        </w:rPr>
        <w:t>3.9投标人必须保证签订采购合同时，具备履行合同义务所需的法定资质和资格（包括授权许可），并保证该等资质和资格在合同期内持续有效。</w:t>
      </w:r>
    </w:p>
    <w:p>
      <w:pPr>
        <w:pStyle w:val="5"/>
        <w:rPr>
          <w:rFonts w:ascii="微软雅黑" w:hAnsi="微软雅黑" w:eastAsia="微软雅黑" w:cs="微软雅黑"/>
          <w:b w:val="0"/>
          <w:bCs w:val="0"/>
        </w:rPr>
      </w:pPr>
      <w:r>
        <w:rPr>
          <w:rFonts w:ascii="微软雅黑" w:hAnsi="微软雅黑" w:eastAsia="微软雅黑" w:cs="微软雅黑"/>
          <w:b w:val="0"/>
          <w:bCs w:val="0"/>
        </w:rPr>
        <w:t>3.10有常驻服务网点、人员或授权本地售后服务公司的相关证明（需提供证明文件：合同、人员、联系方式等）；</w:t>
      </w:r>
    </w:p>
    <w:p>
      <w:pPr>
        <w:pStyle w:val="5"/>
        <w:rPr>
          <w:rFonts w:ascii="微软雅黑" w:hAnsi="微软雅黑" w:eastAsia="微软雅黑" w:cs="微软雅黑"/>
          <w:b w:val="0"/>
          <w:bCs w:val="0"/>
        </w:rPr>
      </w:pPr>
      <w:r>
        <w:rPr>
          <w:rFonts w:ascii="微软雅黑" w:hAnsi="微软雅黑" w:eastAsia="微软雅黑" w:cs="微软雅黑"/>
          <w:b w:val="0"/>
          <w:bCs w:val="0"/>
        </w:rPr>
        <w:t>3.11投标人承诺给予招标采购单位的各种优惠条件（优惠条件事项不能包括采购项目本身所包括涉及的采购事项。投标人不能以“赠送、赠予 ”等任何 名义提供货物和服务以规避招标文件的约束。否则，投标人提供的投标文件将作为无效投标处理，即使中标也将取消中标资格）（实质性要求）。</w:t>
      </w:r>
    </w:p>
    <w:p>
      <w:pPr>
        <w:pStyle w:val="5"/>
        <w:rPr>
          <w:rFonts w:hint="eastAsia" w:ascii="微软雅黑" w:hAnsi="微软雅黑" w:eastAsia="微软雅黑" w:cs="微软雅黑"/>
          <w:b/>
          <w:bCs/>
          <w:lang w:eastAsia="zh-CN"/>
        </w:rPr>
      </w:pPr>
      <w:r>
        <w:rPr>
          <w:rFonts w:ascii="微软雅黑" w:hAnsi="微软雅黑" w:eastAsia="微软雅黑" w:cs="微软雅黑"/>
          <w:b/>
          <w:bCs/>
        </w:rPr>
        <w:t>三、合同履行期限、交货时间</w:t>
      </w:r>
      <w:r>
        <w:rPr>
          <w:rFonts w:hint="eastAsia" w:ascii="微软雅黑" w:hAnsi="微软雅黑" w:eastAsia="微软雅黑" w:cs="微软雅黑"/>
          <w:b/>
          <w:bCs/>
          <w:lang w:eastAsia="zh-CN"/>
        </w:rPr>
        <w:t>、付款方式</w:t>
      </w:r>
    </w:p>
    <w:p>
      <w:pPr>
        <w:pStyle w:val="5"/>
        <w:rPr>
          <w:rFonts w:ascii="微软雅黑" w:hAnsi="微软雅黑" w:eastAsia="微软雅黑" w:cs="微软雅黑"/>
          <w:b w:val="0"/>
          <w:bCs w:val="0"/>
        </w:rPr>
      </w:pPr>
      <w:r>
        <w:rPr>
          <w:rFonts w:hint="eastAsia" w:ascii="微软雅黑" w:hAnsi="微软雅黑" w:eastAsia="微软雅黑" w:cs="微软雅黑"/>
          <w:b w:val="0"/>
          <w:bCs w:val="0"/>
          <w:lang w:val="en-US" w:eastAsia="zh-CN"/>
        </w:rPr>
        <w:t>1、</w:t>
      </w:r>
      <w:r>
        <w:rPr>
          <w:rFonts w:ascii="微软雅黑" w:hAnsi="微软雅黑" w:eastAsia="微软雅黑" w:cs="微软雅黑"/>
          <w:b w:val="0"/>
          <w:bCs w:val="0"/>
        </w:rPr>
        <w:t>合同履行期限：</w:t>
      </w:r>
      <w:r>
        <w:rPr>
          <w:rFonts w:hint="eastAsia" w:ascii="微软雅黑" w:hAnsi="微软雅黑" w:eastAsia="微软雅黑" w:cs="微软雅黑"/>
          <w:b w:val="0"/>
          <w:bCs w:val="0"/>
        </w:rPr>
        <w:t>一年（根据采购人按照实际需求每个月提供的采购清单提供货物，供应商在收到采购清单一周内必须如数完成供货）</w:t>
      </w:r>
      <w:r>
        <w:rPr>
          <w:rFonts w:ascii="微软雅黑" w:hAnsi="微软雅黑" w:eastAsia="微软雅黑" w:cs="微软雅黑"/>
          <w:b w:val="0"/>
          <w:bCs w:val="0"/>
        </w:rPr>
        <w:t>；</w:t>
      </w:r>
    </w:p>
    <w:p>
      <w:pPr>
        <w:pStyle w:val="5"/>
        <w:rPr>
          <w:rFonts w:ascii="微软雅黑" w:hAnsi="微软雅黑" w:eastAsia="微软雅黑" w:cs="微软雅黑"/>
          <w:b w:val="0"/>
          <w:bCs w:val="0"/>
        </w:rPr>
      </w:pPr>
      <w:r>
        <w:rPr>
          <w:rFonts w:hint="eastAsia" w:ascii="微软雅黑" w:hAnsi="微软雅黑" w:eastAsia="微软雅黑" w:cs="微软雅黑"/>
          <w:b w:val="0"/>
          <w:bCs w:val="0"/>
          <w:lang w:val="en-US" w:eastAsia="zh-CN"/>
        </w:rPr>
        <w:t>2、</w:t>
      </w:r>
      <w:r>
        <w:rPr>
          <w:rFonts w:ascii="微软雅黑" w:hAnsi="微软雅黑" w:eastAsia="微软雅黑" w:cs="微软雅黑"/>
          <w:b w:val="0"/>
          <w:bCs w:val="0"/>
        </w:rPr>
        <w:t>交货时间：根据医院提交的药品计划，按照采购人规定时间送达到指定地点。</w:t>
      </w:r>
    </w:p>
    <w:p>
      <w:pPr>
        <w:pStyle w:val="5"/>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3、付款方式：根据采购人每季度提供的采购清单所提供的货物用量结算。（供应商须须向采购人提供供货清单和开具配送货款的正规发票，再由甲方按照发票金额通过对公账户的方式转入乙方账户）</w:t>
      </w:r>
    </w:p>
    <w:p>
      <w:pPr>
        <w:pStyle w:val="5"/>
        <w:rPr>
          <w:rFonts w:hint="eastAsia" w:ascii="微软雅黑" w:hAnsi="微软雅黑" w:eastAsia="微软雅黑" w:cs="微软雅黑"/>
          <w:b w:val="0"/>
          <w:bCs w:val="0"/>
          <w:lang w:eastAsia="zh-CN"/>
        </w:rPr>
      </w:pPr>
      <w:r>
        <w:rPr>
          <w:rFonts w:ascii="微软雅黑" w:hAnsi="微软雅黑" w:eastAsia="微软雅黑" w:cs="微软雅黑"/>
          <w:b/>
          <w:bCs/>
        </w:rPr>
        <w:t>四、交货地点</w:t>
      </w:r>
      <w:r>
        <w:rPr>
          <w:rFonts w:hint="eastAsia" w:ascii="微软雅黑" w:hAnsi="微软雅黑" w:eastAsia="微软雅黑" w:cs="微软雅黑"/>
          <w:b/>
          <w:bCs/>
          <w:lang w:eastAsia="zh-CN"/>
        </w:rPr>
        <w:t>：</w:t>
      </w:r>
      <w:r>
        <w:rPr>
          <w:rFonts w:hint="eastAsia" w:ascii="微软雅黑" w:hAnsi="微软雅黑" w:eastAsia="微软雅黑" w:cs="微软雅黑"/>
          <w:b w:val="0"/>
          <w:bCs w:val="0"/>
          <w:lang w:eastAsia="zh-CN"/>
        </w:rPr>
        <w:t>采购单位指定地点</w:t>
      </w:r>
    </w:p>
    <w:p>
      <w:pPr>
        <w:pStyle w:val="5"/>
        <w:rPr>
          <w:rFonts w:ascii="微软雅黑" w:hAnsi="微软雅黑" w:eastAsia="微软雅黑" w:cs="微软雅黑"/>
          <w:b w:val="0"/>
          <w:bCs w:val="0"/>
        </w:rPr>
      </w:pPr>
      <w:r>
        <w:rPr>
          <w:rFonts w:ascii="微软雅黑" w:hAnsi="微软雅黑" w:eastAsia="微软雅黑" w:cs="微软雅黑"/>
          <w:b/>
          <w:bCs/>
        </w:rPr>
        <w:t>五、验收方式</w:t>
      </w:r>
    </w:p>
    <w:p>
      <w:pPr>
        <w:pStyle w:val="5"/>
        <w:rPr>
          <w:rFonts w:ascii="微软雅黑" w:hAnsi="微软雅黑" w:eastAsia="微软雅黑" w:cs="微软雅黑"/>
          <w:b w:val="0"/>
          <w:bCs w:val="0"/>
        </w:rPr>
      </w:pPr>
      <w:r>
        <w:rPr>
          <w:rFonts w:ascii="微软雅黑" w:hAnsi="微软雅黑" w:eastAsia="微软雅黑" w:cs="微软雅黑"/>
          <w:b w:val="0"/>
          <w:bCs w:val="0"/>
        </w:rPr>
        <w:t>1、药学部根据《药品管理法》等有关规定，建立健全药品入库验收程序，以防假劣药品进入药品库房，切实保证入库药品质量完好、数量准确；</w:t>
      </w:r>
    </w:p>
    <w:p>
      <w:pPr>
        <w:pStyle w:val="5"/>
        <w:rPr>
          <w:rFonts w:ascii="微软雅黑" w:hAnsi="微软雅黑" w:eastAsia="微软雅黑" w:cs="微软雅黑"/>
          <w:b w:val="0"/>
          <w:bCs w:val="0"/>
        </w:rPr>
      </w:pPr>
      <w:r>
        <w:rPr>
          <w:rFonts w:ascii="微软雅黑" w:hAnsi="微软雅黑" w:eastAsia="微软雅黑" w:cs="微软雅黑"/>
          <w:b w:val="0"/>
          <w:bCs w:val="0"/>
        </w:rPr>
        <w:t>2、货物到达现场后，中标人应在使用单位人员在场情况下当面开箱，共同 清点、检查外观，作出开箱记录，双方签字确认。中标人应保证货物到达采购  人所在地完好无损，如有缺漏、损坏，由供应商负责调换、补齐或赔偿。药品验收由验收小组人员同时进行，必须由至少两名验收人员和复核人员进行；</w:t>
      </w:r>
    </w:p>
    <w:p>
      <w:pPr>
        <w:pStyle w:val="5"/>
        <w:rPr>
          <w:rFonts w:ascii="微软雅黑" w:hAnsi="微软雅黑" w:eastAsia="微软雅黑" w:cs="微软雅黑"/>
          <w:b w:val="0"/>
          <w:bCs w:val="0"/>
        </w:rPr>
      </w:pPr>
      <w:r>
        <w:rPr>
          <w:rFonts w:ascii="微软雅黑" w:hAnsi="微软雅黑" w:eastAsia="微软雅黑" w:cs="微软雅黑"/>
          <w:b w:val="0"/>
          <w:bCs w:val="0"/>
        </w:rPr>
        <w:t>3、药品验收应在待验区进行。整件的药品按抽样原则开箱验收，零散品种按批号逐批验收；</w:t>
      </w:r>
    </w:p>
    <w:p>
      <w:pPr>
        <w:pStyle w:val="5"/>
        <w:rPr>
          <w:rFonts w:ascii="微软雅黑" w:hAnsi="微软雅黑" w:eastAsia="微软雅黑" w:cs="微软雅黑"/>
          <w:b w:val="0"/>
          <w:bCs w:val="0"/>
        </w:rPr>
      </w:pPr>
      <w:r>
        <w:rPr>
          <w:rFonts w:ascii="微软雅黑" w:hAnsi="微软雅黑" w:eastAsia="微软雅黑" w:cs="微软雅黑"/>
          <w:b w:val="0"/>
          <w:bCs w:val="0"/>
        </w:rPr>
        <w:t>4、核对包装，并附有质量合格标志。每件包装上，应标明品名、规格、产地、生产企业、生产日期等，已经实行批准文号管理的，需标明批准文号。</w:t>
      </w:r>
    </w:p>
    <w:p>
      <w:pPr>
        <w:pStyle w:val="5"/>
        <w:rPr>
          <w:rFonts w:ascii="微软雅黑" w:hAnsi="微软雅黑" w:eastAsia="微软雅黑" w:cs="微软雅黑"/>
          <w:b w:val="0"/>
          <w:bCs w:val="0"/>
        </w:rPr>
      </w:pPr>
      <w:r>
        <w:rPr>
          <w:rFonts w:ascii="微软雅黑" w:hAnsi="微软雅黑" w:eastAsia="微软雅黑" w:cs="微软雅黑"/>
          <w:b w:val="0"/>
          <w:bCs w:val="0"/>
        </w:rPr>
        <w:t>5、货票、实物、货帐所示的药品名称、规格、剂型、批准文号、批号、有效期、生产厂家、供货单位、数量及价格是否正确一致。</w:t>
      </w:r>
    </w:p>
    <w:p>
      <w:pPr>
        <w:pStyle w:val="5"/>
        <w:rPr>
          <w:rFonts w:ascii="微软雅黑" w:hAnsi="微软雅黑" w:eastAsia="微软雅黑" w:cs="微软雅黑"/>
          <w:b w:val="0"/>
          <w:bCs w:val="0"/>
        </w:rPr>
      </w:pPr>
      <w:r>
        <w:rPr>
          <w:rFonts w:ascii="微软雅黑" w:hAnsi="微软雅黑" w:eastAsia="微软雅黑" w:cs="微软雅黑"/>
          <w:b w:val="0"/>
          <w:bCs w:val="0"/>
        </w:rPr>
        <w:t>6、检查内、外包装是否完整、清洁，无破损、污染、渗漏或封条损坏等包装异常现象；是否有发霉、走油、生虫等变质情形。</w:t>
      </w:r>
    </w:p>
    <w:p>
      <w:pPr>
        <w:pStyle w:val="5"/>
        <w:rPr>
          <w:rFonts w:ascii="微软雅黑" w:hAnsi="微软雅黑" w:eastAsia="微软雅黑" w:cs="微软雅黑"/>
          <w:b w:val="0"/>
          <w:bCs w:val="0"/>
        </w:rPr>
      </w:pPr>
      <w:r>
        <w:rPr>
          <w:rFonts w:ascii="微软雅黑" w:hAnsi="微软雅黑" w:eastAsia="微软雅黑" w:cs="微软雅黑"/>
          <w:b w:val="0"/>
          <w:bCs w:val="0"/>
        </w:rPr>
        <w:t>7、按照药品批号查验同批号的检验报告书。检验报告书应当加盖供货单位质量管理专用章原印章；</w:t>
      </w:r>
    </w:p>
    <w:p>
      <w:pPr>
        <w:pStyle w:val="5"/>
        <w:rPr>
          <w:rFonts w:ascii="微软雅黑" w:hAnsi="微软雅黑" w:eastAsia="微软雅黑" w:cs="微软雅黑"/>
          <w:b/>
          <w:bCs/>
        </w:rPr>
      </w:pPr>
      <w:r>
        <w:rPr>
          <w:rFonts w:ascii="微软雅黑" w:hAnsi="微软雅黑" w:eastAsia="微软雅黑" w:cs="微软雅黑"/>
          <w:b/>
          <w:bCs/>
        </w:rPr>
        <w:t>六、产品质量保证期</w:t>
      </w:r>
    </w:p>
    <w:p>
      <w:pPr>
        <w:pStyle w:val="5"/>
        <w:rPr>
          <w:rFonts w:ascii="微软雅黑" w:hAnsi="微软雅黑" w:eastAsia="微软雅黑" w:cs="微软雅黑"/>
          <w:b w:val="0"/>
          <w:bCs w:val="0"/>
        </w:rPr>
      </w:pPr>
      <w:r>
        <w:rPr>
          <w:rFonts w:ascii="微软雅黑" w:hAnsi="微软雅黑" w:eastAsia="微软雅黑" w:cs="微软雅黑"/>
          <w:b w:val="0"/>
          <w:bCs w:val="0"/>
        </w:rPr>
        <w:t>1、投标产品在有效期内必须保证药品质量，出现问题都应该负相应的责任。</w:t>
      </w:r>
    </w:p>
    <w:p>
      <w:pPr>
        <w:pStyle w:val="5"/>
        <w:rPr>
          <w:rFonts w:ascii="微软雅黑" w:hAnsi="微软雅黑" w:eastAsia="微软雅黑" w:cs="微软雅黑"/>
          <w:b w:val="0"/>
          <w:bCs w:val="0"/>
        </w:rPr>
      </w:pPr>
      <w:r>
        <w:rPr>
          <w:rFonts w:ascii="微软雅黑" w:hAnsi="微软雅黑" w:eastAsia="微软雅黑" w:cs="微软雅黑"/>
          <w:b w:val="0"/>
          <w:bCs w:val="0"/>
        </w:rPr>
        <w:t>2、所使用的耗材和包装也需符合相应的国家质量标准。</w:t>
      </w:r>
    </w:p>
    <w:p>
      <w:pPr>
        <w:pStyle w:val="5"/>
        <w:rPr>
          <w:rFonts w:ascii="微软雅黑" w:hAnsi="微软雅黑" w:eastAsia="微软雅黑" w:cs="微软雅黑"/>
          <w:b/>
          <w:bCs/>
        </w:rPr>
      </w:pPr>
      <w:r>
        <w:rPr>
          <w:rFonts w:ascii="微软雅黑" w:hAnsi="微软雅黑" w:eastAsia="微软雅黑" w:cs="微软雅黑"/>
          <w:b/>
          <w:bCs/>
        </w:rPr>
        <w:t>七、售后服务内容</w:t>
      </w:r>
    </w:p>
    <w:p>
      <w:pPr>
        <w:pStyle w:val="5"/>
        <w:rPr>
          <w:rFonts w:hint="eastAsia" w:ascii="微软雅黑" w:hAnsi="微软雅黑" w:eastAsia="微软雅黑" w:cs="微软雅黑"/>
          <w:b w:val="0"/>
          <w:bCs w:val="0"/>
        </w:rPr>
      </w:pPr>
      <w:r>
        <w:rPr>
          <w:rFonts w:hint="eastAsia" w:ascii="微软雅黑" w:hAnsi="微软雅黑" w:eastAsia="微软雅黑" w:cs="微软雅黑"/>
          <w:b w:val="0"/>
          <w:bCs w:val="0"/>
        </w:rPr>
        <w:t>（1）</w:t>
      </w:r>
      <w:r>
        <w:rPr>
          <w:rFonts w:hint="eastAsia" w:ascii="微软雅黑" w:hAnsi="微软雅黑" w:eastAsia="微软雅黑" w:cs="微软雅黑"/>
          <w:b w:val="0"/>
          <w:bCs w:val="0"/>
          <w:lang w:eastAsia="zh-CN"/>
        </w:rPr>
        <w:t>投标人应提供售后服务方案，方案中应明确投标人所投</w:t>
      </w:r>
      <w:r>
        <w:rPr>
          <w:rFonts w:hint="eastAsia" w:ascii="微软雅黑" w:hAnsi="微软雅黑" w:eastAsia="微软雅黑" w:cs="微软雅黑"/>
          <w:b w:val="0"/>
          <w:bCs w:val="0"/>
          <w:lang w:val="en-US" w:eastAsia="zh-CN"/>
        </w:rPr>
        <w:t>产品现有仓储含量或生产厂家提供的针对本项目的产品预售合同/销售合同、现有团队人员社保缴纳凭证及质量保证期内调换货的响应时间</w:t>
      </w:r>
      <w:r>
        <w:rPr>
          <w:rFonts w:hint="eastAsia" w:ascii="微软雅黑" w:hAnsi="微软雅黑" w:eastAsia="微软雅黑" w:cs="微软雅黑"/>
          <w:b w:val="0"/>
          <w:bCs w:val="0"/>
        </w:rPr>
        <w:t>。</w:t>
      </w:r>
    </w:p>
    <w:p>
      <w:pPr>
        <w:pStyle w:val="5"/>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rPr>
        <w:t>（2）</w:t>
      </w:r>
      <w:r>
        <w:rPr>
          <w:rFonts w:hint="eastAsia" w:ascii="微软雅黑" w:hAnsi="微软雅黑" w:eastAsia="微软雅黑" w:cs="微软雅黑"/>
          <w:b w:val="0"/>
          <w:bCs w:val="0"/>
          <w:lang w:eastAsia="zh-CN"/>
        </w:rPr>
        <w:t>质保期内调换货时间应为</w:t>
      </w:r>
      <w:r>
        <w:rPr>
          <w:rFonts w:hint="eastAsia" w:ascii="微软雅黑" w:hAnsi="微软雅黑" w:eastAsia="微软雅黑" w:cs="微软雅黑"/>
          <w:b w:val="0"/>
          <w:bCs w:val="0"/>
          <w:lang w:val="en-US" w:eastAsia="zh-CN"/>
        </w:rPr>
        <w:t>24小时内。</w:t>
      </w:r>
    </w:p>
    <w:p>
      <w:pPr>
        <w:rPr>
          <w:rStyle w:val="37"/>
          <w:rFonts w:ascii="微软雅黑" w:hAnsi="微软雅黑" w:eastAsia="微软雅黑" w:cs="微软雅黑"/>
          <w:sz w:val="32"/>
          <w:szCs w:val="32"/>
        </w:rPr>
      </w:pPr>
    </w:p>
    <w:p>
      <w:pPr>
        <w:pStyle w:val="2"/>
        <w:rPr>
          <w:rStyle w:val="37"/>
          <w:rFonts w:ascii="微软雅黑" w:hAnsi="微软雅黑" w:eastAsia="微软雅黑" w:cs="微软雅黑"/>
          <w:sz w:val="32"/>
          <w:szCs w:val="32"/>
        </w:rPr>
      </w:pPr>
    </w:p>
    <w:p>
      <w:pPr>
        <w:pStyle w:val="2"/>
        <w:rPr>
          <w:rStyle w:val="37"/>
          <w:rFonts w:ascii="微软雅黑" w:hAnsi="微软雅黑" w:eastAsia="微软雅黑" w:cs="微软雅黑"/>
          <w:sz w:val="32"/>
          <w:szCs w:val="32"/>
        </w:rPr>
      </w:pPr>
    </w:p>
    <w:p>
      <w:pPr>
        <w:pStyle w:val="2"/>
        <w:rPr>
          <w:rStyle w:val="37"/>
          <w:rFonts w:ascii="微软雅黑" w:hAnsi="微软雅黑" w:eastAsia="微软雅黑" w:cs="微软雅黑"/>
          <w:sz w:val="32"/>
          <w:szCs w:val="32"/>
        </w:rPr>
      </w:pPr>
    </w:p>
    <w:p>
      <w:pPr>
        <w:jc w:val="center"/>
        <w:outlineLvl w:val="0"/>
        <w:rPr>
          <w:rFonts w:ascii="微软雅黑" w:hAnsi="微软雅黑" w:eastAsia="微软雅黑" w:cs="微软雅黑"/>
          <w:sz w:val="32"/>
          <w:szCs w:val="32"/>
        </w:rPr>
      </w:pPr>
      <w:bookmarkStart w:id="644" w:name="_Toc2090"/>
      <w:r>
        <w:rPr>
          <w:rStyle w:val="37"/>
          <w:rFonts w:hint="eastAsia" w:ascii="微软雅黑" w:hAnsi="微软雅黑" w:eastAsia="微软雅黑" w:cs="微软雅黑"/>
          <w:sz w:val="32"/>
          <w:szCs w:val="32"/>
        </w:rPr>
        <w:t>第6章  评标方法和标准</w:t>
      </w:r>
      <w:bookmarkEnd w:id="633"/>
      <w:bookmarkEnd w:id="634"/>
      <w:bookmarkEnd w:id="635"/>
      <w:bookmarkEnd w:id="636"/>
      <w:bookmarkEnd w:id="637"/>
      <w:bookmarkEnd w:id="638"/>
      <w:bookmarkEnd w:id="639"/>
      <w:bookmarkEnd w:id="640"/>
      <w:bookmarkEnd w:id="644"/>
    </w:p>
    <w:p>
      <w:pPr>
        <w:pStyle w:val="11"/>
        <w:tabs>
          <w:tab w:val="clear" w:pos="567"/>
        </w:tabs>
        <w:spacing w:before="0" w:line="480" w:lineRule="exact"/>
        <w:ind w:firstLine="540" w:firstLineChars="225"/>
        <w:rPr>
          <w:rFonts w:ascii="微软雅黑" w:hAnsi="微软雅黑" w:eastAsia="微软雅黑" w:cs="微软雅黑"/>
        </w:rPr>
      </w:pPr>
      <w:r>
        <w:rPr>
          <w:rFonts w:hint="eastAsia" w:ascii="微软雅黑" w:hAnsi="微软雅黑" w:eastAsia="微软雅黑" w:cs="微软雅黑"/>
        </w:rPr>
        <w:t>本项目将按照招标文件第一章供应商须知中“五 开标及评标”、“六 确定中标”及本章的规定评标。</w:t>
      </w:r>
    </w:p>
    <w:p>
      <w:pPr>
        <w:spacing w:line="480" w:lineRule="exact"/>
        <w:ind w:firstLine="240" w:firstLineChars="100"/>
        <w:jc w:val="left"/>
        <w:rPr>
          <w:rFonts w:ascii="微软雅黑" w:hAnsi="微软雅黑" w:eastAsia="微软雅黑" w:cs="微软雅黑"/>
          <w:b/>
          <w:bCs/>
          <w:sz w:val="24"/>
          <w:szCs w:val="24"/>
        </w:rPr>
      </w:pPr>
      <w:r>
        <w:rPr>
          <w:rFonts w:hint="eastAsia" w:ascii="微软雅黑" w:hAnsi="微软雅黑" w:eastAsia="微软雅黑" w:cs="微软雅黑"/>
          <w:b/>
          <w:bCs/>
          <w:sz w:val="24"/>
          <w:szCs w:val="24"/>
        </w:rPr>
        <w:t>1、落实政府采购政策</w:t>
      </w:r>
    </w:p>
    <w:p>
      <w:pPr>
        <w:widowControl/>
        <w:spacing w:line="48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①根据《政府采购促进中小企业发展管理办法》（财库﹝2020﹞46 号）、《关于落实好政府采购支持中小企业发展的通知》（新财购 〔2022〕22号）、《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sz w:val="24"/>
          <w:szCs w:val="24"/>
          <w:u w:val="single"/>
        </w:rPr>
        <w:t xml:space="preserve">  / </w:t>
      </w:r>
      <w:r>
        <w:rPr>
          <w:rFonts w:hint="eastAsia" w:ascii="微软雅黑" w:hAnsi="微软雅黑" w:eastAsia="微软雅黑" w:cs="微软雅黑"/>
          <w:b/>
          <w:bCs/>
          <w:sz w:val="24"/>
          <w:szCs w:val="24"/>
        </w:rPr>
        <w:t>%后参与评审。对于同时属于小型、微型及小微企业、监狱企业或残疾人福利性单位的，不重复进行报价扣除（本项目属于专门面向中小企业项目，不作价格扣除。）。</w:t>
      </w:r>
    </w:p>
    <w:p>
      <w:pPr>
        <w:pStyle w:val="5"/>
        <w:snapToGrid w:val="0"/>
        <w:spacing w:line="480" w:lineRule="exact"/>
        <w:ind w:firstLine="480" w:firstLineChars="200"/>
        <w:textAlignment w:val="baseline"/>
        <w:rPr>
          <w:rFonts w:ascii="微软雅黑" w:hAnsi="微软雅黑" w:eastAsia="微软雅黑" w:cs="微软雅黑"/>
          <w:b/>
          <w:bCs/>
        </w:rPr>
      </w:pPr>
      <w:r>
        <w:rPr>
          <w:rFonts w:hint="eastAsia" w:ascii="微软雅黑" w:hAnsi="微软雅黑" w:eastAsia="微软雅黑" w:cs="微软雅黑"/>
          <w:b/>
          <w:bCs/>
        </w:rPr>
        <w:t>②联合协议中约定，小型、微型企业和监狱企业的协议合同金额占到联合体协议合同总金额40%以上的，可给予联合体4%～6%的价格扣除。（本项目不适用）</w:t>
      </w:r>
    </w:p>
    <w:p>
      <w:pPr>
        <w:pStyle w:val="5"/>
        <w:snapToGrid w:val="0"/>
        <w:spacing w:line="480" w:lineRule="exact"/>
        <w:ind w:firstLine="0"/>
        <w:textAlignment w:val="baseline"/>
        <w:rPr>
          <w:rFonts w:ascii="微软雅黑" w:hAnsi="微软雅黑" w:eastAsia="微软雅黑" w:cs="微软雅黑"/>
          <w:b/>
          <w:bCs/>
        </w:rPr>
      </w:pPr>
      <w:r>
        <w:rPr>
          <w:rFonts w:hint="eastAsia" w:ascii="微软雅黑" w:hAnsi="微软雅黑" w:eastAsia="微软雅黑" w:cs="微软雅黑"/>
          <w:b/>
          <w:bCs/>
        </w:rPr>
        <w:t>联合体各方均为小型、微型企业和监狱企业的，联合体视同为小型、微型企业和监狱企业。</w:t>
      </w:r>
    </w:p>
    <w:p>
      <w:pPr>
        <w:pStyle w:val="5"/>
        <w:snapToGrid w:val="0"/>
        <w:spacing w:line="480" w:lineRule="exact"/>
        <w:ind w:firstLine="480" w:firstLineChars="200"/>
        <w:textAlignment w:val="baseline"/>
        <w:rPr>
          <w:rFonts w:ascii="微软雅黑" w:hAnsi="微软雅黑" w:eastAsia="微软雅黑" w:cs="微软雅黑"/>
          <w:b/>
          <w:bCs/>
        </w:rPr>
      </w:pPr>
      <w:r>
        <w:rPr>
          <w:rFonts w:hint="eastAsia" w:ascii="微软雅黑" w:hAnsi="微软雅黑" w:eastAsia="微软雅黑" w:cs="微软雅黑"/>
          <w:b/>
          <w:bCs/>
        </w:rPr>
        <w:t>③供应商所投产品如被列入财政部与国家主管部门颁发的节能产品目录或环境标志产品目录或无线局域网产品目录，应提供相关证明，在评标时予以优先采购，具体优惠措施为：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5"/>
        <w:snapToGrid w:val="0"/>
        <w:spacing w:line="480" w:lineRule="exact"/>
        <w:ind w:firstLine="480" w:firstLineChars="200"/>
        <w:textAlignment w:val="baseline"/>
        <w:rPr>
          <w:rFonts w:ascii="微软雅黑" w:hAnsi="微软雅黑" w:eastAsia="微软雅黑" w:cs="微软雅黑"/>
          <w:b/>
          <w:bCs/>
        </w:rPr>
      </w:pPr>
      <w:r>
        <w:rPr>
          <w:rFonts w:hint="eastAsia" w:ascii="微软雅黑" w:hAnsi="微软雅黑" w:eastAsia="微软雅黑" w:cs="微软雅黑"/>
          <w:b/>
          <w:bCs/>
        </w:rPr>
        <w:t>④如采购人所采购产品为政府强制采购的节能产品，供应商所投产品的品牌及型号必须为清单中有效期内产品并提供证明文件，否则其投标将被认定为投标无效。</w:t>
      </w:r>
    </w:p>
    <w:p>
      <w:pPr>
        <w:ind w:firstLine="480" w:firstLineChars="200"/>
      </w:pPr>
      <w:r>
        <w:rPr>
          <w:rFonts w:hint="eastAsia" w:ascii="微软雅黑" w:hAnsi="微软雅黑" w:eastAsia="微软雅黑" w:cs="微软雅黑"/>
          <w:b/>
          <w:bCs/>
          <w:sz w:val="24"/>
          <w:szCs w:val="24"/>
        </w:rPr>
        <w:t>⑤对创新产品或创新型企业的优惠措施为：</w:t>
      </w:r>
      <w:r>
        <w:rPr>
          <w:rFonts w:hint="eastAsia" w:ascii="微软雅黑" w:hAnsi="微软雅黑" w:eastAsia="微软雅黑" w:cs="微软雅黑"/>
          <w:b/>
          <w:bCs/>
          <w:sz w:val="24"/>
          <w:szCs w:val="24"/>
          <w:u w:val="single"/>
        </w:rPr>
        <w:t xml:space="preserve">    / </w:t>
      </w:r>
      <w:r>
        <w:rPr>
          <w:rFonts w:hint="eastAsia" w:ascii="微软雅黑" w:hAnsi="微软雅黑" w:eastAsia="微软雅黑" w:cs="微软雅黑"/>
          <w:sz w:val="24"/>
          <w:szCs w:val="24"/>
          <w:u w:val="single"/>
        </w:rPr>
        <w:t xml:space="preserve">    </w:t>
      </w:r>
    </w:p>
    <w:p>
      <w:pPr>
        <w:snapToGrid w:val="0"/>
        <w:spacing w:line="48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2、 开标</w:t>
      </w:r>
    </w:p>
    <w:p>
      <w:pPr>
        <w:snapToGrid w:val="0"/>
        <w:spacing w:line="480" w:lineRule="exact"/>
        <w:ind w:firstLine="480" w:firstLineChars="200"/>
        <w:rPr>
          <w:rFonts w:ascii="微软雅黑" w:hAnsi="微软雅黑" w:eastAsia="微软雅黑" w:cs="微软雅黑"/>
          <w:b/>
          <w:bCs/>
          <w:sz w:val="24"/>
          <w:szCs w:val="24"/>
        </w:rPr>
      </w:pPr>
      <w:bookmarkStart w:id="645" w:name="_Toc73975822"/>
      <w:r>
        <w:rPr>
          <w:rFonts w:hint="eastAsia" w:ascii="微软雅黑" w:hAnsi="微软雅黑" w:eastAsia="微软雅黑" w:cs="微软雅黑"/>
          <w:b/>
          <w:bCs/>
          <w:sz w:val="24"/>
          <w:szCs w:val="24"/>
        </w:rPr>
        <w:t>2.1开标邀请</w:t>
      </w:r>
      <w:bookmarkEnd w:id="645"/>
    </w:p>
    <w:p>
      <w:pPr>
        <w:pStyle w:val="15"/>
        <w:snapToGrid w:val="0"/>
        <w:spacing w:line="4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（1）开标准备：本项目开标的准备工作由采购组织机构负责落实，开标过程由采购组织机构负责记录；</w:t>
      </w:r>
    </w:p>
    <w:p>
      <w:pPr>
        <w:pStyle w:val="15"/>
        <w:snapToGrid w:val="0"/>
        <w:spacing w:line="480" w:lineRule="exact"/>
        <w:ind w:firstLine="480" w:firstLineChars="200"/>
        <w:rPr>
          <w:rFonts w:ascii="微软雅黑" w:hAnsi="微软雅黑" w:eastAsia="微软雅黑" w:cs="微软雅黑"/>
          <w:bCs/>
          <w:sz w:val="24"/>
          <w:szCs w:val="24"/>
        </w:rPr>
      </w:pPr>
      <w:r>
        <w:rPr>
          <w:rFonts w:hint="eastAsia" w:ascii="微软雅黑" w:hAnsi="微软雅黑" w:eastAsia="微软雅黑" w:cs="微软雅黑"/>
          <w:bCs/>
          <w:sz w:val="24"/>
          <w:szCs w:val="24"/>
        </w:rPr>
        <w:t>（2）开标主持：本项目开标由采购人或者采购代理机构主持；</w:t>
      </w:r>
    </w:p>
    <w:p>
      <w:pPr>
        <w:pStyle w:val="15"/>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（3）开标邀请：本项目采用电子交易，采购组织机构将按照招标文件规定的时间通过“新疆政府采购云平台，网址：</w:t>
      </w:r>
      <w:r>
        <w:fldChar w:fldCharType="begin"/>
      </w:r>
      <w:r>
        <w:instrText xml:space="preserve"> HYPERLINK "http://www.zcygov.cn" </w:instrText>
      </w:r>
      <w:r>
        <w:fldChar w:fldCharType="separate"/>
      </w:r>
      <w:r>
        <w:rPr>
          <w:rStyle w:val="33"/>
          <w:rFonts w:hint="eastAsia" w:ascii="微软雅黑" w:hAnsi="微软雅黑" w:eastAsia="微软雅黑" w:cs="微软雅黑"/>
          <w:color w:val="auto"/>
          <w:sz w:val="24"/>
          <w:szCs w:val="24"/>
          <w:u w:val="none"/>
        </w:rPr>
        <w:t>www.zcygov.cn</w:t>
      </w:r>
      <w:r>
        <w:rPr>
          <w:rStyle w:val="33"/>
          <w:rFonts w:hint="eastAsia" w:ascii="微软雅黑" w:hAnsi="微软雅黑" w:eastAsia="微软雅黑" w:cs="微软雅黑"/>
          <w:color w:val="auto"/>
          <w:sz w:val="24"/>
          <w:szCs w:val="24"/>
          <w:u w:val="none"/>
        </w:rPr>
        <w:fldChar w:fldCharType="end"/>
      </w:r>
      <w:r>
        <w:rPr>
          <w:rFonts w:hint="eastAsia" w:ascii="微软雅黑" w:hAnsi="微软雅黑" w:eastAsia="微软雅黑" w:cs="微软雅黑"/>
          <w:sz w:val="24"/>
          <w:szCs w:val="24"/>
        </w:rPr>
        <w:t>”组织开标、开启投标文件，所有供应商均应当准时在线参加。</w:t>
      </w:r>
    </w:p>
    <w:p>
      <w:pPr>
        <w:pStyle w:val="15"/>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供应商因未在线参加开标而导致投标文件无法按时解密等一切后果由供应商自行承担。</w:t>
      </w:r>
    </w:p>
    <w:p>
      <w:pPr>
        <w:snapToGrid w:val="0"/>
        <w:spacing w:line="480" w:lineRule="exact"/>
        <w:ind w:firstLine="480" w:firstLineChars="200"/>
        <w:rPr>
          <w:rFonts w:ascii="微软雅黑" w:hAnsi="微软雅黑" w:eastAsia="微软雅黑" w:cs="微软雅黑"/>
          <w:b/>
          <w:sz w:val="24"/>
          <w:szCs w:val="24"/>
        </w:rPr>
      </w:pPr>
      <w:bookmarkStart w:id="646" w:name="_Toc32193"/>
      <w:bookmarkStart w:id="647" w:name="_Toc19065"/>
      <w:bookmarkStart w:id="648" w:name="_Toc32017"/>
      <w:bookmarkStart w:id="649" w:name="_Toc21384"/>
      <w:bookmarkStart w:id="650" w:name="_Toc73975823"/>
      <w:bookmarkStart w:id="651" w:name="_Toc27602"/>
      <w:bookmarkStart w:id="652" w:name="_Toc22653"/>
      <w:r>
        <w:rPr>
          <w:rFonts w:hint="eastAsia" w:ascii="微软雅黑" w:hAnsi="微软雅黑" w:eastAsia="微软雅黑" w:cs="微软雅黑"/>
          <w:b/>
          <w:sz w:val="24"/>
          <w:szCs w:val="24"/>
        </w:rPr>
        <w:t>2.2</w:t>
      </w:r>
      <w:r>
        <w:rPr>
          <w:rFonts w:hint="eastAsia" w:ascii="微软雅黑" w:hAnsi="微软雅黑" w:eastAsia="微软雅黑" w:cs="微软雅黑"/>
          <w:b/>
          <w:bCs/>
          <w:sz w:val="24"/>
          <w:szCs w:val="24"/>
        </w:rPr>
        <w:t>开标程序（先资格性、后符合性、最终报价、再商务技术）</w:t>
      </w:r>
      <w:bookmarkEnd w:id="646"/>
      <w:bookmarkEnd w:id="647"/>
      <w:bookmarkEnd w:id="648"/>
      <w:bookmarkEnd w:id="649"/>
      <w:bookmarkEnd w:id="650"/>
      <w:bookmarkEnd w:id="651"/>
      <w:bookmarkEnd w:id="652"/>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（1）开标时间到后，主持人宣布开标会议开始。</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kern w:val="0"/>
          <w:sz w:val="24"/>
          <w:szCs w:val="24"/>
        </w:rPr>
        <w:t>投标文件解密（</w:t>
      </w:r>
      <w:r>
        <w:rPr>
          <w:rFonts w:hint="eastAsia" w:ascii="微软雅黑" w:hAnsi="微软雅黑" w:eastAsia="微软雅黑" w:cs="微软雅黑"/>
          <w:b/>
          <w:kern w:val="0"/>
          <w:sz w:val="24"/>
          <w:szCs w:val="24"/>
        </w:rPr>
        <w:t>解密规定见《供应商须知前附表》</w:t>
      </w:r>
      <w:r>
        <w:rPr>
          <w:rFonts w:hint="eastAsia" w:ascii="微软雅黑" w:hAnsi="微软雅黑" w:eastAsia="微软雅黑" w:cs="微软雅黑"/>
          <w:kern w:val="0"/>
          <w:sz w:val="24"/>
          <w:szCs w:val="24"/>
        </w:rPr>
        <w:t>）</w:t>
      </w:r>
      <w:r>
        <w:rPr>
          <w:rFonts w:hint="eastAsia" w:ascii="微软雅黑" w:hAnsi="微软雅黑" w:eastAsia="微软雅黑" w:cs="微软雅黑"/>
          <w:sz w:val="24"/>
          <w:szCs w:val="24"/>
        </w:rPr>
        <w:t>。</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kern w:val="0"/>
          <w:sz w:val="24"/>
          <w:szCs w:val="24"/>
        </w:rPr>
        <w:t>投标文件解密异常情况处理（</w:t>
      </w:r>
      <w:r>
        <w:rPr>
          <w:rFonts w:hint="eastAsia" w:ascii="微软雅黑" w:hAnsi="微软雅黑" w:eastAsia="微软雅黑" w:cs="微软雅黑"/>
          <w:b/>
          <w:kern w:val="0"/>
          <w:sz w:val="24"/>
          <w:szCs w:val="24"/>
        </w:rPr>
        <w:t>处理办法见《13、</w:t>
      </w:r>
      <w:r>
        <w:rPr>
          <w:rFonts w:hint="eastAsia" w:ascii="微软雅黑" w:hAnsi="微软雅黑" w:eastAsia="微软雅黑" w:cs="微软雅黑"/>
          <w:b/>
          <w:bCs/>
          <w:sz w:val="24"/>
          <w:szCs w:val="24"/>
        </w:rPr>
        <w:t>突发情况处理</w:t>
      </w:r>
      <w:r>
        <w:rPr>
          <w:rFonts w:hint="eastAsia" w:ascii="微软雅黑" w:hAnsi="微软雅黑" w:eastAsia="微软雅黑" w:cs="微软雅黑"/>
          <w:b/>
          <w:kern w:val="0"/>
          <w:sz w:val="24"/>
          <w:szCs w:val="24"/>
        </w:rPr>
        <w:t>》</w:t>
      </w:r>
      <w:r>
        <w:rPr>
          <w:rFonts w:hint="eastAsia" w:ascii="微软雅黑" w:hAnsi="微软雅黑" w:eastAsia="微软雅黑" w:cs="微软雅黑"/>
          <w:kern w:val="0"/>
          <w:sz w:val="24"/>
          <w:szCs w:val="24"/>
        </w:rPr>
        <w:t>）</w:t>
      </w:r>
      <w:r>
        <w:rPr>
          <w:rFonts w:hint="eastAsia" w:ascii="微软雅黑" w:hAnsi="微软雅黑" w:eastAsia="微软雅黑" w:cs="微软雅黑"/>
          <w:sz w:val="24"/>
          <w:szCs w:val="24"/>
        </w:rPr>
        <w:t>。</w:t>
      </w:r>
    </w:p>
    <w:p>
      <w:pPr>
        <w:snapToGrid w:val="0"/>
        <w:spacing w:line="48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（4）公布投标文件解密情况（投标文件成功解密的供应商名单等信息）。</w:t>
      </w:r>
    </w:p>
    <w:p>
      <w:pPr>
        <w:snapToGrid w:val="0"/>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kern w:val="0"/>
          <w:sz w:val="24"/>
          <w:szCs w:val="24"/>
        </w:rPr>
        <w:t>（5）开启标书信息（资格证明文件、商务技术文件）。标书信息开启后，首先由采购人或采购代理机构或评标小组成员依法对供应商的资格证明文件进行审查， 审查结束公布供应商的资格符合情况。资格审查未获通过的供应商，其符合性不再进入评审。</w:t>
      </w:r>
    </w:p>
    <w:p>
      <w:pPr>
        <w:snapToGrid w:val="0"/>
        <w:spacing w:line="480" w:lineRule="exact"/>
        <w:ind w:firstLine="480" w:firstLineChars="200"/>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（6）通过资格性审查的供应商，评标小组成员依法对供应商的符合性证明文件进行审查， 审查结束公布供应商的符合性审查情况。符合性审查未获通过的供应商，其不再进入商务技术评分环节。</w:t>
      </w:r>
    </w:p>
    <w:p>
      <w:pPr>
        <w:snapToGrid w:val="0"/>
        <w:spacing w:line="480" w:lineRule="exact"/>
        <w:ind w:firstLine="480" w:firstLineChars="200"/>
        <w:jc w:val="lef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（7）评标小组成员依法对供应商通过符合性审查投标文件进行商务技术评分。</w:t>
      </w:r>
    </w:p>
    <w:p>
      <w:pPr>
        <w:ind w:firstLine="240" w:firstLineChars="1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（8）商务技术评分结束，评标小组成员根据中小企业政策对供应商进行价格评审；</w:t>
      </w:r>
    </w:p>
    <w:p>
      <w:pPr>
        <w:ind w:firstLine="240" w:firstLineChars="100"/>
      </w:pPr>
      <w:r>
        <w:rPr>
          <w:rFonts w:hint="eastAsia" w:ascii="微软雅黑" w:hAnsi="微软雅黑" w:eastAsia="微软雅黑" w:cs="微软雅黑"/>
          <w:kern w:val="0"/>
          <w:sz w:val="24"/>
          <w:szCs w:val="24"/>
        </w:rPr>
        <w:t>（9）评标小组成员提交推荐供应商。</w:t>
      </w:r>
    </w:p>
    <w:p>
      <w:pPr>
        <w:snapToGrid w:val="0"/>
        <w:spacing w:line="480" w:lineRule="exact"/>
        <w:ind w:left="480"/>
        <w:rPr>
          <w:rFonts w:ascii="微软雅黑" w:hAnsi="微软雅黑" w:eastAsia="微软雅黑" w:cs="微软雅黑"/>
          <w:b/>
          <w:sz w:val="24"/>
          <w:szCs w:val="24"/>
        </w:rPr>
      </w:pPr>
      <w:r>
        <w:rPr>
          <w:rFonts w:hint="eastAsia" w:ascii="微软雅黑" w:hAnsi="微软雅黑" w:eastAsia="微软雅黑" w:cs="微软雅黑"/>
          <w:b/>
          <w:sz w:val="24"/>
          <w:szCs w:val="24"/>
        </w:rPr>
        <w:t>特别情况说明：</w:t>
      </w:r>
    </w:p>
    <w:p>
      <w:pPr>
        <w:snapToGrid w:val="0"/>
        <w:spacing w:line="480" w:lineRule="exact"/>
        <w:ind w:firstLine="425" w:firstLineChars="177"/>
        <w:jc w:val="left"/>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（1）本项目采用电子交易，如遇“新疆政府采购云平台”电子化开标或评标程序调整的，按调整后程序执行。</w:t>
      </w:r>
    </w:p>
    <w:p>
      <w:pPr>
        <w:snapToGrid w:val="0"/>
        <w:spacing w:line="480" w:lineRule="exact"/>
        <w:ind w:firstLine="425" w:firstLineChars="177"/>
        <w:jc w:val="left"/>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kern w:val="0"/>
          <w:sz w:val="24"/>
          <w:szCs w:val="24"/>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kern w:val="0"/>
          <w:sz w:val="24"/>
          <w:szCs w:val="24"/>
        </w:rPr>
        <w:t>。</w:t>
      </w:r>
    </w:p>
    <w:p>
      <w:pPr>
        <w:snapToGrid w:val="0"/>
        <w:spacing w:line="480" w:lineRule="exact"/>
        <w:ind w:firstLine="480" w:firstLineChars="200"/>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2.3 供应商资格审查：</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bCs/>
          <w:kern w:val="0"/>
          <w:sz w:val="24"/>
          <w:szCs w:val="24"/>
        </w:rPr>
        <w:t>开标（标书信息开启）后，采购人或采购代理机构或</w:t>
      </w:r>
      <w:r>
        <w:rPr>
          <w:rFonts w:hint="eastAsia" w:ascii="微软雅黑" w:hAnsi="微软雅黑" w:eastAsia="微软雅黑" w:cs="微软雅黑"/>
          <w:kern w:val="0"/>
          <w:sz w:val="24"/>
          <w:szCs w:val="24"/>
        </w:rPr>
        <w:t>评标小组成员</w:t>
      </w:r>
      <w:r>
        <w:rPr>
          <w:rFonts w:hint="eastAsia" w:ascii="微软雅黑" w:hAnsi="微软雅黑" w:eastAsia="微软雅黑" w:cs="微软雅黑"/>
          <w:bCs/>
          <w:kern w:val="0"/>
          <w:sz w:val="24"/>
          <w:szCs w:val="24"/>
        </w:rPr>
        <w:t>首先依法对供应商的资格文件进行审查，审查各供应商的资格符合情况。</w:t>
      </w:r>
      <w:r>
        <w:rPr>
          <w:rFonts w:hint="eastAsia" w:ascii="微软雅黑" w:hAnsi="微软雅黑" w:eastAsia="微软雅黑" w:cs="微软雅黑"/>
          <w:sz w:val="24"/>
          <w:szCs w:val="24"/>
        </w:rPr>
        <w:t>采购人或采购代理机构</w:t>
      </w:r>
      <w:r>
        <w:rPr>
          <w:rFonts w:hint="eastAsia" w:ascii="微软雅黑" w:hAnsi="微软雅黑" w:eastAsia="微软雅黑" w:cs="微软雅黑"/>
          <w:bCs/>
          <w:kern w:val="0"/>
          <w:sz w:val="24"/>
          <w:szCs w:val="24"/>
        </w:rPr>
        <w:t>或</w:t>
      </w:r>
      <w:r>
        <w:rPr>
          <w:rFonts w:hint="eastAsia" w:ascii="微软雅黑" w:hAnsi="微软雅黑" w:eastAsia="微软雅黑" w:cs="微软雅黑"/>
          <w:kern w:val="0"/>
          <w:sz w:val="24"/>
          <w:szCs w:val="24"/>
        </w:rPr>
        <w:t>评标小组成员</w:t>
      </w:r>
      <w:r>
        <w:rPr>
          <w:rFonts w:hint="eastAsia" w:ascii="微软雅黑" w:hAnsi="微软雅黑" w:eastAsia="微软雅黑" w:cs="微软雅黑"/>
          <w:sz w:val="24"/>
          <w:szCs w:val="24"/>
        </w:rPr>
        <w:t>对供应商所提交的资格证明材料仅负责审核的责任。如发现供应商所提交的资格证明材料不合法或与事实不符，采购人可取消其中标（成交）资格并追究供应商的法律责任。</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bCs/>
          <w:sz w:val="24"/>
          <w:szCs w:val="24"/>
        </w:rPr>
        <w:t>（2</w:t>
      </w:r>
      <w:r>
        <w:rPr>
          <w:rFonts w:hint="eastAsia" w:ascii="微软雅黑" w:hAnsi="微软雅黑" w:eastAsia="微软雅黑" w:cs="微软雅黑"/>
          <w:sz w:val="24"/>
          <w:szCs w:val="24"/>
        </w:rPr>
        <w:t>）供应商提交的资格证明材料无法证明其符合招标文件规定的“供应商资格要求”的，采购人或采购代理机构将对其作“资格审查不合格”处理（无效投标），并不再将其投标提交评标委员会进行后续评审。</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（3）供应商信用记录查询与使用：见《供应商须知前附表》。</w:t>
      </w:r>
    </w:p>
    <w:p>
      <w:pPr>
        <w:snapToGrid w:val="0"/>
        <w:spacing w:line="48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3、评审工作的组织</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采购人或采购代理机构负责组织本项目的评审工作，并依据《政府采购货物和服务招标投标管理办法（财政部第87号令）》第四十五条的相关规定履行职责。</w:t>
      </w:r>
    </w:p>
    <w:p>
      <w:pPr>
        <w:snapToGrid w:val="0"/>
        <w:spacing w:line="48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4、评标委员会的组建</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4.1评标委员会由采购人或采购代理机构依法组建，成员由采购人代表和评标专家组成，成员人数为5人或以上单数，其中评标专家不少于成员总数的三分之二。</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4.2</w:t>
      </w:r>
      <w:r>
        <w:rPr>
          <w:rFonts w:hint="eastAsia" w:ascii="微软雅黑" w:hAnsi="微软雅黑" w:eastAsia="微软雅黑" w:cs="微软雅黑"/>
          <w:b/>
          <w:bCs/>
          <w:sz w:val="24"/>
        </w:rPr>
        <w:t>按照《中华人民共和国政府采购法》《中华人民共和国政府采购法实施条例》及本项目本级和上级财政部门的有关规定依法在政采云平台随机抽取5人，组成评标小组，负责本项目的评标工作</w:t>
      </w:r>
      <w:r>
        <w:rPr>
          <w:rFonts w:hint="eastAsia" w:ascii="微软雅黑" w:hAnsi="微软雅黑" w:eastAsia="微软雅黑" w:cs="微软雅黑"/>
          <w:sz w:val="24"/>
          <w:szCs w:val="24"/>
        </w:rPr>
        <w:t>。</w:t>
      </w:r>
    </w:p>
    <w:p>
      <w:pPr>
        <w:snapToGrid w:val="0"/>
        <w:spacing w:line="48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5、评标委员会的职责</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5.1审查、评价投标文件是否符合招标文件的商务、技术等实质性要求。</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5.2要求供应商对投标文件有关事项作出澄清或者说明。</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5.3对投标文件进行比较和评价。</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5.4确定中标候选人名单，以及根据采购人委托直接确定中标人。</w:t>
      </w:r>
    </w:p>
    <w:p>
      <w:pPr>
        <w:snapToGrid w:val="0"/>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5.5向采购人、采购代理机构或者有关部门报告评标中发现的违法行为。</w:t>
      </w:r>
    </w:p>
    <w:p>
      <w:pPr>
        <w:widowControl/>
        <w:spacing w:line="48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6、评标原则</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6.1评标委员会将遵循公平、公正、科学的原则，对供应商提交的投标文件进行综合评审，评标委员会按照招标文件规定的评标细则进行评分。</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6.2客观公正对待所有供应商，对所有投标评价均采用相同的程序和标准。 </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6.3评标委员会成员对需要共同认定的事项存在争议的，按照少数服从多数的原则作出结论。持不同意见的评标委员会成员应当在评标报告上签署不同意见及理由，否则视为同意评标报告。</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6.4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成交）人推荐资格；评审得分相同的，由采购人或者采购人委托评标委员会按照招标文件规定的方式确定一个供应商获得中标（成交）人推荐资格，招标文件未规定的采取随机抽取方式确定，其他同品牌供应商不作为中标（成交）候选人。</w:t>
      </w:r>
    </w:p>
    <w:p>
      <w:pPr>
        <w:widowControl/>
        <w:spacing w:line="480" w:lineRule="exact"/>
        <w:ind w:firstLine="240" w:firstLineChars="100"/>
        <w:rPr>
          <w:rFonts w:ascii="微软雅黑" w:hAnsi="微软雅黑" w:eastAsia="微软雅黑" w:cs="微软雅黑"/>
          <w:sz w:val="24"/>
          <w:szCs w:val="24"/>
        </w:rPr>
      </w:pPr>
      <w:r>
        <w:rPr>
          <w:rFonts w:hint="eastAsia" w:ascii="微软雅黑" w:hAnsi="微软雅黑" w:eastAsia="微软雅黑" w:cs="微软雅黑"/>
          <w:sz w:val="24"/>
          <w:szCs w:val="24"/>
        </w:rPr>
        <w:t>非单一产品采购项目，采购人应当根据采购项目技术构成、产品价格比重等合理确定核心产品，并在招标文件中载明。多家供应商提供的核心产品品牌相同的，按前款规定处理。</w:t>
      </w:r>
    </w:p>
    <w:p>
      <w:pPr>
        <w:widowControl/>
        <w:spacing w:line="48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7、评委纪律</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7.1评标委员会成员必须严格遵守保密规定，不得携带手机进入评标场所，不得泄露评审的有关情况，任何单位和个人不得干扰、影响评标的正常进行，评标委员会成员不得私下与供应商接触，不得出现新疆政府采购活动现场组织管理办法中规定的其他禁止行为。</w:t>
      </w:r>
    </w:p>
    <w:p>
      <w:pPr>
        <w:spacing w:line="48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7.2评标专家</w:t>
      </w:r>
      <w:r>
        <w:rPr>
          <w:rFonts w:hint="eastAsia" w:ascii="微软雅黑" w:hAnsi="微软雅黑" w:eastAsia="微软雅黑" w:cs="微软雅黑"/>
          <w:b/>
          <w:bCs/>
          <w:kern w:val="0"/>
          <w:sz w:val="24"/>
          <w:szCs w:val="24"/>
        </w:rPr>
        <w:t>与供应商有下列利害关系之一的人员，应当回避</w:t>
      </w:r>
    </w:p>
    <w:p>
      <w:pPr>
        <w:pStyle w:val="82"/>
        <w:spacing w:line="480" w:lineRule="exact"/>
        <w:ind w:firstLine="480"/>
      </w:pPr>
      <w:r>
        <w:rPr>
          <w:rFonts w:hint="eastAsia" w:ascii="微软雅黑" w:hAnsi="微软雅黑" w:eastAsia="微软雅黑" w:cs="微软雅黑"/>
          <w:sz w:val="24"/>
          <w:szCs w:val="24"/>
        </w:rPr>
        <w:t>1）参加采购活动前3年内与供应商存在劳动关系；</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2）参加采购活动前3年内担任供应商的董事、监事；</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3）参加采购活动前3年内是供应商的控股股东或者实际控制人；</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　 4）与供应商的法定代表人或者负责人有夫妻、直系血亲、三代以内旁系血亲或者近姻亲关系。</w:t>
      </w:r>
    </w:p>
    <w:p>
      <w:pPr>
        <w:widowControl/>
        <w:spacing w:line="480" w:lineRule="exact"/>
        <w:ind w:firstLine="480" w:firstLineChars="200"/>
        <w:rPr>
          <w:rFonts w:ascii="微软雅黑" w:hAnsi="微软雅黑" w:eastAsia="微软雅黑" w:cs="微软雅黑"/>
          <w:b/>
          <w:bCs/>
          <w:sz w:val="24"/>
          <w:szCs w:val="24"/>
        </w:rPr>
      </w:pPr>
      <w:r>
        <w:rPr>
          <w:rFonts w:hint="eastAsia" w:ascii="微软雅黑" w:hAnsi="微软雅黑" w:eastAsia="微软雅黑" w:cs="微软雅黑"/>
          <w:b/>
          <w:bCs/>
          <w:sz w:val="24"/>
          <w:szCs w:val="24"/>
        </w:rPr>
        <w:t>8、评标程序</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8.1 在评标专家中推选评标委员会组长，采购人代表不得担任评标委员会组长。</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8.2 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8.3 评标专家对符合资格的供应商的投标文件的有效性、符合性、完整性和响应程度进行审查，确定是否对招标文件作出实质性响应。</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8.4评标专家按招标文件规定的评审方法和评审标准，依法独立对供应商投标文件进行评估、比较，并给予评价或打分，不受任何单位和个人的干预。</w:t>
      </w:r>
    </w:p>
    <w:p>
      <w:pPr>
        <w:widowControl/>
        <w:spacing w:line="480" w:lineRule="exact"/>
        <w:ind w:firstLine="480"/>
        <w:rPr>
          <w:rFonts w:ascii="微软雅黑" w:hAnsi="微软雅黑" w:eastAsia="微软雅黑" w:cs="微软雅黑"/>
          <w:kern w:val="0"/>
          <w:sz w:val="24"/>
          <w:szCs w:val="24"/>
        </w:rPr>
      </w:pPr>
      <w:r>
        <w:rPr>
          <w:rFonts w:hint="eastAsia" w:ascii="微软雅黑" w:hAnsi="微软雅黑" w:eastAsia="微软雅黑" w:cs="微软雅黑"/>
          <w:b/>
          <w:bCs/>
          <w:kern w:val="0"/>
          <w:sz w:val="24"/>
          <w:szCs w:val="24"/>
        </w:rPr>
        <w:t>本项目采用：综合评分法，</w:t>
      </w:r>
      <w:r>
        <w:rPr>
          <w:rFonts w:hint="eastAsia" w:ascii="微软雅黑" w:hAnsi="微软雅黑" w:eastAsia="微软雅黑" w:cs="微软雅黑"/>
          <w:kern w:val="0"/>
          <w:sz w:val="24"/>
          <w:szCs w:val="24"/>
        </w:rPr>
        <w:t>是指投标文件满足招标文件全部实质性要求且按评审因素的量化指标评审得分最高的供应商为成交候选供应商的评审方法。</w:t>
      </w:r>
    </w:p>
    <w:p>
      <w:pPr>
        <w:widowControl/>
        <w:spacing w:line="480" w:lineRule="exact"/>
        <w:ind w:firstLine="48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综合评分法中的价格分统一采用低价优先法计算，即满足招标文件要求且最后报价最低的供应商的价格为招标基准价，其价格分为满分。其他供应商的价格分统一按照下列公式计算：</w:t>
      </w:r>
    </w:p>
    <w:p>
      <w:pPr>
        <w:widowControl/>
        <w:spacing w:line="480" w:lineRule="exact"/>
        <w:ind w:firstLine="48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投标报价得分=（基准价/投标报价）×30%</w:t>
      </w:r>
    </w:p>
    <w:p>
      <w:pPr>
        <w:widowControl/>
        <w:spacing w:line="480" w:lineRule="exact"/>
        <w:ind w:firstLine="480"/>
        <w:rPr>
          <w:rFonts w:ascii="微软雅黑" w:hAnsi="微软雅黑" w:eastAsia="微软雅黑" w:cs="微软雅黑"/>
          <w:sz w:val="24"/>
          <w:szCs w:val="24"/>
        </w:rPr>
      </w:pPr>
      <w:r>
        <w:rPr>
          <w:rFonts w:hint="eastAsia" w:ascii="微软雅黑" w:hAnsi="微软雅黑" w:eastAsia="微软雅黑" w:cs="微软雅黑"/>
          <w:kern w:val="0"/>
          <w:sz w:val="24"/>
          <w:szCs w:val="24"/>
        </w:rPr>
        <w:t>项目评审过程中，不得去掉最后报价中的最高报价和最低报价。</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8.6评标专家对各供应商投标文件非实质性内容有疑义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8.7 评标专家需对采购方工作人员唱票或统计的评审结果进行确认，现场监督员应对评标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8.8 评标委员会根据评审汇总情况和招标文件规定推荐中标（成交）候选供应商排序名单。</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 xml:space="preserve">8.9 起草评标报告，所有评标专家须在评标报告上签字确认，对自己的评审意见承担法律责任。 </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8.10 采购组织机构对评标委员会评标专家进行评价。</w:t>
      </w:r>
    </w:p>
    <w:p>
      <w:pPr>
        <w:widowControl/>
        <w:spacing w:line="480" w:lineRule="exac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8.11修改评审结果</w:t>
      </w:r>
    </w:p>
    <w:p>
      <w:pPr>
        <w:widowControl/>
        <w:spacing w:line="480" w:lineRule="exact"/>
        <w:ind w:firstLine="240" w:firstLineChars="100"/>
        <w:rPr>
          <w:rFonts w:ascii="微软雅黑" w:hAnsi="微软雅黑" w:eastAsia="微软雅黑" w:cs="微软雅黑"/>
          <w:sz w:val="24"/>
          <w:szCs w:val="24"/>
        </w:rPr>
      </w:pPr>
      <w:r>
        <w:rPr>
          <w:rFonts w:hint="eastAsia" w:ascii="微软雅黑" w:hAnsi="微软雅黑" w:eastAsia="微软雅黑" w:cs="微软雅黑"/>
          <w:sz w:val="24"/>
          <w:szCs w:val="24"/>
        </w:rPr>
        <w:t>评标结果汇总完成后，除下列情形外，任何人不得修改评标结果：</w:t>
      </w:r>
    </w:p>
    <w:p>
      <w:pPr>
        <w:widowControl/>
        <w:spacing w:line="480" w:lineRule="exact"/>
        <w:ind w:firstLine="240" w:firstLineChars="100"/>
        <w:rPr>
          <w:rFonts w:ascii="微软雅黑" w:hAnsi="微软雅黑" w:eastAsia="微软雅黑" w:cs="微软雅黑"/>
          <w:sz w:val="24"/>
          <w:szCs w:val="24"/>
        </w:rPr>
      </w:pPr>
      <w:r>
        <w:rPr>
          <w:rFonts w:hint="eastAsia" w:ascii="微软雅黑" w:hAnsi="微软雅黑" w:eastAsia="微软雅黑" w:cs="微软雅黑"/>
          <w:sz w:val="24"/>
          <w:szCs w:val="24"/>
        </w:rPr>
        <w:t>（1）分值汇总计算错误的；</w:t>
      </w:r>
    </w:p>
    <w:p>
      <w:pPr>
        <w:widowControl/>
        <w:spacing w:line="480" w:lineRule="exact"/>
        <w:ind w:firstLine="240" w:firstLineChars="100"/>
        <w:rPr>
          <w:rFonts w:ascii="微软雅黑" w:hAnsi="微软雅黑" w:eastAsia="微软雅黑" w:cs="微软雅黑"/>
          <w:sz w:val="24"/>
          <w:szCs w:val="24"/>
        </w:rPr>
      </w:pPr>
      <w:r>
        <w:rPr>
          <w:rFonts w:hint="eastAsia" w:ascii="微软雅黑" w:hAnsi="微软雅黑" w:eastAsia="微软雅黑" w:cs="微软雅黑"/>
          <w:sz w:val="24"/>
          <w:szCs w:val="24"/>
        </w:rPr>
        <w:t>（2）分项评分超出评分标准范围的；</w:t>
      </w:r>
    </w:p>
    <w:p>
      <w:pPr>
        <w:widowControl/>
        <w:spacing w:line="480" w:lineRule="exact"/>
        <w:ind w:firstLine="240" w:firstLineChars="100"/>
        <w:rPr>
          <w:rFonts w:ascii="微软雅黑" w:hAnsi="微软雅黑" w:eastAsia="微软雅黑" w:cs="微软雅黑"/>
          <w:sz w:val="24"/>
          <w:szCs w:val="24"/>
        </w:rPr>
      </w:pPr>
      <w:r>
        <w:rPr>
          <w:rFonts w:hint="eastAsia" w:ascii="微软雅黑" w:hAnsi="微软雅黑" w:eastAsia="微软雅黑" w:cs="微软雅黑"/>
          <w:sz w:val="24"/>
          <w:szCs w:val="24"/>
        </w:rPr>
        <w:t>（3）评标委员会成员对客观评审因素评分不一致的；</w:t>
      </w:r>
    </w:p>
    <w:p>
      <w:pPr>
        <w:widowControl/>
        <w:spacing w:line="480" w:lineRule="exact"/>
        <w:ind w:firstLine="240" w:firstLineChars="100"/>
        <w:rPr>
          <w:rFonts w:ascii="微软雅黑" w:hAnsi="微软雅黑" w:eastAsia="微软雅黑" w:cs="微软雅黑"/>
          <w:sz w:val="24"/>
          <w:szCs w:val="24"/>
        </w:rPr>
      </w:pPr>
      <w:r>
        <w:rPr>
          <w:rFonts w:hint="eastAsia" w:ascii="微软雅黑" w:hAnsi="微软雅黑" w:eastAsia="微软雅黑" w:cs="微软雅黑"/>
          <w:sz w:val="24"/>
          <w:szCs w:val="24"/>
        </w:rPr>
        <w:t>（4）经评标委员会认定评分畸高、畸低的。</w:t>
      </w:r>
    </w:p>
    <w:p>
      <w:pPr>
        <w:widowControl/>
        <w:spacing w:line="480" w:lineRule="exact"/>
        <w:ind w:firstLine="240" w:firstLineChars="100"/>
        <w:rPr>
          <w:rFonts w:ascii="微软雅黑" w:hAnsi="微软雅黑" w:eastAsia="微软雅黑" w:cs="微软雅黑"/>
          <w:sz w:val="24"/>
          <w:szCs w:val="24"/>
        </w:rPr>
      </w:pPr>
      <w:r>
        <w:rPr>
          <w:rFonts w:hint="eastAsia" w:ascii="微软雅黑" w:hAnsi="微软雅黑" w:eastAsia="微软雅黑" w:cs="微软雅黑"/>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80" w:lineRule="exact"/>
        <w:ind w:firstLine="480" w:firstLineChars="200"/>
        <w:jc w:val="left"/>
        <w:rPr>
          <w:rFonts w:ascii="微软雅黑" w:hAnsi="微软雅黑" w:eastAsia="微软雅黑" w:cs="微软雅黑"/>
          <w:b/>
          <w:bCs/>
          <w:sz w:val="24"/>
          <w:szCs w:val="24"/>
        </w:rPr>
      </w:pPr>
      <w:r>
        <w:rPr>
          <w:rFonts w:hint="eastAsia" w:ascii="微软雅黑" w:hAnsi="微软雅黑" w:eastAsia="微软雅黑" w:cs="微软雅黑"/>
          <w:b/>
          <w:bCs/>
          <w:sz w:val="24"/>
          <w:szCs w:val="24"/>
        </w:rPr>
        <w:t>9、澄清、说明或补正的形式</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9.1对于投标文件中含义不明确、同类问题表述不一致或者有明显文字和计算错误的内容，评标委员会将通过“政府采购云平台”在线询标的方式要求供应商在规定的时间内作出必要的澄清、说明或者补正，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sz w:val="24"/>
          <w:szCs w:val="24"/>
        </w:rPr>
        <w:t>供应商澄清、说明或补正时间为20分钟</w:t>
      </w:r>
      <w:r>
        <w:rPr>
          <w:rFonts w:hint="eastAsia" w:ascii="微软雅黑" w:hAnsi="微软雅黑" w:eastAsia="微软雅黑" w:cs="微软雅黑"/>
          <w:sz w:val="24"/>
          <w:szCs w:val="24"/>
        </w:rPr>
        <w:t>。</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9.2供应商的澄清、说明或者补正应当通过“政府采购云平台”在线答复的方式提交，并加盖公章（电子印章），或者由法定代表人（负责人）或其授权的代表签字。供应商的澄清、说明或者补正不得超出投标文件的范围或者改变投标文件的实质性内容，不接受供应商主动对投标文件的澄清、说明或者补正。</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80" w:lineRule="exact"/>
        <w:ind w:firstLine="480" w:firstLineChars="200"/>
        <w:jc w:val="left"/>
        <w:rPr>
          <w:rFonts w:ascii="微软雅黑" w:hAnsi="微软雅黑" w:eastAsia="微软雅黑" w:cs="微软雅黑"/>
          <w:b/>
          <w:bCs/>
          <w:sz w:val="24"/>
          <w:szCs w:val="24"/>
        </w:rPr>
      </w:pPr>
      <w:r>
        <w:rPr>
          <w:rFonts w:hint="eastAsia" w:ascii="微软雅黑" w:hAnsi="微软雅黑" w:eastAsia="微软雅黑" w:cs="微软雅黑"/>
          <w:b/>
          <w:bCs/>
          <w:sz w:val="24"/>
          <w:szCs w:val="24"/>
        </w:rPr>
        <w:t>10、错误修正的原则</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10.1电子交易平台客户端里开标一览表录入的投标报价或优惠率与扫描上传的报价文件信息不一致的，以扫描上传的报价文件信息为准进行修正。</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10.2投标文件报价出现前后不一致的，除招标文件另有规定外，按照下列规定修正：</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10.3 投标函中表述的内容与报价表中不一致的，以报价表为准；报价表中的内容与报价明细表不一致的，以报价表为准；</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10.4投标文件中的大写金额和小写金额不一致的，以大写金额为准；</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10.5 单价金额小数点或者百分比有明显错位的，以开标一览表的总价为准，并修改单价；</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10.6 总价金额与按单价汇总金额不一致的，以单价金额计算结果为准；</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10.7若用文字表示的数值与用数字表示的数值不一致，以文字表示的数值为准；</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10.8 如有多报（指数量超出招标文件需求）、重报（指同一货物重复报价），其投标总价在评标过程中不予调整，如其中标，其合同价按其投标单价予以调整；</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10.9对不同文字文本投标文件的解释发生异议的，以中文文本为准；</w:t>
      </w:r>
    </w:p>
    <w:p>
      <w:pPr>
        <w:spacing w:line="480" w:lineRule="exact"/>
        <w:ind w:firstLine="240" w:firstLineChars="100"/>
        <w:jc w:val="left"/>
        <w:rPr>
          <w:rFonts w:ascii="微软雅黑" w:hAnsi="微软雅黑" w:eastAsia="微软雅黑" w:cs="微软雅黑"/>
          <w:b/>
          <w:bCs/>
          <w:sz w:val="24"/>
          <w:szCs w:val="24"/>
        </w:rPr>
      </w:pPr>
      <w:r>
        <w:rPr>
          <w:rFonts w:hint="eastAsia" w:ascii="微软雅黑" w:hAnsi="微软雅黑" w:eastAsia="微软雅黑" w:cs="微软雅黑"/>
          <w:sz w:val="24"/>
          <w:szCs w:val="24"/>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微软雅黑" w:hAnsi="微软雅黑" w:eastAsia="微软雅黑" w:cs="微软雅黑"/>
          <w:b/>
          <w:bCs/>
          <w:sz w:val="24"/>
          <w:szCs w:val="24"/>
        </w:rPr>
        <w:t>修正应当采用电子标的形式，并加盖公章（电子印章）。</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b/>
          <w:bCs/>
          <w:sz w:val="24"/>
          <w:szCs w:val="24"/>
        </w:rPr>
        <w:t>11、有下列情形之一的，投标文件按无效标处理：</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11.1 报名的供应商与参加投标的供应商发生实质性变更的且未提供有效证明的；</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11.2供应商提交两份或两份以上内容不同的投标文件，未声明哪一份有效的；</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11.3 投标文件非供应商法定代表人签署的，未提供或提供无效的法定代表人授权书的；</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11.4投标文件内容未按招标文件规定签字或盖章的；</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11.5 投标文件组成漏项或未按规定的格式编制或上传的投标文件内容不全或内容字迹模糊辨认不清的而导致评标活动无法正常进行；</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11.6供应商未按招标文件变更通知更改投标文件的；</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11.7《开标一览表》和《投标分项报价表》内容不完整且不接受修正意见或字迹不能辨认的或未提供的；</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11.8标项投标报价超过招标文件规定的预算金额或最高限价；</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11.9 因供应商原因编制错误造成经评标委员会修正后的报价达到或超过投标报价的0.5%；</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11.10供应商的报价明显低于其他通过符合性审查供应商的报价，有可能影响产品质量或者不能诚信履约的，且在规定时间内不能合理说明原因并提供证明材料的；</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11.11 未实质性响应招标文件中条款要求的投标文件；</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11.12 不符合招标范围、技术规格、技术标准的要求无法满足采购人使用要求；</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11.13 投标文件附有采购人不能接受的条款；</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11.14 投标文件中提供了赠品或者与本项目采购无关的其他商品、服务；</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11.15投标文件中承诺的投标有效期少于招标文件中载明的投标有效期；</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11.16供应商串通投标，妨碍其他供应商的竞争行为，损害采购人或者其他供应商的合法权益；</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11.17违反国家及政府部门相关法律、法规、文件规定或经评标委员会认定的其他属于重大偏离；</w:t>
      </w:r>
    </w:p>
    <w:p>
      <w:pPr>
        <w:spacing w:line="480" w:lineRule="exact"/>
        <w:ind w:firstLine="480" w:firstLineChars="200"/>
        <w:jc w:val="left"/>
        <w:rPr>
          <w:rFonts w:ascii="微软雅黑" w:hAnsi="微软雅黑" w:eastAsia="微软雅黑" w:cs="微软雅黑"/>
          <w:b/>
          <w:bCs/>
          <w:sz w:val="24"/>
          <w:szCs w:val="24"/>
        </w:rPr>
      </w:pPr>
      <w:r>
        <w:rPr>
          <w:rFonts w:hint="eastAsia" w:ascii="微软雅黑" w:hAnsi="微软雅黑" w:eastAsia="微软雅黑" w:cs="微软雅黑"/>
          <w:b/>
          <w:bCs/>
          <w:sz w:val="24"/>
          <w:szCs w:val="24"/>
        </w:rPr>
        <w:t>12、废标</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12.1 符合招标文件规定废标情形的；</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12.2出现影响采购公正的违法、违规行为的；</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12.3供应商的报价均超过了采购预算（或最高限价），采购人不能支付的；</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12.4因重大变故，采购任务取消的。</w:t>
      </w:r>
    </w:p>
    <w:p>
      <w:pPr>
        <w:spacing w:line="480" w:lineRule="exact"/>
        <w:ind w:firstLine="480" w:firstLineChars="200"/>
        <w:jc w:val="left"/>
        <w:rPr>
          <w:rFonts w:ascii="微软雅黑" w:hAnsi="微软雅黑" w:eastAsia="微软雅黑" w:cs="微软雅黑"/>
          <w:b/>
          <w:bCs/>
          <w:sz w:val="24"/>
          <w:szCs w:val="24"/>
        </w:rPr>
      </w:pPr>
      <w:r>
        <w:rPr>
          <w:rFonts w:hint="eastAsia" w:ascii="微软雅黑" w:hAnsi="微软雅黑" w:eastAsia="微软雅黑" w:cs="微软雅黑"/>
          <w:b/>
          <w:bCs/>
          <w:sz w:val="24"/>
          <w:szCs w:val="24"/>
        </w:rPr>
        <w:t>13、突发情况处理</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13.1 采购过程中出现以下情形，导致电子交易平台无法正常运行，或者无法保证电子交易的公平、公正和安全时，采购组织机构可中止电子交易活动：</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（1）电子交易平台发生故障而无法登录访问的； </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（2）电子交易平台应用或数据库出现错误，不能进行正常操作的；</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（3）电子交易平台发现严重安全漏洞，有潜在泄密危险的；</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（4）病毒发作导致不能进行正常操作的； </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（5）其他无法保证电子交易的公平、公正和安全的情况。</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13.2 采购代理机构或评标小组成员因不可抗力（不可抗力包括但不限于自然灾害、断电、传播疫病等）原因造成电子交易活动无法正常运行的，将采取以下措施：</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（1）短时间内能消除不可抗力因素的，采购代理机构或评标小组成员在消除不可抗力因素后继续组织电子交易活动； </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（2）长时间内无法消除不可抗力因素的，采购代理机构或评标小组成员将中止电子交易活动。中止电子交易活动的，采购人应当重新组织政府采购活动。</w:t>
      </w:r>
    </w:p>
    <w:p>
      <w:pPr>
        <w:pStyle w:val="11"/>
        <w:snapToGrid w:val="0"/>
        <w:spacing w:before="0" w:line="480" w:lineRule="exact"/>
        <w:ind w:firstLine="480" w:firstLineChars="200"/>
        <w:textAlignment w:val="baseline"/>
        <w:rPr>
          <w:rFonts w:ascii="微软雅黑" w:hAnsi="微软雅黑" w:eastAsia="微软雅黑" w:cs="微软雅黑"/>
          <w:b/>
          <w:bCs/>
        </w:rPr>
      </w:pPr>
      <w:r>
        <w:rPr>
          <w:rFonts w:hint="eastAsia" w:ascii="微软雅黑" w:hAnsi="微软雅黑" w:eastAsia="微软雅黑" w:cs="微软雅黑"/>
          <w:b/>
          <w:bCs/>
        </w:rPr>
        <w:t>14.保密要求：</w:t>
      </w:r>
    </w:p>
    <w:p>
      <w:pPr>
        <w:widowControl/>
        <w:spacing w:line="480" w:lineRule="exact"/>
        <w:ind w:firstLine="240" w:firstLineChars="1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采购人、采购代理机构确保评标活动在严格保密的情况下进行。在采购结果确定前，采购人、采购代理机构对评标专家名单保密。</w:t>
      </w:r>
      <w:r>
        <w:rPr>
          <w:rFonts w:hint="eastAsia" w:ascii="微软雅黑" w:hAnsi="微软雅黑" w:eastAsia="微软雅黑" w:cs="微软雅黑"/>
          <w:sz w:val="24"/>
          <w:szCs w:val="24"/>
        </w:rPr>
        <w:t>与评审工作无关的人员不得进入现场</w:t>
      </w:r>
      <w:r>
        <w:rPr>
          <w:rFonts w:hint="eastAsia" w:ascii="微软雅黑" w:hAnsi="微软雅黑" w:eastAsia="微软雅黑" w:cs="微软雅黑"/>
          <w:kern w:val="0"/>
          <w:sz w:val="24"/>
          <w:szCs w:val="24"/>
        </w:rPr>
        <w:t>。有关人员须对评审情况以及在评审过程中获悉的国家秘密、商业秘密负有保密责任。</w:t>
      </w:r>
    </w:p>
    <w:p>
      <w:pPr>
        <w:snapToGrid w:val="0"/>
        <w:spacing w:line="480" w:lineRule="exact"/>
        <w:ind w:firstLine="421"/>
        <w:rPr>
          <w:rFonts w:ascii="微软雅黑" w:hAnsi="微软雅黑" w:eastAsia="微软雅黑" w:cs="微软雅黑"/>
          <w:b/>
          <w:sz w:val="24"/>
          <w:szCs w:val="24"/>
        </w:rPr>
      </w:pPr>
      <w:r>
        <w:rPr>
          <w:rFonts w:hint="eastAsia" w:ascii="微软雅黑" w:hAnsi="微软雅黑" w:eastAsia="微软雅黑" w:cs="微软雅黑"/>
          <w:b/>
          <w:sz w:val="24"/>
          <w:szCs w:val="24"/>
        </w:rPr>
        <w:t>15、 定标</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  15.1采购结果确认（确定中标（成交）供应商）</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采购结果确认（确定中标（成交）供应商）：本项目由采购人根据评标专家提交的《评标报告》，通过“政府采购云平台”依法确认采购结果、确定中标（成交）供应商。具体流程如下：</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（1）采购代理机构将在评审结束后2个工作日内将评标报告送采购人，同时在政采云平台提交采购结果至采购人确认。</w:t>
      </w:r>
    </w:p>
    <w:p>
      <w:pPr>
        <w:spacing w:line="480" w:lineRule="exact"/>
        <w:ind w:firstLine="240" w:firstLineChars="100"/>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2）采购人将在收到评标报告之日起5个工作日内，在评标报告推荐的中标（成交）候选供应商名单中按顺序确定中标（成交）供应商，并将确认意见以书面形式回复采购代理机构，同时在政采云平台线上确认采购结果。 </w:t>
      </w:r>
    </w:p>
    <w:p>
      <w:pPr>
        <w:spacing w:line="480" w:lineRule="exact"/>
        <w:ind w:firstLine="480" w:firstLineChars="200"/>
        <w:jc w:val="left"/>
        <w:rPr>
          <w:rFonts w:ascii="微软雅黑" w:hAnsi="微软雅黑" w:eastAsia="微软雅黑" w:cs="微软雅黑"/>
          <w:b/>
          <w:bCs/>
          <w:sz w:val="24"/>
          <w:szCs w:val="24"/>
        </w:rPr>
      </w:pPr>
      <w:r>
        <w:rPr>
          <w:rFonts w:hint="eastAsia" w:ascii="微软雅黑" w:hAnsi="微软雅黑" w:eastAsia="微软雅黑" w:cs="微软雅黑"/>
          <w:sz w:val="24"/>
          <w:szCs w:val="24"/>
        </w:rPr>
        <w:t>15.2采购结果经采购人确认后2个工作日内，采购代理机构将在</w:t>
      </w:r>
      <w:r>
        <w:rPr>
          <w:rFonts w:hint="eastAsia" w:ascii="微软雅黑" w:hAnsi="微软雅黑" w:eastAsia="微软雅黑" w:cs="微软雅黑"/>
          <w:b/>
          <w:bCs/>
          <w:sz w:val="24"/>
          <w:szCs w:val="24"/>
        </w:rPr>
        <w:t>新疆政府采购网（www.zjzfcg.gov.cn）上公示采购结果，中标（成交）公示期限为1个工作日。</w:t>
      </w:r>
    </w:p>
    <w:p>
      <w:pPr>
        <w:spacing w:line="480" w:lineRule="exact"/>
        <w:ind w:firstLine="480" w:firstLineChars="200"/>
        <w:jc w:val="left"/>
        <w:rPr>
          <w:rFonts w:ascii="微软雅黑" w:hAnsi="微软雅黑" w:eastAsia="微软雅黑" w:cs="微软雅黑"/>
          <w:b/>
          <w:bCs/>
          <w:sz w:val="24"/>
          <w:szCs w:val="24"/>
        </w:rPr>
      </w:pPr>
      <w:r>
        <w:rPr>
          <w:rFonts w:hint="eastAsia" w:ascii="微软雅黑" w:hAnsi="微软雅黑" w:eastAsia="微软雅黑" w:cs="微软雅黑"/>
          <w:b/>
          <w:bCs/>
          <w:sz w:val="24"/>
          <w:szCs w:val="24"/>
        </w:rPr>
        <w:t>16、 中标（成交）通知书</w:t>
      </w:r>
    </w:p>
    <w:p>
      <w:pPr>
        <w:spacing w:line="480" w:lineRule="exact"/>
        <w:ind w:firstLine="480" w:firstLineChars="200"/>
        <w:jc w:val="left"/>
        <w:rPr>
          <w:rFonts w:ascii="微软雅黑" w:hAnsi="微软雅黑" w:eastAsia="微软雅黑" w:cs="微软雅黑"/>
          <w:sz w:val="24"/>
          <w:szCs w:val="24"/>
        </w:rPr>
      </w:pPr>
      <w:r>
        <w:rPr>
          <w:rFonts w:hint="eastAsia" w:ascii="微软雅黑" w:hAnsi="微软雅黑" w:eastAsia="微软雅黑" w:cs="微软雅黑"/>
          <w:sz w:val="24"/>
          <w:szCs w:val="24"/>
        </w:rPr>
        <w:t>16.1在中标（成交）通知书发出前，采购人将中标（成交）供应商的情况在新疆政府采购网予以公示，</w:t>
      </w:r>
      <w:r>
        <w:rPr>
          <w:rFonts w:hint="eastAsia" w:ascii="微软雅黑" w:hAnsi="微软雅黑" w:eastAsia="微软雅黑" w:cs="微软雅黑"/>
          <w:b/>
          <w:bCs/>
          <w:sz w:val="24"/>
          <w:szCs w:val="24"/>
        </w:rPr>
        <w:t>公示期为一个工作日。待公示期结束后，</w:t>
      </w:r>
      <w:r>
        <w:rPr>
          <w:rFonts w:hint="eastAsia" w:ascii="微软雅黑" w:hAnsi="微软雅黑" w:eastAsia="微软雅黑" w:cs="微软雅黑"/>
          <w:sz w:val="24"/>
          <w:szCs w:val="24"/>
        </w:rPr>
        <w:t>采购组织机构向中标（成交）供应商发出中标（成交）通知书。</w:t>
      </w:r>
    </w:p>
    <w:p>
      <w:pPr>
        <w:pStyle w:val="5"/>
        <w:snapToGrid w:val="0"/>
        <w:spacing w:line="480" w:lineRule="exact"/>
        <w:ind w:firstLine="480" w:firstLineChars="200"/>
        <w:textAlignment w:val="baseline"/>
        <w:rPr>
          <w:rFonts w:ascii="微软雅黑" w:hAnsi="微软雅黑" w:eastAsia="微软雅黑" w:cs="微软雅黑"/>
          <w:kern w:val="2"/>
        </w:rPr>
      </w:pPr>
      <w:r>
        <w:rPr>
          <w:rFonts w:hint="eastAsia" w:ascii="微软雅黑" w:hAnsi="微软雅黑" w:eastAsia="微软雅黑" w:cs="微软雅黑"/>
          <w:kern w:val="2"/>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pPr>
        <w:pStyle w:val="26"/>
        <w:spacing w:line="480" w:lineRule="exact"/>
        <w:rPr>
          <w:rFonts w:ascii="微软雅黑" w:hAnsi="微软雅黑" w:eastAsia="微软雅黑" w:cs="微软雅黑"/>
          <w:b/>
          <w:bCs/>
          <w:kern w:val="2"/>
        </w:rPr>
      </w:pPr>
      <w:r>
        <w:rPr>
          <w:rFonts w:hint="eastAsia" w:ascii="微软雅黑" w:hAnsi="微软雅黑" w:eastAsia="微软雅黑" w:cs="微软雅黑"/>
          <w:b/>
          <w:bCs/>
          <w:kern w:val="2"/>
        </w:rPr>
        <w:t>17、评标专家推荐成交供应商的数量</w:t>
      </w:r>
      <w:r>
        <w:rPr>
          <w:rFonts w:hint="eastAsia" w:ascii="微软雅黑" w:hAnsi="微软雅黑" w:eastAsia="微软雅黑" w:cs="微软雅黑"/>
          <w:b/>
          <w:bCs/>
          <w:kern w:val="2"/>
          <w:u w:val="single"/>
        </w:rPr>
        <w:t>：3</w:t>
      </w:r>
      <w:r>
        <w:rPr>
          <w:rFonts w:hint="eastAsia" w:ascii="微软雅黑" w:hAnsi="微软雅黑" w:eastAsia="微软雅黑" w:cs="微软雅黑"/>
          <w:b/>
          <w:bCs/>
          <w:kern w:val="2"/>
        </w:rPr>
        <w:t xml:space="preserve">。 </w:t>
      </w:r>
    </w:p>
    <w:p>
      <w:pPr>
        <w:rPr>
          <w:rFonts w:ascii="微软雅黑" w:hAnsi="微软雅黑" w:eastAsia="微软雅黑" w:cs="微软雅黑"/>
          <w:sz w:val="24"/>
          <w:szCs w:val="24"/>
        </w:rPr>
      </w:pPr>
    </w:p>
    <w:p>
      <w:pPr>
        <w:rPr>
          <w:rFonts w:ascii="微软雅黑" w:hAnsi="微软雅黑" w:eastAsia="微软雅黑" w:cs="微软雅黑"/>
          <w:sz w:val="24"/>
          <w:szCs w:val="24"/>
        </w:rPr>
      </w:pPr>
    </w:p>
    <w:p>
      <w:pPr>
        <w:rPr>
          <w:rFonts w:ascii="微软雅黑" w:hAnsi="微软雅黑" w:eastAsia="微软雅黑" w:cs="微软雅黑"/>
          <w:sz w:val="24"/>
          <w:szCs w:val="24"/>
        </w:rPr>
      </w:pPr>
    </w:p>
    <w:p>
      <w:pPr>
        <w:pStyle w:val="5"/>
        <w:rPr>
          <w:rFonts w:ascii="微软雅黑" w:hAnsi="微软雅黑" w:eastAsia="微软雅黑" w:cs="微软雅黑"/>
        </w:rPr>
      </w:pPr>
    </w:p>
    <w:p>
      <w:pPr>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9"/>
        <w:rPr>
          <w:rFonts w:ascii="微软雅黑" w:hAnsi="微软雅黑" w:eastAsia="微软雅黑" w:cs="微软雅黑"/>
        </w:rPr>
      </w:pPr>
    </w:p>
    <w:p>
      <w:pPr>
        <w:rPr>
          <w:rFonts w:ascii="微软雅黑" w:hAnsi="微软雅黑" w:eastAsia="微软雅黑" w:cs="微软雅黑"/>
          <w:sz w:val="24"/>
          <w:szCs w:val="24"/>
        </w:rPr>
      </w:pPr>
    </w:p>
    <w:p>
      <w:pPr>
        <w:pStyle w:val="5"/>
        <w:rPr>
          <w:rFonts w:ascii="微软雅黑" w:hAnsi="微软雅黑" w:eastAsia="微软雅黑" w:cs="微软雅黑"/>
        </w:rPr>
      </w:pPr>
    </w:p>
    <w:p>
      <w:pPr>
        <w:pStyle w:val="9"/>
        <w:rPr>
          <w:rFonts w:ascii="微软雅黑" w:hAnsi="微软雅黑" w:eastAsia="微软雅黑" w:cs="微软雅黑"/>
        </w:rPr>
      </w:pPr>
    </w:p>
    <w:p>
      <w:pPr>
        <w:rPr>
          <w:rFonts w:ascii="微软雅黑" w:hAnsi="微软雅黑" w:eastAsia="微软雅黑" w:cs="微软雅黑"/>
          <w:sz w:val="24"/>
          <w:szCs w:val="24"/>
        </w:rPr>
      </w:pPr>
    </w:p>
    <w:p>
      <w:pPr>
        <w:pStyle w:val="5"/>
        <w:rPr>
          <w:rFonts w:ascii="微软雅黑" w:hAnsi="微软雅黑" w:eastAsia="微软雅黑" w:cs="微软雅黑"/>
        </w:rPr>
      </w:pPr>
    </w:p>
    <w:p>
      <w:pPr>
        <w:pStyle w:val="9"/>
        <w:rPr>
          <w:rFonts w:ascii="微软雅黑" w:hAnsi="微软雅黑" w:eastAsia="微软雅黑" w:cs="微软雅黑"/>
        </w:rPr>
      </w:pPr>
    </w:p>
    <w:p>
      <w:pPr>
        <w:rPr>
          <w:rFonts w:ascii="微软雅黑" w:hAnsi="微软雅黑" w:eastAsia="微软雅黑" w:cs="微软雅黑"/>
          <w:sz w:val="24"/>
          <w:szCs w:val="24"/>
        </w:rPr>
      </w:pPr>
    </w:p>
    <w:p>
      <w:pPr>
        <w:pStyle w:val="5"/>
      </w:pPr>
    </w:p>
    <w:p>
      <w:pPr>
        <w:rPr>
          <w:rFonts w:ascii="微软雅黑" w:hAnsi="微软雅黑" w:eastAsia="微软雅黑" w:cs="微软雅黑"/>
          <w:sz w:val="24"/>
          <w:szCs w:val="24"/>
        </w:rPr>
      </w:pPr>
    </w:p>
    <w:p>
      <w:pPr>
        <w:rPr>
          <w:rFonts w:ascii="微软雅黑" w:hAnsi="微软雅黑" w:eastAsia="微软雅黑" w:cs="微软雅黑"/>
          <w:sz w:val="24"/>
          <w:szCs w:val="24"/>
        </w:rPr>
      </w:pPr>
    </w:p>
    <w:p>
      <w:pPr>
        <w:rPr>
          <w:rFonts w:ascii="微软雅黑" w:hAnsi="微软雅黑" w:eastAsia="微软雅黑" w:cs="微软雅黑"/>
          <w:sz w:val="24"/>
          <w:szCs w:val="24"/>
        </w:rPr>
      </w:pPr>
    </w:p>
    <w:p/>
    <w:p>
      <w:pPr>
        <w:jc w:val="both"/>
        <w:rPr>
          <w:rFonts w:ascii="微软雅黑" w:hAnsi="微软雅黑" w:eastAsia="微软雅黑" w:cs="微软雅黑"/>
          <w:b/>
          <w:bCs/>
          <w:sz w:val="22"/>
          <w:szCs w:val="22"/>
        </w:rPr>
      </w:pPr>
      <w:bookmarkStart w:id="653" w:name="_Toc32167"/>
      <w:bookmarkStart w:id="654" w:name="_Toc3470"/>
      <w:bookmarkStart w:id="655" w:name="_Toc18687"/>
      <w:bookmarkStart w:id="656" w:name="_Toc12716"/>
      <w:bookmarkStart w:id="657" w:name="_Toc22779"/>
      <w:bookmarkStart w:id="658" w:name="_Toc14552"/>
      <w:bookmarkStart w:id="659" w:name="_Toc27829"/>
      <w:bookmarkStart w:id="660" w:name="_Toc15389"/>
      <w:bookmarkStart w:id="661" w:name="_Toc25776"/>
      <w:bookmarkStart w:id="662" w:name="_Toc1545"/>
      <w:bookmarkStart w:id="663" w:name="_Toc18194"/>
      <w:bookmarkStart w:id="664" w:name="_Toc1126"/>
      <w:bookmarkStart w:id="665" w:name="_Toc13647"/>
      <w:bookmarkStart w:id="666" w:name="_Toc28942"/>
      <w:bookmarkStart w:id="667" w:name="_Toc7251"/>
      <w:bookmarkStart w:id="668" w:name="_Toc25224"/>
      <w:bookmarkStart w:id="669" w:name="_Toc13711"/>
      <w:bookmarkStart w:id="670" w:name="_Toc26572"/>
      <w:bookmarkStart w:id="671" w:name="_Toc21250"/>
      <w:bookmarkStart w:id="672" w:name="_Toc12438"/>
      <w:bookmarkStart w:id="673" w:name="_Toc19633"/>
    </w:p>
    <w:p>
      <w:pPr>
        <w:jc w:val="center"/>
        <w:outlineLvl w:val="1"/>
        <w:rPr>
          <w:rFonts w:ascii="微软雅黑" w:hAnsi="微软雅黑" w:eastAsia="微软雅黑" w:cs="微软雅黑"/>
          <w:b/>
          <w:bCs/>
          <w:sz w:val="22"/>
          <w:szCs w:val="22"/>
        </w:rPr>
      </w:pPr>
      <w:bookmarkStart w:id="674" w:name="_Toc23365"/>
      <w:r>
        <w:rPr>
          <w:rFonts w:hint="eastAsia" w:ascii="微软雅黑" w:hAnsi="微软雅黑" w:eastAsia="微软雅黑" w:cs="微软雅黑"/>
          <w:b/>
          <w:bCs/>
          <w:sz w:val="22"/>
          <w:szCs w:val="22"/>
        </w:rPr>
        <w:t>初步评审—资格性审查表</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tbl>
      <w:tblPr>
        <w:tblStyle w:val="28"/>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pPr>
              <w:rPr>
                <w:rFonts w:ascii="微软雅黑" w:hAnsi="微软雅黑" w:eastAsia="微软雅黑" w:cs="微软雅黑"/>
                <w:b/>
                <w:bCs/>
                <w:sz w:val="22"/>
                <w:szCs w:val="22"/>
              </w:rPr>
            </w:pPr>
            <w:r>
              <w:rPr>
                <w:rFonts w:hint="eastAsia" w:ascii="微软雅黑" w:hAnsi="微软雅黑" w:eastAsia="微软雅黑" w:cs="微软雅黑"/>
                <w:b/>
                <w:bCs/>
                <w:sz w:val="22"/>
                <w:szCs w:val="22"/>
              </w:rPr>
              <w:t>序号</w:t>
            </w:r>
          </w:p>
        </w:tc>
        <w:tc>
          <w:tcPr>
            <w:tcW w:w="6534" w:type="dxa"/>
            <w:vMerge w:val="restart"/>
            <w:vAlign w:val="center"/>
          </w:tcPr>
          <w:p>
            <w:pPr>
              <w:rPr>
                <w:rFonts w:ascii="微软雅黑" w:hAnsi="微软雅黑" w:eastAsia="微软雅黑" w:cs="微软雅黑"/>
                <w:b/>
                <w:bCs/>
                <w:sz w:val="22"/>
                <w:szCs w:val="22"/>
              </w:rPr>
            </w:pPr>
            <w:r>
              <w:rPr>
                <w:rFonts w:hint="eastAsia" w:ascii="微软雅黑" w:hAnsi="微软雅黑" w:eastAsia="微软雅黑" w:cs="微软雅黑"/>
                <w:b/>
                <w:bCs/>
                <w:sz w:val="22"/>
                <w:szCs w:val="22"/>
              </w:rPr>
              <w:t>评审内容</w:t>
            </w:r>
          </w:p>
        </w:tc>
        <w:tc>
          <w:tcPr>
            <w:tcW w:w="2533" w:type="dxa"/>
            <w:gridSpan w:val="3"/>
            <w:vAlign w:val="center"/>
          </w:tcPr>
          <w:p>
            <w:pPr>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pPr>
              <w:rPr>
                <w:rFonts w:ascii="微软雅黑" w:hAnsi="微软雅黑" w:eastAsia="微软雅黑" w:cs="微软雅黑"/>
                <w:b/>
                <w:bCs/>
                <w:sz w:val="22"/>
                <w:szCs w:val="22"/>
              </w:rPr>
            </w:pPr>
          </w:p>
        </w:tc>
        <w:tc>
          <w:tcPr>
            <w:tcW w:w="6534" w:type="dxa"/>
            <w:vMerge w:val="continue"/>
            <w:vAlign w:val="center"/>
          </w:tcPr>
          <w:p>
            <w:pPr>
              <w:rPr>
                <w:rFonts w:ascii="微软雅黑" w:hAnsi="微软雅黑" w:eastAsia="微软雅黑" w:cs="微软雅黑"/>
                <w:b/>
                <w:bCs/>
                <w:sz w:val="22"/>
                <w:szCs w:val="22"/>
              </w:rPr>
            </w:pPr>
          </w:p>
        </w:tc>
        <w:tc>
          <w:tcPr>
            <w:tcW w:w="883" w:type="dxa"/>
            <w:vAlign w:val="center"/>
          </w:tcPr>
          <w:p>
            <w:pPr>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是否</w:t>
            </w:r>
          </w:p>
          <w:p>
            <w:pPr>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合格</w:t>
            </w:r>
          </w:p>
        </w:tc>
        <w:tc>
          <w:tcPr>
            <w:tcW w:w="833" w:type="dxa"/>
            <w:vAlign w:val="center"/>
          </w:tcPr>
          <w:p>
            <w:pPr>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是否</w:t>
            </w:r>
          </w:p>
          <w:p>
            <w:pPr>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合格</w:t>
            </w:r>
          </w:p>
        </w:tc>
        <w:tc>
          <w:tcPr>
            <w:tcW w:w="817" w:type="dxa"/>
            <w:vAlign w:val="center"/>
          </w:tcPr>
          <w:p>
            <w:pPr>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是否</w:t>
            </w:r>
          </w:p>
          <w:p>
            <w:pPr>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1</w:t>
            </w:r>
          </w:p>
        </w:tc>
        <w:tc>
          <w:tcPr>
            <w:tcW w:w="6534"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具有独立承担民事责任的能力；（投标时，提供在中华人民共和国境内注册的法人或其他组织的营业执照或事业单位法人证书或社会团体法人登记证书）；</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2</w:t>
            </w:r>
          </w:p>
        </w:tc>
        <w:tc>
          <w:tcPr>
            <w:tcW w:w="6534" w:type="dxa"/>
            <w:vAlign w:val="center"/>
          </w:tcPr>
          <w:p>
            <w:pPr>
              <w:pStyle w:val="24"/>
              <w:widowControl/>
              <w:spacing w:before="75" w:beforeAutospacing="0" w:after="75" w:afterAutospacing="0" w:line="380" w:lineRule="exact"/>
              <w:rPr>
                <w:rFonts w:ascii="微软雅黑" w:hAnsi="微软雅黑" w:eastAsia="微软雅黑" w:cs="微软雅黑"/>
                <w:sz w:val="22"/>
                <w:szCs w:val="22"/>
              </w:rPr>
            </w:pPr>
            <w:r>
              <w:rPr>
                <w:rFonts w:hint="eastAsia" w:ascii="微软雅黑" w:hAnsi="微软雅黑" w:eastAsia="微软雅黑" w:cs="微软雅黑"/>
                <w:lang w:eastAsia="zh-CN"/>
              </w:rPr>
              <w:t>具有有效的</w:t>
            </w:r>
            <w:r>
              <w:rPr>
                <w:rFonts w:hint="eastAsia" w:ascii="微软雅黑" w:hAnsi="微软雅黑" w:eastAsia="微软雅黑" w:cs="微软雅黑"/>
              </w:rPr>
              <w:t>《药品生产许可证》或《药品经营许可证》。</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3</w:t>
            </w:r>
          </w:p>
        </w:tc>
        <w:tc>
          <w:tcPr>
            <w:tcW w:w="6534"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供法定代表人资格证明及授权书、被授权人身份证；(法定代表人投标需提供法定代表人身份证)；</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4</w:t>
            </w:r>
          </w:p>
        </w:tc>
        <w:tc>
          <w:tcPr>
            <w:tcW w:w="6534"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本单位依法缴纳的近3个月内任意一个月的社会保险的凭据；</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5</w:t>
            </w:r>
          </w:p>
        </w:tc>
        <w:tc>
          <w:tcPr>
            <w:tcW w:w="6534"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税务部门出具的近3个月内人任意一个月的完税证明（依法免缴的应提供依法免缴的相关证明文件或零申报报表）；</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6</w:t>
            </w:r>
          </w:p>
        </w:tc>
        <w:tc>
          <w:tcPr>
            <w:tcW w:w="6534"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提供近两年任意一年完整的财务审计报告（成立不满一年的可提供近一个月的银行资信证明）；</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7</w:t>
            </w:r>
          </w:p>
        </w:tc>
        <w:tc>
          <w:tcPr>
            <w:tcW w:w="6534"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参与政府采购活动前3年内未被列入失信、重大税收违法案件、财政部门禁止参加政府采购活动的承诺书；</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2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8</w:t>
            </w:r>
          </w:p>
        </w:tc>
        <w:tc>
          <w:tcPr>
            <w:tcW w:w="6534"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提供针对本次项目的反商业贿赂承诺书；</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9</w:t>
            </w:r>
          </w:p>
        </w:tc>
        <w:tc>
          <w:tcPr>
            <w:tcW w:w="6534"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jc w:val="center"/>
              <w:rPr>
                <w:rFonts w:ascii="微软雅黑" w:hAnsi="微软雅黑" w:eastAsia="微软雅黑" w:cs="微软雅黑"/>
                <w:sz w:val="22"/>
                <w:szCs w:val="22"/>
              </w:rPr>
            </w:pPr>
            <w:r>
              <w:rPr>
                <w:rFonts w:hint="eastAsia" w:ascii="微软雅黑" w:hAnsi="微软雅黑" w:eastAsia="微软雅黑" w:cs="微软雅黑"/>
                <w:sz w:val="22"/>
                <w:szCs w:val="22"/>
              </w:rPr>
              <w:t>10</w:t>
            </w:r>
          </w:p>
        </w:tc>
        <w:tc>
          <w:tcPr>
            <w:tcW w:w="6534" w:type="dxa"/>
            <w:vAlign w:val="center"/>
          </w:tcPr>
          <w:p>
            <w:pPr>
              <w:rPr>
                <w:rFonts w:ascii="微软雅黑" w:hAnsi="微软雅黑" w:eastAsia="微软雅黑" w:cs="微软雅黑"/>
                <w:sz w:val="22"/>
                <w:szCs w:val="22"/>
              </w:rPr>
            </w:pPr>
            <w:r>
              <w:rPr>
                <w:rFonts w:hint="eastAsia" w:ascii="微软雅黑" w:hAnsi="微软雅黑" w:eastAsia="微软雅黑" w:cs="微软雅黑"/>
              </w:rPr>
              <w:t>投标保证金有效凭证</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pPr>
              <w:rPr>
                <w:rFonts w:ascii="微软雅黑" w:hAnsi="微软雅黑" w:eastAsia="微软雅黑" w:cs="微软雅黑"/>
                <w:sz w:val="22"/>
                <w:szCs w:val="22"/>
              </w:rPr>
            </w:pPr>
          </w:p>
        </w:tc>
        <w:tc>
          <w:tcPr>
            <w:tcW w:w="6534" w:type="dxa"/>
            <w:vAlign w:val="center"/>
          </w:tcPr>
          <w:p>
            <w:pPr>
              <w:rPr>
                <w:rFonts w:ascii="微软雅黑" w:hAnsi="微软雅黑" w:eastAsia="微软雅黑" w:cs="微软雅黑"/>
                <w:sz w:val="22"/>
                <w:szCs w:val="22"/>
              </w:rPr>
            </w:pPr>
            <w:r>
              <w:rPr>
                <w:rFonts w:hint="eastAsia" w:ascii="微软雅黑" w:hAnsi="微软雅黑" w:eastAsia="微软雅黑" w:cs="微软雅黑"/>
                <w:sz w:val="22"/>
                <w:szCs w:val="22"/>
              </w:rPr>
              <w:t>结论</w:t>
            </w:r>
          </w:p>
        </w:tc>
        <w:tc>
          <w:tcPr>
            <w:tcW w:w="883" w:type="dxa"/>
            <w:vAlign w:val="center"/>
          </w:tcPr>
          <w:p>
            <w:pPr>
              <w:rPr>
                <w:rFonts w:ascii="微软雅黑" w:hAnsi="微软雅黑" w:eastAsia="微软雅黑" w:cs="微软雅黑"/>
                <w:sz w:val="22"/>
                <w:szCs w:val="22"/>
              </w:rPr>
            </w:pPr>
          </w:p>
        </w:tc>
        <w:tc>
          <w:tcPr>
            <w:tcW w:w="833" w:type="dxa"/>
            <w:vAlign w:val="center"/>
          </w:tcPr>
          <w:p>
            <w:pPr>
              <w:rPr>
                <w:rFonts w:ascii="微软雅黑" w:hAnsi="微软雅黑" w:eastAsia="微软雅黑" w:cs="微软雅黑"/>
                <w:sz w:val="22"/>
                <w:szCs w:val="22"/>
              </w:rPr>
            </w:pPr>
          </w:p>
        </w:tc>
        <w:tc>
          <w:tcPr>
            <w:tcW w:w="817" w:type="dxa"/>
            <w:vAlign w:val="center"/>
          </w:tcPr>
          <w:p>
            <w:pPr>
              <w:rPr>
                <w:rFonts w:ascii="微软雅黑" w:hAnsi="微软雅黑" w:eastAsia="微软雅黑" w:cs="微软雅黑"/>
                <w:sz w:val="22"/>
                <w:szCs w:val="22"/>
              </w:rPr>
            </w:pPr>
          </w:p>
        </w:tc>
      </w:tr>
    </w:tbl>
    <w:p>
      <w:pPr>
        <w:rPr>
          <w:rFonts w:ascii="微软雅黑" w:hAnsi="微软雅黑" w:eastAsia="微软雅黑" w:cs="微软雅黑"/>
        </w:rPr>
      </w:pPr>
    </w:p>
    <w:p>
      <w:pPr>
        <w:rPr>
          <w:rFonts w:ascii="微软雅黑" w:hAnsi="微软雅黑" w:eastAsia="微软雅黑" w:cs="微软雅黑"/>
        </w:rPr>
      </w:pPr>
      <w:r>
        <w:rPr>
          <w:rFonts w:hint="eastAsia" w:ascii="微软雅黑" w:hAnsi="微软雅黑" w:eastAsia="微软雅黑" w:cs="微软雅黑"/>
        </w:rPr>
        <w:t>说明：（1）上述各项中用“合格”表示通过，“不合格”表示不通过；</w:t>
      </w:r>
    </w:p>
    <w:p>
      <w:pPr>
        <w:rPr>
          <w:rFonts w:ascii="微软雅黑" w:hAnsi="微软雅黑" w:eastAsia="微软雅黑" w:cs="微软雅黑"/>
        </w:rPr>
      </w:pPr>
      <w:r>
        <w:rPr>
          <w:rFonts w:hint="eastAsia" w:ascii="微软雅黑" w:hAnsi="微软雅黑" w:eastAsia="微软雅黑" w:cs="微软雅黑"/>
        </w:rPr>
        <w:t>（2）上述各项中如有一项为“不合格”，则结论为“不通过”，表示该投标文件中存在重大偏差，不能通过初步评审；评委对某一分项评审认为不合格时，必须要写明原因。</w:t>
      </w:r>
    </w:p>
    <w:p>
      <w:pPr>
        <w:ind w:left="60"/>
        <w:rPr>
          <w:rFonts w:ascii="微软雅黑" w:hAnsi="微软雅黑" w:eastAsia="微软雅黑" w:cs="微软雅黑"/>
        </w:rPr>
      </w:pPr>
      <w:r>
        <w:rPr>
          <w:rFonts w:hint="eastAsia" w:ascii="微软雅黑" w:hAnsi="微软雅黑" w:eastAsia="微软雅黑" w:cs="微软雅黑"/>
        </w:rPr>
        <w:t>（3）投标文件最终合格与否，以所有评委的评审意见中少数服从多数为原则定论。</w:t>
      </w:r>
    </w:p>
    <w:p>
      <w:pPr>
        <w:rPr>
          <w:rFonts w:ascii="微软雅黑" w:hAnsi="微软雅黑" w:eastAsia="微软雅黑" w:cs="微软雅黑"/>
          <w:b/>
          <w:bCs/>
        </w:rPr>
      </w:pPr>
      <w:r>
        <w:rPr>
          <w:rFonts w:hint="eastAsia" w:ascii="微软雅黑" w:hAnsi="微软雅黑" w:eastAsia="微软雅黑" w:cs="微软雅黑"/>
          <w:b/>
          <w:bCs/>
        </w:rPr>
        <w:t>未通过资格审查的供应商不进入评标；通过资格审查的供应商少于不足三家的，不得评标。</w:t>
      </w:r>
    </w:p>
    <w:p/>
    <w:p>
      <w:pPr>
        <w:pStyle w:val="5"/>
      </w:pPr>
      <w:bookmarkStart w:id="675" w:name="_Toc28345"/>
      <w:bookmarkStart w:id="676" w:name="_Toc12096"/>
      <w:bookmarkStart w:id="677" w:name="_Toc1293"/>
      <w:bookmarkStart w:id="678" w:name="_Toc4255"/>
      <w:bookmarkStart w:id="679" w:name="_Toc946"/>
      <w:bookmarkStart w:id="680" w:name="_Toc14391"/>
      <w:bookmarkStart w:id="681" w:name="_Toc19523"/>
      <w:bookmarkStart w:id="682" w:name="_Toc8014"/>
      <w:bookmarkStart w:id="683" w:name="_Toc8771"/>
      <w:bookmarkStart w:id="684" w:name="_Toc7343"/>
      <w:bookmarkStart w:id="685" w:name="_Toc24305"/>
      <w:bookmarkStart w:id="686" w:name="_Toc70"/>
      <w:bookmarkStart w:id="687" w:name="_Toc8628"/>
      <w:bookmarkStart w:id="688" w:name="_Toc11241"/>
      <w:bookmarkStart w:id="689" w:name="_Toc21232"/>
      <w:bookmarkStart w:id="690" w:name="_Toc22718"/>
      <w:bookmarkStart w:id="691" w:name="_Toc20635"/>
      <w:bookmarkStart w:id="692" w:name="_Toc23770"/>
      <w:bookmarkStart w:id="693" w:name="_Toc11487"/>
      <w:bookmarkStart w:id="694" w:name="_Toc11822"/>
      <w:bookmarkStart w:id="695" w:name="_Toc29061"/>
    </w:p>
    <w:p>
      <w:pPr>
        <w:pStyle w:val="5"/>
        <w:spacing w:line="480" w:lineRule="exact"/>
        <w:ind w:firstLine="0"/>
        <w:jc w:val="center"/>
        <w:outlineLvl w:val="1"/>
        <w:rPr>
          <w:rFonts w:ascii="微软雅黑" w:hAnsi="微软雅黑" w:eastAsia="微软雅黑" w:cs="微软雅黑"/>
          <w:b/>
          <w:bCs/>
          <w:sz w:val="21"/>
          <w:szCs w:val="21"/>
        </w:rPr>
      </w:pPr>
      <w:bookmarkStart w:id="696" w:name="_Toc31485"/>
      <w:r>
        <w:rPr>
          <w:rFonts w:hint="eastAsia" w:ascii="微软雅黑" w:hAnsi="微软雅黑" w:eastAsia="微软雅黑" w:cs="微软雅黑"/>
          <w:b/>
          <w:bCs/>
          <w:sz w:val="21"/>
          <w:szCs w:val="21"/>
        </w:rPr>
        <w:t>初步评审—符合性审查表</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tbl>
      <w:tblPr>
        <w:tblStyle w:val="28"/>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480" w:lineRule="exact"/>
              <w:jc w:val="center"/>
              <w:rPr>
                <w:rFonts w:ascii="微软雅黑" w:hAnsi="微软雅黑" w:eastAsia="微软雅黑" w:cs="微软雅黑"/>
                <w:spacing w:val="-2"/>
                <w:sz w:val="22"/>
                <w:szCs w:val="22"/>
              </w:rPr>
            </w:pPr>
            <w:r>
              <w:rPr>
                <w:rFonts w:hint="eastAsia" w:ascii="微软雅黑" w:hAnsi="微软雅黑" w:eastAsia="微软雅黑" w:cs="微软雅黑"/>
                <w:spacing w:val="-2"/>
                <w:sz w:val="22"/>
                <w:szCs w:val="22"/>
              </w:rPr>
              <w:t>评审内容</w:t>
            </w:r>
          </w:p>
        </w:tc>
        <w:tc>
          <w:tcPr>
            <w:tcW w:w="1637" w:type="dxa"/>
            <w:vAlign w:val="center"/>
          </w:tcPr>
          <w:p>
            <w:pPr>
              <w:spacing w:line="480" w:lineRule="exact"/>
              <w:jc w:val="center"/>
              <w:rPr>
                <w:rFonts w:ascii="微软雅黑" w:hAnsi="微软雅黑" w:eastAsia="微软雅黑" w:cs="微软雅黑"/>
                <w:spacing w:val="-2"/>
                <w:sz w:val="22"/>
                <w:szCs w:val="22"/>
              </w:rPr>
            </w:pPr>
            <w:r>
              <w:rPr>
                <w:rFonts w:hint="eastAsia" w:ascii="微软雅黑" w:hAnsi="微软雅黑" w:eastAsia="微软雅黑" w:cs="微软雅黑"/>
                <w:b/>
                <w:bCs/>
                <w:sz w:val="22"/>
                <w:szCs w:val="22"/>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序号</w:t>
            </w:r>
          </w:p>
        </w:tc>
        <w:tc>
          <w:tcPr>
            <w:tcW w:w="6755" w:type="dxa"/>
            <w:vAlign w:val="center"/>
          </w:tcPr>
          <w:p>
            <w:pPr>
              <w:spacing w:line="480" w:lineRule="exact"/>
              <w:rPr>
                <w:rFonts w:ascii="微软雅黑" w:hAnsi="微软雅黑" w:eastAsia="微软雅黑" w:cs="微软雅黑"/>
                <w:spacing w:val="-2"/>
                <w:sz w:val="22"/>
                <w:szCs w:val="22"/>
              </w:rPr>
            </w:pPr>
          </w:p>
        </w:tc>
        <w:tc>
          <w:tcPr>
            <w:tcW w:w="1637" w:type="dxa"/>
            <w:vAlign w:val="center"/>
          </w:tcPr>
          <w:p>
            <w:pPr>
              <w:spacing w:line="480" w:lineRule="exact"/>
              <w:jc w:val="center"/>
              <w:rPr>
                <w:rFonts w:ascii="微软雅黑" w:hAnsi="微软雅黑" w:eastAsia="微软雅黑" w:cs="微软雅黑"/>
                <w:spacing w:val="-2"/>
                <w:sz w:val="22"/>
                <w:szCs w:val="22"/>
              </w:rPr>
            </w:pPr>
            <w:r>
              <w:rPr>
                <w:rFonts w:hint="eastAsia" w:ascii="微软雅黑" w:hAnsi="微软雅黑" w:eastAsia="微软雅黑" w:cs="微软雅黑"/>
                <w:spacing w:val="-2"/>
                <w:sz w:val="22"/>
                <w:szCs w:val="22"/>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8" w:type="dxa"/>
            <w:vAlign w:val="center"/>
          </w:tcPr>
          <w:p>
            <w:pPr>
              <w:spacing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1</w:t>
            </w:r>
          </w:p>
        </w:tc>
        <w:tc>
          <w:tcPr>
            <w:tcW w:w="6755" w:type="dxa"/>
            <w:vAlign w:val="center"/>
          </w:tcPr>
          <w:p>
            <w:pPr>
              <w:spacing w:line="480" w:lineRule="exact"/>
              <w:jc w:val="left"/>
              <w:rPr>
                <w:rFonts w:ascii="微软雅黑" w:hAnsi="微软雅黑" w:eastAsia="微软雅黑" w:cs="微软雅黑"/>
                <w:spacing w:val="-2"/>
                <w:sz w:val="22"/>
                <w:szCs w:val="22"/>
              </w:rPr>
            </w:pPr>
            <w:r>
              <w:rPr>
                <w:rFonts w:hint="eastAsia" w:ascii="微软雅黑" w:hAnsi="微软雅黑" w:eastAsia="微软雅黑" w:cs="微软雅黑"/>
                <w:spacing w:val="-2"/>
                <w:sz w:val="22"/>
                <w:szCs w:val="22"/>
              </w:rPr>
              <w:t>各供应商投标报价未高于预算金额</w:t>
            </w:r>
          </w:p>
        </w:tc>
        <w:tc>
          <w:tcPr>
            <w:tcW w:w="1637" w:type="dxa"/>
            <w:vAlign w:val="center"/>
          </w:tcPr>
          <w:p>
            <w:pPr>
              <w:spacing w:line="480" w:lineRule="exact"/>
              <w:rPr>
                <w:rFonts w:ascii="微软雅黑" w:hAnsi="微软雅黑" w:eastAsia="微软雅黑" w:cs="微软雅黑"/>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8" w:type="dxa"/>
            <w:vAlign w:val="center"/>
          </w:tcPr>
          <w:p>
            <w:pPr>
              <w:spacing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2</w:t>
            </w:r>
          </w:p>
        </w:tc>
        <w:tc>
          <w:tcPr>
            <w:tcW w:w="6755" w:type="dxa"/>
            <w:vAlign w:val="center"/>
          </w:tcPr>
          <w:p>
            <w:pPr>
              <w:spacing w:line="480" w:lineRule="exact"/>
              <w:jc w:val="left"/>
              <w:rPr>
                <w:rFonts w:ascii="微软雅黑" w:hAnsi="微软雅黑" w:eastAsia="微软雅黑" w:cs="微软雅黑"/>
                <w:spacing w:val="-2"/>
                <w:sz w:val="22"/>
                <w:szCs w:val="22"/>
              </w:rPr>
            </w:pPr>
            <w:r>
              <w:rPr>
                <w:rFonts w:hint="eastAsia" w:ascii="微软雅黑" w:hAnsi="微软雅黑" w:eastAsia="微软雅黑" w:cs="微软雅黑"/>
                <w:spacing w:val="-2"/>
                <w:sz w:val="22"/>
                <w:szCs w:val="22"/>
              </w:rPr>
              <w:t>评标委员会认为供应商的报价无明显低于其他通过符合性审查供应商的报价的，供应商的报价不存在异常一致并成规律性的，其报价合理</w:t>
            </w:r>
          </w:p>
        </w:tc>
        <w:tc>
          <w:tcPr>
            <w:tcW w:w="1637" w:type="dxa"/>
            <w:vAlign w:val="center"/>
          </w:tcPr>
          <w:p>
            <w:pPr>
              <w:spacing w:line="480" w:lineRule="exact"/>
              <w:rPr>
                <w:rFonts w:ascii="微软雅黑" w:hAnsi="微软雅黑" w:eastAsia="微软雅黑" w:cs="微软雅黑"/>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pPr>
              <w:spacing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3</w:t>
            </w:r>
          </w:p>
        </w:tc>
        <w:tc>
          <w:tcPr>
            <w:tcW w:w="6755" w:type="dxa"/>
            <w:vAlign w:val="center"/>
          </w:tcPr>
          <w:p>
            <w:pPr>
              <w:spacing w:line="480" w:lineRule="exact"/>
              <w:jc w:val="left"/>
              <w:rPr>
                <w:rFonts w:ascii="微软雅黑" w:hAnsi="微软雅黑" w:eastAsia="微软雅黑" w:cs="微软雅黑"/>
                <w:spacing w:val="-2"/>
                <w:sz w:val="22"/>
                <w:szCs w:val="22"/>
              </w:rPr>
            </w:pPr>
            <w:r>
              <w:rPr>
                <w:rFonts w:hint="eastAsia" w:ascii="微软雅黑" w:hAnsi="微软雅黑" w:eastAsia="微软雅黑" w:cs="微软雅黑"/>
                <w:spacing w:val="-2"/>
                <w:sz w:val="22"/>
                <w:szCs w:val="22"/>
              </w:rPr>
              <w:t>投标文件按照招标文件的规定编制、标记及签署盖章的，法定代表人或其授权代表签字（章）和加盖供应商公章的（所上传投标文件的印章和签字不能为复印件）</w:t>
            </w:r>
          </w:p>
        </w:tc>
        <w:tc>
          <w:tcPr>
            <w:tcW w:w="1637" w:type="dxa"/>
            <w:vAlign w:val="center"/>
          </w:tcPr>
          <w:p>
            <w:pPr>
              <w:spacing w:line="480" w:lineRule="exact"/>
              <w:rPr>
                <w:rFonts w:ascii="微软雅黑" w:hAnsi="微软雅黑" w:eastAsia="微软雅黑" w:cs="微软雅黑"/>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vAlign w:val="center"/>
          </w:tcPr>
          <w:p>
            <w:pPr>
              <w:spacing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4</w:t>
            </w:r>
          </w:p>
        </w:tc>
        <w:tc>
          <w:tcPr>
            <w:tcW w:w="6755" w:type="dxa"/>
            <w:vAlign w:val="center"/>
          </w:tcPr>
          <w:p>
            <w:pPr>
              <w:spacing w:line="480" w:lineRule="exact"/>
              <w:jc w:val="left"/>
              <w:rPr>
                <w:rFonts w:ascii="微软雅黑" w:hAnsi="微软雅黑" w:eastAsia="微软雅黑" w:cs="微软雅黑"/>
                <w:spacing w:val="-2"/>
                <w:sz w:val="22"/>
                <w:szCs w:val="22"/>
              </w:rPr>
            </w:pPr>
            <w:r>
              <w:rPr>
                <w:rFonts w:hint="eastAsia" w:ascii="微软雅黑" w:hAnsi="微软雅黑" w:eastAsia="微软雅黑" w:cs="微软雅黑"/>
                <w:spacing w:val="-2"/>
                <w:sz w:val="22"/>
                <w:szCs w:val="22"/>
              </w:rPr>
              <w:t>按招标文件规定的格式填写，内容齐全；</w:t>
            </w:r>
          </w:p>
        </w:tc>
        <w:tc>
          <w:tcPr>
            <w:tcW w:w="1637" w:type="dxa"/>
            <w:vAlign w:val="center"/>
          </w:tcPr>
          <w:p>
            <w:pPr>
              <w:spacing w:line="480" w:lineRule="exact"/>
              <w:rPr>
                <w:rFonts w:ascii="微软雅黑" w:hAnsi="微软雅黑" w:eastAsia="微软雅黑" w:cs="微软雅黑"/>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vAlign w:val="center"/>
          </w:tcPr>
          <w:p>
            <w:pPr>
              <w:spacing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5</w:t>
            </w:r>
          </w:p>
        </w:tc>
        <w:tc>
          <w:tcPr>
            <w:tcW w:w="6755" w:type="dxa"/>
            <w:vAlign w:val="center"/>
          </w:tcPr>
          <w:p>
            <w:pPr>
              <w:spacing w:line="480" w:lineRule="exact"/>
              <w:jc w:val="left"/>
              <w:rPr>
                <w:rFonts w:ascii="微软雅黑" w:hAnsi="微软雅黑" w:eastAsia="微软雅黑" w:cs="微软雅黑"/>
                <w:spacing w:val="-2"/>
                <w:sz w:val="22"/>
                <w:szCs w:val="22"/>
              </w:rPr>
            </w:pPr>
            <w:r>
              <w:rPr>
                <w:rFonts w:hint="eastAsia" w:ascii="微软雅黑" w:hAnsi="微软雅黑" w:eastAsia="微软雅黑" w:cs="微软雅黑"/>
                <w:spacing w:val="-2"/>
                <w:sz w:val="22"/>
                <w:szCs w:val="22"/>
              </w:rPr>
              <w:t>没有采购人不能接受的附加条件的；</w:t>
            </w:r>
          </w:p>
        </w:tc>
        <w:tc>
          <w:tcPr>
            <w:tcW w:w="1637" w:type="dxa"/>
            <w:vAlign w:val="center"/>
          </w:tcPr>
          <w:p>
            <w:pPr>
              <w:spacing w:line="480" w:lineRule="exact"/>
              <w:rPr>
                <w:rFonts w:ascii="微软雅黑" w:hAnsi="微软雅黑" w:eastAsia="微软雅黑" w:cs="微软雅黑"/>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6</w:t>
            </w:r>
          </w:p>
        </w:tc>
        <w:tc>
          <w:tcPr>
            <w:tcW w:w="6755" w:type="dxa"/>
            <w:vAlign w:val="center"/>
          </w:tcPr>
          <w:p>
            <w:pPr>
              <w:spacing w:line="480" w:lineRule="exact"/>
              <w:jc w:val="left"/>
              <w:rPr>
                <w:rFonts w:ascii="微软雅黑" w:hAnsi="微软雅黑" w:eastAsia="微软雅黑" w:cs="微软雅黑"/>
                <w:spacing w:val="-2"/>
                <w:sz w:val="22"/>
                <w:szCs w:val="22"/>
              </w:rPr>
            </w:pPr>
            <w:r>
              <w:rPr>
                <w:rFonts w:hint="eastAsia" w:ascii="微软雅黑" w:hAnsi="微软雅黑" w:eastAsia="微软雅黑" w:cs="微软雅黑"/>
                <w:b/>
                <w:bCs/>
                <w:spacing w:val="-2"/>
                <w:sz w:val="22"/>
                <w:szCs w:val="22"/>
              </w:rPr>
              <w:t>符合招标文件中规定的其他实质性要求；</w:t>
            </w:r>
          </w:p>
        </w:tc>
        <w:tc>
          <w:tcPr>
            <w:tcW w:w="1637" w:type="dxa"/>
            <w:vAlign w:val="center"/>
          </w:tcPr>
          <w:p>
            <w:pPr>
              <w:spacing w:line="480" w:lineRule="exact"/>
              <w:rPr>
                <w:rFonts w:ascii="微软雅黑" w:hAnsi="微软雅黑" w:eastAsia="微软雅黑" w:cs="微软雅黑"/>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7</w:t>
            </w:r>
          </w:p>
        </w:tc>
        <w:tc>
          <w:tcPr>
            <w:tcW w:w="6755" w:type="dxa"/>
            <w:vAlign w:val="center"/>
          </w:tcPr>
          <w:p>
            <w:pPr>
              <w:spacing w:line="480" w:lineRule="exact"/>
              <w:jc w:val="left"/>
              <w:rPr>
                <w:rFonts w:ascii="微软雅黑" w:hAnsi="微软雅黑" w:eastAsia="微软雅黑" w:cs="微软雅黑"/>
                <w:spacing w:val="-2"/>
                <w:sz w:val="22"/>
                <w:szCs w:val="22"/>
              </w:rPr>
            </w:pPr>
            <w:r>
              <w:rPr>
                <w:rFonts w:hint="eastAsia" w:ascii="微软雅黑" w:hAnsi="微软雅黑" w:eastAsia="微软雅黑" w:cs="微软雅黑"/>
                <w:spacing w:val="-2"/>
                <w:sz w:val="22"/>
                <w:szCs w:val="22"/>
              </w:rPr>
              <w:t>不同供应商的投标文件没有错漏一致的情况</w:t>
            </w:r>
          </w:p>
        </w:tc>
        <w:tc>
          <w:tcPr>
            <w:tcW w:w="1637" w:type="dxa"/>
            <w:vAlign w:val="center"/>
          </w:tcPr>
          <w:p>
            <w:pPr>
              <w:spacing w:line="480" w:lineRule="exact"/>
              <w:rPr>
                <w:rFonts w:ascii="微软雅黑" w:hAnsi="微软雅黑" w:eastAsia="微软雅黑" w:cs="微软雅黑"/>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480" w:lineRule="exact"/>
              <w:jc w:val="center"/>
              <w:rPr>
                <w:rFonts w:ascii="微软雅黑" w:hAnsi="微软雅黑" w:eastAsia="微软雅黑" w:cs="微软雅黑"/>
                <w:spacing w:val="-2"/>
                <w:sz w:val="22"/>
                <w:szCs w:val="22"/>
              </w:rPr>
            </w:pPr>
            <w:r>
              <w:rPr>
                <w:rFonts w:hint="eastAsia" w:ascii="微软雅黑" w:hAnsi="微软雅黑" w:eastAsia="微软雅黑" w:cs="微软雅黑"/>
                <w:sz w:val="22"/>
                <w:szCs w:val="22"/>
              </w:rPr>
              <w:t>8</w:t>
            </w:r>
          </w:p>
        </w:tc>
        <w:tc>
          <w:tcPr>
            <w:tcW w:w="6755" w:type="dxa"/>
            <w:vAlign w:val="center"/>
          </w:tcPr>
          <w:p>
            <w:pPr>
              <w:spacing w:line="480" w:lineRule="exact"/>
              <w:jc w:val="left"/>
              <w:rPr>
                <w:rFonts w:ascii="微软雅黑" w:hAnsi="微软雅黑" w:eastAsia="微软雅黑" w:cs="微软雅黑"/>
                <w:spacing w:val="-2"/>
                <w:sz w:val="22"/>
                <w:szCs w:val="22"/>
              </w:rPr>
            </w:pPr>
            <w:r>
              <w:rPr>
                <w:rFonts w:hint="eastAsia" w:ascii="微软雅黑" w:hAnsi="微软雅黑" w:eastAsia="微软雅黑" w:cs="微软雅黑"/>
                <w:spacing w:val="-2"/>
                <w:sz w:val="22"/>
                <w:szCs w:val="22"/>
              </w:rPr>
              <w:t>供应商附有详细地址、联系人、电话标明的</w:t>
            </w:r>
          </w:p>
        </w:tc>
        <w:tc>
          <w:tcPr>
            <w:tcW w:w="1637" w:type="dxa"/>
            <w:vAlign w:val="center"/>
          </w:tcPr>
          <w:p>
            <w:pPr>
              <w:spacing w:line="480" w:lineRule="exact"/>
              <w:rPr>
                <w:rFonts w:ascii="微软雅黑" w:hAnsi="微软雅黑" w:eastAsia="微软雅黑" w:cs="微软雅黑"/>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480" w:lineRule="exact"/>
              <w:ind w:firstLine="388" w:firstLineChars="180"/>
              <w:rPr>
                <w:rFonts w:ascii="微软雅黑" w:hAnsi="微软雅黑" w:eastAsia="微软雅黑" w:cs="微软雅黑"/>
                <w:spacing w:val="-2"/>
                <w:sz w:val="22"/>
                <w:szCs w:val="22"/>
              </w:rPr>
            </w:pPr>
            <w:r>
              <w:rPr>
                <w:rFonts w:hint="eastAsia" w:ascii="微软雅黑" w:hAnsi="微软雅黑" w:eastAsia="微软雅黑" w:cs="微软雅黑"/>
                <w:spacing w:val="-2"/>
                <w:sz w:val="22"/>
                <w:szCs w:val="22"/>
              </w:rPr>
              <w:t>结论：</w:t>
            </w:r>
          </w:p>
        </w:tc>
        <w:tc>
          <w:tcPr>
            <w:tcW w:w="1637" w:type="dxa"/>
            <w:vAlign w:val="center"/>
          </w:tcPr>
          <w:p>
            <w:pPr>
              <w:spacing w:line="480" w:lineRule="exact"/>
              <w:ind w:firstLine="388" w:firstLineChars="180"/>
              <w:rPr>
                <w:rFonts w:ascii="微软雅黑" w:hAnsi="微软雅黑" w:eastAsia="微软雅黑" w:cs="微软雅黑"/>
                <w:spacing w:val="-2"/>
                <w:sz w:val="22"/>
                <w:szCs w:val="22"/>
              </w:rPr>
            </w:pPr>
          </w:p>
        </w:tc>
      </w:tr>
    </w:tbl>
    <w:p>
      <w:pPr>
        <w:pStyle w:val="9"/>
        <w:rPr>
          <w:rFonts w:ascii="微软雅黑" w:hAnsi="微软雅黑" w:eastAsia="微软雅黑" w:cs="微软雅黑"/>
          <w:b/>
          <w:bCs/>
          <w:sz w:val="21"/>
          <w:szCs w:val="21"/>
        </w:rPr>
      </w:pPr>
    </w:p>
    <w:p>
      <w:pPr>
        <w:spacing w:line="480" w:lineRule="exact"/>
        <w:rPr>
          <w:rFonts w:ascii="微软雅黑" w:hAnsi="微软雅黑" w:eastAsia="微软雅黑" w:cs="微软雅黑"/>
        </w:rPr>
      </w:pPr>
    </w:p>
    <w:p>
      <w:pPr>
        <w:spacing w:line="480" w:lineRule="exact"/>
        <w:ind w:left="60"/>
        <w:rPr>
          <w:rFonts w:ascii="微软雅黑" w:hAnsi="微软雅黑" w:eastAsia="微软雅黑" w:cs="微软雅黑"/>
        </w:rPr>
      </w:pPr>
      <w:r>
        <w:rPr>
          <w:rFonts w:hint="eastAsia" w:ascii="微软雅黑" w:hAnsi="微软雅黑" w:eastAsia="微软雅黑" w:cs="微软雅黑"/>
        </w:rPr>
        <w:t>说明：</w:t>
      </w:r>
    </w:p>
    <w:p>
      <w:pPr>
        <w:spacing w:line="480" w:lineRule="exact"/>
        <w:ind w:left="60"/>
        <w:rPr>
          <w:rFonts w:ascii="微软雅黑" w:hAnsi="微软雅黑" w:eastAsia="微软雅黑" w:cs="微软雅黑"/>
        </w:rPr>
      </w:pPr>
      <w:r>
        <w:rPr>
          <w:rFonts w:hint="eastAsia" w:ascii="微软雅黑" w:hAnsi="微软雅黑" w:eastAsia="微软雅黑" w:cs="微软雅黑"/>
        </w:rPr>
        <w:t>（1）上述各项中用“合格”表示通过，“不合格”表示不通过；</w:t>
      </w:r>
    </w:p>
    <w:p>
      <w:pPr>
        <w:spacing w:line="480" w:lineRule="exact"/>
        <w:ind w:left="689" w:leftChars="28" w:hanging="630" w:hangingChars="300"/>
        <w:rPr>
          <w:rFonts w:ascii="微软雅黑" w:hAnsi="微软雅黑" w:eastAsia="微软雅黑" w:cs="微软雅黑"/>
        </w:rPr>
      </w:pPr>
      <w:r>
        <w:rPr>
          <w:rFonts w:hint="eastAsia" w:ascii="微软雅黑" w:hAnsi="微软雅黑" w:eastAsia="微软雅黑" w:cs="微软雅黑"/>
        </w:rPr>
        <w:t>（2）上述各项中如有一项为“不合格”，则结论为“不通过”，表示该投标文件中存在重大偏差，不能通过初步评审；评委对某一分项评审认为不合格时，必须要写明原因。</w:t>
      </w:r>
    </w:p>
    <w:p>
      <w:pPr>
        <w:pStyle w:val="5"/>
        <w:spacing w:line="480" w:lineRule="exact"/>
        <w:ind w:firstLine="0"/>
        <w:jc w:val="both"/>
        <w:rPr>
          <w:rFonts w:ascii="微软雅黑" w:hAnsi="微软雅黑" w:eastAsia="微软雅黑" w:cs="微软雅黑"/>
          <w:sz w:val="21"/>
          <w:szCs w:val="21"/>
        </w:rPr>
      </w:pPr>
      <w:r>
        <w:rPr>
          <w:rFonts w:hint="eastAsia" w:ascii="微软雅黑" w:hAnsi="微软雅黑" w:eastAsia="微软雅黑" w:cs="微软雅黑"/>
          <w:sz w:val="21"/>
          <w:szCs w:val="21"/>
        </w:rPr>
        <w:t>（3）投标文件最终合格与否，以所有评委的评审意见中少数服从多数为原则定论。</w:t>
      </w:r>
    </w:p>
    <w:p>
      <w:pPr>
        <w:spacing w:line="480" w:lineRule="exact"/>
        <w:rPr>
          <w:rFonts w:ascii="微软雅黑" w:hAnsi="微软雅黑" w:eastAsia="微软雅黑" w:cs="微软雅黑"/>
          <w:b/>
          <w:bCs/>
        </w:rPr>
      </w:pPr>
      <w:r>
        <w:rPr>
          <w:rFonts w:hint="eastAsia" w:ascii="微软雅黑" w:hAnsi="微软雅黑" w:eastAsia="微软雅黑" w:cs="微软雅黑"/>
          <w:b/>
          <w:bCs/>
        </w:rPr>
        <w:t>未通过符合性审查的供应商不进入评标；通过符合性审查的供应商少于不足三家的，不得评标。</w:t>
      </w:r>
    </w:p>
    <w:p>
      <w:pPr>
        <w:pStyle w:val="5"/>
        <w:rPr>
          <w:rFonts w:ascii="微软雅黑" w:hAnsi="微软雅黑" w:eastAsia="微软雅黑" w:cs="微软雅黑"/>
          <w:b/>
          <w:bCs/>
        </w:rPr>
      </w:pPr>
    </w:p>
    <w:p>
      <w:pPr>
        <w:rPr>
          <w:rFonts w:ascii="微软雅黑" w:hAnsi="微软雅黑" w:eastAsia="微软雅黑" w:cs="微软雅黑"/>
          <w:b/>
          <w:bCs/>
        </w:rPr>
      </w:pPr>
    </w:p>
    <w:p>
      <w:pPr>
        <w:pStyle w:val="5"/>
        <w:rPr>
          <w:rFonts w:ascii="微软雅黑" w:hAnsi="微软雅黑" w:eastAsia="微软雅黑" w:cs="微软雅黑"/>
          <w:b/>
          <w:bCs/>
        </w:rPr>
      </w:pPr>
    </w:p>
    <w:p/>
    <w:p>
      <w:pPr>
        <w:rPr>
          <w:rFonts w:ascii="微软雅黑" w:hAnsi="微软雅黑" w:eastAsia="微软雅黑" w:cs="微软雅黑"/>
        </w:rPr>
      </w:pPr>
    </w:p>
    <w:p>
      <w:pPr>
        <w:pStyle w:val="2"/>
      </w:pPr>
    </w:p>
    <w:tbl>
      <w:tblPr>
        <w:tblStyle w:val="28"/>
        <w:tblW w:w="8840" w:type="dxa"/>
        <w:jc w:val="center"/>
        <w:tblLayout w:type="fixed"/>
        <w:tblCellMar>
          <w:top w:w="0" w:type="dxa"/>
          <w:left w:w="108" w:type="dxa"/>
          <w:bottom w:w="0" w:type="dxa"/>
          <w:right w:w="108" w:type="dxa"/>
        </w:tblCellMar>
      </w:tblPr>
      <w:tblGrid>
        <w:gridCol w:w="2924"/>
        <w:gridCol w:w="4481"/>
        <w:gridCol w:w="478"/>
        <w:gridCol w:w="438"/>
        <w:gridCol w:w="519"/>
      </w:tblGrid>
      <w:tr>
        <w:tblPrEx>
          <w:tblCellMar>
            <w:top w:w="0" w:type="dxa"/>
            <w:left w:w="108" w:type="dxa"/>
            <w:bottom w:w="0" w:type="dxa"/>
            <w:right w:w="108" w:type="dxa"/>
          </w:tblCellMar>
        </w:tblPrEx>
        <w:trPr>
          <w:trHeight w:val="582" w:hRule="atLeast"/>
          <w:jc w:val="center"/>
        </w:trPr>
        <w:tc>
          <w:tcPr>
            <w:tcW w:w="8840" w:type="dxa"/>
            <w:gridSpan w:val="5"/>
            <w:tcBorders>
              <w:top w:val="nil"/>
              <w:left w:val="nil"/>
              <w:bottom w:val="single" w:color="auto" w:sz="4" w:space="0"/>
              <w:right w:val="nil"/>
            </w:tcBorders>
            <w:vAlign w:val="center"/>
          </w:tcPr>
          <w:p>
            <w:pPr>
              <w:widowControl/>
              <w:spacing w:line="300" w:lineRule="exact"/>
              <w:jc w:val="center"/>
              <w:rPr>
                <w:rFonts w:ascii="微软雅黑" w:hAnsi="微软雅黑" w:eastAsia="微软雅黑" w:cs="微软雅黑"/>
                <w:b/>
                <w:bCs/>
                <w:kern w:val="0"/>
                <w:sz w:val="22"/>
                <w:szCs w:val="22"/>
              </w:rPr>
            </w:pPr>
            <w:r>
              <w:rPr>
                <w:rFonts w:hint="eastAsia" w:ascii="微软雅黑" w:hAnsi="微软雅黑" w:eastAsia="微软雅黑" w:cs="微软雅黑"/>
                <w:b/>
                <w:bCs/>
                <w:kern w:val="0"/>
                <w:sz w:val="32"/>
                <w:szCs w:val="32"/>
              </w:rPr>
              <w:t>商务符合性审查表</w:t>
            </w:r>
          </w:p>
        </w:tc>
      </w:tr>
      <w:tr>
        <w:tblPrEx>
          <w:tblCellMar>
            <w:top w:w="0" w:type="dxa"/>
            <w:left w:w="108" w:type="dxa"/>
            <w:bottom w:w="0" w:type="dxa"/>
            <w:right w:w="108" w:type="dxa"/>
          </w:tblCellMar>
        </w:tblPrEx>
        <w:trPr>
          <w:trHeight w:val="759" w:hRule="atLeast"/>
          <w:jc w:val="center"/>
        </w:trPr>
        <w:tc>
          <w:tcPr>
            <w:tcW w:w="740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b/>
                <w:kern w:val="0"/>
                <w:sz w:val="22"/>
                <w:szCs w:val="22"/>
              </w:rPr>
            </w:pPr>
            <w:r>
              <w:rPr>
                <w:rFonts w:hint="eastAsia" w:ascii="微软雅黑" w:hAnsi="微软雅黑" w:eastAsia="微软雅黑" w:cs="微软雅黑"/>
                <w:b/>
                <w:kern w:val="0"/>
                <w:sz w:val="22"/>
                <w:szCs w:val="22"/>
              </w:rPr>
              <w:t>审查事项</w:t>
            </w:r>
          </w:p>
        </w:tc>
        <w:tc>
          <w:tcPr>
            <w:tcW w:w="1435"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b/>
                <w:kern w:val="0"/>
                <w:sz w:val="22"/>
                <w:szCs w:val="22"/>
              </w:rPr>
            </w:pPr>
            <w:r>
              <w:rPr>
                <w:rFonts w:hint="eastAsia" w:ascii="微软雅黑" w:hAnsi="微软雅黑" w:eastAsia="微软雅黑" w:cs="微软雅黑"/>
                <w:b/>
                <w:kern w:val="0"/>
                <w:sz w:val="22"/>
                <w:szCs w:val="22"/>
              </w:rPr>
              <w:t>供应商名称及审查情况</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b/>
                <w:kern w:val="0"/>
                <w:sz w:val="22"/>
                <w:szCs w:val="22"/>
              </w:rPr>
            </w:pPr>
            <w:r>
              <w:rPr>
                <w:rFonts w:hint="eastAsia" w:ascii="微软雅黑" w:hAnsi="微软雅黑" w:eastAsia="微软雅黑" w:cs="微软雅黑"/>
                <w:b/>
                <w:kern w:val="0"/>
                <w:sz w:val="22"/>
                <w:szCs w:val="22"/>
              </w:rPr>
              <w:t>招标文件条款（供应商须知、供应商须知资料表条款号）</w:t>
            </w:r>
          </w:p>
        </w:tc>
        <w:tc>
          <w:tcPr>
            <w:tcW w:w="44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b/>
                <w:kern w:val="0"/>
                <w:sz w:val="22"/>
                <w:szCs w:val="22"/>
              </w:rPr>
            </w:pPr>
            <w:r>
              <w:rPr>
                <w:rFonts w:hint="eastAsia" w:ascii="微软雅黑" w:hAnsi="微软雅黑" w:eastAsia="微软雅黑" w:cs="微软雅黑"/>
                <w:b/>
                <w:kern w:val="0"/>
                <w:sz w:val="22"/>
                <w:szCs w:val="22"/>
              </w:rPr>
              <w:t>本项目要求</w:t>
            </w:r>
          </w:p>
        </w:tc>
        <w:tc>
          <w:tcPr>
            <w:tcW w:w="4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368"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中小企业投标要求（1.3.6）</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本项目</w:t>
            </w:r>
            <w:r>
              <w:rPr>
                <w:rFonts w:hint="eastAsia" w:ascii="微软雅黑" w:hAnsi="微软雅黑" w:eastAsia="微软雅黑" w:cs="微软雅黑"/>
                <w:i/>
                <w:iCs/>
                <w:kern w:val="0"/>
                <w:sz w:val="22"/>
                <w:szCs w:val="22"/>
              </w:rPr>
              <w:t>适用</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r>
      <w:tr>
        <w:tblPrEx>
          <w:tblCellMar>
            <w:top w:w="0" w:type="dxa"/>
            <w:left w:w="108" w:type="dxa"/>
            <w:bottom w:w="0" w:type="dxa"/>
            <w:right w:w="108" w:type="dxa"/>
          </w:tblCellMar>
        </w:tblPrEx>
        <w:trPr>
          <w:trHeight w:val="510"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联合体投标规（1.4）</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本项目</w:t>
            </w:r>
            <w:r>
              <w:rPr>
                <w:rFonts w:hint="eastAsia" w:ascii="微软雅黑" w:hAnsi="微软雅黑" w:eastAsia="微软雅黑" w:cs="微软雅黑"/>
                <w:i/>
                <w:iCs/>
                <w:kern w:val="0"/>
                <w:sz w:val="22"/>
                <w:szCs w:val="22"/>
                <w:u w:val="single"/>
              </w:rPr>
              <w:t>不接受</w:t>
            </w:r>
            <w:r>
              <w:rPr>
                <w:rFonts w:hint="eastAsia" w:ascii="微软雅黑" w:hAnsi="微软雅黑" w:eastAsia="微软雅黑" w:cs="微软雅黑"/>
                <w:kern w:val="0"/>
                <w:sz w:val="22"/>
                <w:szCs w:val="22"/>
              </w:rPr>
              <w:t>联合体投标</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供应商的关联（1.5）</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在同一标包内，单位负责人为非同一人或者不存在直接控股、管理关系的不同供应商。</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未发现影响采购人决策行为（1.5）</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sz w:val="22"/>
                <w:szCs w:val="22"/>
              </w:rPr>
              <w:t>供应商在投标过程中未向采购人提供、给予任何有价值的物品，影响其正常决策行为。</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满足投标范围的完整性要求（8.1）</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sz w:val="22"/>
                <w:szCs w:val="22"/>
              </w:rPr>
              <w:t>供应商对所投分包招标文件中所列的所有内容进行投标。</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未包含价格调整要求（11.4）</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sz w:val="22"/>
                <w:szCs w:val="22"/>
              </w:rPr>
              <w:t>供应商所报的各分项投标报价在合同履行过程中是固定不变的，不得以任何理由予以变更。</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46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投标保证金（12.1）</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符合招标文件要求</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r>
      <w:tr>
        <w:tblPrEx>
          <w:tblCellMar>
            <w:top w:w="0" w:type="dxa"/>
            <w:left w:w="108" w:type="dxa"/>
            <w:bottom w:w="0" w:type="dxa"/>
            <w:right w:w="108" w:type="dxa"/>
          </w:tblCellMar>
        </w:tblPrEx>
        <w:trPr>
          <w:trHeight w:val="517"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投标有效期满足要求（13.1）</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sz w:val="22"/>
                <w:szCs w:val="22"/>
              </w:rPr>
              <w:t>自提交投标文件截止之日起</w:t>
            </w:r>
            <w:r>
              <w:rPr>
                <w:rFonts w:hint="eastAsia" w:ascii="微软雅黑" w:hAnsi="微软雅黑" w:eastAsia="微软雅黑" w:cs="微软雅黑"/>
                <w:sz w:val="22"/>
                <w:szCs w:val="22"/>
                <w:u w:val="single"/>
              </w:rPr>
              <w:t xml:space="preserve"> 90日</w:t>
            </w:r>
            <w:r>
              <w:rPr>
                <w:rFonts w:hint="eastAsia" w:ascii="微软雅黑" w:hAnsi="微软雅黑" w:eastAsia="微软雅黑" w:cs="微软雅黑"/>
                <w:sz w:val="22"/>
                <w:szCs w:val="22"/>
              </w:rPr>
              <w:t>历日</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577"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投标文件的装订方式（14.3）</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sz w:val="22"/>
                <w:szCs w:val="22"/>
              </w:rPr>
              <w:t>所有投标文件采用不可拆装的胶订方式装订</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108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投标文件的签署和盖章符合要求</w:t>
            </w:r>
          </w:p>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（14.2、14.4）</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按照招标文件规定要求签署、盖章。</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r>
      <w:tr>
        <w:tblPrEx>
          <w:tblCellMar>
            <w:top w:w="0" w:type="dxa"/>
            <w:left w:w="108" w:type="dxa"/>
            <w:bottom w:w="0" w:type="dxa"/>
            <w:right w:w="108" w:type="dxa"/>
          </w:tblCellMar>
        </w:tblPrEx>
        <w:trPr>
          <w:trHeight w:val="108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接受价格的算术修正（20.3）</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sz w:val="22"/>
                <w:szCs w:val="22"/>
              </w:rPr>
              <w:t>投标文件报价出现前后不一致的，应按照招标文件规定的顺序修正。修正后的报价经供应商确认后产生约束力。</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符合强制采购节能产品要求（20.6）</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本项目</w:t>
            </w:r>
            <w:r>
              <w:rPr>
                <w:rFonts w:hint="eastAsia" w:ascii="微软雅黑" w:hAnsi="微软雅黑" w:eastAsia="微软雅黑" w:cs="微软雅黑"/>
                <w:i/>
                <w:iCs/>
                <w:kern w:val="0"/>
                <w:sz w:val="22"/>
                <w:szCs w:val="22"/>
                <w:u w:val="single"/>
              </w:rPr>
              <w:t>适用</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未发现串通投标（22.2）</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sz w:val="22"/>
                <w:szCs w:val="22"/>
              </w:rPr>
              <w:t>未与其他供应商串通投标，或者与招标人串通投标。</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108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报价说明可以接受（22.2）</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sz w:val="22"/>
                <w:szCs w:val="22"/>
              </w:rPr>
              <w:t>供应商的报价明显低于其他通过符合性检查供应商的报价，有可能影响履约的，供应商能按照规定证明其报价合理性。</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r>
              <w:rPr>
                <w:rFonts w:hint="eastAsia" w:ascii="微软雅黑" w:hAnsi="微软雅黑" w:eastAsia="微软雅黑" w:cs="微软雅黑"/>
                <w:kern w:val="0"/>
                <w:sz w:val="22"/>
                <w:szCs w:val="22"/>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sz w:val="22"/>
                <w:szCs w:val="22"/>
              </w:rPr>
              <w:t>无采购人不能接受的附加条件（22.2）</w:t>
            </w:r>
          </w:p>
        </w:tc>
        <w:tc>
          <w:tcPr>
            <w:tcW w:w="448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r>
              <w:rPr>
                <w:rFonts w:hint="eastAsia" w:ascii="微软雅黑" w:hAnsi="微软雅黑" w:eastAsia="微软雅黑" w:cs="微软雅黑"/>
                <w:sz w:val="22"/>
                <w:szCs w:val="22"/>
              </w:rPr>
              <w:t>投标文件未含有采购人不能接受的附加条件。</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微软雅黑" w:hAnsi="微软雅黑" w:eastAsia="微软雅黑" w:cs="微软雅黑"/>
                <w:kern w:val="0"/>
                <w:sz w:val="22"/>
                <w:szCs w:val="22"/>
              </w:rPr>
            </w:pPr>
          </w:p>
        </w:tc>
      </w:tr>
      <w:tr>
        <w:tblPrEx>
          <w:tblCellMar>
            <w:top w:w="0" w:type="dxa"/>
            <w:left w:w="108" w:type="dxa"/>
            <w:bottom w:w="0" w:type="dxa"/>
            <w:right w:w="108" w:type="dxa"/>
          </w:tblCellMar>
        </w:tblPrEx>
        <w:trPr>
          <w:trHeight w:val="378" w:hRule="atLeast"/>
          <w:jc w:val="center"/>
        </w:trPr>
        <w:tc>
          <w:tcPr>
            <w:tcW w:w="7405"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b/>
                <w:sz w:val="22"/>
                <w:szCs w:val="22"/>
              </w:rPr>
            </w:pPr>
            <w:r>
              <w:rPr>
                <w:rFonts w:hint="eastAsia" w:ascii="微软雅黑" w:hAnsi="微软雅黑" w:eastAsia="微软雅黑" w:cs="微软雅黑"/>
                <w:b/>
                <w:kern w:val="0"/>
                <w:sz w:val="22"/>
                <w:szCs w:val="22"/>
              </w:rPr>
              <w:t>结论</w:t>
            </w:r>
          </w:p>
        </w:tc>
        <w:tc>
          <w:tcPr>
            <w:tcW w:w="47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p>
        </w:tc>
        <w:tc>
          <w:tcPr>
            <w:tcW w:w="43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p>
        </w:tc>
        <w:tc>
          <w:tcPr>
            <w:tcW w:w="5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kern w:val="0"/>
                <w:sz w:val="22"/>
                <w:szCs w:val="22"/>
              </w:rPr>
            </w:pPr>
          </w:p>
        </w:tc>
      </w:tr>
    </w:tbl>
    <w:p>
      <w:pPr>
        <w:jc w:val="center"/>
        <w:rPr>
          <w:rFonts w:ascii="微软雅黑" w:hAnsi="微软雅黑" w:eastAsia="微软雅黑" w:cs="微软雅黑"/>
          <w:b/>
          <w:bCs/>
          <w:sz w:val="40"/>
          <w:szCs w:val="40"/>
        </w:rPr>
      </w:pPr>
      <w:bookmarkStart w:id="697" w:name="_Toc507399904"/>
      <w:r>
        <w:rPr>
          <w:rFonts w:hint="eastAsia" w:ascii="微软雅黑" w:hAnsi="微软雅黑" w:eastAsia="微软雅黑" w:cs="微软雅黑"/>
          <w:b/>
          <w:bCs/>
          <w:kern w:val="0"/>
          <w:sz w:val="32"/>
          <w:szCs w:val="32"/>
        </w:rPr>
        <w:t>综合评分法评分标准</w:t>
      </w:r>
      <w:bookmarkStart w:id="698" w:name="_Toc20854"/>
      <w:bookmarkStart w:id="699" w:name="_Toc14344"/>
      <w:bookmarkStart w:id="700" w:name="_Toc997"/>
      <w:bookmarkStart w:id="701" w:name="_Toc29605"/>
      <w:bookmarkStart w:id="702" w:name="_Toc2497"/>
      <w:bookmarkStart w:id="703" w:name="_Toc5580"/>
      <w:bookmarkStart w:id="704" w:name="_Toc14078"/>
      <w:bookmarkStart w:id="705" w:name="_Toc8709"/>
      <w:bookmarkStart w:id="706" w:name="_Toc20321"/>
      <w:bookmarkStart w:id="707" w:name="_Toc18037"/>
      <w:bookmarkStart w:id="708" w:name="_Toc11667"/>
      <w:bookmarkStart w:id="709" w:name="_Toc21588"/>
      <w:bookmarkStart w:id="710" w:name="_Toc10296"/>
      <w:bookmarkStart w:id="711" w:name="_Toc21397"/>
      <w:bookmarkStart w:id="712" w:name="_Toc16427"/>
      <w:bookmarkStart w:id="713" w:name="_Toc25236"/>
      <w:bookmarkStart w:id="714" w:name="_Toc30135"/>
      <w:bookmarkStart w:id="715" w:name="_Toc11428"/>
      <w:bookmarkStart w:id="716" w:name="_Toc27374"/>
    </w:p>
    <w:tbl>
      <w:tblPr>
        <w:tblStyle w:val="28"/>
        <w:tblW w:w="9252" w:type="dxa"/>
        <w:jc w:val="center"/>
        <w:tblLayout w:type="fixed"/>
        <w:tblCellMar>
          <w:top w:w="0" w:type="dxa"/>
          <w:left w:w="108" w:type="dxa"/>
          <w:bottom w:w="0" w:type="dxa"/>
          <w:right w:w="108" w:type="dxa"/>
        </w:tblCellMar>
      </w:tblPr>
      <w:tblGrid>
        <w:gridCol w:w="880"/>
        <w:gridCol w:w="800"/>
        <w:gridCol w:w="6320"/>
        <w:gridCol w:w="1252"/>
      </w:tblGrid>
      <w:tr>
        <w:tblPrEx>
          <w:tblCellMar>
            <w:top w:w="0" w:type="dxa"/>
            <w:left w:w="108" w:type="dxa"/>
            <w:bottom w:w="0" w:type="dxa"/>
            <w:right w:w="108" w:type="dxa"/>
          </w:tblCellMar>
        </w:tblPrEx>
        <w:trPr>
          <w:trHeight w:val="54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考核项目</w:t>
            </w:r>
          </w:p>
        </w:tc>
        <w:tc>
          <w:tcPr>
            <w:tcW w:w="8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分值</w:t>
            </w:r>
          </w:p>
        </w:tc>
        <w:tc>
          <w:tcPr>
            <w:tcW w:w="63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评分标准</w:t>
            </w:r>
          </w:p>
        </w:tc>
        <w:tc>
          <w:tcPr>
            <w:tcW w:w="125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lang w:eastAsia="zh-CN"/>
              </w:rPr>
            </w:pPr>
            <w:r>
              <w:rPr>
                <w:rFonts w:hint="eastAsia" w:ascii="微软雅黑" w:hAnsi="微软雅黑" w:eastAsia="微软雅黑" w:cs="微软雅黑"/>
                <w:color w:val="000000"/>
                <w:kern w:val="0"/>
                <w:sz w:val="18"/>
                <w:szCs w:val="18"/>
                <w:highlight w:val="none"/>
                <w:lang w:val="en-US" w:eastAsia="zh-CN"/>
              </w:rPr>
              <w:t>说明</w:t>
            </w:r>
          </w:p>
        </w:tc>
      </w:tr>
      <w:tr>
        <w:tblPrEx>
          <w:tblCellMar>
            <w:top w:w="0" w:type="dxa"/>
            <w:left w:w="108" w:type="dxa"/>
            <w:bottom w:w="0" w:type="dxa"/>
            <w:right w:w="108" w:type="dxa"/>
          </w:tblCellMar>
        </w:tblPrEx>
        <w:trPr>
          <w:trHeight w:val="1059" w:hRule="atLeast"/>
          <w:jc w:val="center"/>
        </w:trPr>
        <w:tc>
          <w:tcPr>
            <w:tcW w:w="88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价格因素（</w:t>
            </w:r>
            <w:r>
              <w:rPr>
                <w:rFonts w:hint="eastAsia" w:ascii="微软雅黑" w:hAnsi="微软雅黑" w:eastAsia="微软雅黑" w:cs="微软雅黑"/>
                <w:color w:val="000000"/>
                <w:kern w:val="0"/>
                <w:sz w:val="18"/>
                <w:szCs w:val="18"/>
                <w:highlight w:val="none"/>
                <w:lang w:val="en-US" w:eastAsia="zh-CN"/>
              </w:rPr>
              <w:t>30</w:t>
            </w:r>
            <w:r>
              <w:rPr>
                <w:rFonts w:hint="eastAsia" w:ascii="微软雅黑" w:hAnsi="微软雅黑" w:eastAsia="微软雅黑" w:cs="微软雅黑"/>
                <w:color w:val="000000"/>
                <w:kern w:val="0"/>
                <w:sz w:val="18"/>
                <w:szCs w:val="18"/>
                <w:highlight w:val="none"/>
              </w:rPr>
              <w:t>分）</w:t>
            </w:r>
          </w:p>
        </w:tc>
        <w:tc>
          <w:tcPr>
            <w:tcW w:w="800" w:type="dxa"/>
            <w:tcBorders>
              <w:top w:val="nil"/>
              <w:left w:val="nil"/>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价格得分（</w:t>
            </w:r>
            <w:r>
              <w:rPr>
                <w:rFonts w:hint="eastAsia" w:ascii="微软雅黑" w:hAnsi="微软雅黑" w:eastAsia="微软雅黑" w:cs="微软雅黑"/>
                <w:color w:val="000000"/>
                <w:kern w:val="0"/>
                <w:sz w:val="18"/>
                <w:szCs w:val="18"/>
                <w:highlight w:val="none"/>
                <w:lang w:val="en-US" w:eastAsia="zh-CN"/>
              </w:rPr>
              <w:t>30</w:t>
            </w:r>
            <w:r>
              <w:rPr>
                <w:rFonts w:hint="eastAsia" w:ascii="微软雅黑" w:hAnsi="微软雅黑" w:eastAsia="微软雅黑" w:cs="微软雅黑"/>
                <w:color w:val="000000"/>
                <w:kern w:val="0"/>
                <w:sz w:val="18"/>
                <w:szCs w:val="18"/>
                <w:highlight w:val="none"/>
              </w:rPr>
              <w:t>分）</w:t>
            </w:r>
          </w:p>
        </w:tc>
        <w:tc>
          <w:tcPr>
            <w:tcW w:w="6320" w:type="dxa"/>
            <w:tcBorders>
              <w:top w:val="nil"/>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lang w:val="en-US" w:eastAsia="zh-CN"/>
              </w:rPr>
              <w:t>完全满足招标文件参数的投标报价中的最低价为评标基准价，按照下列公式计算每个投标人的投标价格得分。投标报价得分＝（基准价/投标报价）×价格权重。</w:t>
            </w:r>
            <w:r>
              <w:rPr>
                <w:rFonts w:hint="eastAsia" w:ascii="微软雅黑" w:hAnsi="微软雅黑" w:eastAsia="微软雅黑" w:cs="微软雅黑"/>
                <w:b/>
                <w:bCs/>
                <w:color w:val="000000"/>
                <w:kern w:val="0"/>
                <w:sz w:val="18"/>
                <w:szCs w:val="18"/>
                <w:highlight w:val="none"/>
                <w:lang w:val="en-US" w:eastAsia="zh-CN"/>
              </w:rPr>
              <w:t>（注：本项目为专门面向中小企业项目，不做价格扣除后参与价格评审。）</w:t>
            </w:r>
          </w:p>
        </w:tc>
        <w:tc>
          <w:tcPr>
            <w:tcW w:w="1252" w:type="dxa"/>
            <w:tcBorders>
              <w:top w:val="nil"/>
              <w:left w:val="nil"/>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lang w:val="en-US" w:eastAsia="zh-CN"/>
              </w:rPr>
              <w:t>投标报价超过采购预算价的按废标处理</w:t>
            </w:r>
          </w:p>
        </w:tc>
      </w:tr>
      <w:tr>
        <w:tblPrEx>
          <w:tblCellMar>
            <w:top w:w="0" w:type="dxa"/>
            <w:left w:w="108" w:type="dxa"/>
            <w:bottom w:w="0" w:type="dxa"/>
            <w:right w:w="108" w:type="dxa"/>
          </w:tblCellMar>
        </w:tblPrEx>
        <w:trPr>
          <w:trHeight w:val="1350" w:hRule="atLeast"/>
          <w:jc w:val="center"/>
        </w:trPr>
        <w:tc>
          <w:tcPr>
            <w:tcW w:w="8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rPr>
              <w:t>技术因素（</w:t>
            </w:r>
            <w:r>
              <w:rPr>
                <w:rFonts w:hint="eastAsia" w:ascii="微软雅黑" w:hAnsi="微软雅黑" w:eastAsia="微软雅黑" w:cs="微软雅黑"/>
                <w:color w:val="000000"/>
                <w:kern w:val="0"/>
                <w:sz w:val="18"/>
                <w:szCs w:val="18"/>
                <w:highlight w:val="none"/>
                <w:lang w:val="en-US" w:eastAsia="zh-CN"/>
              </w:rPr>
              <w:t>52</w:t>
            </w:r>
            <w:r>
              <w:rPr>
                <w:rFonts w:hint="eastAsia" w:ascii="微软雅黑" w:hAnsi="微软雅黑" w:eastAsia="微软雅黑" w:cs="微软雅黑"/>
                <w:color w:val="000000"/>
                <w:kern w:val="0"/>
                <w:sz w:val="18"/>
                <w:szCs w:val="18"/>
                <w:highlight w:val="none"/>
              </w:rPr>
              <w:t>分）</w:t>
            </w:r>
          </w:p>
        </w:tc>
        <w:tc>
          <w:tcPr>
            <w:tcW w:w="800" w:type="dxa"/>
            <w:tcBorders>
              <w:top w:val="nil"/>
              <w:left w:val="nil"/>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rPr>
            </w:pPr>
            <w:r>
              <w:rPr>
                <w:rFonts w:hint="eastAsia" w:ascii="微软雅黑" w:hAnsi="微软雅黑" w:eastAsia="微软雅黑" w:cs="微软雅黑"/>
                <w:color w:val="000000"/>
                <w:kern w:val="0"/>
                <w:sz w:val="18"/>
                <w:szCs w:val="18"/>
                <w:highlight w:val="none"/>
                <w:lang w:val="en-US" w:eastAsia="zh-CN" w:bidi="ar-SA"/>
              </w:rPr>
              <w:t>质量保证</w:t>
            </w:r>
            <w:r>
              <w:rPr>
                <w:rFonts w:hint="eastAsia" w:ascii="微软雅黑" w:hAnsi="微软雅黑" w:eastAsia="微软雅黑" w:cs="微软雅黑"/>
                <w:color w:val="000000"/>
                <w:kern w:val="0"/>
                <w:sz w:val="18"/>
                <w:szCs w:val="18"/>
                <w:highlight w:val="none"/>
              </w:rPr>
              <w:t>（</w:t>
            </w:r>
            <w:r>
              <w:rPr>
                <w:rFonts w:hint="eastAsia" w:ascii="微软雅黑" w:hAnsi="微软雅黑" w:eastAsia="微软雅黑" w:cs="微软雅黑"/>
                <w:color w:val="000000"/>
                <w:kern w:val="0"/>
                <w:sz w:val="18"/>
                <w:szCs w:val="18"/>
                <w:highlight w:val="none"/>
                <w:lang w:val="en-US" w:eastAsia="zh-CN"/>
              </w:rPr>
              <w:t>20</w:t>
            </w:r>
            <w:r>
              <w:rPr>
                <w:rFonts w:hint="eastAsia" w:ascii="微软雅黑" w:hAnsi="微软雅黑" w:eastAsia="微软雅黑" w:cs="微软雅黑"/>
                <w:color w:val="000000"/>
                <w:kern w:val="0"/>
                <w:sz w:val="18"/>
                <w:szCs w:val="18"/>
                <w:highlight w:val="none"/>
              </w:rPr>
              <w:t>分）</w:t>
            </w:r>
          </w:p>
        </w:tc>
        <w:tc>
          <w:tcPr>
            <w:tcW w:w="6320" w:type="dxa"/>
            <w:tcBorders>
              <w:top w:val="nil"/>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评标委员会将逐条对所有产品的技术参数进行比较，低于招标文件要求的，视为不响应投标；</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投标人需对产品参数提供证明文件，证明文件为生产厂商提供的，复印件附在投标文件中；证明文件为第三方检测机构提供的，投标人除了在投标文件中附复印件外，需列出查询渠道。</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（1）按照以上要求提供质量检验合格证或第三方检测证明和查询渠道的，提供招标文件货物需求中所列的药物200种及以上的检测报告的且所提供证明材料真实有效合法的得20分。</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（2）按照以上要求提供质量检验合格证或第三方检测证明和查询渠道的，提供招标文件货物需求中所列的药物150（含）-199（含）种的检测报告的且所提供证明材料真实有效合法的得15分。</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（3）按照以上要求提供质量检验合格证或第三方检测证明和查询渠道的，提供招标文件货物需求中所列的药物100（含）-149（含）种的检测报告的且所提供证明材料真实有效合法的得10分。</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（4）按照以上要求提供质量检验合格证或第三方检测证明和查询渠道的，提供招标文件货物需求中所列的药物99种及以下的检测报告的且所提供证明材料真实有效合法的得5分。</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（5）不提供或所提供证明材料无法证实其真实有效合法性的不得分</w:t>
            </w:r>
          </w:p>
          <w:p>
            <w:pPr>
              <w:widowControl/>
              <w:jc w:val="left"/>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kern w:val="0"/>
                <w:sz w:val="18"/>
                <w:szCs w:val="18"/>
                <w:highlight w:val="none"/>
                <w:lang w:val="en-US" w:eastAsia="zh-CN"/>
              </w:rPr>
              <w:t>所提供的证明文件须提供原件并密封递交，未按要求提交的视为未提供。</w:t>
            </w:r>
          </w:p>
        </w:tc>
        <w:tc>
          <w:tcPr>
            <w:tcW w:w="1252" w:type="dxa"/>
            <w:tcBorders>
              <w:top w:val="nil"/>
              <w:left w:val="nil"/>
              <w:bottom w:val="single" w:color="auto" w:sz="4" w:space="0"/>
              <w:right w:val="single" w:color="auto" w:sz="4" w:space="0"/>
            </w:tcBorders>
            <w:noWrap w:val="0"/>
            <w:vAlign w:val="top"/>
          </w:tcPr>
          <w:p>
            <w:pPr>
              <w:widowControl/>
              <w:jc w:val="center"/>
              <w:rPr>
                <w:rFonts w:hint="default"/>
                <w:lang w:val="en-US" w:eastAsia="zh-CN"/>
              </w:rPr>
            </w:pPr>
          </w:p>
        </w:tc>
      </w:tr>
      <w:tr>
        <w:tblPrEx>
          <w:tblCellMar>
            <w:top w:w="0" w:type="dxa"/>
            <w:left w:w="108" w:type="dxa"/>
            <w:bottom w:w="0" w:type="dxa"/>
            <w:right w:w="108" w:type="dxa"/>
          </w:tblCellMar>
        </w:tblPrEx>
        <w:trPr>
          <w:trHeight w:val="907"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rPr>
            </w:pPr>
          </w:p>
        </w:tc>
        <w:tc>
          <w:tcPr>
            <w:tcW w:w="800" w:type="dxa"/>
            <w:vMerge w:val="restart"/>
            <w:tcBorders>
              <w:top w:val="nil"/>
              <w:left w:val="nil"/>
              <w:right w:val="single" w:color="auto" w:sz="4" w:space="0"/>
            </w:tcBorders>
            <w:noWrap w:val="0"/>
            <w:vAlign w:val="center"/>
          </w:tcPr>
          <w:p>
            <w:pPr>
              <w:pStyle w:val="11"/>
              <w:rPr>
                <w:rFonts w:hint="eastAsia" w:ascii="微软雅黑" w:hAnsi="微软雅黑" w:eastAsia="微软雅黑" w:cs="微软雅黑"/>
                <w:highlight w:val="none"/>
              </w:rPr>
            </w:pPr>
            <w:r>
              <w:rPr>
                <w:rFonts w:hint="eastAsia" w:ascii="微软雅黑" w:hAnsi="微软雅黑" w:eastAsia="微软雅黑" w:cs="微软雅黑"/>
                <w:color w:val="000000"/>
                <w:kern w:val="0"/>
                <w:sz w:val="18"/>
                <w:szCs w:val="18"/>
                <w:highlight w:val="none"/>
                <w:lang w:val="en-US" w:eastAsia="zh-CN" w:bidi="ar-SA"/>
              </w:rPr>
              <w:t>质量管理（20分）</w:t>
            </w:r>
          </w:p>
        </w:tc>
        <w:tc>
          <w:tcPr>
            <w:tcW w:w="6320" w:type="dxa"/>
            <w:tcBorders>
              <w:top w:val="nil"/>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投标人质量管理制度评标，提供中药饮片质量管理制度等文件资料：</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投标人的中药饮片质量管理制度等文件资料包含有完善的药品质量管理、药品采购管理、药品验收管理、药品储存与陈列管理、药品调配与销售、中药饮片的养护、不合格药品管理制度、岗位职责的，得12分：</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（2）投标人的中药饮片质量管理制度等文件资料包含有药品质量管理、药品采购管理、药品验收管理、药品储存与陈列管理、药品调配与销售、中药饮片的养护的，得9分：</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（3）投标人的中药饮片质量管理制度等文件资料包含有药品质量管理、药品采购管理、药品验收管理、药品储存与陈列管理的，得5分；</w:t>
            </w:r>
          </w:p>
          <w:p>
            <w:pPr>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（4）投标人未提供中药饮片质量管理制度等文件资料的，得0分。</w:t>
            </w:r>
          </w:p>
        </w:tc>
        <w:tc>
          <w:tcPr>
            <w:tcW w:w="1252" w:type="dxa"/>
            <w:tcBorders>
              <w:top w:val="nil"/>
              <w:left w:val="nil"/>
              <w:bottom w:val="single" w:color="auto" w:sz="4" w:space="0"/>
              <w:right w:val="single" w:color="auto" w:sz="4" w:space="0"/>
            </w:tcBorders>
            <w:noWrap w:val="0"/>
            <w:vAlign w:val="top"/>
          </w:tcPr>
          <w:p>
            <w:pPr>
              <w:widowControl/>
              <w:jc w:val="both"/>
              <w:rPr>
                <w:rFonts w:hint="eastAsia" w:ascii="微软雅黑" w:hAnsi="微软雅黑" w:eastAsia="微软雅黑" w:cs="微软雅黑"/>
                <w:color w:val="000000"/>
                <w:kern w:val="0"/>
                <w:sz w:val="18"/>
                <w:szCs w:val="18"/>
                <w:highlight w:val="none"/>
              </w:rPr>
            </w:pPr>
          </w:p>
        </w:tc>
      </w:tr>
      <w:tr>
        <w:tblPrEx>
          <w:tblCellMar>
            <w:top w:w="0" w:type="dxa"/>
            <w:left w:w="108" w:type="dxa"/>
            <w:bottom w:w="0" w:type="dxa"/>
            <w:right w:w="108" w:type="dxa"/>
          </w:tblCellMar>
        </w:tblPrEx>
        <w:trPr>
          <w:trHeight w:val="213"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rPr>
            </w:pPr>
          </w:p>
        </w:tc>
        <w:tc>
          <w:tcPr>
            <w:tcW w:w="800" w:type="dxa"/>
            <w:vMerge w:val="continue"/>
            <w:tcBorders>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highlight w:val="none"/>
              </w:rPr>
            </w:pPr>
          </w:p>
        </w:tc>
        <w:tc>
          <w:tcPr>
            <w:tcW w:w="6320" w:type="dxa"/>
            <w:tcBorders>
              <w:top w:val="nil"/>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投标人有固定的资质齐全的种植基地及能保证药品储存条件的仓储、投标人质检设备设施情况：</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（1）中药饮片仓储仓储环境面积须在2000平方米（含）以上，每增加 100 平方米加 1 分，最高得8分（须提供房产证或租赁合同复印件并加盖公章，同时附平面图）；</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（2）所投中药饮片生产厂家配置大型（5万元及以上）检验设备（如高效液相色谱仪、原子吸收分光光度计、气象色谱仪等）每5台/套得1分，最高得7分。（须提供生产厂家购置发票）</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（如果没有按要求提供相关证明材料的，得0分）</w:t>
            </w:r>
          </w:p>
        </w:tc>
        <w:tc>
          <w:tcPr>
            <w:tcW w:w="1252" w:type="dxa"/>
            <w:tcBorders>
              <w:top w:val="nil"/>
              <w:left w:val="nil"/>
              <w:bottom w:val="single" w:color="auto" w:sz="4" w:space="0"/>
              <w:right w:val="single" w:color="auto" w:sz="4" w:space="0"/>
            </w:tcBorders>
            <w:noWrap w:val="0"/>
            <w:vAlign w:val="top"/>
          </w:tcPr>
          <w:p>
            <w:pPr>
              <w:widowControl/>
              <w:jc w:val="both"/>
              <w:rPr>
                <w:rFonts w:hint="eastAsia" w:ascii="微软雅黑" w:hAnsi="微软雅黑" w:eastAsia="微软雅黑" w:cs="微软雅黑"/>
                <w:color w:val="000000"/>
                <w:kern w:val="0"/>
                <w:sz w:val="18"/>
                <w:szCs w:val="18"/>
                <w:highlight w:val="none"/>
              </w:rPr>
            </w:pPr>
          </w:p>
        </w:tc>
      </w:tr>
      <w:tr>
        <w:tblPrEx>
          <w:tblCellMar>
            <w:top w:w="0" w:type="dxa"/>
            <w:left w:w="108" w:type="dxa"/>
            <w:bottom w:w="0" w:type="dxa"/>
            <w:right w:w="108" w:type="dxa"/>
          </w:tblCellMar>
        </w:tblPrEx>
        <w:trPr>
          <w:trHeight w:val="546" w:hRule="atLeast"/>
          <w:jc w:val="center"/>
        </w:trPr>
        <w:tc>
          <w:tcPr>
            <w:tcW w:w="8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rPr>
            </w:pPr>
          </w:p>
        </w:tc>
        <w:tc>
          <w:tcPr>
            <w:tcW w:w="800" w:type="dxa"/>
            <w:tcBorders>
              <w:top w:val="nil"/>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供货方案及进度计划</w:t>
            </w:r>
          </w:p>
          <w:p>
            <w:pPr>
              <w:widowControl/>
              <w:jc w:val="left"/>
              <w:rPr>
                <w:rFonts w:hint="eastAsia" w:ascii="微软雅黑" w:hAnsi="微软雅黑" w:eastAsia="微软雅黑" w:cs="微软雅黑"/>
                <w:kern w:val="2"/>
                <w:sz w:val="21"/>
                <w:szCs w:val="24"/>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rPr>
              <w:t>（12分）</w:t>
            </w:r>
          </w:p>
        </w:tc>
        <w:tc>
          <w:tcPr>
            <w:tcW w:w="6320" w:type="dxa"/>
            <w:tcBorders>
              <w:top w:val="nil"/>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（1）整体供货方案及进度计划达到以下要求的，得9-12分：组织计划优，职责分工明确、角色安排合理、工作流程设计合理、实施进度计划合理可行；</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（2）整体供货方案及进度计划达到以下要求的，得5-8分：组织计划一般，职责分工较为明确、角色安排较为合理、工作流程设计较为合理、实施进度计划一般；</w:t>
            </w:r>
          </w:p>
          <w:p>
            <w:pPr>
              <w:widowControl/>
              <w:jc w:val="left"/>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rPr>
              <w:t>（3）整体供货方案及进度计划达到以下要求的，得0-4分：组织计划较差，职责分工不太明确、角色安排不太合理、工作流程设计不太合理、实施进度计划一般。</w:t>
            </w:r>
          </w:p>
        </w:tc>
        <w:tc>
          <w:tcPr>
            <w:tcW w:w="1252" w:type="dxa"/>
            <w:tcBorders>
              <w:top w:val="nil"/>
              <w:left w:val="nil"/>
              <w:bottom w:val="single" w:color="auto" w:sz="4" w:space="0"/>
              <w:right w:val="single" w:color="auto" w:sz="4" w:space="0"/>
            </w:tcBorders>
            <w:noWrap w:val="0"/>
            <w:vAlign w:val="top"/>
          </w:tcPr>
          <w:p>
            <w:pPr>
              <w:widowControl/>
              <w:jc w:val="center"/>
              <w:rPr>
                <w:rFonts w:hint="eastAsia" w:ascii="微软雅黑" w:hAnsi="微软雅黑" w:eastAsia="微软雅黑" w:cs="微软雅黑"/>
                <w:color w:val="000000"/>
                <w:kern w:val="0"/>
                <w:sz w:val="18"/>
                <w:szCs w:val="18"/>
                <w:highlight w:val="none"/>
              </w:rPr>
            </w:pPr>
          </w:p>
        </w:tc>
      </w:tr>
      <w:tr>
        <w:tblPrEx>
          <w:tblCellMar>
            <w:top w:w="0" w:type="dxa"/>
            <w:left w:w="108" w:type="dxa"/>
            <w:bottom w:w="0" w:type="dxa"/>
            <w:right w:w="108" w:type="dxa"/>
          </w:tblCellMar>
        </w:tblPrEx>
        <w:trPr>
          <w:trHeight w:val="90" w:hRule="atLeast"/>
          <w:jc w:val="center"/>
        </w:trPr>
        <w:tc>
          <w:tcPr>
            <w:tcW w:w="880" w:type="dxa"/>
            <w:vMerge w:val="restart"/>
            <w:tcBorders>
              <w:top w:val="nil"/>
              <w:left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商务因素</w:t>
            </w:r>
          </w:p>
          <w:p>
            <w:pPr>
              <w:pStyle w:val="5"/>
              <w:ind w:left="0" w:leftChars="0" w:firstLine="0" w:firstLineChars="0"/>
              <w:rPr>
                <w:rFonts w:hint="eastAsia" w:ascii="微软雅黑" w:hAnsi="微软雅黑" w:eastAsia="微软雅黑" w:cs="微软雅黑"/>
                <w:kern w:val="0"/>
                <w:sz w:val="24"/>
                <w:szCs w:val="20"/>
                <w:highlight w:val="none"/>
                <w:lang w:val="en-US" w:eastAsia="zh-CN" w:bidi="ar-SA"/>
              </w:rPr>
            </w:pPr>
            <w:r>
              <w:rPr>
                <w:rFonts w:hint="eastAsia" w:ascii="微软雅黑" w:hAnsi="微软雅黑" w:eastAsia="微软雅黑" w:cs="微软雅黑"/>
                <w:color w:val="000000"/>
                <w:kern w:val="0"/>
                <w:sz w:val="18"/>
                <w:szCs w:val="18"/>
                <w:highlight w:val="none"/>
                <w:lang w:eastAsia="zh-CN"/>
              </w:rPr>
              <w:t>（</w:t>
            </w:r>
            <w:r>
              <w:rPr>
                <w:rFonts w:hint="eastAsia" w:ascii="微软雅黑" w:hAnsi="微软雅黑" w:eastAsia="微软雅黑" w:cs="微软雅黑"/>
                <w:color w:val="000000"/>
                <w:kern w:val="0"/>
                <w:sz w:val="18"/>
                <w:szCs w:val="18"/>
                <w:highlight w:val="none"/>
                <w:lang w:val="en-US" w:eastAsia="zh-CN"/>
              </w:rPr>
              <w:t>18分</w:t>
            </w:r>
            <w:r>
              <w:rPr>
                <w:rFonts w:hint="eastAsia" w:ascii="微软雅黑" w:hAnsi="微软雅黑" w:eastAsia="微软雅黑" w:cs="微软雅黑"/>
                <w:color w:val="000000"/>
                <w:kern w:val="0"/>
                <w:sz w:val="18"/>
                <w:szCs w:val="18"/>
                <w:highlight w:val="none"/>
                <w:lang w:eastAsia="zh-CN"/>
              </w:rPr>
              <w:t>）</w:t>
            </w:r>
          </w:p>
        </w:tc>
        <w:tc>
          <w:tcPr>
            <w:tcW w:w="800" w:type="dxa"/>
            <w:tcBorders>
              <w:top w:val="nil"/>
              <w:left w:val="nil"/>
              <w:bottom w:val="single" w:color="auto" w:sz="4" w:space="0"/>
              <w:right w:val="single" w:color="auto" w:sz="4" w:space="0"/>
            </w:tcBorders>
            <w:noWrap w:val="0"/>
            <w:vAlign w:val="center"/>
          </w:tcPr>
          <w:p>
            <w:pPr>
              <w:widowControl/>
              <w:jc w:val="center"/>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rPr>
              <w:t>业绩（</w:t>
            </w:r>
            <w:r>
              <w:rPr>
                <w:rFonts w:hint="eastAsia" w:ascii="微软雅黑" w:hAnsi="微软雅黑" w:eastAsia="微软雅黑" w:cs="微软雅黑"/>
                <w:color w:val="000000"/>
                <w:kern w:val="0"/>
                <w:sz w:val="18"/>
                <w:szCs w:val="18"/>
                <w:highlight w:val="none"/>
                <w:lang w:val="en-US" w:eastAsia="zh-CN"/>
              </w:rPr>
              <w:t>6</w:t>
            </w:r>
            <w:r>
              <w:rPr>
                <w:rFonts w:hint="eastAsia" w:ascii="微软雅黑" w:hAnsi="微软雅黑" w:eastAsia="微软雅黑" w:cs="微软雅黑"/>
                <w:color w:val="000000"/>
                <w:kern w:val="0"/>
                <w:sz w:val="18"/>
                <w:szCs w:val="18"/>
                <w:highlight w:val="none"/>
              </w:rPr>
              <w:t>分）</w:t>
            </w:r>
          </w:p>
        </w:tc>
        <w:tc>
          <w:tcPr>
            <w:tcW w:w="6320" w:type="dxa"/>
            <w:tcBorders>
              <w:top w:val="nil"/>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rPr>
              <w:t>提供近三年内类似项目业绩，中标通知书或采购合同，每提供 1 项业绩得 2 分，满分6分。</w:t>
            </w:r>
          </w:p>
        </w:tc>
        <w:tc>
          <w:tcPr>
            <w:tcW w:w="1252" w:type="dxa"/>
            <w:tcBorders>
              <w:top w:val="nil"/>
              <w:left w:val="nil"/>
              <w:bottom w:val="single" w:color="auto" w:sz="4" w:space="0"/>
              <w:right w:val="single" w:color="auto" w:sz="4" w:space="0"/>
            </w:tcBorders>
            <w:noWrap w:val="0"/>
            <w:vAlign w:val="top"/>
          </w:tcPr>
          <w:p>
            <w:pPr>
              <w:widowControl/>
              <w:jc w:val="center"/>
              <w:rPr>
                <w:rFonts w:hint="eastAsia" w:ascii="微软雅黑" w:hAnsi="微软雅黑" w:eastAsia="微软雅黑" w:cs="微软雅黑"/>
                <w:color w:val="000000"/>
                <w:kern w:val="0"/>
                <w:sz w:val="18"/>
                <w:szCs w:val="18"/>
                <w:highlight w:val="none"/>
              </w:rPr>
            </w:pPr>
          </w:p>
        </w:tc>
      </w:tr>
      <w:tr>
        <w:tblPrEx>
          <w:tblCellMar>
            <w:top w:w="0" w:type="dxa"/>
            <w:left w:w="108" w:type="dxa"/>
            <w:bottom w:w="0" w:type="dxa"/>
            <w:right w:w="108" w:type="dxa"/>
          </w:tblCellMar>
        </w:tblPrEx>
        <w:trPr>
          <w:trHeight w:val="886" w:hRule="atLeast"/>
          <w:jc w:val="center"/>
        </w:trPr>
        <w:tc>
          <w:tcPr>
            <w:tcW w:w="880" w:type="dxa"/>
            <w:vMerge w:val="continue"/>
            <w:tcBorders>
              <w:left w:val="single" w:color="auto" w:sz="4" w:space="0"/>
              <w:bottom w:val="single" w:color="auto" w:sz="4" w:space="0"/>
              <w:right w:val="single" w:color="auto" w:sz="4" w:space="0"/>
            </w:tcBorders>
            <w:noWrap w:val="0"/>
            <w:vAlign w:val="center"/>
          </w:tcPr>
          <w:p>
            <w:pPr>
              <w:pStyle w:val="5"/>
              <w:ind w:left="0" w:leftChars="0" w:firstLine="0" w:firstLineChars="0"/>
              <w:rPr>
                <w:rFonts w:hint="eastAsia" w:ascii="微软雅黑" w:hAnsi="微软雅黑" w:eastAsia="微软雅黑" w:cs="微软雅黑"/>
                <w:highlight w:val="none"/>
                <w:lang w:eastAsia="zh-CN"/>
              </w:rPr>
            </w:pPr>
          </w:p>
        </w:tc>
        <w:tc>
          <w:tcPr>
            <w:tcW w:w="800" w:type="dxa"/>
            <w:tcBorders>
              <w:top w:val="nil"/>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售后服务方案</w:t>
            </w:r>
          </w:p>
          <w:p>
            <w:pPr>
              <w:widowControl/>
              <w:jc w:val="left"/>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rPr>
              <w:t>（12分）</w:t>
            </w:r>
          </w:p>
        </w:tc>
        <w:tc>
          <w:tcPr>
            <w:tcW w:w="6320" w:type="dxa"/>
            <w:tcBorders>
              <w:top w:val="nil"/>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为保证本项目后期货物的售后服务的有效性，投标人须具有对售后服务保障措施方案，（包括供货支持能力；质量保证期内调换货响应时间；售后服务内容及承诺是否合理。）</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1）售后服务方案编制合理，内容充实，能证明投标商有完全满足招标文件要求的供货支持能力（证明材料为：产品现有仓储含量或生产厂家提供的针对本项目的产品预售合同/销售合同、现有团队人员社保缴纳凭证），质量保证期内调换货的响应时间在4小时以内的，售后服务内容及承诺合情合理的得12分；</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2）售后服务方案编制合理，内容充实，能证明投标商有基本满足招标文件要求的供货支持能力（证明材料为：产品现有仓储含量或生产厂家提供的针对本项目的产品预售合同/销售合同、现有团队人员社保缴纳凭证），质量保证期内调换货的响应时间在4-8小时以内的，售后服务内容及承诺合情合理的得8分；</w:t>
            </w:r>
          </w:p>
          <w:p>
            <w:pPr>
              <w:widowControl/>
              <w:jc w:val="left"/>
              <w:rPr>
                <w:rFonts w:hint="eastAsia" w:ascii="微软雅黑" w:hAnsi="微软雅黑" w:eastAsia="微软雅黑" w:cs="微软雅黑"/>
                <w:color w:val="000000"/>
                <w:kern w:val="0"/>
                <w:sz w:val="18"/>
                <w:szCs w:val="18"/>
                <w:highlight w:val="none"/>
                <w:lang w:val="en-US" w:eastAsia="zh-CN"/>
              </w:rPr>
            </w:pPr>
            <w:r>
              <w:rPr>
                <w:rFonts w:hint="eastAsia" w:ascii="微软雅黑" w:hAnsi="微软雅黑" w:eastAsia="微软雅黑" w:cs="微软雅黑"/>
                <w:color w:val="000000"/>
                <w:kern w:val="0"/>
                <w:sz w:val="18"/>
                <w:szCs w:val="18"/>
                <w:highlight w:val="none"/>
                <w:lang w:val="en-US" w:eastAsia="zh-CN"/>
              </w:rPr>
              <w:t>（3）售后服务方案编制合理，内容一般，不能证明投标商可以满足招标文件要求的供货支持能力（证明材料为：产品现有仓储含量或生产厂家提供的针对本项目的产品预售合同/销售合同、现有团队人员社保缴纳凭证），质量保证期内调换货的响应时间在8小时以外,24小时以内的，售后服务内容及承诺合情合理的得4分。</w:t>
            </w:r>
          </w:p>
          <w:p>
            <w:pPr>
              <w:widowControl/>
              <w:jc w:val="left"/>
              <w:rPr>
                <w:rFonts w:hint="eastAsia" w:ascii="微软雅黑" w:hAnsi="微软雅黑" w:eastAsia="微软雅黑" w:cs="微软雅黑"/>
                <w:color w:val="000000"/>
                <w:kern w:val="0"/>
                <w:sz w:val="18"/>
                <w:szCs w:val="18"/>
                <w:highlight w:val="none"/>
                <w:lang w:val="en-US" w:eastAsia="zh-CN" w:bidi="ar-SA"/>
              </w:rPr>
            </w:pPr>
            <w:r>
              <w:rPr>
                <w:rFonts w:hint="eastAsia" w:ascii="微软雅黑" w:hAnsi="微软雅黑" w:eastAsia="微软雅黑" w:cs="微软雅黑"/>
                <w:color w:val="000000"/>
                <w:kern w:val="0"/>
                <w:sz w:val="18"/>
                <w:szCs w:val="18"/>
                <w:highlight w:val="none"/>
                <w:lang w:val="en-US" w:eastAsia="zh-CN"/>
              </w:rPr>
              <w:t>不能按要求提供相关材料的不得分。</w:t>
            </w:r>
          </w:p>
        </w:tc>
        <w:tc>
          <w:tcPr>
            <w:tcW w:w="1252" w:type="dxa"/>
            <w:tcBorders>
              <w:top w:val="nil"/>
              <w:left w:val="nil"/>
              <w:bottom w:val="single" w:color="auto" w:sz="4" w:space="0"/>
              <w:right w:val="single" w:color="auto" w:sz="4" w:space="0"/>
            </w:tcBorders>
            <w:noWrap w:val="0"/>
            <w:vAlign w:val="top"/>
          </w:tcPr>
          <w:p>
            <w:pPr>
              <w:widowControl/>
              <w:jc w:val="center"/>
              <w:rPr>
                <w:rFonts w:hint="eastAsia" w:ascii="微软雅黑" w:hAnsi="微软雅黑" w:eastAsia="微软雅黑" w:cs="微软雅黑"/>
                <w:color w:val="000000"/>
                <w:kern w:val="0"/>
                <w:sz w:val="18"/>
                <w:szCs w:val="18"/>
                <w:highlight w:val="none"/>
              </w:rPr>
            </w:pPr>
          </w:p>
        </w:tc>
      </w:tr>
      <w:tr>
        <w:tblPrEx>
          <w:tblCellMar>
            <w:top w:w="0" w:type="dxa"/>
            <w:left w:w="108" w:type="dxa"/>
            <w:bottom w:w="0" w:type="dxa"/>
            <w:right w:w="108" w:type="dxa"/>
          </w:tblCellMar>
        </w:tblPrEx>
        <w:trPr>
          <w:trHeight w:val="285" w:hRule="atLeast"/>
          <w:jc w:val="center"/>
        </w:trPr>
        <w:tc>
          <w:tcPr>
            <w:tcW w:w="8000"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微软雅黑" w:hAnsi="微软雅黑" w:eastAsia="微软雅黑" w:cs="微软雅黑"/>
                <w:kern w:val="0"/>
                <w:sz w:val="18"/>
                <w:szCs w:val="18"/>
                <w:highlight w:val="none"/>
              </w:rPr>
            </w:pPr>
            <w:r>
              <w:rPr>
                <w:rFonts w:hint="eastAsia" w:ascii="微软雅黑" w:hAnsi="微软雅黑" w:eastAsia="微软雅黑" w:cs="微软雅黑"/>
                <w:kern w:val="0"/>
                <w:sz w:val="18"/>
                <w:szCs w:val="18"/>
                <w:highlight w:val="none"/>
              </w:rPr>
              <w:t>最后得分</w:t>
            </w:r>
          </w:p>
        </w:tc>
        <w:tc>
          <w:tcPr>
            <w:tcW w:w="1252" w:type="dxa"/>
            <w:tcBorders>
              <w:top w:val="nil"/>
              <w:left w:val="nil"/>
              <w:bottom w:val="single" w:color="auto" w:sz="4" w:space="0"/>
              <w:right w:val="single" w:color="auto" w:sz="4" w:space="0"/>
            </w:tcBorders>
            <w:noWrap w:val="0"/>
            <w:vAlign w:val="center"/>
          </w:tcPr>
          <w:p>
            <w:pPr>
              <w:widowControl/>
              <w:jc w:val="left"/>
              <w:rPr>
                <w:rFonts w:hint="eastAsia" w:ascii="微软雅黑" w:hAnsi="微软雅黑" w:eastAsia="微软雅黑" w:cs="微软雅黑"/>
                <w:kern w:val="0"/>
                <w:sz w:val="18"/>
                <w:szCs w:val="18"/>
                <w:highlight w:val="none"/>
              </w:rPr>
            </w:pPr>
          </w:p>
        </w:tc>
      </w:tr>
    </w:tbl>
    <w:p/>
    <w:p>
      <w:pPr>
        <w:pStyle w:val="5"/>
      </w:pPr>
    </w:p>
    <w:p>
      <w:pPr>
        <w:pStyle w:val="27"/>
        <w:ind w:firstLine="480"/>
      </w:pPr>
    </w:p>
    <w:p/>
    <w:p/>
    <w:p/>
    <w:p/>
    <w:p/>
    <w:p/>
    <w:p>
      <w:pPr>
        <w:rPr>
          <w:rFonts w:ascii="微软雅黑" w:hAnsi="微软雅黑" w:eastAsia="微软雅黑" w:cs="微软雅黑"/>
          <w:b/>
          <w:bCs/>
          <w:sz w:val="40"/>
          <w:szCs w:val="40"/>
        </w:rPr>
      </w:pPr>
    </w:p>
    <w:p/>
    <w:p>
      <w:pPr>
        <w:rPr>
          <w:rFonts w:ascii="微软雅黑" w:hAnsi="微软雅黑" w:eastAsia="微软雅黑" w:cs="微软雅黑"/>
          <w:b/>
          <w:bCs/>
          <w:sz w:val="44"/>
          <w:szCs w:val="44"/>
        </w:rPr>
      </w:pPr>
    </w:p>
    <w:p>
      <w:pPr>
        <w:pStyle w:val="5"/>
        <w:rPr>
          <w:rFonts w:ascii="微软雅黑" w:hAnsi="微软雅黑" w:eastAsia="微软雅黑" w:cs="微软雅黑"/>
          <w:b/>
          <w:bCs/>
          <w:sz w:val="44"/>
          <w:szCs w:val="44"/>
        </w:rPr>
      </w:pPr>
    </w:p>
    <w:p>
      <w:pPr>
        <w:rPr>
          <w:rFonts w:ascii="微软雅黑" w:hAnsi="微软雅黑" w:eastAsia="微软雅黑" w:cs="微软雅黑"/>
          <w:b/>
          <w:bCs/>
          <w:sz w:val="44"/>
          <w:szCs w:val="44"/>
        </w:rPr>
      </w:pPr>
    </w:p>
    <w:p>
      <w:pPr>
        <w:pStyle w:val="5"/>
        <w:rPr>
          <w:rFonts w:ascii="微软雅黑" w:hAnsi="微软雅黑" w:eastAsia="微软雅黑" w:cs="微软雅黑"/>
          <w:b/>
          <w:bCs/>
          <w:sz w:val="44"/>
          <w:szCs w:val="44"/>
        </w:rPr>
      </w:pPr>
    </w:p>
    <w:p>
      <w:pPr>
        <w:rPr>
          <w:rFonts w:ascii="微软雅黑" w:hAnsi="微软雅黑" w:eastAsia="微软雅黑" w:cs="微软雅黑"/>
          <w:b/>
          <w:bCs/>
          <w:sz w:val="44"/>
          <w:szCs w:val="44"/>
        </w:rPr>
      </w:pPr>
    </w:p>
    <w:p>
      <w:pPr>
        <w:pStyle w:val="5"/>
        <w:rPr>
          <w:rFonts w:ascii="微软雅黑" w:hAnsi="微软雅黑" w:eastAsia="微软雅黑" w:cs="微软雅黑"/>
          <w:b/>
          <w:bCs/>
          <w:sz w:val="44"/>
          <w:szCs w:val="44"/>
        </w:rPr>
      </w:pPr>
    </w:p>
    <w:p>
      <w:pPr>
        <w:pStyle w:val="9"/>
        <w:rPr>
          <w:rFonts w:ascii="微软雅黑" w:hAnsi="微软雅黑" w:eastAsia="微软雅黑" w:cs="微软雅黑"/>
          <w:b/>
          <w:bCs/>
          <w:sz w:val="44"/>
          <w:szCs w:val="44"/>
        </w:rPr>
      </w:pPr>
    </w:p>
    <w:p/>
    <w:p>
      <w:pPr>
        <w:jc w:val="center"/>
        <w:rPr>
          <w:rFonts w:hint="eastAsia" w:ascii="微软雅黑" w:hAnsi="微软雅黑" w:eastAsia="微软雅黑" w:cs="微软雅黑"/>
          <w:b/>
          <w:bCs/>
          <w:sz w:val="44"/>
          <w:szCs w:val="44"/>
          <w:lang w:eastAsia="zh-CN"/>
        </w:rPr>
      </w:pPr>
      <w:r>
        <w:rPr>
          <w:rFonts w:hint="eastAsia" w:ascii="微软雅黑" w:hAnsi="微软雅黑" w:eastAsia="微软雅黑" w:cs="微软雅黑"/>
          <w:b/>
          <w:bCs/>
          <w:sz w:val="44"/>
          <w:szCs w:val="44"/>
          <w:lang w:eastAsia="zh-CN"/>
        </w:rPr>
        <w:t>疏附县人民医院医共体成员单位中药饮片采购项目</w:t>
      </w:r>
    </w:p>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招 标 文 件</w:t>
      </w:r>
    </w:p>
    <w:p>
      <w:pPr>
        <w:jc w:val="center"/>
        <w:rPr>
          <w:rFonts w:ascii="微软雅黑" w:hAnsi="微软雅黑" w:eastAsia="微软雅黑" w:cs="微软雅黑"/>
          <w:b/>
          <w:bCs/>
          <w:sz w:val="40"/>
          <w:szCs w:val="40"/>
        </w:rPr>
      </w:pPr>
    </w:p>
    <w:p>
      <w:pPr>
        <w:jc w:val="center"/>
        <w:rPr>
          <w:rFonts w:ascii="微软雅黑" w:hAnsi="微软雅黑" w:eastAsia="微软雅黑" w:cs="微软雅黑"/>
          <w:b/>
          <w:bCs/>
          <w:sz w:val="32"/>
          <w:szCs w:val="32"/>
        </w:rPr>
      </w:pPr>
      <w:r>
        <w:rPr>
          <w:rFonts w:hint="eastAsia" w:ascii="微软雅黑" w:hAnsi="微软雅黑" w:eastAsia="微软雅黑" w:cs="微软雅黑"/>
          <w:b/>
          <w:bCs/>
          <w:sz w:val="40"/>
          <w:szCs w:val="40"/>
        </w:rPr>
        <w:t>项目编号：YXGJ(GK)2023-1</w:t>
      </w:r>
      <w:r>
        <w:rPr>
          <w:rFonts w:hint="eastAsia" w:ascii="微软雅黑" w:hAnsi="微软雅黑" w:eastAsia="微软雅黑" w:cs="微软雅黑"/>
          <w:b/>
          <w:bCs/>
          <w:sz w:val="40"/>
          <w:szCs w:val="40"/>
          <w:lang w:val="en-US" w:eastAsia="zh-CN"/>
        </w:rPr>
        <w:t>6</w:t>
      </w:r>
      <w:r>
        <w:rPr>
          <w:rFonts w:hint="eastAsia" w:ascii="微软雅黑" w:hAnsi="微软雅黑" w:eastAsia="微软雅黑" w:cs="微软雅黑"/>
          <w:b/>
          <w:bCs/>
          <w:sz w:val="40"/>
          <w:szCs w:val="40"/>
        </w:rPr>
        <w:t>号</w:t>
      </w:r>
    </w:p>
    <w:p>
      <w:pPr>
        <w:pStyle w:val="26"/>
        <w:spacing w:line="240" w:lineRule="auto"/>
      </w:pPr>
    </w:p>
    <w:p/>
    <w:p>
      <w:pPr>
        <w:jc w:val="center"/>
        <w:rPr>
          <w:rFonts w:ascii="微软雅黑" w:hAnsi="微软雅黑" w:eastAsia="微软雅黑" w:cs="微软雅黑"/>
          <w:b/>
          <w:bCs/>
          <w:sz w:val="40"/>
          <w:szCs w:val="40"/>
        </w:rPr>
      </w:pPr>
    </w:p>
    <w:p>
      <w:pPr>
        <w:jc w:val="center"/>
        <w:rPr>
          <w:rFonts w:ascii="微软雅黑" w:hAnsi="微软雅黑" w:eastAsia="微软雅黑" w:cs="微软雅黑"/>
          <w:b/>
          <w:bCs/>
          <w:sz w:val="40"/>
          <w:szCs w:val="40"/>
        </w:rPr>
      </w:pPr>
      <w:bookmarkStart w:id="717" w:name="_Toc28212"/>
      <w:r>
        <w:rPr>
          <w:rFonts w:hint="eastAsia" w:ascii="微软雅黑" w:hAnsi="微软雅黑" w:eastAsia="微软雅黑" w:cs="微软雅黑"/>
          <w:b/>
          <w:bCs/>
          <w:sz w:val="40"/>
          <w:szCs w:val="40"/>
        </w:rPr>
        <w:t>第 三 册</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pPr>
        <w:jc w:val="center"/>
        <w:rPr>
          <w:rFonts w:ascii="微软雅黑" w:hAnsi="微软雅黑" w:eastAsia="微软雅黑" w:cs="微软雅黑"/>
          <w:b/>
          <w:bCs/>
          <w:sz w:val="32"/>
          <w:szCs w:val="32"/>
        </w:rPr>
      </w:pPr>
    </w:p>
    <w:p>
      <w:pPr>
        <w:ind w:left="1080" w:leftChars="257" w:hanging="540"/>
        <w:jc w:val="center"/>
        <w:rPr>
          <w:rFonts w:ascii="微软雅黑" w:hAnsi="微软雅黑" w:eastAsia="微软雅黑" w:cs="微软雅黑"/>
          <w:b/>
          <w:bCs/>
          <w:sz w:val="52"/>
          <w:szCs w:val="52"/>
        </w:rPr>
      </w:pPr>
    </w:p>
    <w:p>
      <w:pPr>
        <w:ind w:left="1080" w:leftChars="257" w:hanging="540"/>
        <w:jc w:val="center"/>
        <w:rPr>
          <w:rFonts w:ascii="微软雅黑" w:hAnsi="微软雅黑" w:eastAsia="微软雅黑" w:cs="微软雅黑"/>
          <w:b/>
          <w:bCs/>
          <w:sz w:val="52"/>
          <w:szCs w:val="52"/>
        </w:rPr>
      </w:pPr>
    </w:p>
    <w:p>
      <w:pPr>
        <w:rPr>
          <w:rFonts w:ascii="微软雅黑" w:hAnsi="微软雅黑" w:eastAsia="微软雅黑" w:cs="微软雅黑"/>
          <w:b/>
          <w:bCs/>
          <w:sz w:val="52"/>
          <w:szCs w:val="52"/>
        </w:rPr>
        <w:sectPr>
          <w:pgSz w:w="11905" w:h="16838"/>
          <w:pgMar w:top="1440" w:right="1083" w:bottom="1440" w:left="1083" w:header="851" w:footer="992" w:gutter="0"/>
          <w:cols w:space="0" w:num="1"/>
          <w:rtlGutter w:val="0"/>
          <w:docGrid w:linePitch="462" w:charSpace="0"/>
        </w:sectPr>
      </w:pPr>
    </w:p>
    <w:bookmarkEnd w:id="697"/>
    <w:p>
      <w:pPr>
        <w:pStyle w:val="3"/>
        <w:spacing w:line="240" w:lineRule="auto"/>
        <w:rPr>
          <w:rFonts w:ascii="微软雅黑" w:hAnsi="微软雅黑" w:eastAsia="微软雅黑" w:cs="微软雅黑"/>
        </w:rPr>
      </w:pPr>
      <w:bookmarkStart w:id="718" w:name="_Toc6865"/>
      <w:bookmarkStart w:id="719" w:name="_Toc4796"/>
      <w:bookmarkStart w:id="720" w:name="_Toc515647833"/>
      <w:bookmarkStart w:id="721" w:name="_Toc12089"/>
      <w:bookmarkStart w:id="722" w:name="_Toc22186"/>
      <w:r>
        <w:rPr>
          <w:rFonts w:hint="eastAsia" w:ascii="微软雅黑" w:hAnsi="微软雅黑" w:eastAsia="微软雅黑" w:cs="微软雅黑"/>
        </w:rPr>
        <w:t>第7章 政府采购合同</w:t>
      </w:r>
      <w:bookmarkEnd w:id="718"/>
      <w:bookmarkEnd w:id="719"/>
      <w:bookmarkEnd w:id="720"/>
      <w:bookmarkEnd w:id="721"/>
      <w:bookmarkEnd w:id="722"/>
      <w:bookmarkStart w:id="723" w:name="_Hlt487972895"/>
      <w:bookmarkEnd w:id="723"/>
      <w:bookmarkStart w:id="724" w:name="_Toc487900382"/>
      <w:bookmarkStart w:id="725" w:name="_Toc216513788"/>
    </w:p>
    <w:bookmarkEnd w:id="724"/>
    <w:bookmarkEnd w:id="725"/>
    <w:p>
      <w:pPr>
        <w:rPr>
          <w:rFonts w:ascii="微软雅黑" w:hAnsi="微软雅黑" w:eastAsia="微软雅黑" w:cs="微软雅黑"/>
        </w:rPr>
      </w:pPr>
    </w:p>
    <w:p>
      <w:pPr>
        <w:rPr>
          <w:rFonts w:ascii="微软雅黑" w:hAnsi="微软雅黑" w:eastAsia="微软雅黑" w:cs="微软雅黑"/>
        </w:rPr>
      </w:pPr>
      <w:r>
        <w:rPr>
          <w:rFonts w:hint="eastAsia" w:ascii="微软雅黑" w:hAnsi="微软雅黑" w:eastAsia="微软雅黑" w:cs="微软雅黑"/>
          <w:sz w:val="24"/>
          <w:szCs w:val="24"/>
        </w:rPr>
        <w:t xml:space="preserve">合同编号：   </w:t>
      </w:r>
      <w:r>
        <w:rPr>
          <w:rFonts w:hint="eastAsia" w:ascii="微软雅黑" w:hAnsi="微软雅黑" w:eastAsia="微软雅黑" w:cs="微软雅黑"/>
        </w:rPr>
        <w:t xml:space="preserve">        </w:t>
      </w:r>
    </w:p>
    <w:p>
      <w:pPr>
        <w:rPr>
          <w:rFonts w:ascii="微软雅黑" w:hAnsi="微软雅黑" w:eastAsia="微软雅黑" w:cs="微软雅黑"/>
        </w:rPr>
      </w:pPr>
    </w:p>
    <w:p>
      <w:pPr>
        <w:rPr>
          <w:rFonts w:ascii="微软雅黑" w:hAnsi="微软雅黑" w:eastAsia="微软雅黑" w:cs="微软雅黑"/>
        </w:rPr>
      </w:pPr>
    </w:p>
    <w:p>
      <w:pPr>
        <w:rPr>
          <w:rFonts w:ascii="微软雅黑" w:hAnsi="微软雅黑" w:eastAsia="微软雅黑" w:cs="微软雅黑"/>
        </w:rPr>
      </w:pPr>
    </w:p>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政府采购合同参考范本</w:t>
      </w:r>
    </w:p>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（货物类）</w:t>
      </w:r>
    </w:p>
    <w:p>
      <w:pPr>
        <w:rPr>
          <w:rFonts w:ascii="微软雅黑" w:hAnsi="微软雅黑" w:eastAsia="微软雅黑" w:cs="微软雅黑"/>
        </w:rPr>
      </w:pPr>
    </w:p>
    <w:p>
      <w:pPr>
        <w:rPr>
          <w:rFonts w:ascii="微软雅黑" w:hAnsi="微软雅黑" w:eastAsia="微软雅黑" w:cs="微软雅黑"/>
        </w:rPr>
      </w:pPr>
    </w:p>
    <w:p>
      <w:pPr>
        <w:pStyle w:val="52"/>
        <w:ind w:firstLine="0"/>
        <w:jc w:val="center"/>
        <w:rPr>
          <w:rFonts w:ascii="微软雅黑" w:hAnsi="微软雅黑" w:eastAsia="微软雅黑" w:cs="微软雅黑"/>
          <w:b/>
          <w:bCs/>
        </w:rPr>
      </w:pPr>
      <w:r>
        <w:rPr>
          <w:rFonts w:hint="eastAsia" w:ascii="微软雅黑" w:hAnsi="微软雅黑" w:eastAsia="微软雅黑" w:cs="微软雅黑"/>
          <w:b/>
          <w:bCs/>
        </w:rPr>
        <w:t>第一部分 合同书</w:t>
      </w:r>
    </w:p>
    <w:p>
      <w:pPr>
        <w:rPr>
          <w:rFonts w:ascii="微软雅黑" w:hAnsi="微软雅黑" w:eastAsia="微软雅黑" w:cs="微软雅黑"/>
        </w:rPr>
      </w:pPr>
    </w:p>
    <w:p>
      <w:pPr>
        <w:spacing w:before="120"/>
        <w:ind w:left="960"/>
        <w:rPr>
          <w:rFonts w:ascii="微软雅黑" w:hAnsi="微软雅黑" w:eastAsia="微软雅黑" w:cs="微软雅黑"/>
          <w:sz w:val="24"/>
          <w:szCs w:val="24"/>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u w:val="single"/>
        </w:rPr>
        <w:t xml:space="preserve">                                   </w:t>
      </w:r>
    </w:p>
    <w:p>
      <w:pPr>
        <w:pStyle w:val="53"/>
        <w:spacing w:before="120" w:line="240" w:lineRule="auto"/>
        <w:rPr>
          <w:rFonts w:ascii="微软雅黑" w:hAnsi="微软雅黑" w:eastAsia="微软雅黑" w:cs="微软雅黑"/>
        </w:rPr>
      </w:pPr>
    </w:p>
    <w:p>
      <w:pPr>
        <w:pStyle w:val="53"/>
        <w:spacing w:before="120" w:line="240" w:lineRule="auto"/>
        <w:rPr>
          <w:rFonts w:ascii="微软雅黑" w:hAnsi="微软雅黑" w:eastAsia="微软雅黑" w:cs="微软雅黑"/>
        </w:rPr>
      </w:pPr>
    </w:p>
    <w:p>
      <w:pPr>
        <w:rPr>
          <w:rFonts w:ascii="微软雅黑" w:hAnsi="微软雅黑" w:eastAsia="微软雅黑" w:cs="微软雅黑"/>
        </w:rPr>
      </w:pPr>
    </w:p>
    <w:p>
      <w:pPr>
        <w:spacing w:before="120"/>
        <w:ind w:left="960"/>
        <w:rPr>
          <w:rFonts w:ascii="微软雅黑" w:hAnsi="微软雅黑" w:eastAsia="微软雅黑" w:cs="微软雅黑"/>
          <w:sz w:val="24"/>
          <w:szCs w:val="24"/>
          <w:u w:val="single"/>
        </w:rPr>
      </w:pPr>
      <w:r>
        <w:rPr>
          <w:rFonts w:hint="eastAsia" w:ascii="微软雅黑" w:hAnsi="微软雅黑" w:eastAsia="微软雅黑" w:cs="微软雅黑"/>
          <w:sz w:val="24"/>
          <w:szCs w:val="24"/>
        </w:rPr>
        <w:t>甲方：</w:t>
      </w:r>
      <w:r>
        <w:rPr>
          <w:rFonts w:hint="eastAsia" w:ascii="微软雅黑" w:hAnsi="微软雅黑" w:eastAsia="微软雅黑" w:cs="微软雅黑"/>
          <w:sz w:val="24"/>
          <w:szCs w:val="24"/>
          <w:u w:val="single"/>
        </w:rPr>
        <w:t xml:space="preserve">                                       </w:t>
      </w:r>
    </w:p>
    <w:p>
      <w:pPr>
        <w:spacing w:before="120"/>
        <w:rPr>
          <w:rFonts w:ascii="微软雅黑" w:hAnsi="微软雅黑" w:eastAsia="微软雅黑" w:cs="微软雅黑"/>
          <w:sz w:val="24"/>
          <w:szCs w:val="24"/>
        </w:rPr>
      </w:pPr>
    </w:p>
    <w:p>
      <w:pPr>
        <w:spacing w:before="120"/>
        <w:ind w:left="960"/>
        <w:rPr>
          <w:rFonts w:ascii="微软雅黑" w:hAnsi="微软雅黑" w:eastAsia="微软雅黑" w:cs="微软雅黑"/>
          <w:sz w:val="24"/>
          <w:szCs w:val="24"/>
          <w:u w:val="single"/>
        </w:rPr>
      </w:pPr>
      <w:r>
        <w:rPr>
          <w:rFonts w:hint="eastAsia" w:ascii="微软雅黑" w:hAnsi="微软雅黑" w:eastAsia="微软雅黑" w:cs="微软雅黑"/>
          <w:sz w:val="24"/>
          <w:szCs w:val="24"/>
        </w:rPr>
        <w:t>乙方：</w:t>
      </w:r>
      <w:r>
        <w:rPr>
          <w:rFonts w:hint="eastAsia" w:ascii="微软雅黑" w:hAnsi="微软雅黑" w:eastAsia="微软雅黑" w:cs="微软雅黑"/>
          <w:sz w:val="24"/>
          <w:szCs w:val="24"/>
          <w:u w:val="single"/>
        </w:rPr>
        <w:t xml:space="preserve">                                       </w:t>
      </w:r>
    </w:p>
    <w:p>
      <w:pPr>
        <w:spacing w:before="120"/>
        <w:rPr>
          <w:rFonts w:ascii="微软雅黑" w:hAnsi="微软雅黑" w:eastAsia="微软雅黑" w:cs="微软雅黑"/>
          <w:sz w:val="24"/>
          <w:szCs w:val="24"/>
        </w:rPr>
      </w:pPr>
    </w:p>
    <w:p>
      <w:pPr>
        <w:spacing w:before="120"/>
        <w:ind w:firstLine="960" w:firstLineChars="400"/>
        <w:rPr>
          <w:rFonts w:ascii="微软雅黑" w:hAnsi="微软雅黑" w:eastAsia="微软雅黑" w:cs="微软雅黑"/>
          <w:sz w:val="24"/>
          <w:szCs w:val="24"/>
          <w:u w:val="single"/>
        </w:rPr>
      </w:pPr>
      <w:r>
        <w:rPr>
          <w:rFonts w:hint="eastAsia" w:ascii="微软雅黑" w:hAnsi="微软雅黑" w:eastAsia="微软雅黑" w:cs="微软雅黑"/>
          <w:sz w:val="24"/>
          <w:szCs w:val="24"/>
        </w:rPr>
        <w:t>签订地：</w:t>
      </w:r>
      <w:r>
        <w:rPr>
          <w:rFonts w:hint="eastAsia" w:ascii="微软雅黑" w:hAnsi="微软雅黑" w:eastAsia="微软雅黑" w:cs="微软雅黑"/>
          <w:sz w:val="24"/>
          <w:szCs w:val="24"/>
          <w:u w:val="single"/>
        </w:rPr>
        <w:t xml:space="preserve">                                     </w:t>
      </w:r>
    </w:p>
    <w:p>
      <w:pPr>
        <w:spacing w:before="120"/>
        <w:rPr>
          <w:rFonts w:ascii="微软雅黑" w:hAnsi="微软雅黑" w:eastAsia="微软雅黑" w:cs="微软雅黑"/>
          <w:sz w:val="24"/>
          <w:szCs w:val="24"/>
        </w:rPr>
      </w:pPr>
    </w:p>
    <w:p>
      <w:pPr>
        <w:spacing w:before="120"/>
        <w:ind w:firstLine="960" w:firstLineChars="400"/>
        <w:rPr>
          <w:rFonts w:ascii="微软雅黑" w:hAnsi="微软雅黑" w:eastAsia="微软雅黑" w:cs="微软雅黑"/>
          <w:sz w:val="24"/>
          <w:szCs w:val="24"/>
          <w:u w:val="single"/>
        </w:rPr>
      </w:pPr>
      <w:r>
        <w:rPr>
          <w:rFonts w:hint="eastAsia" w:ascii="微软雅黑" w:hAnsi="微软雅黑" w:eastAsia="微软雅黑" w:cs="微软雅黑"/>
          <w:sz w:val="24"/>
          <w:szCs w:val="24"/>
        </w:rPr>
        <w:t>签订日期：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日</w:t>
      </w:r>
    </w:p>
    <w:p>
      <w:pPr>
        <w:autoSpaceDE w:val="0"/>
        <w:autoSpaceDN w:val="0"/>
        <w:adjustRightInd w:val="0"/>
        <w:ind w:firstLine="640"/>
        <w:jc w:val="center"/>
        <w:rPr>
          <w:rFonts w:ascii="微软雅黑" w:hAnsi="微软雅黑" w:eastAsia="微软雅黑" w:cs="微软雅黑"/>
          <w:sz w:val="24"/>
          <w:szCs w:val="24"/>
        </w:rPr>
        <w:sectPr>
          <w:footerReference r:id="rId7" w:type="default"/>
          <w:pgSz w:w="11905" w:h="16838"/>
          <w:pgMar w:top="1440" w:right="1083" w:bottom="1440" w:left="1083" w:header="851" w:footer="992" w:gutter="0"/>
          <w:cols w:space="0" w:num="1"/>
          <w:rtlGutter w:val="0"/>
          <w:docGrid w:linePitch="462" w:charSpace="0"/>
        </w:sectPr>
      </w:pPr>
    </w:p>
    <w:p>
      <w:pPr>
        <w:ind w:firstLine="480" w:firstLineChars="200"/>
        <w:rPr>
          <w:rFonts w:ascii="微软雅黑" w:hAnsi="微软雅黑" w:eastAsia="微软雅黑" w:cs="微软雅黑"/>
          <w:sz w:val="24"/>
          <w:szCs w:val="24"/>
        </w:rPr>
      </w:pPr>
      <w:bookmarkStart w:id="726" w:name="_Toc24059"/>
      <w:bookmarkStart w:id="727" w:name="_Toc1846"/>
      <w:bookmarkStart w:id="728" w:name="_Toc26721"/>
      <w:bookmarkStart w:id="729" w:name="_Toc3029"/>
      <w:bookmarkStart w:id="730" w:name="_Toc2659"/>
      <w:bookmarkStart w:id="731" w:name="_Toc2232"/>
      <w:r>
        <w:rPr>
          <w:rFonts w:hint="eastAsia" w:ascii="微软雅黑" w:hAnsi="微软雅黑" w:eastAsia="微软雅黑" w:cs="微软雅黑"/>
          <w:sz w:val="24"/>
          <w:szCs w:val="24"/>
          <w:u w:val="single"/>
          <w:lang w:val="zh-CN"/>
        </w:rPr>
        <w:t xml:space="preserve">        </w:t>
      </w:r>
      <w:r>
        <w:rPr>
          <w:rFonts w:hint="eastAsia" w:ascii="微软雅黑" w:hAnsi="微软雅黑" w:eastAsia="微软雅黑" w:cs="微软雅黑"/>
          <w:sz w:val="24"/>
          <w:szCs w:val="24"/>
          <w:lang w:val="zh-CN"/>
        </w:rPr>
        <w:t>年</w:t>
      </w:r>
      <w:r>
        <w:rPr>
          <w:rFonts w:hint="eastAsia" w:ascii="微软雅黑" w:hAnsi="微软雅黑" w:eastAsia="微软雅黑" w:cs="微软雅黑"/>
          <w:sz w:val="24"/>
          <w:szCs w:val="24"/>
          <w:u w:val="single"/>
          <w:lang w:val="zh-CN"/>
        </w:rPr>
        <w:t xml:space="preserve">    </w:t>
      </w:r>
      <w:r>
        <w:rPr>
          <w:rFonts w:hint="eastAsia" w:ascii="微软雅黑" w:hAnsi="微软雅黑" w:eastAsia="微软雅黑" w:cs="微软雅黑"/>
          <w:sz w:val="24"/>
          <w:szCs w:val="24"/>
          <w:lang w:val="zh-CN"/>
        </w:rPr>
        <w:t>月</w:t>
      </w:r>
      <w:r>
        <w:rPr>
          <w:rFonts w:hint="eastAsia" w:ascii="微软雅黑" w:hAnsi="微软雅黑" w:eastAsia="微软雅黑" w:cs="微软雅黑"/>
          <w:sz w:val="24"/>
          <w:szCs w:val="24"/>
          <w:u w:val="single"/>
          <w:lang w:val="zh-CN"/>
        </w:rPr>
        <w:t xml:space="preserve">    </w:t>
      </w:r>
      <w:r>
        <w:rPr>
          <w:rFonts w:hint="eastAsia" w:ascii="微软雅黑" w:hAnsi="微软雅黑" w:eastAsia="微软雅黑" w:cs="微软雅黑"/>
          <w:sz w:val="24"/>
          <w:szCs w:val="24"/>
          <w:lang w:val="zh-CN"/>
        </w:rPr>
        <w:t>日</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（采购人名称）   </w:t>
      </w:r>
      <w:r>
        <w:rPr>
          <w:rFonts w:hint="eastAsia" w:ascii="微软雅黑" w:hAnsi="微软雅黑" w:eastAsia="微软雅黑" w:cs="微软雅黑"/>
          <w:sz w:val="24"/>
          <w:szCs w:val="24"/>
        </w:rPr>
        <w:t>以</w:t>
      </w:r>
      <w:r>
        <w:rPr>
          <w:rFonts w:hint="eastAsia" w:ascii="微软雅黑" w:hAnsi="微软雅黑" w:eastAsia="微软雅黑" w:cs="微软雅黑"/>
          <w:sz w:val="24"/>
          <w:szCs w:val="24"/>
          <w:u w:val="single"/>
        </w:rPr>
        <w:t xml:space="preserve">   （政府采购方式）  </w:t>
      </w:r>
      <w:r>
        <w:rPr>
          <w:rFonts w:hint="eastAsia" w:ascii="微软雅黑" w:hAnsi="微软雅黑" w:eastAsia="微软雅黑" w:cs="微软雅黑"/>
          <w:sz w:val="24"/>
          <w:szCs w:val="24"/>
        </w:rPr>
        <w:t>对</w:t>
      </w:r>
      <w:r>
        <w:rPr>
          <w:rFonts w:hint="eastAsia" w:ascii="微软雅黑" w:hAnsi="微软雅黑" w:eastAsia="微软雅黑" w:cs="微软雅黑"/>
          <w:sz w:val="24"/>
          <w:szCs w:val="24"/>
          <w:u w:val="single"/>
        </w:rPr>
        <w:t xml:space="preserve">   （同前页项目名称）   </w:t>
      </w:r>
      <w:r>
        <w:rPr>
          <w:rFonts w:hint="eastAsia" w:ascii="微软雅黑" w:hAnsi="微软雅黑" w:eastAsia="微软雅黑" w:cs="微软雅黑"/>
          <w:sz w:val="24"/>
          <w:szCs w:val="24"/>
        </w:rPr>
        <w:t>项目进行了采购。经</w:t>
      </w:r>
      <w:r>
        <w:rPr>
          <w:rFonts w:hint="eastAsia" w:ascii="微软雅黑" w:hAnsi="微软雅黑" w:eastAsia="微软雅黑" w:cs="微软雅黑"/>
          <w:sz w:val="24"/>
          <w:szCs w:val="24"/>
          <w:u w:val="single"/>
        </w:rPr>
        <w:t xml:space="preserve">   （相关评定主体名称）   </w:t>
      </w:r>
      <w:r>
        <w:rPr>
          <w:rFonts w:hint="eastAsia" w:ascii="微软雅黑" w:hAnsi="微软雅黑" w:eastAsia="微软雅黑" w:cs="微软雅黑"/>
          <w:sz w:val="24"/>
          <w:szCs w:val="24"/>
        </w:rPr>
        <w:t>评定，</w:t>
      </w:r>
      <w:r>
        <w:rPr>
          <w:rFonts w:hint="eastAsia" w:ascii="微软雅黑" w:hAnsi="微软雅黑" w:eastAsia="微软雅黑" w:cs="微软雅黑"/>
          <w:sz w:val="24"/>
          <w:szCs w:val="24"/>
          <w:u w:val="single"/>
        </w:rPr>
        <w:t xml:space="preserve">   （中标供应商名称）</w:t>
      </w:r>
      <w:r>
        <w:rPr>
          <w:rFonts w:hint="eastAsia" w:ascii="微软雅黑" w:hAnsi="微软雅黑" w:eastAsia="微软雅黑" w:cs="微软雅黑"/>
          <w:sz w:val="24"/>
          <w:szCs w:val="24"/>
        </w:rPr>
        <w:t>为该项目中标供应商。现于中标通知书发出之日起三十日内，按照采购文件确定的事项签订本合同。</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sz w:val="24"/>
          <w:szCs w:val="24"/>
          <w:u w:val="single"/>
        </w:rPr>
        <w:t xml:space="preserve">   （采购人名称）   </w:t>
      </w:r>
      <w:r>
        <w:rPr>
          <w:rFonts w:hint="eastAsia" w:ascii="微软雅黑" w:hAnsi="微软雅黑" w:eastAsia="微软雅黑" w:cs="微软雅黑"/>
          <w:sz w:val="24"/>
          <w:szCs w:val="24"/>
          <w:lang w:val="zh-CN"/>
        </w:rPr>
        <w:t>(以下简称：甲方)和</w:t>
      </w:r>
      <w:r>
        <w:rPr>
          <w:rFonts w:hint="eastAsia" w:ascii="微软雅黑" w:hAnsi="微软雅黑" w:eastAsia="微软雅黑" w:cs="微软雅黑"/>
          <w:sz w:val="24"/>
          <w:szCs w:val="24"/>
          <w:u w:val="single"/>
        </w:rPr>
        <w:t xml:space="preserve">   （中标供应商名称）   </w:t>
      </w:r>
      <w:r>
        <w:rPr>
          <w:rFonts w:hint="eastAsia" w:ascii="微软雅黑" w:hAnsi="微软雅黑" w:eastAsia="微软雅黑" w:cs="微软雅黑"/>
          <w:sz w:val="24"/>
          <w:szCs w:val="24"/>
          <w:lang w:val="zh-CN"/>
        </w:rPr>
        <w:t>(以下简称：乙方)协商一致，约定以下合同</w:t>
      </w:r>
      <w:r>
        <w:rPr>
          <w:rFonts w:hint="eastAsia" w:ascii="微软雅黑" w:hAnsi="微软雅黑" w:eastAsia="微软雅黑" w:cs="微软雅黑"/>
          <w:sz w:val="24"/>
          <w:szCs w:val="24"/>
        </w:rPr>
        <w:t>条款，以兹共同遵守、全面履行。</w:t>
      </w:r>
    </w:p>
    <w:bookmarkEnd w:id="726"/>
    <w:bookmarkEnd w:id="727"/>
    <w:bookmarkEnd w:id="728"/>
    <w:bookmarkEnd w:id="729"/>
    <w:bookmarkEnd w:id="730"/>
    <w:bookmarkEnd w:id="731"/>
    <w:p>
      <w:pPr>
        <w:ind w:firstLine="480" w:firstLineChars="200"/>
        <w:outlineLvl w:val="0"/>
        <w:rPr>
          <w:rFonts w:ascii="微软雅黑" w:hAnsi="微软雅黑" w:eastAsia="微软雅黑" w:cs="微软雅黑"/>
          <w:b/>
          <w:bCs/>
          <w:sz w:val="24"/>
          <w:szCs w:val="24"/>
        </w:rPr>
      </w:pPr>
      <w:bookmarkStart w:id="732" w:name="_Toc4498"/>
      <w:bookmarkStart w:id="733" w:name="_Toc5838"/>
      <w:bookmarkStart w:id="734" w:name="_Toc2992"/>
      <w:bookmarkStart w:id="735" w:name="_Toc25352"/>
      <w:bookmarkStart w:id="736" w:name="_Toc16137"/>
      <w:bookmarkStart w:id="737" w:name="_Toc30575"/>
      <w:bookmarkStart w:id="738" w:name="_Toc27428"/>
      <w:bookmarkStart w:id="739" w:name="_Toc15812"/>
      <w:bookmarkStart w:id="740" w:name="_Toc20601"/>
      <w:bookmarkStart w:id="741" w:name="_Toc14986"/>
      <w:bookmarkStart w:id="742" w:name="_Toc1740"/>
      <w:bookmarkStart w:id="743" w:name="_Toc27963"/>
      <w:bookmarkStart w:id="744" w:name="_Toc21386"/>
      <w:bookmarkStart w:id="745" w:name="_Toc29751"/>
      <w:bookmarkStart w:id="746" w:name="_Toc2048"/>
      <w:bookmarkStart w:id="747" w:name="_Toc416"/>
      <w:bookmarkStart w:id="748" w:name="_Toc6038"/>
      <w:bookmarkStart w:id="749" w:name="_Toc18247"/>
      <w:bookmarkStart w:id="750" w:name="_Toc24186"/>
      <w:bookmarkStart w:id="751" w:name="_Toc28090"/>
      <w:bookmarkStart w:id="752" w:name="_Toc10455"/>
      <w:bookmarkStart w:id="753" w:name="_Toc7199"/>
      <w:bookmarkStart w:id="754" w:name="_Toc31438"/>
      <w:bookmarkStart w:id="755" w:name="_Toc4751"/>
      <w:bookmarkStart w:id="756" w:name="_Toc16722"/>
      <w:bookmarkStart w:id="757" w:name="_Toc29481"/>
      <w:bookmarkStart w:id="758" w:name="_Toc14766"/>
      <w:bookmarkStart w:id="759" w:name="_Toc967"/>
      <w:r>
        <w:rPr>
          <w:rFonts w:hint="eastAsia" w:ascii="微软雅黑" w:hAnsi="微软雅黑" w:eastAsia="微软雅黑" w:cs="微软雅黑"/>
          <w:b/>
          <w:bCs/>
          <w:sz w:val="24"/>
          <w:szCs w:val="24"/>
        </w:rPr>
        <w:t>1.1 合同组成部分</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1.1.1 本合同及其补充合同、变更协议；</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1.1.2 中标通知书；</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1.1.3 投标文件（含澄清或者说明文件）；</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1.1.4 招标文件（含澄清或者修改文件）；</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1.1.5 其他相关采购文件。</w:t>
      </w:r>
    </w:p>
    <w:p>
      <w:pPr>
        <w:ind w:firstLine="480" w:firstLineChars="200"/>
        <w:outlineLvl w:val="0"/>
        <w:rPr>
          <w:rFonts w:ascii="微软雅黑" w:hAnsi="微软雅黑" w:eastAsia="微软雅黑" w:cs="微软雅黑"/>
          <w:b/>
          <w:bCs/>
          <w:sz w:val="24"/>
          <w:szCs w:val="24"/>
        </w:rPr>
      </w:pPr>
      <w:bookmarkStart w:id="760" w:name="_Toc21149"/>
      <w:bookmarkStart w:id="761" w:name="_Toc31638"/>
      <w:bookmarkStart w:id="762" w:name="_Toc21295"/>
      <w:bookmarkStart w:id="763" w:name="_Toc10465"/>
      <w:bookmarkStart w:id="764" w:name="_Toc5906"/>
      <w:bookmarkStart w:id="765" w:name="_Toc4735"/>
      <w:bookmarkStart w:id="766" w:name="_Toc9006"/>
      <w:bookmarkStart w:id="767" w:name="_Toc21217"/>
      <w:bookmarkStart w:id="768" w:name="_Toc24300"/>
      <w:bookmarkStart w:id="769" w:name="_Toc15345"/>
      <w:bookmarkStart w:id="770" w:name="_Toc7977"/>
      <w:bookmarkStart w:id="771" w:name="_Toc23199"/>
      <w:bookmarkStart w:id="772" w:name="_Toc27318"/>
      <w:bookmarkStart w:id="773" w:name="_Toc3607"/>
      <w:bookmarkStart w:id="774" w:name="_Toc3926"/>
      <w:bookmarkStart w:id="775" w:name="_Toc18558"/>
      <w:bookmarkStart w:id="776" w:name="_Toc17543"/>
      <w:bookmarkStart w:id="777" w:name="_Toc25735"/>
      <w:bookmarkStart w:id="778" w:name="_Toc13138"/>
      <w:bookmarkStart w:id="779" w:name="_Toc14235"/>
      <w:bookmarkStart w:id="780" w:name="_Toc1446"/>
      <w:bookmarkStart w:id="781" w:name="_Toc21690"/>
      <w:bookmarkStart w:id="782" w:name="_Toc24413"/>
      <w:bookmarkStart w:id="783" w:name="_Toc32674"/>
      <w:bookmarkStart w:id="784" w:name="_Toc24564"/>
      <w:bookmarkStart w:id="785" w:name="_Toc2579"/>
      <w:bookmarkStart w:id="786" w:name="_Toc27126"/>
      <w:bookmarkStart w:id="787" w:name="_Toc11238"/>
      <w:bookmarkStart w:id="788" w:name="_Toc19593"/>
      <w:bookmarkStart w:id="789" w:name="_Toc25402"/>
      <w:bookmarkStart w:id="790" w:name="_Toc8631"/>
      <w:bookmarkStart w:id="791" w:name="_Toc19432"/>
      <w:bookmarkStart w:id="792" w:name="_Toc31632"/>
      <w:bookmarkStart w:id="793" w:name="_Toc15807"/>
      <w:r>
        <w:rPr>
          <w:rFonts w:hint="eastAsia" w:ascii="微软雅黑" w:hAnsi="微软雅黑" w:eastAsia="微软雅黑" w:cs="微软雅黑"/>
          <w:b/>
          <w:bCs/>
          <w:sz w:val="24"/>
          <w:szCs w:val="24"/>
        </w:rPr>
        <w:t>1.2 货物</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pPr>
        <w:ind w:firstLine="480" w:firstLineChars="200"/>
        <w:rPr>
          <w:rFonts w:ascii="微软雅黑" w:hAnsi="微软雅黑" w:eastAsia="微软雅黑" w:cs="微软雅黑"/>
          <w:sz w:val="24"/>
          <w:szCs w:val="24"/>
          <w:u w:val="single"/>
        </w:rPr>
      </w:pPr>
      <w:r>
        <w:rPr>
          <w:rFonts w:hint="eastAsia" w:ascii="微软雅黑" w:hAnsi="微软雅黑" w:eastAsia="微软雅黑" w:cs="微软雅黑"/>
          <w:sz w:val="24"/>
          <w:szCs w:val="24"/>
        </w:rPr>
        <w:t>1.2.1 货物名称：</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ind w:firstLine="480" w:firstLineChars="200"/>
        <w:rPr>
          <w:rFonts w:ascii="微软雅黑" w:hAnsi="微软雅黑" w:eastAsia="微软雅黑" w:cs="微软雅黑"/>
          <w:sz w:val="24"/>
          <w:szCs w:val="24"/>
          <w:u w:val="single"/>
        </w:rPr>
      </w:pPr>
      <w:r>
        <w:rPr>
          <w:rFonts w:hint="eastAsia" w:ascii="微软雅黑" w:hAnsi="微软雅黑" w:eastAsia="微软雅黑" w:cs="微软雅黑"/>
          <w:sz w:val="24"/>
          <w:szCs w:val="24"/>
        </w:rPr>
        <w:t>1.2.2 货物数量：</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1.2.3 货物质量：</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ind w:firstLine="480" w:firstLineChars="200"/>
        <w:outlineLvl w:val="0"/>
        <w:rPr>
          <w:rFonts w:ascii="微软雅黑" w:hAnsi="微软雅黑" w:eastAsia="微软雅黑" w:cs="微软雅黑"/>
          <w:b/>
          <w:bCs/>
          <w:sz w:val="24"/>
          <w:szCs w:val="24"/>
        </w:rPr>
      </w:pPr>
      <w:bookmarkStart w:id="794" w:name="_Toc12266"/>
      <w:bookmarkStart w:id="795" w:name="_Toc10942"/>
      <w:bookmarkStart w:id="796" w:name="_Toc30755"/>
      <w:bookmarkStart w:id="797" w:name="_Toc6581"/>
      <w:bookmarkStart w:id="798" w:name="_Toc18883"/>
      <w:bookmarkStart w:id="799" w:name="_Toc30667"/>
      <w:bookmarkStart w:id="800" w:name="_Toc7263"/>
      <w:bookmarkStart w:id="801" w:name="_Toc9271"/>
      <w:bookmarkStart w:id="802" w:name="_Toc21631"/>
      <w:bookmarkStart w:id="803" w:name="_Toc11463"/>
      <w:bookmarkStart w:id="804" w:name="_Toc21040"/>
      <w:bookmarkStart w:id="805" w:name="_Toc2897"/>
      <w:bookmarkStart w:id="806" w:name="_Toc31994"/>
      <w:bookmarkStart w:id="807" w:name="_Toc633"/>
      <w:bookmarkStart w:id="808" w:name="_Toc11045"/>
      <w:bookmarkStart w:id="809" w:name="_Toc9364"/>
      <w:bookmarkStart w:id="810" w:name="_Toc21551"/>
      <w:bookmarkStart w:id="811" w:name="_Toc9586"/>
      <w:bookmarkStart w:id="812" w:name="_Toc3756"/>
      <w:bookmarkStart w:id="813" w:name="_Toc25368"/>
      <w:bookmarkStart w:id="814" w:name="_Toc27282"/>
      <w:bookmarkStart w:id="815" w:name="_Toc13924"/>
      <w:bookmarkStart w:id="816" w:name="_Toc8386"/>
      <w:bookmarkStart w:id="817" w:name="_Toc4392"/>
      <w:bookmarkStart w:id="818" w:name="_Toc23292"/>
      <w:bookmarkStart w:id="819" w:name="_Toc16998"/>
      <w:bookmarkStart w:id="820" w:name="_Toc1528"/>
      <w:bookmarkStart w:id="821" w:name="_Toc29540"/>
      <w:bookmarkStart w:id="822" w:name="_Toc19682"/>
      <w:bookmarkStart w:id="823" w:name="_Toc4882"/>
      <w:bookmarkStart w:id="824" w:name="_Toc1267"/>
      <w:bookmarkStart w:id="825" w:name="_Toc13898"/>
      <w:bookmarkStart w:id="826" w:name="_Toc9579"/>
      <w:bookmarkStart w:id="827" w:name="_Toc13050"/>
      <w:r>
        <w:rPr>
          <w:rFonts w:hint="eastAsia" w:ascii="微软雅黑" w:hAnsi="微软雅黑" w:eastAsia="微软雅黑" w:cs="微软雅黑"/>
          <w:b/>
          <w:bCs/>
          <w:sz w:val="24"/>
          <w:szCs w:val="24"/>
        </w:rPr>
        <w:t>1.3 价款</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本合同总价为：￥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元（大写：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元人民币）。</w:t>
      </w:r>
    </w:p>
    <w:p>
      <w:pPr>
        <w:ind w:firstLine="480" w:firstLineChars="200"/>
        <w:rPr>
          <w:rFonts w:ascii="微软雅黑" w:hAnsi="微软雅黑" w:eastAsia="微软雅黑" w:cs="微软雅黑"/>
          <w:sz w:val="24"/>
          <w:szCs w:val="24"/>
          <w:u w:val="single"/>
        </w:rPr>
      </w:pPr>
      <w:r>
        <w:rPr>
          <w:rFonts w:hint="eastAsia" w:ascii="微软雅黑" w:hAnsi="微软雅黑" w:eastAsia="微软雅黑" w:cs="微软雅黑"/>
          <w:sz w:val="24"/>
          <w:szCs w:val="24"/>
        </w:rPr>
        <w:t>分项价格：</w:t>
      </w:r>
    </w:p>
    <w:tbl>
      <w:tblPr>
        <w:tblStyle w:val="28"/>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4"/>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序号</w:t>
            </w:r>
          </w:p>
        </w:tc>
        <w:tc>
          <w:tcPr>
            <w:tcW w:w="3738" w:type="dxa"/>
            <w:vAlign w:val="center"/>
          </w:tcPr>
          <w:p>
            <w:pPr>
              <w:pStyle w:val="54"/>
              <w:ind w:firstLine="200"/>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分项名称</w:t>
            </w:r>
          </w:p>
        </w:tc>
        <w:tc>
          <w:tcPr>
            <w:tcW w:w="2803" w:type="dxa"/>
            <w:vAlign w:val="center"/>
          </w:tcPr>
          <w:p>
            <w:pPr>
              <w:pStyle w:val="54"/>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4"/>
              <w:ind w:firstLine="200"/>
              <w:jc w:val="center"/>
              <w:rPr>
                <w:rFonts w:ascii="微软雅黑" w:hAnsi="微软雅黑" w:eastAsia="微软雅黑" w:cs="微软雅黑"/>
                <w:kern w:val="2"/>
                <w:sz w:val="24"/>
                <w:szCs w:val="24"/>
              </w:rPr>
            </w:pPr>
          </w:p>
        </w:tc>
        <w:tc>
          <w:tcPr>
            <w:tcW w:w="3738" w:type="dxa"/>
            <w:vAlign w:val="center"/>
          </w:tcPr>
          <w:p>
            <w:pPr>
              <w:pStyle w:val="54"/>
              <w:ind w:firstLine="200"/>
              <w:jc w:val="center"/>
              <w:rPr>
                <w:rFonts w:ascii="微软雅黑" w:hAnsi="微软雅黑" w:eastAsia="微软雅黑" w:cs="微软雅黑"/>
                <w:kern w:val="2"/>
                <w:sz w:val="24"/>
                <w:szCs w:val="24"/>
              </w:rPr>
            </w:pPr>
          </w:p>
        </w:tc>
        <w:tc>
          <w:tcPr>
            <w:tcW w:w="2803" w:type="dxa"/>
            <w:vAlign w:val="center"/>
          </w:tcPr>
          <w:p>
            <w:pPr>
              <w:pStyle w:val="54"/>
              <w:ind w:firstLine="200"/>
              <w:jc w:val="center"/>
              <w:rPr>
                <w:rFonts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4"/>
              <w:ind w:firstLine="200"/>
              <w:jc w:val="center"/>
              <w:rPr>
                <w:rFonts w:ascii="微软雅黑" w:hAnsi="微软雅黑" w:eastAsia="微软雅黑" w:cs="微软雅黑"/>
                <w:kern w:val="2"/>
                <w:sz w:val="24"/>
                <w:szCs w:val="24"/>
              </w:rPr>
            </w:pPr>
          </w:p>
        </w:tc>
        <w:tc>
          <w:tcPr>
            <w:tcW w:w="3738" w:type="dxa"/>
            <w:vAlign w:val="center"/>
          </w:tcPr>
          <w:p>
            <w:pPr>
              <w:pStyle w:val="54"/>
              <w:ind w:firstLine="200"/>
              <w:jc w:val="center"/>
              <w:rPr>
                <w:rFonts w:ascii="微软雅黑" w:hAnsi="微软雅黑" w:eastAsia="微软雅黑" w:cs="微软雅黑"/>
                <w:kern w:val="2"/>
                <w:sz w:val="24"/>
                <w:szCs w:val="24"/>
              </w:rPr>
            </w:pPr>
          </w:p>
        </w:tc>
        <w:tc>
          <w:tcPr>
            <w:tcW w:w="2803" w:type="dxa"/>
            <w:vAlign w:val="center"/>
          </w:tcPr>
          <w:p>
            <w:pPr>
              <w:pStyle w:val="54"/>
              <w:ind w:firstLine="200"/>
              <w:jc w:val="center"/>
              <w:rPr>
                <w:rFonts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4"/>
              <w:ind w:firstLine="200"/>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总价</w:t>
            </w:r>
          </w:p>
        </w:tc>
        <w:tc>
          <w:tcPr>
            <w:tcW w:w="2803" w:type="dxa"/>
            <w:vAlign w:val="center"/>
          </w:tcPr>
          <w:p>
            <w:pPr>
              <w:pStyle w:val="54"/>
              <w:ind w:firstLine="200"/>
              <w:jc w:val="center"/>
              <w:rPr>
                <w:rFonts w:ascii="微软雅黑" w:hAnsi="微软雅黑" w:eastAsia="微软雅黑" w:cs="微软雅黑"/>
                <w:kern w:val="2"/>
                <w:sz w:val="24"/>
                <w:szCs w:val="24"/>
              </w:rPr>
            </w:pPr>
          </w:p>
        </w:tc>
      </w:tr>
    </w:tbl>
    <w:p>
      <w:pPr>
        <w:ind w:firstLine="480" w:firstLineChars="200"/>
        <w:outlineLvl w:val="0"/>
        <w:rPr>
          <w:rFonts w:ascii="微软雅黑" w:hAnsi="微软雅黑" w:eastAsia="微软雅黑" w:cs="微软雅黑"/>
          <w:b/>
          <w:bCs/>
          <w:sz w:val="24"/>
          <w:szCs w:val="24"/>
        </w:rPr>
      </w:pPr>
      <w:bookmarkStart w:id="828" w:name="_Toc24781"/>
      <w:bookmarkStart w:id="829" w:name="_Toc1505"/>
      <w:bookmarkStart w:id="830" w:name="_Toc5736"/>
      <w:bookmarkStart w:id="831" w:name="_Toc7087"/>
      <w:bookmarkStart w:id="832" w:name="_Toc10086"/>
      <w:bookmarkStart w:id="833" w:name="_Toc44"/>
      <w:bookmarkStart w:id="834" w:name="_Toc21104"/>
      <w:bookmarkStart w:id="835" w:name="_Toc27817"/>
      <w:bookmarkStart w:id="836" w:name="_Toc8933"/>
      <w:bookmarkStart w:id="837" w:name="_Toc7458"/>
      <w:bookmarkStart w:id="838" w:name="_Toc30507"/>
      <w:bookmarkStart w:id="839" w:name="_Toc22618"/>
      <w:bookmarkStart w:id="840" w:name="_Toc4585"/>
      <w:bookmarkStart w:id="841" w:name="_Toc21349"/>
      <w:bookmarkStart w:id="842" w:name="_Toc7801"/>
      <w:bookmarkStart w:id="843" w:name="_Toc27811"/>
      <w:bookmarkStart w:id="844" w:name="_Toc26112"/>
      <w:bookmarkStart w:id="845" w:name="_Toc28773"/>
      <w:bookmarkStart w:id="846" w:name="_Toc30437"/>
      <w:bookmarkStart w:id="847" w:name="_Toc26470"/>
      <w:bookmarkStart w:id="848" w:name="_Toc673"/>
      <w:bookmarkStart w:id="849" w:name="_Toc27654"/>
      <w:bookmarkStart w:id="850" w:name="_Toc10340"/>
      <w:bookmarkStart w:id="851" w:name="_Toc30643"/>
      <w:bookmarkStart w:id="852" w:name="_Toc24538"/>
      <w:bookmarkStart w:id="853" w:name="_Toc21854"/>
      <w:bookmarkStart w:id="854" w:name="_Toc1814"/>
      <w:bookmarkStart w:id="855" w:name="_Toc29742"/>
      <w:bookmarkStart w:id="856" w:name="_Toc17184"/>
      <w:bookmarkStart w:id="857" w:name="_Toc30462"/>
      <w:bookmarkStart w:id="858" w:name="_Toc2285"/>
      <w:bookmarkStart w:id="859" w:name="_Toc19093"/>
      <w:bookmarkStart w:id="860" w:name="_Toc29871"/>
      <w:r>
        <w:rPr>
          <w:rFonts w:hint="eastAsia" w:ascii="微软雅黑" w:hAnsi="微软雅黑" w:eastAsia="微软雅黑" w:cs="微软雅黑"/>
          <w:b/>
          <w:bCs/>
          <w:sz w:val="24"/>
          <w:szCs w:val="24"/>
        </w:rPr>
        <w:t>1.4 付款方式和发票开具方式</w:t>
      </w:r>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1.4.1 付款方式：</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1.4.2 发票开具方式：</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ind w:firstLine="480" w:firstLineChars="200"/>
        <w:outlineLvl w:val="0"/>
        <w:rPr>
          <w:rFonts w:ascii="微软雅黑" w:hAnsi="微软雅黑" w:eastAsia="微软雅黑" w:cs="微软雅黑"/>
          <w:b/>
          <w:bCs/>
          <w:sz w:val="24"/>
          <w:szCs w:val="24"/>
        </w:rPr>
      </w:pPr>
      <w:bookmarkStart w:id="861" w:name="_Toc2852"/>
      <w:bookmarkStart w:id="862" w:name="_Toc25427"/>
      <w:bookmarkStart w:id="863" w:name="_Toc25278"/>
      <w:bookmarkStart w:id="864" w:name="_Toc29386"/>
      <w:bookmarkStart w:id="865" w:name="_Toc9478"/>
      <w:bookmarkStart w:id="866" w:name="_Toc2750"/>
      <w:bookmarkStart w:id="867" w:name="_Toc32347"/>
      <w:bookmarkStart w:id="868" w:name="_Toc2519"/>
      <w:bookmarkStart w:id="869" w:name="_Toc16823"/>
      <w:bookmarkStart w:id="870" w:name="_Toc19978"/>
      <w:bookmarkStart w:id="871" w:name="_Toc30447"/>
      <w:bookmarkStart w:id="872" w:name="_Toc4058"/>
      <w:bookmarkStart w:id="873" w:name="_Toc32641"/>
      <w:bookmarkStart w:id="874" w:name="_Toc17448"/>
      <w:bookmarkStart w:id="875" w:name="_Toc2846"/>
      <w:bookmarkStart w:id="876" w:name="_Toc22861"/>
      <w:bookmarkStart w:id="877" w:name="_Toc19304"/>
      <w:bookmarkStart w:id="878" w:name="_Toc26187"/>
      <w:bookmarkStart w:id="879" w:name="_Toc13284"/>
      <w:bookmarkStart w:id="880" w:name="_Toc32071"/>
      <w:bookmarkStart w:id="881" w:name="_Toc23862"/>
      <w:bookmarkStart w:id="882" w:name="_Toc30563"/>
      <w:bookmarkStart w:id="883" w:name="_Toc18875"/>
      <w:bookmarkStart w:id="884" w:name="_Toc1964"/>
      <w:bookmarkStart w:id="885" w:name="_Toc4501"/>
      <w:bookmarkStart w:id="886" w:name="_Toc13703"/>
      <w:bookmarkStart w:id="887" w:name="_Toc11682"/>
      <w:bookmarkStart w:id="888" w:name="_Toc26303"/>
      <w:bookmarkStart w:id="889" w:name="_Toc17179"/>
      <w:bookmarkStart w:id="890" w:name="_Toc30894"/>
      <w:bookmarkStart w:id="891" w:name="_Toc4377"/>
      <w:bookmarkStart w:id="892" w:name="_Toc2083"/>
      <w:bookmarkStart w:id="893" w:name="_Toc10276"/>
      <w:bookmarkStart w:id="894" w:name="_Toc26770"/>
      <w:r>
        <w:rPr>
          <w:rFonts w:hint="eastAsia" w:ascii="微软雅黑" w:hAnsi="微软雅黑" w:eastAsia="微软雅黑" w:cs="微软雅黑"/>
          <w:b/>
          <w:bCs/>
          <w:sz w:val="24"/>
          <w:szCs w:val="24"/>
        </w:rPr>
        <w:t>1.5 货物交付期限、地点和方式</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pPr>
        <w:ind w:firstLine="480" w:firstLineChars="200"/>
        <w:rPr>
          <w:rFonts w:ascii="微软雅黑" w:hAnsi="微软雅黑" w:eastAsia="微软雅黑" w:cs="微软雅黑"/>
          <w:sz w:val="24"/>
          <w:szCs w:val="24"/>
          <w:u w:val="single"/>
        </w:rPr>
      </w:pPr>
      <w:r>
        <w:rPr>
          <w:rFonts w:hint="eastAsia" w:ascii="微软雅黑" w:hAnsi="微软雅黑" w:eastAsia="微软雅黑" w:cs="微软雅黑"/>
          <w:sz w:val="24"/>
          <w:szCs w:val="24"/>
        </w:rPr>
        <w:t>1.5.1 交付期限：</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1.5.2 交付地点：</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1.5.3 交付方式：</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p>
    <w:p>
      <w:pPr>
        <w:ind w:firstLine="480" w:firstLineChars="200"/>
        <w:outlineLvl w:val="0"/>
        <w:rPr>
          <w:rFonts w:ascii="微软雅黑" w:hAnsi="微软雅黑" w:eastAsia="微软雅黑" w:cs="微软雅黑"/>
          <w:b/>
          <w:bCs/>
          <w:sz w:val="24"/>
          <w:szCs w:val="24"/>
        </w:rPr>
      </w:pPr>
      <w:bookmarkStart w:id="895" w:name="_Toc13569"/>
      <w:bookmarkStart w:id="896" w:name="_Toc19554"/>
      <w:bookmarkStart w:id="897" w:name="_Toc12679"/>
      <w:bookmarkStart w:id="898" w:name="_Toc1892"/>
      <w:bookmarkStart w:id="899" w:name="_Toc4190"/>
      <w:bookmarkStart w:id="900" w:name="_Toc21423"/>
      <w:bookmarkStart w:id="901" w:name="_Toc12424"/>
      <w:bookmarkStart w:id="902" w:name="_Toc11237"/>
      <w:bookmarkStart w:id="903" w:name="_Toc27247"/>
      <w:bookmarkStart w:id="904" w:name="_Toc27319"/>
      <w:bookmarkStart w:id="905" w:name="_Toc21406"/>
      <w:bookmarkStart w:id="906" w:name="_Toc6841"/>
      <w:bookmarkStart w:id="907" w:name="_Toc12753"/>
      <w:bookmarkStart w:id="908" w:name="_Toc30591"/>
      <w:bookmarkStart w:id="909" w:name="_Toc25443"/>
      <w:bookmarkStart w:id="910" w:name="_Toc8569"/>
      <w:bookmarkStart w:id="911" w:name="_Toc15865"/>
      <w:bookmarkStart w:id="912" w:name="_Toc27250"/>
      <w:bookmarkStart w:id="913" w:name="_Toc10321"/>
      <w:bookmarkStart w:id="914" w:name="_Toc12629"/>
      <w:bookmarkStart w:id="915" w:name="_Toc28455"/>
      <w:bookmarkStart w:id="916" w:name="_Toc26850"/>
      <w:bookmarkStart w:id="917" w:name="_Toc1835"/>
      <w:bookmarkStart w:id="918" w:name="_Toc13854"/>
      <w:bookmarkStart w:id="919" w:name="_Toc8754"/>
      <w:bookmarkStart w:id="920" w:name="_Toc27571"/>
      <w:bookmarkStart w:id="921" w:name="_Toc12988"/>
      <w:bookmarkStart w:id="922" w:name="_Toc27335"/>
      <w:bookmarkStart w:id="923" w:name="_Toc29769"/>
      <w:bookmarkStart w:id="924" w:name="_Toc25672"/>
      <w:bookmarkStart w:id="925" w:name="_Toc17642"/>
      <w:bookmarkStart w:id="926" w:name="_Toc10320"/>
      <w:bookmarkStart w:id="927" w:name="_Toc19035"/>
      <w:bookmarkStart w:id="928" w:name="_Toc29903"/>
      <w:r>
        <w:rPr>
          <w:rFonts w:hint="eastAsia" w:ascii="微软雅黑" w:hAnsi="微软雅黑" w:eastAsia="微软雅黑" w:cs="微软雅黑"/>
          <w:b/>
          <w:bCs/>
          <w:sz w:val="24"/>
          <w:szCs w:val="24"/>
        </w:rPr>
        <w:t>1.6 违约责任</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%计算，最高限额为本合同总价的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%；迟延交付货物的违约金计算数额达到前述最高限额之日起，甲方有权在要求乙方支付违约金的同时，书面通知乙方解除本合同；</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%计算，最高限额为本合同总价的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%；迟延付款的违约金计算数额达到前述最高限额之日起，乙方有权在要求甲方支付违约金的同时，书面通知甲方解除本合同；</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ind w:firstLine="480" w:firstLineChars="200"/>
        <w:outlineLvl w:val="0"/>
        <w:rPr>
          <w:rFonts w:ascii="微软雅黑" w:hAnsi="微软雅黑" w:eastAsia="微软雅黑" w:cs="微软雅黑"/>
          <w:b/>
          <w:bCs/>
          <w:sz w:val="24"/>
          <w:szCs w:val="24"/>
        </w:rPr>
      </w:pPr>
      <w:bookmarkStart w:id="929" w:name="_Toc24352"/>
      <w:bookmarkStart w:id="930" w:name="_Toc8966"/>
      <w:bookmarkStart w:id="931" w:name="_Toc23654"/>
      <w:bookmarkStart w:id="932" w:name="_Toc31145"/>
      <w:bookmarkStart w:id="933" w:name="_Toc21643"/>
      <w:bookmarkStart w:id="934" w:name="_Toc12178"/>
      <w:bookmarkStart w:id="935" w:name="_Toc28375"/>
      <w:bookmarkStart w:id="936" w:name="_Toc24393"/>
      <w:bookmarkStart w:id="937" w:name="_Toc25915"/>
      <w:bookmarkStart w:id="938" w:name="_Toc20610"/>
      <w:bookmarkStart w:id="939" w:name="_Toc9202"/>
      <w:bookmarkStart w:id="940" w:name="_Toc16021"/>
      <w:bookmarkStart w:id="941" w:name="_Toc7216"/>
      <w:bookmarkStart w:id="942" w:name="_Toc5482"/>
      <w:bookmarkStart w:id="943" w:name="_Toc15583"/>
      <w:bookmarkStart w:id="944" w:name="_Toc18652"/>
      <w:bookmarkStart w:id="945" w:name="_Toc13430"/>
      <w:bookmarkStart w:id="946" w:name="_Toc19374"/>
      <w:bookmarkStart w:id="947" w:name="_Toc8914"/>
      <w:bookmarkStart w:id="948" w:name="_Toc20497"/>
      <w:bookmarkStart w:id="949" w:name="_Toc27762"/>
      <w:bookmarkStart w:id="950" w:name="_Toc13110"/>
      <w:bookmarkStart w:id="951" w:name="_Toc19011"/>
      <w:bookmarkStart w:id="952" w:name="_Toc27927"/>
      <w:bookmarkStart w:id="953" w:name="_Toc15503"/>
      <w:bookmarkStart w:id="954" w:name="_Toc29755"/>
      <w:bookmarkStart w:id="955" w:name="_Toc16341"/>
      <w:bookmarkStart w:id="956" w:name="_Toc3431"/>
      <w:bookmarkStart w:id="957" w:name="_Toc6344"/>
      <w:bookmarkStart w:id="958" w:name="_Toc29530"/>
      <w:bookmarkStart w:id="959" w:name="_Toc12021"/>
      <w:bookmarkStart w:id="960" w:name="_Toc29338"/>
      <w:bookmarkStart w:id="961" w:name="_Toc3403"/>
      <w:bookmarkStart w:id="962" w:name="_Toc22341"/>
      <w:r>
        <w:rPr>
          <w:rFonts w:hint="eastAsia" w:ascii="微软雅黑" w:hAnsi="微软雅黑" w:eastAsia="微软雅黑" w:cs="微软雅黑"/>
          <w:b/>
          <w:bCs/>
          <w:sz w:val="24"/>
          <w:szCs w:val="24"/>
        </w:rPr>
        <w:t>1.7 合同争议的解决</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种方式解决：</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1.7.1 将争议提交</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仲裁委员会依申请仲裁时其现行有效的仲裁规则裁决；</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1.7.2 向</w:t>
      </w:r>
      <w:r>
        <w:rPr>
          <w:rFonts w:hint="eastAsia" w:ascii="微软雅黑" w:hAnsi="微软雅黑" w:eastAsia="微软雅黑" w:cs="微软雅黑"/>
          <w:sz w:val="24"/>
          <w:szCs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 w:val="24"/>
          <w:szCs w:val="24"/>
        </w:rPr>
        <w:t>人民法院起诉。</w:t>
      </w:r>
    </w:p>
    <w:p>
      <w:pPr>
        <w:ind w:firstLine="480" w:firstLineChars="200"/>
        <w:outlineLvl w:val="0"/>
        <w:rPr>
          <w:rFonts w:ascii="微软雅黑" w:hAnsi="微软雅黑" w:eastAsia="微软雅黑" w:cs="微软雅黑"/>
          <w:b/>
          <w:bCs/>
          <w:sz w:val="24"/>
          <w:szCs w:val="24"/>
        </w:rPr>
      </w:pPr>
      <w:bookmarkStart w:id="963" w:name="_Toc8975"/>
      <w:bookmarkStart w:id="964" w:name="_Toc26231"/>
      <w:bookmarkStart w:id="965" w:name="_Toc10255"/>
      <w:bookmarkStart w:id="966" w:name="_Toc8564"/>
      <w:bookmarkStart w:id="967" w:name="_Toc21955"/>
      <w:bookmarkStart w:id="968" w:name="_Toc1647"/>
      <w:bookmarkStart w:id="969" w:name="_Toc29292"/>
      <w:bookmarkStart w:id="970" w:name="_Toc14796"/>
      <w:bookmarkStart w:id="971" w:name="_Toc10429"/>
      <w:bookmarkStart w:id="972" w:name="_Toc5077"/>
      <w:bookmarkStart w:id="973" w:name="_Toc496"/>
      <w:bookmarkStart w:id="974" w:name="_Toc5982"/>
      <w:bookmarkStart w:id="975" w:name="_Toc10043"/>
      <w:bookmarkStart w:id="976" w:name="_Toc17760"/>
      <w:bookmarkStart w:id="977" w:name="_Toc6964"/>
      <w:bookmarkStart w:id="978" w:name="_Toc17113"/>
      <w:bookmarkStart w:id="979" w:name="_Toc16410"/>
      <w:bookmarkStart w:id="980" w:name="_Toc32578"/>
      <w:bookmarkStart w:id="981" w:name="_Toc518"/>
      <w:bookmarkStart w:id="982" w:name="_Toc7245"/>
      <w:bookmarkStart w:id="983" w:name="_Toc12946"/>
      <w:bookmarkStart w:id="984" w:name="_Toc9329"/>
      <w:bookmarkStart w:id="985" w:name="_Toc11173"/>
      <w:bookmarkStart w:id="986" w:name="_Toc4964"/>
      <w:bookmarkStart w:id="987" w:name="_Toc4516"/>
      <w:bookmarkStart w:id="988" w:name="_Toc31302"/>
      <w:bookmarkStart w:id="989" w:name="_Toc20305"/>
      <w:bookmarkStart w:id="990" w:name="_Toc30260"/>
      <w:bookmarkStart w:id="991" w:name="_Toc2894"/>
      <w:bookmarkStart w:id="992" w:name="_Toc2901"/>
      <w:bookmarkStart w:id="993" w:name="_Toc20192"/>
      <w:bookmarkStart w:id="994" w:name="_Toc6411"/>
      <w:bookmarkStart w:id="995" w:name="_Toc15322"/>
      <w:bookmarkStart w:id="996" w:name="_Toc14653"/>
      <w:r>
        <w:rPr>
          <w:rFonts w:hint="eastAsia" w:ascii="微软雅黑" w:hAnsi="微软雅黑" w:eastAsia="微软雅黑" w:cs="微软雅黑"/>
          <w:b/>
          <w:bCs/>
          <w:sz w:val="24"/>
          <w:szCs w:val="24"/>
        </w:rPr>
        <w:t>1.8 合同生效</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pPr>
        <w:ind w:firstLine="480" w:firstLineChars="200"/>
        <w:rPr>
          <w:rFonts w:ascii="微软雅黑" w:hAnsi="微软雅黑" w:eastAsia="微软雅黑" w:cs="微软雅黑"/>
          <w:b/>
          <w:bCs/>
          <w:sz w:val="24"/>
          <w:szCs w:val="24"/>
        </w:rPr>
      </w:pPr>
      <w:r>
        <w:rPr>
          <w:rFonts w:hint="eastAsia" w:ascii="微软雅黑" w:hAnsi="微软雅黑" w:eastAsia="微软雅黑" w:cs="微软雅黑"/>
          <w:sz w:val="24"/>
          <w:szCs w:val="24"/>
        </w:rPr>
        <w:t>本合同自双方当事人盖章或者签字时生效。</w:t>
      </w:r>
    </w:p>
    <w:p>
      <w:pPr>
        <w:autoSpaceDE w:val="0"/>
        <w:autoSpaceDN w:val="0"/>
        <w:adjustRightInd w:val="0"/>
        <w:rPr>
          <w:rFonts w:ascii="微软雅黑" w:hAnsi="微软雅黑" w:eastAsia="微软雅黑" w:cs="微软雅黑"/>
          <w:sz w:val="24"/>
          <w:szCs w:val="24"/>
          <w:lang w:val="zh-CN"/>
        </w:rPr>
      </w:pPr>
    </w:p>
    <w:p>
      <w:pPr>
        <w:autoSpaceDE w:val="0"/>
        <w:autoSpaceDN w:val="0"/>
        <w:adjustRightInd w:val="0"/>
        <w:rPr>
          <w:rFonts w:ascii="微软雅黑" w:hAnsi="微软雅黑" w:eastAsia="微软雅黑" w:cs="微软雅黑"/>
          <w:sz w:val="24"/>
          <w:szCs w:val="24"/>
          <w:lang w:val="zh-CN"/>
        </w:rPr>
      </w:pPr>
      <w:r>
        <w:rPr>
          <w:rFonts w:hint="eastAsia" w:ascii="微软雅黑" w:hAnsi="微软雅黑" w:eastAsia="微软雅黑" w:cs="微软雅黑"/>
          <w:b/>
          <w:bCs/>
          <w:sz w:val="24"/>
          <w:szCs w:val="24"/>
          <w:lang w:val="zh-CN"/>
        </w:rPr>
        <w:t>甲方</w:t>
      </w:r>
      <w:r>
        <w:rPr>
          <w:rFonts w:hint="eastAsia" w:ascii="微软雅黑" w:hAnsi="微软雅黑" w:eastAsia="微软雅黑" w:cs="微软雅黑"/>
          <w:sz w:val="24"/>
          <w:szCs w:val="24"/>
          <w:lang w:val="zh-CN"/>
        </w:rPr>
        <w:t xml:space="preserve">：                             </w:t>
      </w:r>
      <w:r>
        <w:rPr>
          <w:rFonts w:hint="eastAsia" w:ascii="微软雅黑" w:hAnsi="微软雅黑" w:eastAsia="微软雅黑" w:cs="微软雅黑"/>
          <w:b/>
          <w:bCs/>
          <w:sz w:val="24"/>
          <w:szCs w:val="24"/>
          <w:lang w:val="zh-CN"/>
        </w:rPr>
        <w:t xml:space="preserve">      乙方</w:t>
      </w:r>
      <w:r>
        <w:rPr>
          <w:rFonts w:hint="eastAsia" w:ascii="微软雅黑" w:hAnsi="微软雅黑" w:eastAsia="微软雅黑" w:cs="微软雅黑"/>
          <w:sz w:val="24"/>
          <w:szCs w:val="24"/>
          <w:lang w:val="zh-CN"/>
        </w:rPr>
        <w:t>：</w:t>
      </w:r>
    </w:p>
    <w:p>
      <w:pPr>
        <w:autoSpaceDE w:val="0"/>
        <w:autoSpaceDN w:val="0"/>
        <w:adjustRightInd w:val="0"/>
        <w:rPr>
          <w:rFonts w:ascii="微软雅黑" w:hAnsi="微软雅黑" w:eastAsia="微软雅黑" w:cs="微软雅黑"/>
          <w:sz w:val="24"/>
          <w:szCs w:val="24"/>
          <w:lang w:val="zh-CN"/>
        </w:rPr>
      </w:pPr>
      <w:r>
        <w:rPr>
          <w:rFonts w:hint="eastAsia" w:ascii="微软雅黑" w:hAnsi="微软雅黑" w:eastAsia="微软雅黑" w:cs="微软雅黑"/>
          <w:sz w:val="24"/>
          <w:szCs w:val="24"/>
          <w:lang w:val="zh-CN"/>
        </w:rPr>
        <w:t>统一社会信用代码：                        统一社会信用代码或身份证号码：</w:t>
      </w:r>
    </w:p>
    <w:p>
      <w:pPr>
        <w:autoSpaceDE w:val="0"/>
        <w:autoSpaceDN w:val="0"/>
        <w:adjustRightInd w:val="0"/>
        <w:rPr>
          <w:rFonts w:ascii="微软雅黑" w:hAnsi="微软雅黑" w:eastAsia="微软雅黑" w:cs="微软雅黑"/>
          <w:sz w:val="24"/>
          <w:szCs w:val="24"/>
          <w:lang w:val="zh-CN"/>
        </w:rPr>
      </w:pPr>
    </w:p>
    <w:p>
      <w:pPr>
        <w:autoSpaceDE w:val="0"/>
        <w:autoSpaceDN w:val="0"/>
        <w:adjustRightInd w:val="0"/>
        <w:rPr>
          <w:rFonts w:ascii="微软雅黑" w:hAnsi="微软雅黑" w:eastAsia="微软雅黑" w:cs="微软雅黑"/>
          <w:sz w:val="24"/>
          <w:szCs w:val="24"/>
          <w:lang w:val="zh-CN"/>
        </w:rPr>
      </w:pPr>
      <w:r>
        <w:rPr>
          <w:rFonts w:hint="eastAsia" w:ascii="微软雅黑" w:hAnsi="微软雅黑" w:eastAsia="微软雅黑" w:cs="微软雅黑"/>
          <w:sz w:val="24"/>
          <w:szCs w:val="24"/>
          <w:lang w:val="zh-CN"/>
        </w:rPr>
        <w:t>住所：                                   住所：</w:t>
      </w:r>
    </w:p>
    <w:p>
      <w:pPr>
        <w:autoSpaceDE w:val="0"/>
        <w:autoSpaceDN w:val="0"/>
        <w:adjustRightInd w:val="0"/>
        <w:rPr>
          <w:rFonts w:ascii="微软雅黑" w:hAnsi="微软雅黑" w:eastAsia="微软雅黑" w:cs="微软雅黑"/>
          <w:sz w:val="24"/>
          <w:szCs w:val="24"/>
          <w:lang w:val="zh-CN"/>
        </w:rPr>
      </w:pPr>
      <w:r>
        <w:rPr>
          <w:rFonts w:hint="eastAsia" w:ascii="微软雅黑" w:hAnsi="微软雅黑" w:eastAsia="微软雅黑" w:cs="微软雅黑"/>
          <w:sz w:val="24"/>
          <w:szCs w:val="24"/>
          <w:lang w:val="zh-CN"/>
        </w:rPr>
        <w:t>法定代表人或                             法定代表人</w:t>
      </w:r>
    </w:p>
    <w:p>
      <w:pPr>
        <w:autoSpaceDE w:val="0"/>
        <w:autoSpaceDN w:val="0"/>
        <w:adjustRightInd w:val="0"/>
        <w:rPr>
          <w:rFonts w:ascii="微软雅黑" w:hAnsi="微软雅黑" w:eastAsia="微软雅黑" w:cs="微软雅黑"/>
          <w:sz w:val="24"/>
          <w:szCs w:val="24"/>
          <w:lang w:val="zh-CN"/>
        </w:rPr>
      </w:pPr>
      <w:r>
        <w:rPr>
          <w:rFonts w:hint="eastAsia" w:ascii="微软雅黑" w:hAnsi="微软雅黑" w:eastAsia="微软雅黑" w:cs="微软雅黑"/>
          <w:sz w:val="24"/>
          <w:szCs w:val="24"/>
          <w:lang w:val="zh-CN"/>
        </w:rPr>
        <w:t xml:space="preserve">授权代表（签字）：                       或授权代表（签字）: </w:t>
      </w:r>
    </w:p>
    <w:p>
      <w:pPr>
        <w:autoSpaceDE w:val="0"/>
        <w:autoSpaceDN w:val="0"/>
        <w:adjustRightInd w:val="0"/>
        <w:rPr>
          <w:rFonts w:ascii="微软雅黑" w:hAnsi="微软雅黑" w:eastAsia="微软雅黑" w:cs="微软雅黑"/>
          <w:sz w:val="24"/>
          <w:szCs w:val="24"/>
          <w:lang w:val="zh-CN"/>
        </w:rPr>
      </w:pPr>
      <w:r>
        <w:rPr>
          <w:rFonts w:hint="eastAsia" w:ascii="微软雅黑" w:hAnsi="微软雅黑" w:eastAsia="微软雅黑" w:cs="微软雅黑"/>
          <w:sz w:val="24"/>
          <w:szCs w:val="24"/>
          <w:lang w:val="zh-CN"/>
        </w:rPr>
        <w:t>联系人：                                 联系人：</w:t>
      </w:r>
    </w:p>
    <w:p>
      <w:pPr>
        <w:autoSpaceDE w:val="0"/>
        <w:autoSpaceDN w:val="0"/>
        <w:adjustRightInd w:val="0"/>
        <w:rPr>
          <w:rFonts w:ascii="微软雅黑" w:hAnsi="微软雅黑" w:eastAsia="微软雅黑" w:cs="微软雅黑"/>
          <w:sz w:val="24"/>
          <w:szCs w:val="24"/>
          <w:lang w:val="zh-CN"/>
        </w:rPr>
      </w:pPr>
      <w:r>
        <w:rPr>
          <w:rFonts w:hint="eastAsia" w:ascii="微软雅黑" w:hAnsi="微软雅黑" w:eastAsia="微软雅黑" w:cs="微软雅黑"/>
          <w:sz w:val="24"/>
          <w:szCs w:val="24"/>
          <w:lang w:val="zh-CN"/>
        </w:rPr>
        <w:t>约定送达地址：                           约定送达地址：</w:t>
      </w:r>
    </w:p>
    <w:p>
      <w:pPr>
        <w:autoSpaceDE w:val="0"/>
        <w:autoSpaceDN w:val="0"/>
        <w:adjustRightInd w:val="0"/>
        <w:rPr>
          <w:rFonts w:ascii="微软雅黑" w:hAnsi="微软雅黑" w:eastAsia="微软雅黑" w:cs="微软雅黑"/>
          <w:sz w:val="24"/>
          <w:szCs w:val="24"/>
          <w:lang w:val="zh-CN"/>
        </w:rPr>
      </w:pPr>
      <w:r>
        <w:rPr>
          <w:rFonts w:hint="eastAsia" w:ascii="微软雅黑" w:hAnsi="微软雅黑" w:eastAsia="微软雅黑" w:cs="微软雅黑"/>
          <w:sz w:val="24"/>
          <w:szCs w:val="24"/>
          <w:lang w:val="zh-CN"/>
        </w:rPr>
        <w:t>邮政编码：                               邮政编码：</w:t>
      </w:r>
    </w:p>
    <w:p>
      <w:pPr>
        <w:autoSpaceDE w:val="0"/>
        <w:autoSpaceDN w:val="0"/>
        <w:adjustRightInd w:val="0"/>
        <w:rPr>
          <w:rFonts w:ascii="微软雅黑" w:hAnsi="微软雅黑" w:eastAsia="微软雅黑" w:cs="微软雅黑"/>
          <w:sz w:val="24"/>
          <w:szCs w:val="24"/>
          <w:lang w:val="zh-CN"/>
        </w:rPr>
      </w:pPr>
      <w:r>
        <w:rPr>
          <w:rFonts w:hint="eastAsia" w:ascii="微软雅黑" w:hAnsi="微软雅黑" w:eastAsia="微软雅黑" w:cs="微软雅黑"/>
          <w:sz w:val="24"/>
          <w:szCs w:val="24"/>
          <w:lang w:val="zh-CN"/>
        </w:rPr>
        <w:t xml:space="preserve">电话:                                    电话: </w:t>
      </w:r>
    </w:p>
    <w:p>
      <w:pPr>
        <w:autoSpaceDE w:val="0"/>
        <w:autoSpaceDN w:val="0"/>
        <w:adjustRightInd w:val="0"/>
        <w:rPr>
          <w:rFonts w:ascii="微软雅黑" w:hAnsi="微软雅黑" w:eastAsia="微软雅黑" w:cs="微软雅黑"/>
          <w:sz w:val="24"/>
          <w:szCs w:val="24"/>
          <w:lang w:val="zh-CN"/>
        </w:rPr>
      </w:pPr>
      <w:r>
        <w:rPr>
          <w:rFonts w:hint="eastAsia" w:ascii="微软雅黑" w:hAnsi="微软雅黑" w:eastAsia="微软雅黑" w:cs="微软雅黑"/>
          <w:sz w:val="24"/>
          <w:szCs w:val="24"/>
          <w:lang w:val="zh-CN"/>
        </w:rPr>
        <w:t>传真:                                    传真:</w:t>
      </w:r>
    </w:p>
    <w:p>
      <w:pPr>
        <w:autoSpaceDE w:val="0"/>
        <w:autoSpaceDN w:val="0"/>
        <w:adjustRightInd w:val="0"/>
        <w:rPr>
          <w:rFonts w:ascii="微软雅黑" w:hAnsi="微软雅黑" w:eastAsia="微软雅黑" w:cs="微软雅黑"/>
          <w:sz w:val="24"/>
          <w:szCs w:val="24"/>
        </w:rPr>
      </w:pPr>
      <w:r>
        <w:rPr>
          <w:rFonts w:hint="eastAsia" w:ascii="微软雅黑" w:hAnsi="微软雅黑" w:eastAsia="微软雅黑" w:cs="微软雅黑"/>
          <w:sz w:val="24"/>
          <w:szCs w:val="24"/>
          <w:lang w:val="zh-CN"/>
        </w:rPr>
        <w:t>电子邮箱：                               电子邮箱：</w:t>
      </w:r>
    </w:p>
    <w:p>
      <w:pPr>
        <w:autoSpaceDE w:val="0"/>
        <w:autoSpaceDN w:val="0"/>
        <w:adjustRightInd w:val="0"/>
        <w:rPr>
          <w:rFonts w:ascii="微软雅黑" w:hAnsi="微软雅黑" w:eastAsia="微软雅黑" w:cs="微软雅黑"/>
          <w:sz w:val="24"/>
          <w:szCs w:val="24"/>
        </w:rPr>
      </w:pPr>
      <w:r>
        <w:rPr>
          <w:rFonts w:hint="eastAsia" w:ascii="微软雅黑" w:hAnsi="微软雅黑" w:eastAsia="微软雅黑" w:cs="微软雅黑"/>
          <w:sz w:val="24"/>
          <w:szCs w:val="24"/>
        </w:rPr>
        <w:t xml:space="preserve">开户银行：                               开户银行： </w:t>
      </w:r>
    </w:p>
    <w:p>
      <w:pPr>
        <w:autoSpaceDE w:val="0"/>
        <w:autoSpaceDN w:val="0"/>
        <w:adjustRightInd w:val="0"/>
        <w:rPr>
          <w:rFonts w:ascii="微软雅黑" w:hAnsi="微软雅黑" w:eastAsia="微软雅黑" w:cs="微软雅黑"/>
          <w:sz w:val="24"/>
          <w:szCs w:val="24"/>
        </w:rPr>
      </w:pPr>
      <w:r>
        <w:rPr>
          <w:rFonts w:hint="eastAsia" w:ascii="微软雅黑" w:hAnsi="微软雅黑" w:eastAsia="微软雅黑" w:cs="微软雅黑"/>
          <w:sz w:val="24"/>
          <w:szCs w:val="24"/>
        </w:rPr>
        <w:t xml:space="preserve">开户名称：                               开户名称： </w:t>
      </w:r>
    </w:p>
    <w:p>
      <w:pPr>
        <w:autoSpaceDE w:val="0"/>
        <w:autoSpaceDN w:val="0"/>
        <w:adjustRightInd w:val="0"/>
        <w:rPr>
          <w:rFonts w:ascii="微软雅黑" w:hAnsi="微软雅黑" w:eastAsia="微软雅黑" w:cs="微软雅黑"/>
          <w:sz w:val="24"/>
          <w:szCs w:val="24"/>
        </w:rPr>
      </w:pPr>
      <w:r>
        <w:rPr>
          <w:rFonts w:hint="eastAsia" w:ascii="微软雅黑" w:hAnsi="微软雅黑" w:eastAsia="微软雅黑" w:cs="微软雅黑"/>
          <w:sz w:val="24"/>
          <w:szCs w:val="24"/>
        </w:rPr>
        <w:t>开户账号：</w:t>
      </w:r>
      <w:r>
        <w:rPr>
          <w:rFonts w:hint="eastAsia" w:ascii="微软雅黑" w:hAnsi="微软雅黑" w:eastAsia="微软雅黑" w:cs="微软雅黑"/>
          <w:sz w:val="24"/>
          <w:szCs w:val="24"/>
          <w:lang w:val="zh-CN"/>
        </w:rPr>
        <w:t xml:space="preserve">                               </w:t>
      </w:r>
      <w:r>
        <w:rPr>
          <w:rFonts w:hint="eastAsia" w:ascii="微软雅黑" w:hAnsi="微软雅黑" w:eastAsia="微软雅黑" w:cs="微软雅黑"/>
          <w:sz w:val="24"/>
          <w:szCs w:val="24"/>
        </w:rPr>
        <w:t>开户账号：</w:t>
      </w:r>
    </w:p>
    <w:p>
      <w:pPr>
        <w:widowControl/>
        <w:jc w:val="left"/>
        <w:rPr>
          <w:rFonts w:ascii="微软雅黑" w:hAnsi="微软雅黑" w:eastAsia="微软雅黑" w:cs="微软雅黑"/>
          <w:b/>
          <w:bCs/>
        </w:rPr>
      </w:pPr>
      <w:bookmarkStart w:id="997" w:name="_Toc331685783"/>
    </w:p>
    <w:p>
      <w:pPr>
        <w:widowControl/>
        <w:jc w:val="left"/>
        <w:rPr>
          <w:rFonts w:ascii="微软雅黑" w:hAnsi="微软雅黑" w:eastAsia="微软雅黑" w:cs="微软雅黑"/>
          <w:b/>
          <w:bCs/>
        </w:rPr>
      </w:pPr>
    </w:p>
    <w:p>
      <w:pPr>
        <w:pStyle w:val="52"/>
        <w:ind w:firstLine="200"/>
        <w:jc w:val="center"/>
        <w:rPr>
          <w:rFonts w:ascii="微软雅黑" w:hAnsi="微软雅黑" w:eastAsia="微软雅黑" w:cs="微软雅黑"/>
          <w:b/>
          <w:bCs/>
        </w:rPr>
      </w:pPr>
      <w:r>
        <w:rPr>
          <w:rFonts w:hint="eastAsia" w:ascii="微软雅黑" w:hAnsi="微软雅黑" w:eastAsia="微软雅黑" w:cs="微软雅黑"/>
          <w:b/>
          <w:bCs/>
        </w:rPr>
        <w:t>第二部分 合同一般条款</w:t>
      </w:r>
      <w:bookmarkEnd w:id="997"/>
    </w:p>
    <w:p>
      <w:pPr>
        <w:ind w:firstLine="480" w:firstLineChars="200"/>
        <w:outlineLvl w:val="0"/>
        <w:rPr>
          <w:rFonts w:ascii="微软雅黑" w:hAnsi="微软雅黑" w:eastAsia="微软雅黑" w:cs="微软雅黑"/>
          <w:b/>
          <w:bCs/>
          <w:sz w:val="24"/>
          <w:szCs w:val="24"/>
        </w:rPr>
      </w:pPr>
      <w:bookmarkStart w:id="998" w:name="_Toc31417"/>
      <w:bookmarkStart w:id="999" w:name="_Toc3091"/>
      <w:bookmarkStart w:id="1000" w:name="_Ref467378499"/>
      <w:bookmarkStart w:id="1001" w:name="_Toc2034"/>
      <w:bookmarkStart w:id="1002" w:name="_Toc25554"/>
      <w:bookmarkStart w:id="1003" w:name="_Toc25689"/>
      <w:bookmarkStart w:id="1004" w:name="_Toc31310"/>
      <w:bookmarkStart w:id="1005" w:name="_Toc28763"/>
      <w:bookmarkStart w:id="1006" w:name="_Toc26415"/>
      <w:bookmarkStart w:id="1007" w:name="_Toc26936"/>
      <w:bookmarkStart w:id="1008" w:name="_Toc487900349"/>
      <w:bookmarkStart w:id="1009" w:name="_Toc279701240"/>
      <w:bookmarkStart w:id="1010" w:name="_Toc15647"/>
      <w:bookmarkStart w:id="1011" w:name="_Toc19614"/>
      <w:bookmarkStart w:id="1012" w:name="_Toc25035"/>
      <w:bookmarkStart w:id="1013" w:name="_Toc28865"/>
      <w:bookmarkStart w:id="1014" w:name="_Toc23997"/>
      <w:bookmarkStart w:id="1015" w:name="_Toc28547"/>
      <w:bookmarkStart w:id="1016" w:name="_Toc259093669"/>
      <w:bookmarkStart w:id="1017" w:name="_Ref467379101"/>
      <w:bookmarkStart w:id="1018" w:name="_Toc10572"/>
      <w:bookmarkStart w:id="1019" w:name="_Toc20709"/>
      <w:bookmarkStart w:id="1020" w:name="_Ref467379109"/>
      <w:bookmarkStart w:id="1021" w:name="_Toc5579"/>
      <w:bookmarkStart w:id="1022" w:name="_Toc20160"/>
      <w:bookmarkStart w:id="1023" w:name="_Toc14827"/>
      <w:bookmarkStart w:id="1024" w:name="_Toc26015"/>
      <w:bookmarkStart w:id="1025" w:name="_Toc9087"/>
      <w:bookmarkStart w:id="1026" w:name="_Ref467379094"/>
      <w:bookmarkStart w:id="1027" w:name="_Toc25060"/>
      <w:bookmarkStart w:id="1028" w:name="_Toc510"/>
      <w:bookmarkStart w:id="1029" w:name="_Ref467378404"/>
      <w:bookmarkStart w:id="1030" w:name="_Ref467379214"/>
      <w:bookmarkStart w:id="1031" w:name="_Toc18089"/>
      <w:bookmarkStart w:id="1032" w:name="_Toc32624"/>
      <w:bookmarkStart w:id="1033" w:name="_Toc10245"/>
      <w:bookmarkStart w:id="1034" w:name="_Toc17718"/>
      <w:bookmarkStart w:id="1035" w:name="_Toc21840"/>
      <w:bookmarkStart w:id="1036" w:name="_Ref467379195"/>
      <w:bookmarkStart w:id="1037" w:name="_Toc29659"/>
      <w:bookmarkStart w:id="1038" w:name="_Toc2854"/>
      <w:bookmarkStart w:id="1039" w:name="_Toc16917"/>
      <w:bookmarkStart w:id="1040" w:name="_Ref467379205"/>
      <w:bookmarkStart w:id="1041" w:name="_Toc11351"/>
      <w:bookmarkStart w:id="1042" w:name="_Ref467378463"/>
      <w:bookmarkStart w:id="1043" w:name="_Toc24863"/>
      <w:bookmarkStart w:id="1044" w:name="_Ref467379225"/>
      <w:r>
        <w:rPr>
          <w:rFonts w:hint="eastAsia" w:ascii="微软雅黑" w:hAnsi="微软雅黑" w:eastAsia="微软雅黑" w:cs="微软雅黑"/>
          <w:b/>
          <w:bCs/>
          <w:sz w:val="24"/>
          <w:szCs w:val="24"/>
        </w:rPr>
        <w:t>2.1 定义</w:t>
      </w:r>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本合同中的下列词语应按以下内容进行解释：</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2.1.1 “合同”系指采购人和中标供应商签订的载明双方当事人所达成的协议，并包括所有的附件、附录和构成合同的其他文件。</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2.1.2 “合同价”系指根据合同约定，中标供应商在完全履行合同义务后，采购人应支付给中标供应商的价格。</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2.1.3 “货物”系指中标供应商根据合同约定应向采购人交付的一切各种形态和种类的物品，包括原材料、燃料、设备、机械、仪表、备件、计算机软件、产品等，并包括工具、手册等其他相关资料。</w:t>
      </w:r>
    </w:p>
    <w:p>
      <w:pPr>
        <w:ind w:firstLine="480" w:firstLineChars="200"/>
        <w:rPr>
          <w:rFonts w:ascii="微软雅黑" w:hAnsi="微软雅黑" w:eastAsia="微软雅黑" w:cs="微软雅黑"/>
          <w:sz w:val="24"/>
          <w:szCs w:val="24"/>
        </w:rPr>
      </w:pPr>
      <w:bookmarkStart w:id="1045" w:name="_Ref467378840"/>
      <w:r>
        <w:rPr>
          <w:rFonts w:hint="eastAsia" w:ascii="微软雅黑" w:hAnsi="微软雅黑" w:eastAsia="微软雅黑" w:cs="微软雅黑"/>
          <w:sz w:val="24"/>
          <w:szCs w:val="24"/>
        </w:rPr>
        <w:t>2.1.4 “甲方”系指与中标供应商签署合同的采购人</w:t>
      </w:r>
      <w:bookmarkEnd w:id="1045"/>
      <w:r>
        <w:rPr>
          <w:rFonts w:hint="eastAsia" w:ascii="微软雅黑" w:hAnsi="微软雅黑" w:eastAsia="微软雅黑" w:cs="微软雅黑"/>
          <w:sz w:val="24"/>
          <w:szCs w:val="24"/>
        </w:rPr>
        <w:t>；采购人委托采购代理机构代表其与乙方签订合同的，采购人的授权委托书作为合同附件。</w:t>
      </w:r>
    </w:p>
    <w:p>
      <w:pPr>
        <w:ind w:firstLine="480" w:firstLineChars="200"/>
        <w:rPr>
          <w:rFonts w:ascii="微软雅黑" w:hAnsi="微软雅黑" w:eastAsia="微软雅黑" w:cs="微软雅黑"/>
          <w:sz w:val="24"/>
          <w:szCs w:val="24"/>
        </w:rPr>
      </w:pPr>
      <w:bookmarkStart w:id="1046" w:name="_Ref467379400"/>
      <w:r>
        <w:rPr>
          <w:rFonts w:hint="eastAsia" w:ascii="微软雅黑" w:hAnsi="微软雅黑" w:eastAsia="微软雅黑" w:cs="微软雅黑"/>
          <w:sz w:val="24"/>
          <w:szCs w:val="24"/>
        </w:rPr>
        <w:t>2.1.5 “乙方”系指根据合同约定交付货物的中标供应商</w:t>
      </w:r>
      <w:bookmarkEnd w:id="1046"/>
      <w:r>
        <w:rPr>
          <w:rFonts w:hint="eastAsia" w:ascii="微软雅黑" w:hAnsi="微软雅黑" w:eastAsia="微软雅黑" w:cs="微软雅黑"/>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ind w:firstLine="480" w:firstLineChars="200"/>
        <w:rPr>
          <w:rFonts w:ascii="微软雅黑" w:hAnsi="微软雅黑" w:eastAsia="微软雅黑" w:cs="微软雅黑"/>
          <w:sz w:val="24"/>
          <w:szCs w:val="24"/>
        </w:rPr>
      </w:pPr>
      <w:bookmarkStart w:id="1047" w:name="_Ref467379436"/>
      <w:r>
        <w:rPr>
          <w:rFonts w:hint="eastAsia" w:ascii="微软雅黑" w:hAnsi="微软雅黑" w:eastAsia="微软雅黑" w:cs="微软雅黑"/>
          <w:sz w:val="24"/>
          <w:szCs w:val="24"/>
        </w:rPr>
        <w:t>2.1.6 “现场”系指合同约定货物将要运至或者安装的地点。</w:t>
      </w:r>
      <w:bookmarkEnd w:id="1047"/>
    </w:p>
    <w:p>
      <w:pPr>
        <w:ind w:firstLine="480" w:firstLineChars="200"/>
        <w:outlineLvl w:val="0"/>
        <w:rPr>
          <w:rFonts w:ascii="微软雅黑" w:hAnsi="微软雅黑" w:eastAsia="微软雅黑" w:cs="微软雅黑"/>
          <w:b/>
          <w:bCs/>
          <w:sz w:val="24"/>
          <w:szCs w:val="24"/>
        </w:rPr>
      </w:pPr>
      <w:bookmarkStart w:id="1048" w:name="_Toc25269"/>
      <w:bookmarkStart w:id="1049" w:name="_Toc15269"/>
      <w:bookmarkStart w:id="1050" w:name="_Toc1221"/>
      <w:bookmarkStart w:id="1051" w:name="_Toc27635"/>
      <w:bookmarkStart w:id="1052" w:name="_Toc23689"/>
      <w:bookmarkStart w:id="1053" w:name="_Toc9246"/>
      <w:bookmarkStart w:id="1054" w:name="_Toc1352"/>
      <w:bookmarkStart w:id="1055" w:name="_Toc29206"/>
      <w:bookmarkStart w:id="1056" w:name="_Toc3193"/>
      <w:bookmarkStart w:id="1057" w:name="_Toc17151"/>
      <w:bookmarkStart w:id="1058" w:name="_Toc31414"/>
      <w:bookmarkStart w:id="1059" w:name="_Toc2357"/>
      <w:bookmarkStart w:id="1060" w:name="_Toc1447"/>
      <w:bookmarkStart w:id="1061" w:name="_Toc11142"/>
      <w:bookmarkStart w:id="1062" w:name="_Toc30767"/>
      <w:bookmarkStart w:id="1063" w:name="_Toc8687"/>
      <w:bookmarkStart w:id="1064" w:name="_Toc7416"/>
      <w:bookmarkStart w:id="1065" w:name="_Toc22769"/>
      <w:bookmarkStart w:id="1066" w:name="_Toc487900350"/>
      <w:bookmarkStart w:id="1067" w:name="_Toc5592"/>
      <w:bookmarkStart w:id="1068" w:name="_Toc32504"/>
      <w:bookmarkStart w:id="1069" w:name="_Toc22104"/>
      <w:bookmarkStart w:id="1070" w:name="_Toc25336"/>
      <w:bookmarkStart w:id="1071" w:name="_Toc19892"/>
      <w:bookmarkStart w:id="1072" w:name="_Toc25266"/>
      <w:bookmarkStart w:id="1073" w:name="_Toc24792"/>
      <w:bookmarkStart w:id="1074" w:name="_Toc1183"/>
      <w:bookmarkStart w:id="1075" w:name="_Toc13336"/>
      <w:bookmarkStart w:id="1076" w:name="_Toc24523"/>
      <w:bookmarkStart w:id="1077" w:name="_Toc24322"/>
      <w:bookmarkStart w:id="1078" w:name="_Toc23702"/>
      <w:bookmarkStart w:id="1079" w:name="_Toc259093670"/>
      <w:bookmarkStart w:id="1080" w:name="_Toc7048"/>
      <w:bookmarkStart w:id="1081" w:name="_Toc279701241"/>
      <w:bookmarkStart w:id="1082" w:name="_Toc3949"/>
      <w:bookmarkStart w:id="1083" w:name="_Toc22122"/>
      <w:bookmarkStart w:id="1084" w:name="_Toc2117"/>
      <w:r>
        <w:rPr>
          <w:rFonts w:hint="eastAsia" w:ascii="微软雅黑" w:hAnsi="微软雅黑" w:eastAsia="微软雅黑" w:cs="微软雅黑"/>
          <w:b/>
          <w:bCs/>
          <w:sz w:val="24"/>
          <w:szCs w:val="24"/>
        </w:rPr>
        <w:t>2.2 技术规范</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ind w:firstLine="480" w:firstLineChars="200"/>
        <w:outlineLvl w:val="0"/>
        <w:rPr>
          <w:rFonts w:ascii="微软雅黑" w:hAnsi="微软雅黑" w:eastAsia="微软雅黑" w:cs="微软雅黑"/>
          <w:b/>
          <w:bCs/>
          <w:sz w:val="24"/>
          <w:szCs w:val="24"/>
        </w:rPr>
      </w:pPr>
      <w:bookmarkStart w:id="1085" w:name="_Toc14632"/>
      <w:bookmarkStart w:id="1086" w:name="_Toc15733"/>
      <w:bookmarkStart w:id="1087" w:name="_Toc22279"/>
      <w:bookmarkStart w:id="1088" w:name="_Toc28532"/>
      <w:bookmarkStart w:id="1089" w:name="_Toc26928"/>
      <w:bookmarkStart w:id="1090" w:name="_Toc3854"/>
      <w:bookmarkStart w:id="1091" w:name="_Toc30552"/>
      <w:bookmarkStart w:id="1092" w:name="_Toc23791"/>
      <w:bookmarkStart w:id="1093" w:name="_Toc25255"/>
      <w:bookmarkStart w:id="1094" w:name="_Toc18842"/>
      <w:bookmarkStart w:id="1095" w:name="_Toc975"/>
      <w:bookmarkStart w:id="1096" w:name="_Toc18758"/>
      <w:bookmarkStart w:id="1097" w:name="_Toc6835"/>
      <w:bookmarkStart w:id="1098" w:name="_Toc4916"/>
      <w:bookmarkStart w:id="1099" w:name="_Toc487900351"/>
      <w:bookmarkStart w:id="1100" w:name="_Toc27853"/>
      <w:bookmarkStart w:id="1101" w:name="_Toc17383"/>
      <w:bookmarkStart w:id="1102" w:name="_Toc28662"/>
      <w:bookmarkStart w:id="1103" w:name="_Toc24537"/>
      <w:bookmarkStart w:id="1104" w:name="_Toc259093671"/>
      <w:bookmarkStart w:id="1105" w:name="_Toc4029"/>
      <w:bookmarkStart w:id="1106" w:name="_Toc9829"/>
      <w:bookmarkStart w:id="1107" w:name="_Toc10461"/>
      <w:bookmarkStart w:id="1108" w:name="_Toc31634"/>
      <w:bookmarkStart w:id="1109" w:name="_Toc1649"/>
      <w:bookmarkStart w:id="1110" w:name="_Toc279701242"/>
      <w:bookmarkStart w:id="1111" w:name="_Toc988"/>
      <w:bookmarkStart w:id="1112" w:name="_Toc15788"/>
      <w:bookmarkStart w:id="1113" w:name="_Toc30700"/>
      <w:bookmarkStart w:id="1114" w:name="_Toc23649"/>
      <w:bookmarkStart w:id="1115" w:name="_Toc4277"/>
      <w:bookmarkStart w:id="1116" w:name="_Toc28946"/>
      <w:bookmarkStart w:id="1117" w:name="_Toc7722"/>
      <w:bookmarkStart w:id="1118" w:name="_Toc20130"/>
      <w:bookmarkStart w:id="1119" w:name="_Toc21537"/>
      <w:bookmarkStart w:id="1120" w:name="_Toc32048"/>
      <w:bookmarkStart w:id="1121" w:name="_Toc6121"/>
      <w:r>
        <w:rPr>
          <w:rFonts w:hint="eastAsia" w:ascii="微软雅黑" w:hAnsi="微软雅黑" w:eastAsia="微软雅黑" w:cs="微软雅黑"/>
          <w:b/>
          <w:bCs/>
          <w:sz w:val="24"/>
          <w:szCs w:val="24"/>
        </w:rPr>
        <w:t>2.3 知识产权</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2.3.2具有知识产权的计算机软件等货物的知识产权归属，详见</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w:t>
      </w:r>
    </w:p>
    <w:p>
      <w:pPr>
        <w:ind w:firstLine="480" w:firstLineChars="200"/>
        <w:outlineLvl w:val="0"/>
        <w:rPr>
          <w:rFonts w:ascii="微软雅黑" w:hAnsi="微软雅黑" w:eastAsia="微软雅黑" w:cs="微软雅黑"/>
          <w:b/>
          <w:bCs/>
          <w:sz w:val="24"/>
          <w:szCs w:val="24"/>
        </w:rPr>
      </w:pPr>
      <w:bookmarkStart w:id="1122" w:name="_Toc21468"/>
      <w:bookmarkStart w:id="1123" w:name="_Toc28714"/>
      <w:bookmarkStart w:id="1124" w:name="_Toc28170"/>
      <w:bookmarkStart w:id="1125" w:name="_Toc2585"/>
      <w:bookmarkStart w:id="1126" w:name="_Toc25749"/>
      <w:bookmarkStart w:id="1127" w:name="_Toc9172"/>
      <w:bookmarkStart w:id="1128" w:name="_Toc13341"/>
      <w:bookmarkStart w:id="1129" w:name="_Toc26731"/>
      <w:bookmarkStart w:id="1130" w:name="_Toc11932"/>
      <w:bookmarkStart w:id="1131" w:name="_Toc5395"/>
      <w:bookmarkStart w:id="1132" w:name="_Toc20620"/>
      <w:bookmarkStart w:id="1133" w:name="_Toc10546"/>
      <w:bookmarkStart w:id="1134" w:name="_Toc23105"/>
      <w:bookmarkStart w:id="1135" w:name="_Toc17176"/>
      <w:bookmarkStart w:id="1136" w:name="_Toc3486"/>
      <w:bookmarkStart w:id="1137" w:name="_Toc4194"/>
      <w:bookmarkStart w:id="1138" w:name="_Toc25767"/>
      <w:bookmarkStart w:id="1139" w:name="_Toc17876"/>
      <w:bookmarkStart w:id="1140" w:name="_Toc9470"/>
      <w:bookmarkStart w:id="1141" w:name="_Toc10970"/>
      <w:bookmarkStart w:id="1142" w:name="_Toc8795"/>
      <w:bookmarkStart w:id="1143" w:name="_Toc21886"/>
      <w:bookmarkStart w:id="1144" w:name="_Toc24384"/>
      <w:bookmarkStart w:id="1145" w:name="_Toc12219"/>
      <w:bookmarkStart w:id="1146" w:name="_Toc29149"/>
      <w:bookmarkStart w:id="1147" w:name="_Toc19638"/>
      <w:bookmarkStart w:id="1148" w:name="_Toc10397"/>
      <w:bookmarkStart w:id="1149" w:name="_Toc18554"/>
      <w:bookmarkStart w:id="1150" w:name="_Toc1945"/>
      <w:bookmarkStart w:id="1151" w:name="_Toc5013"/>
      <w:bookmarkStart w:id="1152" w:name="_Toc1877"/>
      <w:bookmarkStart w:id="1153" w:name="_Toc455"/>
      <w:bookmarkStart w:id="1154" w:name="_Toc17080"/>
      <w:bookmarkStart w:id="1155" w:name="_Toc6781"/>
      <w:r>
        <w:rPr>
          <w:rFonts w:hint="eastAsia" w:ascii="微软雅黑" w:hAnsi="微软雅黑" w:eastAsia="微软雅黑" w:cs="微软雅黑"/>
          <w:b/>
          <w:bCs/>
          <w:sz w:val="24"/>
          <w:szCs w:val="24"/>
        </w:rPr>
        <w:t>2.4 包装和装运</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2.4.1除</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2.4.2 装运货物的要求和通知，详见</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w:t>
      </w:r>
    </w:p>
    <w:p>
      <w:pPr>
        <w:ind w:firstLine="480" w:firstLineChars="200"/>
        <w:outlineLvl w:val="0"/>
        <w:rPr>
          <w:rFonts w:ascii="微软雅黑" w:hAnsi="微软雅黑" w:eastAsia="微软雅黑" w:cs="微软雅黑"/>
          <w:b/>
          <w:bCs/>
          <w:sz w:val="24"/>
          <w:szCs w:val="24"/>
        </w:rPr>
      </w:pPr>
      <w:bookmarkStart w:id="1156" w:name="_Toc279701245"/>
      <w:bookmarkStart w:id="1157" w:name="_Ref467378591"/>
      <w:bookmarkStart w:id="1158" w:name="_Toc259093674"/>
      <w:bookmarkStart w:id="1159" w:name="_Ref467379536"/>
      <w:bookmarkStart w:id="1160" w:name="_Ref467378541"/>
      <w:bookmarkStart w:id="1161" w:name="_Ref467379542"/>
      <w:bookmarkStart w:id="1162" w:name="_Ref467379527"/>
      <w:bookmarkStart w:id="1163" w:name="_Toc487900354"/>
      <w:bookmarkStart w:id="1164" w:name="_Toc12428"/>
      <w:bookmarkStart w:id="1165" w:name="_Toc30516"/>
      <w:bookmarkStart w:id="1166" w:name="_Toc1580"/>
      <w:bookmarkStart w:id="1167" w:name="_Toc18307"/>
      <w:bookmarkStart w:id="1168" w:name="_Toc18515"/>
      <w:bookmarkStart w:id="1169" w:name="_Toc21410"/>
      <w:bookmarkStart w:id="1170" w:name="_Toc4831"/>
      <w:bookmarkStart w:id="1171" w:name="_Toc30291"/>
      <w:bookmarkStart w:id="1172" w:name="_Toc10209"/>
      <w:bookmarkStart w:id="1173" w:name="_Toc7379"/>
      <w:bookmarkStart w:id="1174" w:name="_Toc2815"/>
      <w:bookmarkStart w:id="1175" w:name="_Toc24935"/>
      <w:bookmarkStart w:id="1176" w:name="_Toc15512"/>
      <w:bookmarkStart w:id="1177" w:name="_Toc28998"/>
      <w:bookmarkStart w:id="1178" w:name="_Toc2039"/>
      <w:bookmarkStart w:id="1179" w:name="_Toc24299"/>
      <w:bookmarkStart w:id="1180" w:name="_Toc30272"/>
      <w:bookmarkStart w:id="1181" w:name="_Toc530"/>
      <w:bookmarkStart w:id="1182" w:name="_Toc26182"/>
      <w:bookmarkStart w:id="1183" w:name="_Toc28937"/>
      <w:bookmarkStart w:id="1184" w:name="_Toc5927"/>
      <w:bookmarkStart w:id="1185" w:name="_Toc14100"/>
      <w:bookmarkStart w:id="1186" w:name="_Toc21198"/>
      <w:bookmarkStart w:id="1187" w:name="_Toc28324"/>
      <w:bookmarkStart w:id="1188" w:name="_Toc30185"/>
      <w:bookmarkStart w:id="1189" w:name="_Toc31437"/>
      <w:bookmarkStart w:id="1190" w:name="_Toc19074"/>
      <w:bookmarkStart w:id="1191" w:name="_Toc14170"/>
      <w:bookmarkStart w:id="1192" w:name="_Toc8552"/>
      <w:bookmarkStart w:id="1193" w:name="_Toc20866"/>
      <w:bookmarkStart w:id="1194" w:name="_Toc7299"/>
      <w:bookmarkStart w:id="1195" w:name="_Toc8576"/>
      <w:bookmarkStart w:id="1196" w:name="_Toc27410"/>
      <w:bookmarkStart w:id="1197" w:name="_Toc30541"/>
      <w:r>
        <w:rPr>
          <w:rFonts w:hint="eastAsia" w:ascii="微软雅黑" w:hAnsi="微软雅黑" w:eastAsia="微软雅黑" w:cs="微软雅黑"/>
          <w:b/>
          <w:bCs/>
          <w:sz w:val="24"/>
          <w:szCs w:val="24"/>
        </w:rPr>
        <w:t>2.</w:t>
      </w:r>
      <w:bookmarkEnd w:id="1156"/>
      <w:bookmarkEnd w:id="1157"/>
      <w:bookmarkEnd w:id="1158"/>
      <w:bookmarkEnd w:id="1159"/>
      <w:bookmarkEnd w:id="1160"/>
      <w:bookmarkEnd w:id="1161"/>
      <w:bookmarkEnd w:id="1162"/>
      <w:bookmarkEnd w:id="1163"/>
      <w:r>
        <w:rPr>
          <w:rFonts w:hint="eastAsia" w:ascii="微软雅黑" w:hAnsi="微软雅黑" w:eastAsia="微软雅黑" w:cs="微软雅黑"/>
          <w:b/>
          <w:bCs/>
          <w:sz w:val="24"/>
          <w:szCs w:val="24"/>
        </w:rPr>
        <w:t>5 履约检查和问题反馈</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pPr>
        <w:ind w:firstLine="480" w:firstLineChars="200"/>
        <w:rPr>
          <w:rFonts w:ascii="微软雅黑" w:hAnsi="微软雅黑" w:eastAsia="微软雅黑" w:cs="微软雅黑"/>
          <w:sz w:val="24"/>
          <w:szCs w:val="24"/>
        </w:rPr>
      </w:pPr>
      <w:bookmarkStart w:id="1198" w:name="_Ref467379657"/>
      <w:r>
        <w:rPr>
          <w:rFonts w:hint="eastAsia" w:ascii="微软雅黑" w:hAnsi="微软雅黑" w:eastAsia="微软雅黑" w:cs="微软雅黑"/>
          <w:sz w:val="24"/>
          <w:szCs w:val="24"/>
        </w:rPr>
        <w:t>2.5.1</w:t>
      </w:r>
      <w:bookmarkEnd w:id="1198"/>
      <w:bookmarkStart w:id="1199" w:name="_Toc186431854"/>
      <w:bookmarkStart w:id="1200" w:name="_Ref467379807"/>
      <w:bookmarkStart w:id="1201" w:name="_Ref467379793"/>
      <w:bookmarkStart w:id="1202" w:name="_Toc259093676"/>
      <w:bookmarkStart w:id="1203" w:name="_Toc487900357"/>
      <w:bookmarkStart w:id="1204" w:name="_Toc279701247"/>
      <w:r>
        <w:rPr>
          <w:rFonts w:hint="eastAsia" w:ascii="微软雅黑" w:hAnsi="微软雅黑" w:eastAsia="微软雅黑" w:cs="微软雅黑"/>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2.5.2 合同履行期间，甲方有权将履行过程中出现的问题反馈给乙方，双方当事人应以书面形式约定需要完善和改进的内容</w:t>
      </w:r>
      <w:bookmarkEnd w:id="1199"/>
      <w:bookmarkStart w:id="1205" w:name="_Toc186431855"/>
      <w:r>
        <w:rPr>
          <w:rFonts w:hint="eastAsia" w:ascii="微软雅黑" w:hAnsi="微软雅黑" w:eastAsia="微软雅黑" w:cs="微软雅黑"/>
          <w:sz w:val="24"/>
          <w:szCs w:val="24"/>
        </w:rPr>
        <w:t>。</w:t>
      </w:r>
    </w:p>
    <w:bookmarkEnd w:id="1205"/>
    <w:p>
      <w:pPr>
        <w:ind w:firstLine="480" w:firstLineChars="200"/>
        <w:outlineLvl w:val="0"/>
        <w:rPr>
          <w:rFonts w:ascii="微软雅黑" w:hAnsi="微软雅黑" w:eastAsia="微软雅黑" w:cs="微软雅黑"/>
          <w:b/>
          <w:bCs/>
          <w:sz w:val="24"/>
          <w:szCs w:val="24"/>
        </w:rPr>
      </w:pPr>
      <w:bookmarkStart w:id="1206" w:name="_Toc5304"/>
      <w:bookmarkStart w:id="1207" w:name="_Toc30354"/>
      <w:bookmarkStart w:id="1208" w:name="_Toc582"/>
      <w:bookmarkStart w:id="1209" w:name="_Toc12360"/>
      <w:bookmarkStart w:id="1210" w:name="_Toc7836"/>
      <w:bookmarkStart w:id="1211" w:name="_Toc19219"/>
      <w:bookmarkStart w:id="1212" w:name="_Toc234"/>
      <w:bookmarkStart w:id="1213" w:name="_Toc5363"/>
      <w:bookmarkStart w:id="1214" w:name="_Toc10470"/>
      <w:bookmarkStart w:id="1215" w:name="_Toc12377"/>
      <w:bookmarkStart w:id="1216" w:name="_Toc28451"/>
      <w:bookmarkStart w:id="1217" w:name="_Toc2067"/>
      <w:bookmarkStart w:id="1218" w:name="_Toc15854"/>
      <w:bookmarkStart w:id="1219" w:name="_Toc3518"/>
      <w:bookmarkStart w:id="1220" w:name="_Toc10704"/>
      <w:bookmarkStart w:id="1221" w:name="_Toc10980"/>
      <w:bookmarkStart w:id="1222" w:name="_Toc6725"/>
      <w:bookmarkStart w:id="1223" w:name="_Toc27802"/>
      <w:bookmarkStart w:id="1224" w:name="_Toc8058"/>
      <w:bookmarkStart w:id="1225" w:name="_Toc26298"/>
      <w:bookmarkStart w:id="1226" w:name="_Toc31564"/>
      <w:bookmarkStart w:id="1227" w:name="_Toc1530"/>
      <w:bookmarkStart w:id="1228" w:name="_Toc22499"/>
      <w:bookmarkStart w:id="1229" w:name="_Toc18294"/>
      <w:bookmarkStart w:id="1230" w:name="_Toc17283"/>
      <w:bookmarkStart w:id="1231" w:name="_Toc23849"/>
      <w:bookmarkStart w:id="1232" w:name="_Toc26245"/>
      <w:bookmarkStart w:id="1233" w:name="_Toc11522"/>
      <w:bookmarkStart w:id="1234" w:name="_Toc28142"/>
      <w:bookmarkStart w:id="1235" w:name="_Toc9092"/>
      <w:bookmarkStart w:id="1236" w:name="_Toc23261"/>
      <w:bookmarkStart w:id="1237" w:name="_Toc26232"/>
      <w:bookmarkStart w:id="1238" w:name="_Toc1112"/>
      <w:bookmarkStart w:id="1239" w:name="_Toc31520"/>
      <w:r>
        <w:rPr>
          <w:rFonts w:hint="eastAsia" w:ascii="微软雅黑" w:hAnsi="微软雅黑" w:eastAsia="微软雅黑" w:cs="微软雅黑"/>
          <w:b/>
          <w:bCs/>
          <w:sz w:val="24"/>
          <w:szCs w:val="24"/>
        </w:rPr>
        <w:t>2.6 结算方式和付款条件</w:t>
      </w:r>
      <w:bookmarkEnd w:id="1200"/>
      <w:bookmarkEnd w:id="1201"/>
      <w:bookmarkEnd w:id="1202"/>
      <w:bookmarkEnd w:id="1203"/>
      <w:bookmarkEnd w:id="1204"/>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详见</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w:t>
      </w:r>
    </w:p>
    <w:p>
      <w:pPr>
        <w:ind w:firstLine="480" w:firstLineChars="200"/>
        <w:outlineLvl w:val="0"/>
        <w:rPr>
          <w:rFonts w:ascii="微软雅黑" w:hAnsi="微软雅黑" w:eastAsia="微软雅黑" w:cs="微软雅黑"/>
          <w:b/>
          <w:bCs/>
          <w:sz w:val="24"/>
          <w:szCs w:val="24"/>
        </w:rPr>
      </w:pPr>
      <w:bookmarkStart w:id="1240" w:name="_Toc279701248"/>
      <w:bookmarkStart w:id="1241" w:name="_Toc487900358"/>
      <w:bookmarkStart w:id="1242" w:name="_Toc259093677"/>
      <w:bookmarkStart w:id="1243" w:name="_Ref467379923"/>
      <w:bookmarkStart w:id="1244" w:name="_Ref467379852"/>
      <w:bookmarkStart w:id="1245" w:name="_Ref467379863"/>
      <w:bookmarkStart w:id="1246" w:name="_Toc3225"/>
      <w:bookmarkStart w:id="1247" w:name="_Toc17051"/>
      <w:bookmarkStart w:id="1248" w:name="_Toc11615"/>
      <w:bookmarkStart w:id="1249" w:name="_Toc29030"/>
      <w:bookmarkStart w:id="1250" w:name="_Toc22229"/>
      <w:bookmarkStart w:id="1251" w:name="_Toc6635"/>
      <w:bookmarkStart w:id="1252" w:name="_Toc1200"/>
      <w:bookmarkStart w:id="1253" w:name="_Toc23170"/>
      <w:bookmarkStart w:id="1254" w:name="_Toc13023"/>
      <w:bookmarkStart w:id="1255" w:name="_Toc11629"/>
      <w:bookmarkStart w:id="1256" w:name="_Toc31971"/>
      <w:bookmarkStart w:id="1257" w:name="_Toc28781"/>
      <w:bookmarkStart w:id="1258" w:name="_Toc20637"/>
      <w:bookmarkStart w:id="1259" w:name="_Toc16110"/>
      <w:bookmarkStart w:id="1260" w:name="_Toc9845"/>
      <w:bookmarkStart w:id="1261" w:name="_Toc17136"/>
      <w:bookmarkStart w:id="1262" w:name="_Toc774"/>
      <w:bookmarkStart w:id="1263" w:name="_Toc10114"/>
      <w:bookmarkStart w:id="1264" w:name="_Toc14939"/>
      <w:bookmarkStart w:id="1265" w:name="_Toc31305"/>
      <w:bookmarkStart w:id="1266" w:name="_Toc31128"/>
      <w:bookmarkStart w:id="1267" w:name="_Toc3333"/>
      <w:bookmarkStart w:id="1268" w:name="_Toc7000"/>
      <w:bookmarkStart w:id="1269" w:name="_Toc29616"/>
      <w:bookmarkStart w:id="1270" w:name="_Toc8272"/>
      <w:bookmarkStart w:id="1271" w:name="_Toc24083"/>
      <w:bookmarkStart w:id="1272" w:name="_Toc14491"/>
      <w:bookmarkStart w:id="1273" w:name="_Toc11236"/>
      <w:bookmarkStart w:id="1274" w:name="_Toc21510"/>
      <w:bookmarkStart w:id="1275" w:name="_Toc25277"/>
      <w:bookmarkStart w:id="1276" w:name="_Toc12608"/>
      <w:bookmarkStart w:id="1277" w:name="_Toc14432"/>
      <w:bookmarkStart w:id="1278" w:name="_Toc17607"/>
      <w:bookmarkStart w:id="1279" w:name="_Toc6484"/>
      <w:r>
        <w:rPr>
          <w:rFonts w:hint="eastAsia" w:ascii="微软雅黑" w:hAnsi="微软雅黑" w:eastAsia="微软雅黑" w:cs="微软雅黑"/>
          <w:b/>
          <w:bCs/>
          <w:sz w:val="24"/>
          <w:szCs w:val="24"/>
        </w:rPr>
        <w:t>2.7 技术资料</w:t>
      </w:r>
      <w:bookmarkEnd w:id="1240"/>
      <w:bookmarkEnd w:id="1241"/>
      <w:bookmarkEnd w:id="1242"/>
      <w:bookmarkEnd w:id="1243"/>
      <w:bookmarkEnd w:id="1244"/>
      <w:bookmarkEnd w:id="1245"/>
      <w:r>
        <w:rPr>
          <w:rFonts w:hint="eastAsia" w:ascii="微软雅黑" w:hAnsi="微软雅黑" w:eastAsia="微软雅黑" w:cs="微软雅黑"/>
          <w:b/>
          <w:bCs/>
          <w:sz w:val="24"/>
          <w:szCs w:val="24"/>
        </w:rPr>
        <w:t>和保密义务</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2.7.1 乙方有权依据合同约定和项目需要，向甲方了解有关情况，调阅有关资料等，甲方应予积极配合；</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2.7.2 乙方有义务妥善保管和保护由甲方提供的前款信息和资料等；</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ind w:firstLine="480" w:firstLineChars="200"/>
        <w:outlineLvl w:val="0"/>
        <w:rPr>
          <w:rFonts w:ascii="微软雅黑" w:hAnsi="微软雅黑" w:eastAsia="微软雅黑" w:cs="微软雅黑"/>
          <w:b/>
          <w:bCs/>
          <w:sz w:val="24"/>
          <w:szCs w:val="24"/>
        </w:rPr>
      </w:pPr>
      <w:bookmarkStart w:id="1280" w:name="_Toc16190"/>
      <w:bookmarkStart w:id="1281" w:name="_Toc122"/>
      <w:bookmarkStart w:id="1282" w:name="_Toc30167"/>
      <w:bookmarkStart w:id="1283" w:name="_Toc20641"/>
      <w:bookmarkStart w:id="1284" w:name="_Toc19659"/>
      <w:bookmarkStart w:id="1285" w:name="_Toc7771"/>
      <w:bookmarkStart w:id="1286" w:name="_Toc14045"/>
      <w:bookmarkStart w:id="1287" w:name="_Toc24654"/>
      <w:bookmarkStart w:id="1288" w:name="_Toc4779"/>
      <w:bookmarkStart w:id="1289" w:name="_Toc25676"/>
      <w:bookmarkStart w:id="1290" w:name="_Toc8288"/>
      <w:bookmarkStart w:id="1291" w:name="_Toc18231"/>
      <w:bookmarkStart w:id="1292" w:name="_Toc12937"/>
      <w:bookmarkStart w:id="1293" w:name="_Toc10326"/>
      <w:bookmarkStart w:id="1294" w:name="_Toc21267"/>
      <w:bookmarkStart w:id="1295" w:name="_Toc5556"/>
      <w:bookmarkStart w:id="1296" w:name="_Toc27453"/>
      <w:bookmarkStart w:id="1297" w:name="_Toc3156"/>
      <w:bookmarkStart w:id="1298" w:name="_Toc5200"/>
      <w:bookmarkStart w:id="1299" w:name="_Toc31883"/>
      <w:bookmarkStart w:id="1300" w:name="_Toc30503"/>
      <w:bookmarkStart w:id="1301" w:name="_Toc15850"/>
      <w:bookmarkStart w:id="1302" w:name="_Toc18551"/>
      <w:bookmarkStart w:id="1303" w:name="_Toc31496"/>
      <w:bookmarkStart w:id="1304" w:name="_Toc11530"/>
      <w:bookmarkStart w:id="1305" w:name="_Toc9561"/>
      <w:bookmarkStart w:id="1306" w:name="_Toc23081"/>
      <w:bookmarkStart w:id="1307" w:name="_Toc11328"/>
      <w:bookmarkStart w:id="1308" w:name="_Toc30477"/>
      <w:bookmarkStart w:id="1309" w:name="_Toc26425"/>
      <w:bookmarkStart w:id="1310" w:name="_Toc7860"/>
      <w:bookmarkStart w:id="1311" w:name="_Toc14332"/>
      <w:r>
        <w:rPr>
          <w:rFonts w:hint="eastAsia" w:ascii="微软雅黑" w:hAnsi="微软雅黑" w:eastAsia="微软雅黑" w:cs="微软雅黑"/>
          <w:b/>
          <w:bCs/>
          <w:sz w:val="24"/>
          <w:szCs w:val="24"/>
        </w:rPr>
        <w:t>2.8 质量保证</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2.8.1 乙方应建立和完善履行合同的内部质量保证体系，并提供相关内部规章制度给甲方，以便甲方进行监督检查；</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2.8.2 乙方应保证履行合同的人员数量和素质、软件和硬件设备的配置、场地、环境和设施等满足全面履行合同的要求，并应接受甲方的监督检查。</w:t>
      </w:r>
    </w:p>
    <w:p>
      <w:pPr>
        <w:ind w:firstLine="480" w:firstLineChars="200"/>
        <w:outlineLvl w:val="0"/>
        <w:rPr>
          <w:rFonts w:ascii="微软雅黑" w:hAnsi="微软雅黑" w:eastAsia="微软雅黑" w:cs="微软雅黑"/>
          <w:b/>
          <w:bCs/>
          <w:sz w:val="24"/>
          <w:szCs w:val="24"/>
        </w:rPr>
      </w:pPr>
      <w:bookmarkStart w:id="1312" w:name="_Toc25529"/>
      <w:bookmarkStart w:id="1313" w:name="_Toc17030"/>
      <w:bookmarkStart w:id="1314" w:name="_Toc17244"/>
      <w:bookmarkStart w:id="1315" w:name="_Toc2308"/>
      <w:bookmarkStart w:id="1316" w:name="_Toc27806"/>
      <w:bookmarkStart w:id="1317" w:name="_Toc22833"/>
      <w:bookmarkStart w:id="1318" w:name="_Toc26555"/>
      <w:bookmarkStart w:id="1319" w:name="_Toc12408"/>
      <w:bookmarkStart w:id="1320" w:name="_Toc13812"/>
      <w:bookmarkStart w:id="1321" w:name="_Toc28147"/>
      <w:bookmarkStart w:id="1322" w:name="_Toc27238"/>
      <w:bookmarkStart w:id="1323" w:name="_Toc14663"/>
      <w:bookmarkStart w:id="1324" w:name="_Toc801"/>
      <w:bookmarkStart w:id="1325" w:name="_Toc31920"/>
      <w:bookmarkStart w:id="1326" w:name="_Toc14596"/>
      <w:bookmarkStart w:id="1327" w:name="_Toc23172"/>
      <w:bookmarkStart w:id="1328" w:name="_Toc17497"/>
      <w:bookmarkStart w:id="1329" w:name="_Toc7569"/>
      <w:bookmarkStart w:id="1330" w:name="_Toc21330"/>
      <w:bookmarkStart w:id="1331" w:name="_Toc15408"/>
      <w:bookmarkStart w:id="1332" w:name="_Toc13410"/>
      <w:bookmarkStart w:id="1333" w:name="_Toc22016"/>
      <w:bookmarkStart w:id="1334" w:name="_Toc10150"/>
      <w:bookmarkStart w:id="1335" w:name="_Toc12010"/>
      <w:bookmarkStart w:id="1336" w:name="_Toc812"/>
      <w:bookmarkStart w:id="1337" w:name="_Toc12966"/>
      <w:bookmarkStart w:id="1338" w:name="_Toc15929"/>
      <w:bookmarkStart w:id="1339" w:name="_Toc3300"/>
      <w:bookmarkStart w:id="1340" w:name="_Toc19353"/>
      <w:bookmarkStart w:id="1341" w:name="_Toc6526"/>
      <w:bookmarkStart w:id="1342" w:name="_Toc19806"/>
      <w:bookmarkStart w:id="1343" w:name="_Toc27234"/>
      <w:bookmarkStart w:id="1344" w:name="_Toc487900362"/>
      <w:bookmarkStart w:id="1345" w:name="_Toc279701252"/>
      <w:bookmarkStart w:id="1346" w:name="_Toc259093681"/>
      <w:r>
        <w:rPr>
          <w:rFonts w:hint="eastAsia" w:ascii="微软雅黑" w:hAnsi="微软雅黑" w:eastAsia="微软雅黑" w:cs="微软雅黑"/>
          <w:b/>
          <w:bCs/>
          <w:sz w:val="24"/>
          <w:szCs w:val="24"/>
        </w:rPr>
        <w:t>2.9 货物的风险负担</w:t>
      </w:r>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pPr>
        <w:ind w:firstLine="480" w:firstLineChars="200"/>
        <w:rPr>
          <w:rFonts w:ascii="微软雅黑" w:hAnsi="微软雅黑" w:eastAsia="微软雅黑" w:cs="微软雅黑"/>
          <w:b/>
          <w:bCs/>
          <w:sz w:val="24"/>
          <w:szCs w:val="24"/>
        </w:rPr>
      </w:pPr>
      <w:r>
        <w:rPr>
          <w:rFonts w:hint="eastAsia" w:ascii="微软雅黑" w:hAnsi="微软雅黑" w:eastAsia="微软雅黑" w:cs="微软雅黑"/>
          <w:sz w:val="24"/>
          <w:szCs w:val="24"/>
        </w:rPr>
        <w:t>货物或者在途货物或者交付给第一承运人后的货物毁损、灭失的风险负担详见</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w:t>
      </w:r>
    </w:p>
    <w:p>
      <w:pPr>
        <w:ind w:firstLine="480" w:firstLineChars="200"/>
        <w:outlineLvl w:val="0"/>
        <w:rPr>
          <w:rFonts w:ascii="微软雅黑" w:hAnsi="微软雅黑" w:eastAsia="微软雅黑" w:cs="微软雅黑"/>
          <w:b/>
          <w:bCs/>
          <w:sz w:val="24"/>
          <w:szCs w:val="24"/>
        </w:rPr>
      </w:pPr>
      <w:bookmarkStart w:id="1347" w:name="_Toc23195"/>
      <w:bookmarkStart w:id="1348" w:name="_Toc566"/>
      <w:bookmarkStart w:id="1349" w:name="_Toc1494"/>
      <w:bookmarkStart w:id="1350" w:name="_Toc15972"/>
      <w:bookmarkStart w:id="1351" w:name="_Toc29837"/>
      <w:bookmarkStart w:id="1352" w:name="_Toc29192"/>
      <w:bookmarkStart w:id="1353" w:name="_Toc20938"/>
      <w:bookmarkStart w:id="1354" w:name="_Toc15616"/>
      <w:bookmarkStart w:id="1355" w:name="_Toc19684"/>
      <w:bookmarkStart w:id="1356" w:name="_Toc11963"/>
      <w:bookmarkStart w:id="1357" w:name="_Toc14698"/>
      <w:bookmarkStart w:id="1358" w:name="_Toc10676"/>
      <w:bookmarkStart w:id="1359" w:name="_Toc15310"/>
      <w:bookmarkStart w:id="1360" w:name="_Toc31257"/>
      <w:bookmarkStart w:id="1361" w:name="_Toc5196"/>
      <w:bookmarkStart w:id="1362" w:name="_Toc15465"/>
      <w:bookmarkStart w:id="1363" w:name="_Toc14055"/>
      <w:bookmarkStart w:id="1364" w:name="_Toc5876"/>
      <w:bookmarkStart w:id="1365" w:name="_Toc7986"/>
      <w:bookmarkStart w:id="1366" w:name="_Toc25663"/>
      <w:bookmarkStart w:id="1367" w:name="_Toc1299"/>
      <w:bookmarkStart w:id="1368" w:name="_Toc22674"/>
      <w:bookmarkStart w:id="1369" w:name="_Toc20457"/>
      <w:bookmarkStart w:id="1370" w:name="_Toc26567"/>
      <w:bookmarkStart w:id="1371" w:name="_Toc10473"/>
      <w:bookmarkStart w:id="1372" w:name="_Toc15112"/>
      <w:bookmarkStart w:id="1373" w:name="_Toc2"/>
      <w:bookmarkStart w:id="1374" w:name="_Toc17555"/>
      <w:bookmarkStart w:id="1375" w:name="_Toc16001"/>
      <w:bookmarkStart w:id="1376" w:name="_Toc24830"/>
      <w:bookmarkStart w:id="1377" w:name="_Toc21426"/>
      <w:bookmarkStart w:id="1378" w:name="_Toc6602"/>
      <w:r>
        <w:rPr>
          <w:rFonts w:hint="eastAsia" w:ascii="微软雅黑" w:hAnsi="微软雅黑" w:eastAsia="微软雅黑" w:cs="微软雅黑"/>
          <w:b/>
          <w:bCs/>
          <w:sz w:val="24"/>
          <w:szCs w:val="24"/>
        </w:rPr>
        <w:t>2.10 延迟交货</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ind w:firstLine="480" w:firstLineChars="200"/>
        <w:outlineLvl w:val="0"/>
        <w:rPr>
          <w:rFonts w:ascii="微软雅黑" w:hAnsi="微软雅黑" w:eastAsia="微软雅黑" w:cs="微软雅黑"/>
          <w:b/>
          <w:bCs/>
          <w:sz w:val="24"/>
          <w:szCs w:val="24"/>
        </w:rPr>
      </w:pPr>
      <w:bookmarkStart w:id="1379" w:name="_Toc29075"/>
      <w:bookmarkStart w:id="1380" w:name="_Toc9832"/>
      <w:bookmarkStart w:id="1381" w:name="_Toc8441"/>
      <w:bookmarkStart w:id="1382" w:name="_Toc9706"/>
      <w:bookmarkStart w:id="1383" w:name="_Toc28075"/>
      <w:bookmarkStart w:id="1384" w:name="_Toc17237"/>
      <w:bookmarkStart w:id="1385" w:name="_Toc25717"/>
      <w:bookmarkStart w:id="1386" w:name="_Toc20266"/>
      <w:bookmarkStart w:id="1387" w:name="_Toc14851"/>
      <w:bookmarkStart w:id="1388" w:name="_Toc7444"/>
      <w:bookmarkStart w:id="1389" w:name="_Toc21567"/>
      <w:bookmarkStart w:id="1390" w:name="_Toc10956"/>
      <w:bookmarkStart w:id="1391" w:name="_Toc19434"/>
      <w:bookmarkStart w:id="1392" w:name="_Toc18704"/>
      <w:bookmarkStart w:id="1393" w:name="_Toc8731"/>
      <w:bookmarkStart w:id="1394" w:name="_Toc8126"/>
      <w:bookmarkStart w:id="1395" w:name="_Toc7502"/>
      <w:bookmarkStart w:id="1396" w:name="_Toc16528"/>
      <w:bookmarkStart w:id="1397" w:name="_Toc9194"/>
      <w:bookmarkStart w:id="1398" w:name="_Toc26004"/>
      <w:bookmarkStart w:id="1399" w:name="_Toc12175"/>
      <w:bookmarkStart w:id="1400" w:name="_Toc3064"/>
      <w:bookmarkStart w:id="1401" w:name="_Toc8286"/>
      <w:bookmarkStart w:id="1402" w:name="_Toc507"/>
      <w:bookmarkStart w:id="1403" w:name="_Toc31403"/>
      <w:bookmarkStart w:id="1404" w:name="_Toc4586"/>
      <w:bookmarkStart w:id="1405" w:name="_Toc15143"/>
      <w:bookmarkStart w:id="1406" w:name="_Toc23198"/>
      <w:bookmarkStart w:id="1407" w:name="_Toc26357"/>
      <w:bookmarkStart w:id="1408" w:name="_Toc19951"/>
      <w:bookmarkStart w:id="1409" w:name="_Toc2860"/>
      <w:bookmarkStart w:id="1410" w:name="_Toc16810"/>
      <w:bookmarkStart w:id="1411" w:name="_Toc487900364"/>
      <w:bookmarkStart w:id="1412" w:name="_Toc259093683"/>
      <w:bookmarkStart w:id="1413" w:name="_Toc279701254"/>
      <w:bookmarkStart w:id="1414" w:name="_Ref467378121"/>
      <w:r>
        <w:rPr>
          <w:rFonts w:hint="eastAsia" w:ascii="微软雅黑" w:hAnsi="微软雅黑" w:eastAsia="微软雅黑" w:cs="微软雅黑"/>
          <w:b/>
          <w:bCs/>
          <w:sz w:val="24"/>
          <w:szCs w:val="24"/>
        </w:rPr>
        <w:t>2.11 合同变更</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2.11.2 合同继续履行将损害国家利益和社会公共利益的，双方当事人应当以书面形式变更合同。有过错的一方应当承担赔偿责任，双方当事人都有过错的，各自承担相应的责任。</w:t>
      </w:r>
      <w:bookmarkStart w:id="1415" w:name="_Toc487900369"/>
      <w:bookmarkStart w:id="1416" w:name="_Toc279701259"/>
      <w:bookmarkStart w:id="1417" w:name="_Toc259093688"/>
    </w:p>
    <w:p>
      <w:pPr>
        <w:ind w:firstLine="480" w:firstLineChars="200"/>
        <w:outlineLvl w:val="0"/>
        <w:rPr>
          <w:rFonts w:ascii="微软雅黑" w:hAnsi="微软雅黑" w:eastAsia="微软雅黑" w:cs="微软雅黑"/>
          <w:b/>
          <w:bCs/>
          <w:sz w:val="24"/>
          <w:szCs w:val="24"/>
        </w:rPr>
      </w:pPr>
      <w:bookmarkStart w:id="1418" w:name="_Toc5470"/>
      <w:bookmarkStart w:id="1419" w:name="_Toc11626"/>
      <w:bookmarkStart w:id="1420" w:name="_Toc26864"/>
      <w:bookmarkStart w:id="1421" w:name="_Toc24850"/>
      <w:bookmarkStart w:id="1422" w:name="_Toc27489"/>
      <w:bookmarkStart w:id="1423" w:name="_Toc27772"/>
      <w:bookmarkStart w:id="1424" w:name="_Toc32309"/>
      <w:bookmarkStart w:id="1425" w:name="_Toc24511"/>
      <w:bookmarkStart w:id="1426" w:name="_Toc10537"/>
      <w:bookmarkStart w:id="1427" w:name="_Toc3062"/>
      <w:bookmarkStart w:id="1428" w:name="_Toc3931"/>
      <w:bookmarkStart w:id="1429" w:name="_Toc21753"/>
      <w:bookmarkStart w:id="1430" w:name="_Toc28480"/>
      <w:bookmarkStart w:id="1431" w:name="_Toc18316"/>
      <w:bookmarkStart w:id="1432" w:name="_Toc12023"/>
      <w:bookmarkStart w:id="1433" w:name="_Toc3928"/>
      <w:bookmarkStart w:id="1434" w:name="_Toc30397"/>
      <w:bookmarkStart w:id="1435" w:name="_Toc14895"/>
      <w:bookmarkStart w:id="1436" w:name="_Toc2157"/>
      <w:bookmarkStart w:id="1437" w:name="_Toc31419"/>
      <w:bookmarkStart w:id="1438" w:name="_Toc22955"/>
      <w:bookmarkStart w:id="1439" w:name="_Toc17486"/>
      <w:bookmarkStart w:id="1440" w:name="_Toc3825"/>
      <w:bookmarkStart w:id="1441" w:name="_Toc8679"/>
      <w:bookmarkStart w:id="1442" w:name="_Toc32003"/>
      <w:bookmarkStart w:id="1443" w:name="_Toc19380"/>
      <w:bookmarkStart w:id="1444" w:name="_Toc29045"/>
      <w:bookmarkStart w:id="1445" w:name="_Toc6051"/>
      <w:bookmarkStart w:id="1446" w:name="_Toc25508"/>
      <w:bookmarkStart w:id="1447" w:name="_Toc15237"/>
      <w:bookmarkStart w:id="1448" w:name="_Toc26224"/>
      <w:bookmarkStart w:id="1449" w:name="_Toc23079"/>
      <w:bookmarkStart w:id="1450" w:name="_Toc10366"/>
      <w:bookmarkStart w:id="1451" w:name="_Toc32581"/>
      <w:r>
        <w:rPr>
          <w:rFonts w:hint="eastAsia" w:ascii="微软雅黑" w:hAnsi="微软雅黑" w:eastAsia="微软雅黑" w:cs="微软雅黑"/>
          <w:b/>
          <w:bCs/>
          <w:sz w:val="24"/>
          <w:szCs w:val="24"/>
        </w:rPr>
        <w:t>2.12 合同转让</w:t>
      </w:r>
      <w:bookmarkEnd w:id="1415"/>
      <w:bookmarkEnd w:id="1416"/>
      <w:bookmarkEnd w:id="1417"/>
      <w:r>
        <w:rPr>
          <w:rFonts w:hint="eastAsia" w:ascii="微软雅黑" w:hAnsi="微软雅黑" w:eastAsia="微软雅黑" w:cs="微软雅黑"/>
          <w:b/>
          <w:bCs/>
          <w:sz w:val="24"/>
          <w:szCs w:val="24"/>
        </w:rPr>
        <w:t>和分包</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ind w:firstLine="480" w:firstLineChars="200"/>
        <w:outlineLvl w:val="0"/>
        <w:rPr>
          <w:rFonts w:ascii="微软雅黑" w:hAnsi="微软雅黑" w:eastAsia="微软雅黑" w:cs="微软雅黑"/>
          <w:b/>
          <w:bCs/>
          <w:sz w:val="24"/>
          <w:szCs w:val="24"/>
        </w:rPr>
      </w:pPr>
      <w:bookmarkStart w:id="1452" w:name="_Toc2711"/>
      <w:bookmarkStart w:id="1453" w:name="_Toc29987"/>
      <w:bookmarkStart w:id="1454" w:name="_Toc10688"/>
      <w:bookmarkStart w:id="1455" w:name="_Toc14752"/>
      <w:bookmarkStart w:id="1456" w:name="_Toc14066"/>
      <w:bookmarkStart w:id="1457" w:name="_Toc22326"/>
      <w:bookmarkStart w:id="1458" w:name="_Toc32319"/>
      <w:bookmarkStart w:id="1459" w:name="_Toc31984"/>
      <w:bookmarkStart w:id="1460" w:name="_Toc4540"/>
      <w:bookmarkStart w:id="1461" w:name="_Toc32515"/>
      <w:bookmarkStart w:id="1462" w:name="_Toc5484"/>
      <w:bookmarkStart w:id="1463" w:name="_Toc16893"/>
      <w:bookmarkStart w:id="1464" w:name="_Toc15741"/>
      <w:bookmarkStart w:id="1465" w:name="_Toc12165"/>
      <w:bookmarkStart w:id="1466" w:name="_Toc4193"/>
      <w:bookmarkStart w:id="1467" w:name="_Toc12809"/>
      <w:bookmarkStart w:id="1468" w:name="_Toc17498"/>
      <w:bookmarkStart w:id="1469" w:name="_Toc32580"/>
      <w:bookmarkStart w:id="1470" w:name="_Toc2586"/>
      <w:bookmarkStart w:id="1471" w:name="_Toc16508"/>
      <w:bookmarkStart w:id="1472" w:name="_Toc19407"/>
      <w:bookmarkStart w:id="1473" w:name="_Toc3177"/>
      <w:bookmarkStart w:id="1474" w:name="_Toc32426"/>
      <w:bookmarkStart w:id="1475" w:name="_Toc14564"/>
      <w:bookmarkStart w:id="1476" w:name="_Toc18272"/>
      <w:bookmarkStart w:id="1477" w:name="_Toc3533"/>
      <w:bookmarkStart w:id="1478" w:name="_Toc24741"/>
      <w:bookmarkStart w:id="1479" w:name="_Toc19750"/>
      <w:bookmarkStart w:id="1480" w:name="_Toc11104"/>
      <w:bookmarkStart w:id="1481" w:name="_Toc8114"/>
      <w:bookmarkStart w:id="1482" w:name="_Toc7077"/>
      <w:bookmarkStart w:id="1483" w:name="_Toc13566"/>
      <w:bookmarkStart w:id="1484" w:name="_Toc13557"/>
      <w:bookmarkStart w:id="1485" w:name="_Toc6414"/>
      <w:r>
        <w:rPr>
          <w:rFonts w:hint="eastAsia" w:ascii="微软雅黑" w:hAnsi="微软雅黑" w:eastAsia="微软雅黑" w:cs="微软雅黑"/>
          <w:b/>
          <w:bCs/>
          <w:sz w:val="24"/>
          <w:szCs w:val="24"/>
        </w:rPr>
        <w:t>2.13 不可抗力</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2.13.1如果任何一方遭遇法律规定的不可抗力，致使合同履行受阻时，履行合同的期限应予延长，延长的期限应相当于不可抗力所影响的时间；</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2.13.2 因不可抗力致使不能实现合同目的的，当事人可以解除合同；</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2.13.3 因不可抗力致使合同有变更必要的，双方当事人应在</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约定时间内以书面形式变更合同；</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2.13.4受不可抗力影响的一方在不可抗力发生后，应在</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约定时间内以书面形式通知对方当事人，并在</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约定时间内，将有关部门出具的证明文件送达对方当事人。</w:t>
      </w:r>
    </w:p>
    <w:p>
      <w:pPr>
        <w:ind w:firstLine="480" w:firstLineChars="200"/>
        <w:outlineLvl w:val="0"/>
        <w:rPr>
          <w:rFonts w:ascii="微软雅黑" w:hAnsi="微软雅黑" w:eastAsia="微软雅黑" w:cs="微软雅黑"/>
          <w:b/>
          <w:bCs/>
          <w:sz w:val="24"/>
          <w:szCs w:val="24"/>
        </w:rPr>
      </w:pPr>
      <w:bookmarkStart w:id="1486" w:name="_Toc10528"/>
      <w:bookmarkStart w:id="1487" w:name="_Toc6047"/>
      <w:bookmarkStart w:id="1488" w:name="_Toc20375"/>
      <w:bookmarkStart w:id="1489" w:name="_Toc4570"/>
      <w:bookmarkStart w:id="1490" w:name="_Toc30676"/>
      <w:bookmarkStart w:id="1491" w:name="_Toc4006"/>
      <w:bookmarkStart w:id="1492" w:name="_Toc6288"/>
      <w:bookmarkStart w:id="1493" w:name="_Toc11875"/>
      <w:bookmarkStart w:id="1494" w:name="_Toc15941"/>
      <w:bookmarkStart w:id="1495" w:name="_Toc487900365"/>
      <w:bookmarkStart w:id="1496" w:name="_Toc689"/>
      <w:bookmarkStart w:id="1497" w:name="_Toc24010"/>
      <w:bookmarkStart w:id="1498" w:name="_Toc22812"/>
      <w:bookmarkStart w:id="1499" w:name="_Toc7145"/>
      <w:bookmarkStart w:id="1500" w:name="_Toc10789"/>
      <w:bookmarkStart w:id="1501" w:name="_Toc6969"/>
      <w:bookmarkStart w:id="1502" w:name="_Toc11876"/>
      <w:bookmarkStart w:id="1503" w:name="_Toc13910"/>
      <w:bookmarkStart w:id="1504" w:name="_Toc32764"/>
      <w:bookmarkStart w:id="1505" w:name="_Toc7175"/>
      <w:bookmarkStart w:id="1506" w:name="_Toc25124"/>
      <w:bookmarkStart w:id="1507" w:name="_Toc5884"/>
      <w:bookmarkStart w:id="1508" w:name="_Toc16506"/>
      <w:bookmarkStart w:id="1509" w:name="_Toc11423"/>
      <w:bookmarkStart w:id="1510" w:name="_Toc1957"/>
      <w:bookmarkStart w:id="1511" w:name="_Toc259093684"/>
      <w:bookmarkStart w:id="1512" w:name="_Toc28340"/>
      <w:bookmarkStart w:id="1513" w:name="_Toc19677"/>
      <w:bookmarkStart w:id="1514" w:name="_Toc28117"/>
      <w:bookmarkStart w:id="1515" w:name="_Toc26085"/>
      <w:bookmarkStart w:id="1516" w:name="_Toc12959"/>
      <w:bookmarkStart w:id="1517" w:name="_Toc6676"/>
      <w:bookmarkStart w:id="1518" w:name="_Toc1584"/>
      <w:bookmarkStart w:id="1519" w:name="_Toc16229"/>
      <w:bookmarkStart w:id="1520" w:name="_Toc279701255"/>
      <w:bookmarkStart w:id="1521" w:name="_Toc31597"/>
      <w:bookmarkStart w:id="1522" w:name="_Toc30988"/>
      <w:r>
        <w:rPr>
          <w:rFonts w:hint="eastAsia" w:ascii="微软雅黑" w:hAnsi="微软雅黑" w:eastAsia="微软雅黑" w:cs="微软雅黑"/>
          <w:b/>
          <w:bCs/>
          <w:sz w:val="24"/>
          <w:szCs w:val="24"/>
        </w:rPr>
        <w:t>2.14 税费</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与合同有关的一切税费，均按照中华人民共和国法律的相关规定。</w:t>
      </w:r>
    </w:p>
    <w:p>
      <w:pPr>
        <w:ind w:firstLine="480" w:firstLineChars="200"/>
        <w:outlineLvl w:val="0"/>
        <w:rPr>
          <w:rFonts w:ascii="微软雅黑" w:hAnsi="微软雅黑" w:eastAsia="微软雅黑" w:cs="微软雅黑"/>
          <w:b/>
          <w:bCs/>
          <w:sz w:val="24"/>
          <w:szCs w:val="24"/>
        </w:rPr>
      </w:pPr>
      <w:bookmarkStart w:id="1523" w:name="_Toc20594"/>
      <w:bookmarkStart w:id="1524" w:name="_Toc25260"/>
      <w:bookmarkStart w:id="1525" w:name="_Toc29869"/>
      <w:bookmarkStart w:id="1526" w:name="_Toc25055"/>
      <w:bookmarkStart w:id="1527" w:name="_Toc29993"/>
      <w:bookmarkStart w:id="1528" w:name="_Toc24862"/>
      <w:bookmarkStart w:id="1529" w:name="_Toc279701258"/>
      <w:bookmarkStart w:id="1530" w:name="_Toc27541"/>
      <w:bookmarkStart w:id="1531" w:name="_Toc8934"/>
      <w:bookmarkStart w:id="1532" w:name="_Toc13626"/>
      <w:bookmarkStart w:id="1533" w:name="_Toc22239"/>
      <w:bookmarkStart w:id="1534" w:name="_Toc8496"/>
      <w:bookmarkStart w:id="1535" w:name="_Toc16374"/>
      <w:bookmarkStart w:id="1536" w:name="_Toc13488"/>
      <w:bookmarkStart w:id="1537" w:name="_Toc259093687"/>
      <w:bookmarkStart w:id="1538" w:name="_Toc26719"/>
      <w:bookmarkStart w:id="1539" w:name="_Toc487900368"/>
      <w:bookmarkStart w:id="1540" w:name="_Toc23872"/>
      <w:bookmarkStart w:id="1541" w:name="_Toc4812"/>
      <w:bookmarkStart w:id="1542" w:name="_Toc8298"/>
      <w:bookmarkStart w:id="1543" w:name="_Toc7117"/>
      <w:bookmarkStart w:id="1544" w:name="_Toc23510"/>
      <w:bookmarkStart w:id="1545" w:name="_Toc21290"/>
      <w:bookmarkStart w:id="1546" w:name="_Toc7228"/>
      <w:bookmarkStart w:id="1547" w:name="_Toc17523"/>
      <w:bookmarkStart w:id="1548" w:name="_Toc515"/>
      <w:bookmarkStart w:id="1549" w:name="_Toc12141"/>
      <w:bookmarkStart w:id="1550" w:name="_Toc7102"/>
      <w:bookmarkStart w:id="1551" w:name="_Toc16959"/>
      <w:bookmarkStart w:id="1552" w:name="_Toc18401"/>
      <w:bookmarkStart w:id="1553" w:name="_Toc14403"/>
      <w:bookmarkStart w:id="1554" w:name="_Toc15256"/>
      <w:bookmarkStart w:id="1555" w:name="_Toc23266"/>
      <w:bookmarkStart w:id="1556" w:name="_Toc15527"/>
      <w:bookmarkStart w:id="1557" w:name="_Toc25049"/>
      <w:bookmarkStart w:id="1558" w:name="_Toc11308"/>
      <w:bookmarkStart w:id="1559" w:name="_Toc17915"/>
      <w:r>
        <w:rPr>
          <w:rFonts w:hint="eastAsia" w:ascii="微软雅黑" w:hAnsi="微软雅黑" w:eastAsia="微软雅黑" w:cs="微软雅黑"/>
          <w:b/>
          <w:bCs/>
          <w:sz w:val="24"/>
          <w:szCs w:val="24"/>
        </w:rPr>
        <w:t>2.15 乙方破产</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ind w:firstLine="480" w:firstLineChars="200"/>
        <w:outlineLvl w:val="0"/>
        <w:rPr>
          <w:rFonts w:ascii="微软雅黑" w:hAnsi="微软雅黑" w:eastAsia="微软雅黑" w:cs="微软雅黑"/>
          <w:b/>
          <w:bCs/>
          <w:sz w:val="24"/>
          <w:szCs w:val="24"/>
        </w:rPr>
      </w:pPr>
      <w:bookmarkStart w:id="1560" w:name="_Toc25273"/>
      <w:bookmarkStart w:id="1561" w:name="_Toc30362"/>
      <w:bookmarkStart w:id="1562" w:name="_Toc4013"/>
      <w:bookmarkStart w:id="1563" w:name="_Toc23440"/>
      <w:bookmarkStart w:id="1564" w:name="_Toc12606"/>
      <w:bookmarkStart w:id="1565" w:name="_Toc23355"/>
      <w:bookmarkStart w:id="1566" w:name="_Toc29333"/>
      <w:bookmarkStart w:id="1567" w:name="_Toc4227"/>
      <w:bookmarkStart w:id="1568" w:name="_Toc3991"/>
      <w:bookmarkStart w:id="1569" w:name="_Toc31639"/>
      <w:bookmarkStart w:id="1570" w:name="_Toc24976"/>
      <w:bookmarkStart w:id="1571" w:name="_Toc110"/>
      <w:bookmarkStart w:id="1572" w:name="_Toc12420"/>
      <w:bookmarkStart w:id="1573" w:name="_Toc29764"/>
      <w:bookmarkStart w:id="1574" w:name="_Toc9318"/>
      <w:bookmarkStart w:id="1575" w:name="_Toc27106"/>
      <w:bookmarkStart w:id="1576" w:name="_Toc15445"/>
      <w:bookmarkStart w:id="1577" w:name="_Toc24867"/>
      <w:bookmarkStart w:id="1578" w:name="_Toc23040"/>
      <w:bookmarkStart w:id="1579" w:name="_Toc6968"/>
      <w:bookmarkStart w:id="1580" w:name="_Toc15387"/>
      <w:bookmarkStart w:id="1581" w:name="_Toc26255"/>
      <w:bookmarkStart w:id="1582" w:name="_Toc15605"/>
      <w:bookmarkStart w:id="1583" w:name="_Toc32508"/>
      <w:bookmarkStart w:id="1584" w:name="_Toc1303"/>
      <w:bookmarkStart w:id="1585" w:name="_Toc818"/>
      <w:bookmarkStart w:id="1586" w:name="_Toc21321"/>
      <w:bookmarkStart w:id="1587" w:name="_Toc9893"/>
      <w:bookmarkStart w:id="1588" w:name="_Toc17178"/>
      <w:bookmarkStart w:id="1589" w:name="_Toc1942"/>
      <w:bookmarkStart w:id="1590" w:name="_Toc16990"/>
      <w:bookmarkStart w:id="1591" w:name="_Toc24066"/>
      <w:bookmarkStart w:id="1592" w:name="_Toc6134"/>
      <w:bookmarkStart w:id="1593" w:name="_Toc20023"/>
      <w:r>
        <w:rPr>
          <w:rFonts w:hint="eastAsia" w:ascii="微软雅黑" w:hAnsi="微软雅黑" w:eastAsia="微软雅黑" w:cs="微软雅黑"/>
          <w:b/>
          <w:bCs/>
          <w:sz w:val="24"/>
          <w:szCs w:val="24"/>
        </w:rPr>
        <w:t>2.16 合同中止、终止</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2.16.1 双方当事人不得擅自中止或者终止合同；</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2.16.2合同继续履行将损害国家利益和社会公共利益的，双方当事人应当中止或者终止合同。有过错的一方应当承担赔偿责任，双方当事人都有过错的，各自承担相应的责任。</w:t>
      </w:r>
    </w:p>
    <w:p>
      <w:pPr>
        <w:ind w:firstLine="480" w:firstLineChars="200"/>
        <w:outlineLvl w:val="0"/>
        <w:rPr>
          <w:rFonts w:ascii="微软雅黑" w:hAnsi="微软雅黑" w:eastAsia="微软雅黑" w:cs="微软雅黑"/>
          <w:b/>
          <w:bCs/>
          <w:sz w:val="24"/>
          <w:szCs w:val="24"/>
        </w:rPr>
      </w:pPr>
      <w:bookmarkStart w:id="1594" w:name="_Toc6704"/>
      <w:bookmarkStart w:id="1595" w:name="_Toc12777"/>
      <w:bookmarkStart w:id="1596" w:name="_Toc21636"/>
      <w:bookmarkStart w:id="1597" w:name="_Toc5648"/>
      <w:bookmarkStart w:id="1598" w:name="_Toc14563"/>
      <w:bookmarkStart w:id="1599" w:name="_Toc31577"/>
      <w:bookmarkStart w:id="1600" w:name="_Toc29952"/>
      <w:bookmarkStart w:id="1601" w:name="_Toc13150"/>
      <w:bookmarkStart w:id="1602" w:name="_Toc28047"/>
      <w:bookmarkStart w:id="1603" w:name="_Toc25710"/>
      <w:bookmarkStart w:id="1604" w:name="_Toc6596"/>
      <w:bookmarkStart w:id="1605" w:name="_Toc11637"/>
      <w:bookmarkStart w:id="1606" w:name="_Toc26299"/>
      <w:bookmarkStart w:id="1607" w:name="_Toc1125"/>
      <w:bookmarkStart w:id="1608" w:name="_Toc25230"/>
      <w:bookmarkStart w:id="1609" w:name="_Toc25358"/>
      <w:bookmarkStart w:id="1610" w:name="_Toc25516"/>
      <w:bookmarkStart w:id="1611" w:name="_Toc24731"/>
      <w:bookmarkStart w:id="1612" w:name="_Toc30958"/>
      <w:bookmarkStart w:id="1613" w:name="_Toc4111"/>
      <w:bookmarkStart w:id="1614" w:name="_Toc14890"/>
      <w:bookmarkStart w:id="1615" w:name="_Toc30133"/>
      <w:bookmarkStart w:id="1616" w:name="_Toc28303"/>
      <w:bookmarkStart w:id="1617" w:name="_Toc30476"/>
      <w:bookmarkStart w:id="1618" w:name="_Toc20145"/>
      <w:bookmarkStart w:id="1619" w:name="_Toc19755"/>
      <w:bookmarkStart w:id="1620" w:name="_Toc23870"/>
      <w:bookmarkStart w:id="1621" w:name="_Toc13848"/>
      <w:bookmarkStart w:id="1622" w:name="_Toc26464"/>
      <w:bookmarkStart w:id="1623" w:name="_Toc2491"/>
      <w:bookmarkStart w:id="1624" w:name="_Toc5772"/>
      <w:bookmarkStart w:id="1625" w:name="_Toc8479"/>
      <w:bookmarkStart w:id="1626" w:name="_Toc11658"/>
      <w:bookmarkStart w:id="1627" w:name="_Toc154"/>
      <w:r>
        <w:rPr>
          <w:rFonts w:hint="eastAsia" w:ascii="微软雅黑" w:hAnsi="微软雅黑" w:eastAsia="微软雅黑" w:cs="微软雅黑"/>
          <w:b/>
          <w:bCs/>
          <w:sz w:val="24"/>
          <w:szCs w:val="24"/>
        </w:rPr>
        <w:t>2.17 检验和验收</w:t>
      </w:r>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pPr>
        <w:tabs>
          <w:tab w:val="left" w:pos="360"/>
          <w:tab w:val="left" w:pos="540"/>
          <w:tab w:val="left" w:pos="1080"/>
        </w:tabs>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约定时间内组织验收，并可依法邀请相关方参加，验收应出具验收书。</w:t>
      </w:r>
    </w:p>
    <w:p>
      <w:pPr>
        <w:tabs>
          <w:tab w:val="left" w:pos="360"/>
          <w:tab w:val="left" w:pos="540"/>
          <w:tab w:val="left" w:pos="1080"/>
        </w:tabs>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2.17.3 检验和验收标准、程序等具体内容以及前述验收书的效力详见</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i/>
          <w:iCs/>
          <w:sz w:val="24"/>
          <w:szCs w:val="24"/>
        </w:rPr>
        <w:t>。</w:t>
      </w:r>
    </w:p>
    <w:bookmarkEnd w:id="1411"/>
    <w:bookmarkEnd w:id="1412"/>
    <w:bookmarkEnd w:id="1413"/>
    <w:bookmarkEnd w:id="1414"/>
    <w:p>
      <w:pPr>
        <w:ind w:firstLine="480" w:firstLineChars="200"/>
        <w:outlineLvl w:val="0"/>
        <w:rPr>
          <w:rFonts w:ascii="微软雅黑" w:hAnsi="微软雅黑" w:eastAsia="微软雅黑" w:cs="微软雅黑"/>
          <w:b/>
          <w:bCs/>
          <w:sz w:val="24"/>
          <w:szCs w:val="24"/>
        </w:rPr>
      </w:pPr>
      <w:bookmarkStart w:id="1628" w:name="_Toc487900371"/>
      <w:bookmarkStart w:id="1629" w:name="_Toc279701261"/>
      <w:bookmarkStart w:id="1630" w:name="_Toc259093690"/>
      <w:bookmarkStart w:id="1631" w:name="_Toc19604"/>
      <w:bookmarkStart w:id="1632" w:name="_Toc12493"/>
      <w:bookmarkStart w:id="1633" w:name="_Toc26892"/>
      <w:bookmarkStart w:id="1634" w:name="_Toc20557"/>
      <w:bookmarkStart w:id="1635" w:name="_Toc1851"/>
      <w:bookmarkStart w:id="1636" w:name="_Toc29267"/>
      <w:bookmarkStart w:id="1637" w:name="_Toc17313"/>
      <w:bookmarkStart w:id="1638" w:name="_Toc4983"/>
      <w:bookmarkStart w:id="1639" w:name="_Toc25692"/>
      <w:bookmarkStart w:id="1640" w:name="_Toc324"/>
      <w:bookmarkStart w:id="1641" w:name="_Toc23633"/>
      <w:bookmarkStart w:id="1642" w:name="_Toc7641"/>
      <w:bookmarkStart w:id="1643" w:name="_Toc8096"/>
      <w:bookmarkStart w:id="1644" w:name="_Toc9266"/>
      <w:bookmarkStart w:id="1645" w:name="_Toc11284"/>
      <w:bookmarkStart w:id="1646" w:name="_Toc10130"/>
      <w:bookmarkStart w:id="1647" w:name="_Toc14665"/>
      <w:bookmarkStart w:id="1648" w:name="_Toc28373"/>
      <w:bookmarkStart w:id="1649" w:name="_Toc26823"/>
      <w:bookmarkStart w:id="1650" w:name="_Toc13764"/>
      <w:bookmarkStart w:id="1651" w:name="_Toc24150"/>
      <w:bookmarkStart w:id="1652" w:name="_Toc15037"/>
      <w:bookmarkStart w:id="1653" w:name="_Toc17270"/>
      <w:bookmarkStart w:id="1654" w:name="_Toc7113"/>
      <w:bookmarkStart w:id="1655" w:name="_Toc22021"/>
      <w:bookmarkStart w:id="1656" w:name="_Toc31945"/>
      <w:bookmarkStart w:id="1657" w:name="_Toc8125"/>
      <w:bookmarkStart w:id="1658" w:name="_Toc25182"/>
      <w:bookmarkStart w:id="1659" w:name="_Toc13220"/>
      <w:bookmarkStart w:id="1660" w:name="_Toc14242"/>
      <w:bookmarkStart w:id="1661" w:name="_Toc27621"/>
      <w:bookmarkStart w:id="1662" w:name="_Toc725"/>
      <w:bookmarkStart w:id="1663" w:name="_Toc7660"/>
      <w:bookmarkStart w:id="1664" w:name="_Toc32669"/>
      <w:r>
        <w:rPr>
          <w:rFonts w:hint="eastAsia" w:ascii="微软雅黑" w:hAnsi="微软雅黑" w:eastAsia="微软雅黑" w:cs="微软雅黑"/>
          <w:b/>
          <w:bCs/>
          <w:sz w:val="24"/>
          <w:szCs w:val="24"/>
        </w:rPr>
        <w:t>2.18 通知</w:t>
      </w:r>
      <w:bookmarkEnd w:id="1628"/>
      <w:bookmarkEnd w:id="1629"/>
      <w:bookmarkEnd w:id="1630"/>
      <w:r>
        <w:rPr>
          <w:rFonts w:hint="eastAsia" w:ascii="微软雅黑" w:hAnsi="微软雅黑" w:eastAsia="微软雅黑" w:cs="微软雅黑"/>
          <w:b/>
          <w:bCs/>
          <w:sz w:val="24"/>
          <w:szCs w:val="24"/>
        </w:rPr>
        <w:t>和送达</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p>
      <w:pPr>
        <w:ind w:firstLine="480" w:firstLineChars="200"/>
        <w:rPr>
          <w:rFonts w:ascii="微软雅黑" w:hAnsi="微软雅黑" w:eastAsia="微软雅黑" w:cs="微软雅黑"/>
          <w:sz w:val="24"/>
          <w:szCs w:val="24"/>
        </w:rPr>
      </w:pPr>
      <w:bookmarkStart w:id="1665" w:name="_Toc3135"/>
      <w:bookmarkStart w:id="1666" w:name="_Toc6698"/>
      <w:bookmarkStart w:id="1667" w:name="_Toc279701262"/>
      <w:bookmarkStart w:id="1668" w:name="_Toc259093691"/>
      <w:bookmarkStart w:id="1669" w:name="_Toc487900372"/>
      <w:r>
        <w:rPr>
          <w:rFonts w:hint="eastAsia" w:ascii="微软雅黑" w:hAnsi="微软雅黑" w:eastAsia="微软雅黑" w:cs="微软雅黑"/>
          <w:sz w:val="24"/>
          <w:szCs w:val="24"/>
        </w:rPr>
        <w:t>2.18.1 任何一方因履行合同而以合同第一部分尾部所列明的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发出的所有通知、文件、材料，均视为已向对方当事人送达；任何一方变更上述送达方式或者地址的，应于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个工作日内书面通知对方当事人，在对方当事人收到有关变更通知之前，变更前的约定送达方式或者地址仍视为有效。</w:t>
      </w:r>
      <w:bookmarkEnd w:id="1665"/>
      <w:bookmarkEnd w:id="1666"/>
    </w:p>
    <w:p>
      <w:pPr>
        <w:ind w:firstLine="480" w:firstLineChars="200"/>
        <w:rPr>
          <w:rFonts w:ascii="微软雅黑" w:hAnsi="微软雅黑" w:eastAsia="微软雅黑" w:cs="微软雅黑"/>
          <w:sz w:val="24"/>
          <w:szCs w:val="24"/>
        </w:rPr>
      </w:pPr>
      <w:bookmarkStart w:id="1670" w:name="_Toc23128"/>
      <w:bookmarkStart w:id="1671" w:name="_Toc23294"/>
      <w:r>
        <w:rPr>
          <w:rFonts w:hint="eastAsia" w:ascii="微软雅黑" w:hAnsi="微软雅黑" w:eastAsia="微软雅黑" w:cs="微软雅黑"/>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670"/>
      <w:bookmarkEnd w:id="1671"/>
    </w:p>
    <w:p>
      <w:pPr>
        <w:ind w:firstLine="480" w:firstLineChars="200"/>
        <w:outlineLvl w:val="0"/>
        <w:rPr>
          <w:rFonts w:ascii="微软雅黑" w:hAnsi="微软雅黑" w:eastAsia="微软雅黑" w:cs="微软雅黑"/>
          <w:b/>
          <w:bCs/>
          <w:sz w:val="24"/>
          <w:szCs w:val="24"/>
        </w:rPr>
      </w:pPr>
      <w:bookmarkStart w:id="1672" w:name="_Toc7942"/>
      <w:bookmarkStart w:id="1673" w:name="_Toc30497"/>
      <w:bookmarkStart w:id="1674" w:name="_Toc15273"/>
      <w:bookmarkStart w:id="1675" w:name="_Toc4747"/>
      <w:bookmarkStart w:id="1676" w:name="_Toc20837"/>
      <w:bookmarkStart w:id="1677" w:name="_Toc12721"/>
      <w:bookmarkStart w:id="1678" w:name="_Toc11256"/>
      <w:bookmarkStart w:id="1679" w:name="_Toc32386"/>
      <w:bookmarkStart w:id="1680" w:name="_Toc2623"/>
      <w:bookmarkStart w:id="1681" w:name="_Toc14810"/>
      <w:bookmarkStart w:id="1682" w:name="_Toc9371"/>
      <w:bookmarkStart w:id="1683" w:name="_Toc18540"/>
      <w:bookmarkStart w:id="1684" w:name="_Toc31861"/>
      <w:bookmarkStart w:id="1685" w:name="_Toc21464"/>
      <w:bookmarkStart w:id="1686" w:name="_Toc27038"/>
      <w:bookmarkStart w:id="1687" w:name="_Toc20309"/>
      <w:bookmarkStart w:id="1688" w:name="_Toc4355"/>
      <w:bookmarkStart w:id="1689" w:name="_Toc29312"/>
      <w:bookmarkStart w:id="1690" w:name="_Toc24265"/>
      <w:bookmarkStart w:id="1691" w:name="_Toc19938"/>
      <w:bookmarkStart w:id="1692" w:name="_Toc4241"/>
      <w:bookmarkStart w:id="1693" w:name="_Toc20914"/>
      <w:bookmarkStart w:id="1694" w:name="_Toc14371"/>
      <w:bookmarkStart w:id="1695" w:name="_Toc30599"/>
      <w:bookmarkStart w:id="1696" w:name="_Toc12722"/>
      <w:bookmarkStart w:id="1697" w:name="_Toc21923"/>
      <w:bookmarkStart w:id="1698" w:name="_Toc11892"/>
      <w:bookmarkStart w:id="1699" w:name="_Toc18621"/>
      <w:bookmarkStart w:id="1700" w:name="_Toc7224"/>
      <w:bookmarkStart w:id="1701" w:name="_Toc25392"/>
      <w:bookmarkStart w:id="1702" w:name="_Toc2100"/>
      <w:bookmarkStart w:id="1703" w:name="_Toc10932"/>
      <w:bookmarkStart w:id="1704" w:name="_Toc5141"/>
      <w:bookmarkStart w:id="1705" w:name="_Toc6594"/>
      <w:r>
        <w:rPr>
          <w:rFonts w:hint="eastAsia" w:ascii="微软雅黑" w:hAnsi="微软雅黑" w:eastAsia="微软雅黑" w:cs="微软雅黑"/>
          <w:b/>
          <w:bCs/>
          <w:sz w:val="24"/>
          <w:szCs w:val="24"/>
        </w:rPr>
        <w:t>2.19 计量单位</w:t>
      </w:r>
      <w:bookmarkEnd w:id="1667"/>
      <w:bookmarkEnd w:id="1668"/>
      <w:bookmarkEnd w:id="1669"/>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除技术规范中另有规定外,合同的计量单位均使用国家法定计量单位。</w:t>
      </w:r>
    </w:p>
    <w:p>
      <w:pPr>
        <w:ind w:firstLine="480" w:firstLineChars="200"/>
        <w:outlineLvl w:val="0"/>
        <w:rPr>
          <w:rFonts w:ascii="微软雅黑" w:hAnsi="微软雅黑" w:eastAsia="微软雅黑" w:cs="微软雅黑"/>
          <w:b/>
          <w:bCs/>
          <w:sz w:val="24"/>
          <w:szCs w:val="24"/>
        </w:rPr>
      </w:pPr>
      <w:bookmarkStart w:id="1706" w:name="_Toc32583"/>
      <w:bookmarkStart w:id="1707" w:name="_Toc15288"/>
      <w:bookmarkStart w:id="1708" w:name="_Toc15428"/>
      <w:bookmarkStart w:id="1709" w:name="_Toc28784"/>
      <w:bookmarkStart w:id="1710" w:name="_Toc15315"/>
      <w:bookmarkStart w:id="1711" w:name="_Toc20624"/>
      <w:bookmarkStart w:id="1712" w:name="_Toc487900373"/>
      <w:bookmarkStart w:id="1713" w:name="_Toc11130"/>
      <w:bookmarkStart w:id="1714" w:name="_Toc19154"/>
      <w:bookmarkStart w:id="1715" w:name="_Toc12582"/>
      <w:bookmarkStart w:id="1716" w:name="_Toc12773"/>
      <w:bookmarkStart w:id="1717" w:name="_Toc1728"/>
      <w:bookmarkStart w:id="1718" w:name="_Toc7396"/>
      <w:bookmarkStart w:id="1719" w:name="_Toc27589"/>
      <w:bookmarkStart w:id="1720" w:name="_Toc18634"/>
      <w:bookmarkStart w:id="1721" w:name="_Toc17294"/>
      <w:bookmarkStart w:id="1722" w:name="_Toc9626"/>
      <w:bookmarkStart w:id="1723" w:name="_Toc5796"/>
      <w:bookmarkStart w:id="1724" w:name="_Toc15868"/>
      <w:bookmarkStart w:id="1725" w:name="_Toc259093692"/>
      <w:bookmarkStart w:id="1726" w:name="_Toc32236"/>
      <w:bookmarkStart w:id="1727" w:name="_Toc10330"/>
      <w:bookmarkStart w:id="1728" w:name="_Toc18567"/>
      <w:bookmarkStart w:id="1729" w:name="_Toc20921"/>
      <w:bookmarkStart w:id="1730" w:name="_Toc17517"/>
      <w:bookmarkStart w:id="1731" w:name="_Toc15589"/>
      <w:bookmarkStart w:id="1732" w:name="_Toc9178"/>
      <w:bookmarkStart w:id="1733" w:name="_Toc13041"/>
      <w:bookmarkStart w:id="1734" w:name="_Toc16880"/>
      <w:bookmarkStart w:id="1735" w:name="_Toc16663"/>
      <w:bookmarkStart w:id="1736" w:name="_Toc15261"/>
      <w:bookmarkStart w:id="1737" w:name="_Toc21463"/>
      <w:bookmarkStart w:id="1738" w:name="_Toc13131"/>
      <w:bookmarkStart w:id="1739" w:name="_Toc279701263"/>
      <w:bookmarkStart w:id="1740" w:name="_Toc10830"/>
      <w:bookmarkStart w:id="1741" w:name="_Toc6555"/>
      <w:bookmarkStart w:id="1742" w:name="_Toc14516"/>
      <w:r>
        <w:rPr>
          <w:rFonts w:hint="eastAsia" w:ascii="微软雅黑" w:hAnsi="微软雅黑" w:eastAsia="微软雅黑" w:cs="微软雅黑"/>
          <w:b/>
          <w:bCs/>
          <w:sz w:val="24"/>
          <w:szCs w:val="24"/>
        </w:rPr>
        <w:t>2.20 合同使用的文字和适用的法律</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2.20.1 合同使用汉语书就、变更和解释；</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2.20.2 合同适用中华人民共和国法律。</w:t>
      </w:r>
    </w:p>
    <w:p>
      <w:pPr>
        <w:ind w:firstLine="480" w:firstLineChars="200"/>
        <w:outlineLvl w:val="0"/>
        <w:rPr>
          <w:rFonts w:ascii="微软雅黑" w:hAnsi="微软雅黑" w:eastAsia="微软雅黑" w:cs="微软雅黑"/>
          <w:b/>
          <w:bCs/>
          <w:sz w:val="24"/>
          <w:szCs w:val="24"/>
        </w:rPr>
      </w:pPr>
      <w:bookmarkStart w:id="1743" w:name="_Toc32497"/>
      <w:bookmarkStart w:id="1744" w:name="_Toc16673"/>
      <w:bookmarkStart w:id="1745" w:name="_Toc638"/>
      <w:bookmarkStart w:id="1746" w:name="_Toc15434"/>
      <w:bookmarkStart w:id="1747" w:name="_Toc30675"/>
      <w:bookmarkStart w:id="1748" w:name="_Toc27945"/>
      <w:bookmarkStart w:id="1749" w:name="_Toc22858"/>
      <w:bookmarkStart w:id="1750" w:name="_Toc29073"/>
      <w:bookmarkStart w:id="1751" w:name="_Toc3838"/>
      <w:bookmarkStart w:id="1752" w:name="_Toc28767"/>
      <w:bookmarkStart w:id="1753" w:name="_Toc25551"/>
      <w:bookmarkStart w:id="1754" w:name="_Toc14308"/>
      <w:bookmarkStart w:id="1755" w:name="_Toc279701264"/>
      <w:bookmarkStart w:id="1756" w:name="_Toc12004"/>
      <w:bookmarkStart w:id="1757" w:name="_Toc8602"/>
      <w:bookmarkStart w:id="1758" w:name="_Toc6864"/>
      <w:bookmarkStart w:id="1759" w:name="_Toc30511"/>
      <w:bookmarkStart w:id="1760" w:name="_Toc20231"/>
      <w:bookmarkStart w:id="1761" w:name="_Toc16313"/>
      <w:bookmarkStart w:id="1762" w:name="_Toc3148"/>
      <w:bookmarkStart w:id="1763" w:name="_Toc1670"/>
      <w:bookmarkStart w:id="1764" w:name="_Toc14964"/>
      <w:bookmarkStart w:id="1765" w:name="_Toc11628"/>
      <w:bookmarkStart w:id="1766" w:name="_Toc26372"/>
      <w:bookmarkStart w:id="1767" w:name="_Toc13925"/>
      <w:bookmarkStart w:id="1768" w:name="_Toc31421"/>
      <w:bookmarkStart w:id="1769" w:name="_Toc16778"/>
      <w:bookmarkStart w:id="1770" w:name="_Toc18845"/>
      <w:bookmarkStart w:id="1771" w:name="_Toc19815"/>
      <w:bookmarkStart w:id="1772" w:name="_Toc5000"/>
      <w:bookmarkStart w:id="1773" w:name="_Toc31790"/>
      <w:bookmarkStart w:id="1774" w:name="_Toc259093693"/>
      <w:bookmarkStart w:id="1775" w:name="_Toc5571"/>
      <w:bookmarkStart w:id="1776" w:name="_Toc9739"/>
      <w:bookmarkStart w:id="1777" w:name="_Toc16176"/>
      <w:bookmarkStart w:id="1778" w:name="_Toc15087"/>
      <w:bookmarkStart w:id="1779" w:name="_Toc487900374"/>
      <w:r>
        <w:rPr>
          <w:rFonts w:hint="eastAsia" w:ascii="微软雅黑" w:hAnsi="微软雅黑" w:eastAsia="微软雅黑" w:cs="微软雅黑"/>
          <w:b/>
          <w:bCs/>
          <w:sz w:val="24"/>
          <w:szCs w:val="24"/>
        </w:rPr>
        <w:t>2.21 履约保证金</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2.21.1 采购文件要求乙方提交履约保证金的，乙方应按</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约定的方式，以支票、汇票、本票或者金融机构、担保机构出具的保函等非现金形式，提交不超过合同价10%的履约保证金；</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2.21.2  履约保证金在</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约定期间内或者货物质量保证期内不予退还或者应完全有效，前述约定期间届满或者货物质量保证期届满之日起</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个工作日内，甲方应将履约保证金退还乙方；</w:t>
      </w:r>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79"/>
    <w:p>
      <w:pPr>
        <w:ind w:firstLine="480" w:firstLineChars="200"/>
        <w:outlineLvl w:val="0"/>
        <w:rPr>
          <w:rFonts w:ascii="微软雅黑" w:hAnsi="微软雅黑" w:eastAsia="微软雅黑" w:cs="微软雅黑"/>
          <w:b/>
          <w:bCs/>
          <w:sz w:val="24"/>
          <w:szCs w:val="24"/>
        </w:rPr>
      </w:pPr>
      <w:bookmarkStart w:id="1780" w:name="_Toc19890"/>
      <w:bookmarkStart w:id="1781" w:name="_Toc8495"/>
      <w:bookmarkStart w:id="1782" w:name="_Toc14217"/>
      <w:bookmarkStart w:id="1783" w:name="_Toc6885"/>
      <w:bookmarkStart w:id="1784" w:name="_Toc14001"/>
      <w:bookmarkStart w:id="1785" w:name="_Toc21772"/>
      <w:bookmarkStart w:id="1786" w:name="_Toc24006"/>
      <w:bookmarkStart w:id="1787" w:name="_Toc2720"/>
      <w:bookmarkStart w:id="1788" w:name="_Toc30847"/>
      <w:bookmarkStart w:id="1789" w:name="_Toc27563"/>
      <w:bookmarkStart w:id="1790" w:name="_Toc30496"/>
      <w:bookmarkStart w:id="1791" w:name="_Toc25691"/>
      <w:bookmarkStart w:id="1792" w:name="_Toc28555"/>
      <w:bookmarkStart w:id="1793" w:name="_Toc22496"/>
      <w:bookmarkStart w:id="1794" w:name="_Toc6325"/>
      <w:bookmarkStart w:id="1795" w:name="_Toc22821"/>
      <w:bookmarkStart w:id="1796" w:name="_Toc23163"/>
      <w:bookmarkStart w:id="1797" w:name="_Toc32408"/>
      <w:bookmarkStart w:id="1798" w:name="_Toc26077"/>
      <w:bookmarkStart w:id="1799" w:name="_Toc20802"/>
      <w:bookmarkStart w:id="1800" w:name="_Toc8867"/>
      <w:bookmarkStart w:id="1801" w:name="_Toc10801"/>
      <w:bookmarkStart w:id="1802" w:name="_Toc16431"/>
      <w:bookmarkStart w:id="1803" w:name="_Toc28525"/>
      <w:bookmarkStart w:id="1804" w:name="_Toc11103"/>
      <w:bookmarkStart w:id="1805" w:name="_Toc13022"/>
      <w:bookmarkStart w:id="1806" w:name="_Toc3595"/>
      <w:bookmarkStart w:id="1807" w:name="_Toc32754"/>
      <w:bookmarkStart w:id="1808" w:name="_Toc17310"/>
      <w:bookmarkStart w:id="1809" w:name="_Toc16450"/>
      <w:bookmarkStart w:id="1810" w:name="_Toc24807"/>
      <w:bookmarkStart w:id="1811" w:name="_Toc12034"/>
      <w:bookmarkStart w:id="1812" w:name="_Toc5346"/>
      <w:bookmarkStart w:id="1813" w:name="_Toc24957"/>
      <w:r>
        <w:rPr>
          <w:rFonts w:hint="eastAsia" w:ascii="微软雅黑" w:hAnsi="微软雅黑" w:eastAsia="微软雅黑" w:cs="微软雅黑"/>
          <w:b/>
          <w:bCs/>
          <w:sz w:val="24"/>
          <w:szCs w:val="24"/>
        </w:rPr>
        <w:t>2.22 合同份数</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pPr>
        <w:ind w:firstLine="480" w:firstLineChars="200"/>
        <w:rPr>
          <w:rFonts w:ascii="微软雅黑" w:hAnsi="微软雅黑" w:eastAsia="微软雅黑" w:cs="微软雅黑"/>
          <w:b/>
          <w:bCs/>
        </w:rPr>
      </w:pPr>
      <w:r>
        <w:rPr>
          <w:rFonts w:hint="eastAsia" w:ascii="微软雅黑" w:hAnsi="微软雅黑" w:eastAsia="微软雅黑" w:cs="微软雅黑"/>
          <w:sz w:val="24"/>
          <w:szCs w:val="24"/>
        </w:rPr>
        <w:t>合同份数按</w:t>
      </w:r>
      <w:r>
        <w:rPr>
          <w:rFonts w:hint="eastAsia" w:ascii="微软雅黑" w:hAnsi="微软雅黑" w:eastAsia="微软雅黑" w:cs="微软雅黑"/>
          <w:b/>
          <w:bCs/>
          <w:i/>
          <w:iCs/>
          <w:sz w:val="24"/>
          <w:szCs w:val="24"/>
          <w:u w:val="single"/>
        </w:rPr>
        <w:t>合同专用条款</w:t>
      </w:r>
      <w:r>
        <w:rPr>
          <w:rFonts w:hint="eastAsia" w:ascii="微软雅黑" w:hAnsi="微软雅黑" w:eastAsia="微软雅黑" w:cs="微软雅黑"/>
          <w:sz w:val="24"/>
          <w:szCs w:val="24"/>
        </w:rPr>
        <w:t>规定，每份均具有同等法律效力。</w:t>
      </w:r>
      <w:bookmarkStart w:id="1814" w:name="_Toc331685784"/>
    </w:p>
    <w:p>
      <w:pPr>
        <w:pStyle w:val="52"/>
        <w:ind w:firstLine="0"/>
        <w:jc w:val="center"/>
        <w:rPr>
          <w:rFonts w:ascii="微软雅黑" w:hAnsi="微软雅黑" w:eastAsia="微软雅黑" w:cs="微软雅黑"/>
          <w:b/>
          <w:bCs/>
        </w:rPr>
      </w:pPr>
    </w:p>
    <w:p>
      <w:pPr>
        <w:pStyle w:val="52"/>
        <w:ind w:firstLine="0"/>
        <w:jc w:val="center"/>
        <w:rPr>
          <w:rFonts w:ascii="微软雅黑" w:hAnsi="微软雅黑" w:eastAsia="微软雅黑" w:cs="微软雅黑"/>
          <w:b/>
          <w:bCs/>
        </w:rPr>
      </w:pPr>
      <w:r>
        <w:rPr>
          <w:rFonts w:hint="eastAsia" w:ascii="微软雅黑" w:hAnsi="微软雅黑" w:eastAsia="微软雅黑" w:cs="微软雅黑"/>
          <w:b/>
          <w:bCs/>
        </w:rPr>
        <w:t>第三部分  合同专用条款</w:t>
      </w:r>
      <w:bookmarkEnd w:id="1814"/>
    </w:p>
    <w:p>
      <w:pPr>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条款号</w:t>
            </w:r>
          </w:p>
        </w:tc>
        <w:tc>
          <w:tcPr>
            <w:tcW w:w="7633" w:type="dxa"/>
            <w:vAlign w:val="center"/>
          </w:tcPr>
          <w:p>
            <w:pPr>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rPr>
                <w:rFonts w:ascii="微软雅黑" w:hAnsi="微软雅黑" w:eastAsia="微软雅黑" w:cs="微软雅黑"/>
                <w:sz w:val="24"/>
                <w:szCs w:val="24"/>
              </w:rPr>
            </w:pPr>
          </w:p>
        </w:tc>
        <w:tc>
          <w:tcPr>
            <w:tcW w:w="7633" w:type="dxa"/>
            <w:vAlign w:val="center"/>
          </w:tcPr>
          <w:p>
            <w:pPr>
              <w:rPr>
                <w:rFonts w:ascii="微软雅黑" w:hAnsi="微软雅黑" w:eastAsia="微软雅黑" w:cs="微软雅黑"/>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rPr>
                <w:rFonts w:ascii="微软雅黑" w:hAnsi="微软雅黑" w:eastAsia="微软雅黑" w:cs="微软雅黑"/>
                <w:sz w:val="24"/>
                <w:szCs w:val="24"/>
              </w:rPr>
            </w:pPr>
          </w:p>
        </w:tc>
        <w:tc>
          <w:tcPr>
            <w:tcW w:w="7633" w:type="dxa"/>
            <w:vAlign w:val="center"/>
          </w:tcPr>
          <w:p>
            <w:pPr>
              <w:rPr>
                <w:rFonts w:ascii="微软雅黑" w:hAnsi="微软雅黑" w:eastAsia="微软雅黑" w:cs="微软雅黑"/>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rPr>
                <w:rFonts w:ascii="微软雅黑" w:hAnsi="微软雅黑" w:eastAsia="微软雅黑" w:cs="微软雅黑"/>
                <w:sz w:val="24"/>
                <w:szCs w:val="24"/>
              </w:rPr>
            </w:pPr>
          </w:p>
        </w:tc>
        <w:tc>
          <w:tcPr>
            <w:tcW w:w="7633" w:type="dxa"/>
            <w:vAlign w:val="center"/>
          </w:tcPr>
          <w:p>
            <w:pPr>
              <w:rPr>
                <w:rFonts w:ascii="微软雅黑" w:hAnsi="微软雅黑" w:eastAsia="微软雅黑" w:cs="微软雅黑"/>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rPr>
                <w:rFonts w:ascii="微软雅黑" w:hAnsi="微软雅黑" w:eastAsia="微软雅黑" w:cs="微软雅黑"/>
                <w:sz w:val="24"/>
                <w:szCs w:val="24"/>
              </w:rPr>
            </w:pPr>
          </w:p>
        </w:tc>
        <w:tc>
          <w:tcPr>
            <w:tcW w:w="7633" w:type="dxa"/>
            <w:vAlign w:val="center"/>
          </w:tcPr>
          <w:p>
            <w:pPr>
              <w:rPr>
                <w:rFonts w:ascii="微软雅黑" w:hAnsi="微软雅黑" w:eastAsia="微软雅黑" w:cs="微软雅黑"/>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rPr>
                <w:rFonts w:ascii="微软雅黑" w:hAnsi="微软雅黑" w:eastAsia="微软雅黑" w:cs="微软雅黑"/>
                <w:sz w:val="24"/>
                <w:szCs w:val="24"/>
              </w:rPr>
            </w:pPr>
          </w:p>
        </w:tc>
        <w:tc>
          <w:tcPr>
            <w:tcW w:w="7633" w:type="dxa"/>
            <w:vAlign w:val="center"/>
          </w:tcPr>
          <w:p>
            <w:pPr>
              <w:rPr>
                <w:rFonts w:ascii="微软雅黑" w:hAnsi="微软雅黑" w:eastAsia="微软雅黑" w:cs="微软雅黑"/>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rPr>
                <w:rFonts w:ascii="微软雅黑" w:hAnsi="微软雅黑" w:eastAsia="微软雅黑" w:cs="微软雅黑"/>
                <w:sz w:val="24"/>
                <w:szCs w:val="24"/>
              </w:rPr>
            </w:pPr>
          </w:p>
        </w:tc>
        <w:tc>
          <w:tcPr>
            <w:tcW w:w="7633" w:type="dxa"/>
            <w:vAlign w:val="center"/>
          </w:tcPr>
          <w:p>
            <w:pPr>
              <w:rPr>
                <w:rFonts w:ascii="微软雅黑" w:hAnsi="微软雅黑" w:eastAsia="微软雅黑" w:cs="微软雅黑"/>
                <w:sz w:val="24"/>
                <w:szCs w:val="24"/>
              </w:rPr>
            </w:pPr>
          </w:p>
        </w:tc>
      </w:tr>
    </w:tbl>
    <w:p>
      <w:pPr>
        <w:pStyle w:val="5"/>
        <w:ind w:firstLine="0"/>
        <w:rPr>
          <w:rFonts w:ascii="微软雅黑" w:hAnsi="微软雅黑" w:eastAsia="微软雅黑" w:cs="微软雅黑"/>
          <w:sz w:val="28"/>
          <w:szCs w:val="28"/>
        </w:rPr>
      </w:pPr>
      <w:r>
        <w:rPr>
          <w:rFonts w:hint="eastAsia" w:ascii="微软雅黑" w:hAnsi="微软雅黑" w:eastAsia="微软雅黑" w:cs="微软雅黑"/>
          <w:sz w:val="28"/>
          <w:szCs w:val="28"/>
        </w:rPr>
        <w:t xml:space="preserve"> </w:t>
      </w:r>
    </w:p>
    <w:p>
      <w:pPr>
        <w:rPr>
          <w:rFonts w:ascii="微软雅黑" w:hAnsi="微软雅黑" w:eastAsia="微软雅黑" w:cs="微软雅黑"/>
        </w:rPr>
      </w:pPr>
    </w:p>
    <w:sectPr>
      <w:headerReference r:id="rId8" w:type="default"/>
      <w:footerReference r:id="rId9" w:type="default"/>
      <w:pgSz w:w="11905" w:h="16838"/>
      <w:pgMar w:top="1440" w:right="1083" w:bottom="1440" w:left="1083"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SimSun;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99</w:t>
                    </w:r>
                    <w:r>
                      <w:fldChar w:fldCharType="end"/>
                    </w:r>
                  </w:p>
                </w:txbxContent>
              </v:textbox>
            </v:shape>
          </w:pict>
        </mc:Fallback>
      </mc:AlternateContent>
    </w:r>
  </w:p>
  <w:p>
    <w:pPr>
      <w:pStyle w:val="19"/>
      <w:ind w:right="360"/>
      <w:jc w:val="center"/>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tabs>
        <w:tab w:val="left" w:pos="6202"/>
        <w:tab w:val="clear" w:pos="4153"/>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F8957"/>
    <w:multiLevelType w:val="singleLevel"/>
    <w:tmpl w:val="C2DF8957"/>
    <w:lvl w:ilvl="0" w:tentative="0">
      <w:start w:val="1"/>
      <w:numFmt w:val="chineseCounting"/>
      <w:suff w:val="nothing"/>
      <w:lvlText w:val="%1、"/>
      <w:lvlJc w:val="left"/>
      <w:rPr>
        <w:rFonts w:hint="eastAsia"/>
      </w:rPr>
    </w:lvl>
  </w:abstractNum>
  <w:abstractNum w:abstractNumId="1">
    <w:nsid w:val="F62D7A73"/>
    <w:multiLevelType w:val="singleLevel"/>
    <w:tmpl w:val="F62D7A73"/>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00000004"/>
    <w:multiLevelType w:val="multilevel"/>
    <w:tmpl w:val="00000004"/>
    <w:lvl w:ilvl="0" w:tentative="0">
      <w:start w:val="1"/>
      <w:numFmt w:val="decimal"/>
      <w:lvlText w:val="%1"/>
      <w:lvlJc w:val="left"/>
      <w:pPr>
        <w:ind w:left="432" w:hanging="432"/>
      </w:pPr>
    </w:lvl>
    <w:lvl w:ilvl="1" w:tentative="0">
      <w:start w:val="1"/>
      <w:numFmt w:val="decimal"/>
      <w:pStyle w:val="50"/>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00000005"/>
    <w:multiLevelType w:val="multilevel"/>
    <w:tmpl w:val="00000005"/>
    <w:lvl w:ilvl="0" w:tentative="0">
      <w:start w:val="2"/>
      <w:numFmt w:val="chineseCounting"/>
      <w:suff w:val="space"/>
      <w:lvlText w:val="第%1部分"/>
      <w:lvlJc w:val="left"/>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6"/>
    <w:multiLevelType w:val="multilevel"/>
    <w:tmpl w:val="00000006"/>
    <w:lvl w:ilvl="0" w:tentative="0">
      <w:start w:val="3"/>
      <w:numFmt w:val="decimal"/>
      <w:suff w:val="space"/>
      <w:lvlText w:val="第%1章"/>
      <w:lvlJc w:val="left"/>
    </w:lvl>
    <w:lvl w:ilvl="1" w:tentative="0">
      <w:start w:val="1"/>
      <w:numFmt w:val="decimal"/>
      <w:lvlText w:val="%1.%2"/>
      <w:lvlJc w:val="left"/>
      <w:pPr>
        <w:ind w:left="98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00000007"/>
    <w:multiLevelType w:val="singleLevel"/>
    <w:tmpl w:val="00000007"/>
    <w:lvl w:ilvl="0" w:tentative="0">
      <w:start w:val="2"/>
      <w:numFmt w:val="decimal"/>
      <w:suff w:val="nothing"/>
      <w:lvlText w:val="%1、"/>
      <w:lvlJc w:val="left"/>
    </w:lvl>
  </w:abstractNum>
  <w:abstractNum w:abstractNumId="9">
    <w:nsid w:val="209948B1"/>
    <w:multiLevelType w:val="singleLevel"/>
    <w:tmpl w:val="209948B1"/>
    <w:lvl w:ilvl="0" w:tentative="0">
      <w:start w:val="2"/>
      <w:numFmt w:val="decimal"/>
      <w:suff w:val="nothing"/>
      <w:lvlText w:val="%1、"/>
      <w:lvlJc w:val="left"/>
      <w:pPr>
        <w:ind w:left="315" w:firstLine="0"/>
      </w:pPr>
    </w:lvl>
  </w:abstractNum>
  <w:abstractNum w:abstractNumId="10">
    <w:nsid w:val="28FA8B9A"/>
    <w:multiLevelType w:val="singleLevel"/>
    <w:tmpl w:val="28FA8B9A"/>
    <w:lvl w:ilvl="0" w:tentative="0">
      <w:start w:val="1"/>
      <w:numFmt w:val="decimal"/>
      <w:suff w:val="nothing"/>
      <w:lvlText w:val="%1、"/>
      <w:lvlJc w:val="left"/>
    </w:lvl>
  </w:abstractNum>
  <w:abstractNum w:abstractNumId="11">
    <w:nsid w:val="4BB1D5DC"/>
    <w:multiLevelType w:val="singleLevel"/>
    <w:tmpl w:val="4BB1D5DC"/>
    <w:lvl w:ilvl="0" w:tentative="0">
      <w:start w:val="2"/>
      <w:numFmt w:val="decimal"/>
      <w:lvlText w:val="%1."/>
      <w:lvlJc w:val="left"/>
      <w:pPr>
        <w:tabs>
          <w:tab w:val="left" w:pos="312"/>
        </w:tabs>
      </w:pPr>
    </w:lvl>
  </w:abstractNum>
  <w:num w:numId="1">
    <w:abstractNumId w:val="5"/>
  </w:num>
  <w:num w:numId="2">
    <w:abstractNumId w:val="3"/>
  </w:num>
  <w:num w:numId="3">
    <w:abstractNumId w:val="4"/>
  </w:num>
  <w:num w:numId="4">
    <w:abstractNumId w:val="2"/>
  </w:num>
  <w:num w:numId="5">
    <w:abstractNumId w:val="8"/>
  </w:num>
  <w:num w:numId="6">
    <w:abstractNumId w:val="11"/>
  </w:num>
  <w:num w:numId="7">
    <w:abstractNumId w:val="6"/>
  </w:num>
  <w:num w:numId="8">
    <w:abstractNumId w:val="9"/>
  </w:num>
  <w:num w:numId="9">
    <w:abstractNumId w:val="7"/>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oNotHyphenateCaps/>
  <w:drawingGridHorizontalSpacing w:val="210"/>
  <w:drawingGridVerticalSpacing w:val="-794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009E3562"/>
    <w:rsid w:val="00005227"/>
    <w:rsid w:val="00192D87"/>
    <w:rsid w:val="00295551"/>
    <w:rsid w:val="00343638"/>
    <w:rsid w:val="00370F52"/>
    <w:rsid w:val="005F0884"/>
    <w:rsid w:val="006C7C0E"/>
    <w:rsid w:val="0091476F"/>
    <w:rsid w:val="00955A4C"/>
    <w:rsid w:val="00976585"/>
    <w:rsid w:val="009E3562"/>
    <w:rsid w:val="00AC616B"/>
    <w:rsid w:val="00AE5F13"/>
    <w:rsid w:val="00C71A2A"/>
    <w:rsid w:val="00CF5F16"/>
    <w:rsid w:val="00EA7B92"/>
    <w:rsid w:val="00F90906"/>
    <w:rsid w:val="010D0318"/>
    <w:rsid w:val="01576085"/>
    <w:rsid w:val="018F4C90"/>
    <w:rsid w:val="01970BC3"/>
    <w:rsid w:val="01DF215D"/>
    <w:rsid w:val="0250093A"/>
    <w:rsid w:val="027D0F8C"/>
    <w:rsid w:val="027D7DB2"/>
    <w:rsid w:val="027E3416"/>
    <w:rsid w:val="02890B17"/>
    <w:rsid w:val="02E94832"/>
    <w:rsid w:val="02EA60B4"/>
    <w:rsid w:val="02FC6355"/>
    <w:rsid w:val="03A61608"/>
    <w:rsid w:val="03D6122D"/>
    <w:rsid w:val="03F948B5"/>
    <w:rsid w:val="04144940"/>
    <w:rsid w:val="0474707C"/>
    <w:rsid w:val="04814D63"/>
    <w:rsid w:val="04D04C03"/>
    <w:rsid w:val="054C0A87"/>
    <w:rsid w:val="056728BF"/>
    <w:rsid w:val="057F6DC9"/>
    <w:rsid w:val="06295921"/>
    <w:rsid w:val="06427327"/>
    <w:rsid w:val="06626C3B"/>
    <w:rsid w:val="06C34665"/>
    <w:rsid w:val="071312A7"/>
    <w:rsid w:val="07346D3B"/>
    <w:rsid w:val="07A0301B"/>
    <w:rsid w:val="07AD102A"/>
    <w:rsid w:val="07CC0B74"/>
    <w:rsid w:val="08500090"/>
    <w:rsid w:val="08674B68"/>
    <w:rsid w:val="089C7A4F"/>
    <w:rsid w:val="08CF2B0E"/>
    <w:rsid w:val="08E051AF"/>
    <w:rsid w:val="09802CAB"/>
    <w:rsid w:val="09DC639D"/>
    <w:rsid w:val="0A6A424A"/>
    <w:rsid w:val="0A710906"/>
    <w:rsid w:val="0AA23046"/>
    <w:rsid w:val="0AA25F3E"/>
    <w:rsid w:val="0AAB1187"/>
    <w:rsid w:val="0ABB2743"/>
    <w:rsid w:val="0AD017FF"/>
    <w:rsid w:val="0B001FFB"/>
    <w:rsid w:val="0B077F8D"/>
    <w:rsid w:val="0B5C7E51"/>
    <w:rsid w:val="0B9776CB"/>
    <w:rsid w:val="0C1B5AE1"/>
    <w:rsid w:val="0C2423A5"/>
    <w:rsid w:val="0C5E1E2E"/>
    <w:rsid w:val="0C885D90"/>
    <w:rsid w:val="0CD013BE"/>
    <w:rsid w:val="0CE1125A"/>
    <w:rsid w:val="0D4955C8"/>
    <w:rsid w:val="0D590500"/>
    <w:rsid w:val="0D620B5F"/>
    <w:rsid w:val="0D714E77"/>
    <w:rsid w:val="0D837D9E"/>
    <w:rsid w:val="0DDA54E4"/>
    <w:rsid w:val="0E701472"/>
    <w:rsid w:val="0EF81A51"/>
    <w:rsid w:val="0F84395A"/>
    <w:rsid w:val="0F915F0B"/>
    <w:rsid w:val="0FA979D6"/>
    <w:rsid w:val="0FC131F2"/>
    <w:rsid w:val="0FD92567"/>
    <w:rsid w:val="100A39BD"/>
    <w:rsid w:val="102B2027"/>
    <w:rsid w:val="10515172"/>
    <w:rsid w:val="106C0B1D"/>
    <w:rsid w:val="10771710"/>
    <w:rsid w:val="10853D99"/>
    <w:rsid w:val="10C35769"/>
    <w:rsid w:val="10F31B71"/>
    <w:rsid w:val="11167C0B"/>
    <w:rsid w:val="113203A8"/>
    <w:rsid w:val="11B85885"/>
    <w:rsid w:val="11BF7BAA"/>
    <w:rsid w:val="11D1783A"/>
    <w:rsid w:val="12590F79"/>
    <w:rsid w:val="127C427C"/>
    <w:rsid w:val="12A03490"/>
    <w:rsid w:val="12AB4B7C"/>
    <w:rsid w:val="12AB744F"/>
    <w:rsid w:val="136C4530"/>
    <w:rsid w:val="136D3C10"/>
    <w:rsid w:val="142676D5"/>
    <w:rsid w:val="14425626"/>
    <w:rsid w:val="145036D2"/>
    <w:rsid w:val="147A4287"/>
    <w:rsid w:val="14AA3FB4"/>
    <w:rsid w:val="156A35F2"/>
    <w:rsid w:val="157B3678"/>
    <w:rsid w:val="15B800D6"/>
    <w:rsid w:val="15F174F4"/>
    <w:rsid w:val="16500A3A"/>
    <w:rsid w:val="169842AD"/>
    <w:rsid w:val="16D027CB"/>
    <w:rsid w:val="16D36691"/>
    <w:rsid w:val="16DA6555"/>
    <w:rsid w:val="170D12E4"/>
    <w:rsid w:val="17183EC8"/>
    <w:rsid w:val="174D6D27"/>
    <w:rsid w:val="177F71E9"/>
    <w:rsid w:val="17A16E37"/>
    <w:rsid w:val="17B70CD6"/>
    <w:rsid w:val="17E940BF"/>
    <w:rsid w:val="18000173"/>
    <w:rsid w:val="185665E6"/>
    <w:rsid w:val="1881137E"/>
    <w:rsid w:val="18A112AB"/>
    <w:rsid w:val="18E55300"/>
    <w:rsid w:val="18F9373F"/>
    <w:rsid w:val="191252AC"/>
    <w:rsid w:val="19464ECF"/>
    <w:rsid w:val="19AC425C"/>
    <w:rsid w:val="19AC5F87"/>
    <w:rsid w:val="1A247436"/>
    <w:rsid w:val="1A2A20F6"/>
    <w:rsid w:val="1A683196"/>
    <w:rsid w:val="1A6F63AC"/>
    <w:rsid w:val="1ACE7386"/>
    <w:rsid w:val="1AE33019"/>
    <w:rsid w:val="1B0943CF"/>
    <w:rsid w:val="1B1F6201"/>
    <w:rsid w:val="1B1F6599"/>
    <w:rsid w:val="1BA65FD2"/>
    <w:rsid w:val="1BA70E62"/>
    <w:rsid w:val="1BD46449"/>
    <w:rsid w:val="1BF86C40"/>
    <w:rsid w:val="1BFE03A6"/>
    <w:rsid w:val="1C16002F"/>
    <w:rsid w:val="1C273375"/>
    <w:rsid w:val="1C2F4F54"/>
    <w:rsid w:val="1C5A32C4"/>
    <w:rsid w:val="1D077978"/>
    <w:rsid w:val="1D1B04E9"/>
    <w:rsid w:val="1D1B55EF"/>
    <w:rsid w:val="1D3F320D"/>
    <w:rsid w:val="1D521E73"/>
    <w:rsid w:val="1D6848BB"/>
    <w:rsid w:val="1E3F1AF9"/>
    <w:rsid w:val="1E4638FF"/>
    <w:rsid w:val="1E4E5E7E"/>
    <w:rsid w:val="1E894AFB"/>
    <w:rsid w:val="1E904780"/>
    <w:rsid w:val="1ED60FA2"/>
    <w:rsid w:val="1F28633A"/>
    <w:rsid w:val="1F2D6C6D"/>
    <w:rsid w:val="1F54471C"/>
    <w:rsid w:val="1F5B5969"/>
    <w:rsid w:val="1F691AD6"/>
    <w:rsid w:val="1FBF0E43"/>
    <w:rsid w:val="1FF13FC9"/>
    <w:rsid w:val="2012202A"/>
    <w:rsid w:val="203B14AE"/>
    <w:rsid w:val="205D1405"/>
    <w:rsid w:val="20C462AC"/>
    <w:rsid w:val="210A47C4"/>
    <w:rsid w:val="212B46A7"/>
    <w:rsid w:val="215D163E"/>
    <w:rsid w:val="21785D96"/>
    <w:rsid w:val="21861BE1"/>
    <w:rsid w:val="218A6C15"/>
    <w:rsid w:val="21A46D1F"/>
    <w:rsid w:val="226C414C"/>
    <w:rsid w:val="227C7DB0"/>
    <w:rsid w:val="22BB548D"/>
    <w:rsid w:val="22E374E9"/>
    <w:rsid w:val="23152484"/>
    <w:rsid w:val="23473B40"/>
    <w:rsid w:val="23752409"/>
    <w:rsid w:val="24731CA2"/>
    <w:rsid w:val="24785781"/>
    <w:rsid w:val="24835AAE"/>
    <w:rsid w:val="24910197"/>
    <w:rsid w:val="24B816AA"/>
    <w:rsid w:val="24C446EB"/>
    <w:rsid w:val="256C2605"/>
    <w:rsid w:val="25AB07BE"/>
    <w:rsid w:val="25BC57A4"/>
    <w:rsid w:val="25C02408"/>
    <w:rsid w:val="25C662F0"/>
    <w:rsid w:val="2601765A"/>
    <w:rsid w:val="261B419B"/>
    <w:rsid w:val="26720A84"/>
    <w:rsid w:val="26920BFA"/>
    <w:rsid w:val="26A45A66"/>
    <w:rsid w:val="26B27891"/>
    <w:rsid w:val="26C33638"/>
    <w:rsid w:val="26D7485F"/>
    <w:rsid w:val="26E208D5"/>
    <w:rsid w:val="271A33B1"/>
    <w:rsid w:val="276A23F6"/>
    <w:rsid w:val="27C43035"/>
    <w:rsid w:val="27E10833"/>
    <w:rsid w:val="27ED7221"/>
    <w:rsid w:val="282E04AF"/>
    <w:rsid w:val="284C1B65"/>
    <w:rsid w:val="286A45E6"/>
    <w:rsid w:val="289724F8"/>
    <w:rsid w:val="28BB61E6"/>
    <w:rsid w:val="28C71961"/>
    <w:rsid w:val="28D13F35"/>
    <w:rsid w:val="29414E7D"/>
    <w:rsid w:val="296D02FE"/>
    <w:rsid w:val="29A547A1"/>
    <w:rsid w:val="29E206D6"/>
    <w:rsid w:val="2A737D5F"/>
    <w:rsid w:val="2A9E18CF"/>
    <w:rsid w:val="2AD839F2"/>
    <w:rsid w:val="2AF8432B"/>
    <w:rsid w:val="2AFD56B7"/>
    <w:rsid w:val="2B047B67"/>
    <w:rsid w:val="2B42718D"/>
    <w:rsid w:val="2B473E11"/>
    <w:rsid w:val="2B8072A0"/>
    <w:rsid w:val="2BA76EDC"/>
    <w:rsid w:val="2BDA24ED"/>
    <w:rsid w:val="2C0548D3"/>
    <w:rsid w:val="2C1A0D75"/>
    <w:rsid w:val="2C5B1C91"/>
    <w:rsid w:val="2C773904"/>
    <w:rsid w:val="2C9A2A5D"/>
    <w:rsid w:val="2CE30D90"/>
    <w:rsid w:val="2D2263A5"/>
    <w:rsid w:val="2D4259F2"/>
    <w:rsid w:val="2D5978E6"/>
    <w:rsid w:val="2D7A31B7"/>
    <w:rsid w:val="2DB16EB6"/>
    <w:rsid w:val="2DC07DFB"/>
    <w:rsid w:val="2DEA08B9"/>
    <w:rsid w:val="2DF06959"/>
    <w:rsid w:val="2E0E0C09"/>
    <w:rsid w:val="2E352D28"/>
    <w:rsid w:val="2E5C3FC8"/>
    <w:rsid w:val="2EB93B9C"/>
    <w:rsid w:val="2ECB48AC"/>
    <w:rsid w:val="2EDA2C3C"/>
    <w:rsid w:val="2F080E4C"/>
    <w:rsid w:val="2F097320"/>
    <w:rsid w:val="2FAB5D78"/>
    <w:rsid w:val="301F34FF"/>
    <w:rsid w:val="30332B06"/>
    <w:rsid w:val="305F519B"/>
    <w:rsid w:val="30816B47"/>
    <w:rsid w:val="309B5E73"/>
    <w:rsid w:val="30D970F4"/>
    <w:rsid w:val="312D43C1"/>
    <w:rsid w:val="31567137"/>
    <w:rsid w:val="31631A21"/>
    <w:rsid w:val="31923D9C"/>
    <w:rsid w:val="31975317"/>
    <w:rsid w:val="31CD3300"/>
    <w:rsid w:val="31D46B78"/>
    <w:rsid w:val="322602DB"/>
    <w:rsid w:val="3238199A"/>
    <w:rsid w:val="32A468C7"/>
    <w:rsid w:val="33161F7E"/>
    <w:rsid w:val="33162B98"/>
    <w:rsid w:val="332A1ECC"/>
    <w:rsid w:val="33460DA3"/>
    <w:rsid w:val="33542A8B"/>
    <w:rsid w:val="337E053C"/>
    <w:rsid w:val="33A819B6"/>
    <w:rsid w:val="33CC6EC7"/>
    <w:rsid w:val="33E75117"/>
    <w:rsid w:val="347546FF"/>
    <w:rsid w:val="348E2A01"/>
    <w:rsid w:val="34D5148D"/>
    <w:rsid w:val="34F77BF5"/>
    <w:rsid w:val="34F82605"/>
    <w:rsid w:val="35074A1D"/>
    <w:rsid w:val="350A771A"/>
    <w:rsid w:val="357240D1"/>
    <w:rsid w:val="359F2B03"/>
    <w:rsid w:val="36160D32"/>
    <w:rsid w:val="365433E3"/>
    <w:rsid w:val="3655409D"/>
    <w:rsid w:val="366C6D72"/>
    <w:rsid w:val="367E17E2"/>
    <w:rsid w:val="369B1405"/>
    <w:rsid w:val="36A24542"/>
    <w:rsid w:val="36C3270A"/>
    <w:rsid w:val="36C54E3E"/>
    <w:rsid w:val="37307C06"/>
    <w:rsid w:val="37AA6F86"/>
    <w:rsid w:val="37B10DBF"/>
    <w:rsid w:val="37D57B6F"/>
    <w:rsid w:val="37E30714"/>
    <w:rsid w:val="3824035F"/>
    <w:rsid w:val="38440D4F"/>
    <w:rsid w:val="387D5266"/>
    <w:rsid w:val="38855EC9"/>
    <w:rsid w:val="38B95F6F"/>
    <w:rsid w:val="390A7133"/>
    <w:rsid w:val="39447F64"/>
    <w:rsid w:val="394E1896"/>
    <w:rsid w:val="39565AB7"/>
    <w:rsid w:val="39A52687"/>
    <w:rsid w:val="39AD2802"/>
    <w:rsid w:val="39C63892"/>
    <w:rsid w:val="39CC339E"/>
    <w:rsid w:val="39FE6B4D"/>
    <w:rsid w:val="3A7C2944"/>
    <w:rsid w:val="3A825089"/>
    <w:rsid w:val="3AB30EA3"/>
    <w:rsid w:val="3B3111D6"/>
    <w:rsid w:val="3B3534BD"/>
    <w:rsid w:val="3B421A2D"/>
    <w:rsid w:val="3BD52D04"/>
    <w:rsid w:val="3BF051DE"/>
    <w:rsid w:val="3BFD046C"/>
    <w:rsid w:val="3C39455E"/>
    <w:rsid w:val="3CAA4150"/>
    <w:rsid w:val="3CD712D4"/>
    <w:rsid w:val="3CEB5B57"/>
    <w:rsid w:val="3CF3708A"/>
    <w:rsid w:val="3D4049CD"/>
    <w:rsid w:val="3DAE02C2"/>
    <w:rsid w:val="3DB021B2"/>
    <w:rsid w:val="3DB122E7"/>
    <w:rsid w:val="3DC542F7"/>
    <w:rsid w:val="3DDF4E6B"/>
    <w:rsid w:val="3E104487"/>
    <w:rsid w:val="3E3068D7"/>
    <w:rsid w:val="3E374E7B"/>
    <w:rsid w:val="3E3909F2"/>
    <w:rsid w:val="3E3935EE"/>
    <w:rsid w:val="3E5A3CE1"/>
    <w:rsid w:val="3E9D6408"/>
    <w:rsid w:val="3EB92D70"/>
    <w:rsid w:val="3EE04F23"/>
    <w:rsid w:val="3F0E5E15"/>
    <w:rsid w:val="3F3506CB"/>
    <w:rsid w:val="3FAB163D"/>
    <w:rsid w:val="40075C59"/>
    <w:rsid w:val="4024470B"/>
    <w:rsid w:val="4062685E"/>
    <w:rsid w:val="40BB3B4D"/>
    <w:rsid w:val="411B561D"/>
    <w:rsid w:val="4135116F"/>
    <w:rsid w:val="41540B2E"/>
    <w:rsid w:val="415D5357"/>
    <w:rsid w:val="417E7959"/>
    <w:rsid w:val="41887598"/>
    <w:rsid w:val="41A924CD"/>
    <w:rsid w:val="41BD4926"/>
    <w:rsid w:val="41C01E85"/>
    <w:rsid w:val="41EE7295"/>
    <w:rsid w:val="41FB36A0"/>
    <w:rsid w:val="4221518F"/>
    <w:rsid w:val="43364990"/>
    <w:rsid w:val="433A140F"/>
    <w:rsid w:val="435A0517"/>
    <w:rsid w:val="436D1BAA"/>
    <w:rsid w:val="43F619AE"/>
    <w:rsid w:val="43F92467"/>
    <w:rsid w:val="43FF7CCC"/>
    <w:rsid w:val="44BA6EFA"/>
    <w:rsid w:val="452B268D"/>
    <w:rsid w:val="454D712B"/>
    <w:rsid w:val="45505AB1"/>
    <w:rsid w:val="45680F84"/>
    <w:rsid w:val="4579134D"/>
    <w:rsid w:val="45890463"/>
    <w:rsid w:val="459B7941"/>
    <w:rsid w:val="45C647A2"/>
    <w:rsid w:val="45D72F87"/>
    <w:rsid w:val="45E5704A"/>
    <w:rsid w:val="45EE5D64"/>
    <w:rsid w:val="45F10CF0"/>
    <w:rsid w:val="46270F3A"/>
    <w:rsid w:val="463F2E10"/>
    <w:rsid w:val="466D60A8"/>
    <w:rsid w:val="46BC4D06"/>
    <w:rsid w:val="475A75DA"/>
    <w:rsid w:val="476B0337"/>
    <w:rsid w:val="47E525F9"/>
    <w:rsid w:val="48145DD7"/>
    <w:rsid w:val="48A74B5A"/>
    <w:rsid w:val="494A555C"/>
    <w:rsid w:val="49740D11"/>
    <w:rsid w:val="497A134E"/>
    <w:rsid w:val="497C01C9"/>
    <w:rsid w:val="49857991"/>
    <w:rsid w:val="4A653DFE"/>
    <w:rsid w:val="4ABE526B"/>
    <w:rsid w:val="4B230F7F"/>
    <w:rsid w:val="4B3B18FD"/>
    <w:rsid w:val="4B4546C2"/>
    <w:rsid w:val="4B706391"/>
    <w:rsid w:val="4B775925"/>
    <w:rsid w:val="4BD47F04"/>
    <w:rsid w:val="4BDE2F06"/>
    <w:rsid w:val="4C09383B"/>
    <w:rsid w:val="4C2957E8"/>
    <w:rsid w:val="4CB535E7"/>
    <w:rsid w:val="4CC76612"/>
    <w:rsid w:val="4CF44D67"/>
    <w:rsid w:val="4CFA3B7A"/>
    <w:rsid w:val="4D7C0647"/>
    <w:rsid w:val="4D7C530C"/>
    <w:rsid w:val="4DA727EE"/>
    <w:rsid w:val="4DE07676"/>
    <w:rsid w:val="4DFA15AC"/>
    <w:rsid w:val="4E0E2460"/>
    <w:rsid w:val="4E3C476F"/>
    <w:rsid w:val="4E58551B"/>
    <w:rsid w:val="4E946322"/>
    <w:rsid w:val="4EE44B34"/>
    <w:rsid w:val="4F7C44A6"/>
    <w:rsid w:val="4FA72771"/>
    <w:rsid w:val="4FBF20BC"/>
    <w:rsid w:val="4FD23C92"/>
    <w:rsid w:val="4FF8133B"/>
    <w:rsid w:val="4FFD0920"/>
    <w:rsid w:val="50043E9A"/>
    <w:rsid w:val="506955BC"/>
    <w:rsid w:val="5084320D"/>
    <w:rsid w:val="50F86FCF"/>
    <w:rsid w:val="512B27F4"/>
    <w:rsid w:val="51450494"/>
    <w:rsid w:val="517570AB"/>
    <w:rsid w:val="51922CE9"/>
    <w:rsid w:val="51D569BB"/>
    <w:rsid w:val="51F46F6D"/>
    <w:rsid w:val="522510AD"/>
    <w:rsid w:val="52467C77"/>
    <w:rsid w:val="52C33AD5"/>
    <w:rsid w:val="533D65C8"/>
    <w:rsid w:val="536B2631"/>
    <w:rsid w:val="53FC29DA"/>
    <w:rsid w:val="540C2BB9"/>
    <w:rsid w:val="540F33E4"/>
    <w:rsid w:val="54104C1C"/>
    <w:rsid w:val="541903E8"/>
    <w:rsid w:val="545A343E"/>
    <w:rsid w:val="559B2B89"/>
    <w:rsid w:val="55CA71B9"/>
    <w:rsid w:val="55CB1251"/>
    <w:rsid w:val="55DF5E59"/>
    <w:rsid w:val="57362868"/>
    <w:rsid w:val="57782539"/>
    <w:rsid w:val="57825F9E"/>
    <w:rsid w:val="579E5991"/>
    <w:rsid w:val="5813309A"/>
    <w:rsid w:val="58313DF7"/>
    <w:rsid w:val="58357612"/>
    <w:rsid w:val="588B0E82"/>
    <w:rsid w:val="58B86286"/>
    <w:rsid w:val="58F42B1B"/>
    <w:rsid w:val="595124C8"/>
    <w:rsid w:val="599B2597"/>
    <w:rsid w:val="5A500024"/>
    <w:rsid w:val="5A8A05E6"/>
    <w:rsid w:val="5AC316C5"/>
    <w:rsid w:val="5ADA57C9"/>
    <w:rsid w:val="5ADF381D"/>
    <w:rsid w:val="5AE64A95"/>
    <w:rsid w:val="5B37559B"/>
    <w:rsid w:val="5B6360D8"/>
    <w:rsid w:val="5B7E79F8"/>
    <w:rsid w:val="5B8F0C89"/>
    <w:rsid w:val="5B977B3E"/>
    <w:rsid w:val="5BBE3726"/>
    <w:rsid w:val="5BC50F0C"/>
    <w:rsid w:val="5BD479D9"/>
    <w:rsid w:val="5BD54C15"/>
    <w:rsid w:val="5BE75704"/>
    <w:rsid w:val="5BED655E"/>
    <w:rsid w:val="5C165098"/>
    <w:rsid w:val="5C594399"/>
    <w:rsid w:val="5C5C5033"/>
    <w:rsid w:val="5C970359"/>
    <w:rsid w:val="5D21480B"/>
    <w:rsid w:val="5D4A6D8C"/>
    <w:rsid w:val="5D4C08EA"/>
    <w:rsid w:val="5D50269A"/>
    <w:rsid w:val="5D5615C2"/>
    <w:rsid w:val="5D6D4FFA"/>
    <w:rsid w:val="5E1F0AF7"/>
    <w:rsid w:val="5E4E6595"/>
    <w:rsid w:val="5E781EA8"/>
    <w:rsid w:val="5E7975CE"/>
    <w:rsid w:val="5E7D301B"/>
    <w:rsid w:val="5EB65F8B"/>
    <w:rsid w:val="5F4F7F6E"/>
    <w:rsid w:val="5F6D366C"/>
    <w:rsid w:val="5F8A3A03"/>
    <w:rsid w:val="5F967193"/>
    <w:rsid w:val="5FA61C9B"/>
    <w:rsid w:val="5FE34CE5"/>
    <w:rsid w:val="602B1D4B"/>
    <w:rsid w:val="60314360"/>
    <w:rsid w:val="6045450E"/>
    <w:rsid w:val="60655BC8"/>
    <w:rsid w:val="60F9527C"/>
    <w:rsid w:val="61CF1EB9"/>
    <w:rsid w:val="61EC6E71"/>
    <w:rsid w:val="62623041"/>
    <w:rsid w:val="62823D82"/>
    <w:rsid w:val="62AF1C11"/>
    <w:rsid w:val="62F73A40"/>
    <w:rsid w:val="630B65D4"/>
    <w:rsid w:val="631303F2"/>
    <w:rsid w:val="63404E3C"/>
    <w:rsid w:val="634C24C3"/>
    <w:rsid w:val="636619A6"/>
    <w:rsid w:val="63683A9F"/>
    <w:rsid w:val="63B302C1"/>
    <w:rsid w:val="641960BC"/>
    <w:rsid w:val="64421BCC"/>
    <w:rsid w:val="64581217"/>
    <w:rsid w:val="64DA64D4"/>
    <w:rsid w:val="64DF4596"/>
    <w:rsid w:val="64E21E2A"/>
    <w:rsid w:val="651C031C"/>
    <w:rsid w:val="65685739"/>
    <w:rsid w:val="65CB604B"/>
    <w:rsid w:val="65CD0D2C"/>
    <w:rsid w:val="65E55410"/>
    <w:rsid w:val="6621033E"/>
    <w:rsid w:val="66EB4947"/>
    <w:rsid w:val="670342B7"/>
    <w:rsid w:val="672C3CCB"/>
    <w:rsid w:val="67306E97"/>
    <w:rsid w:val="673803E9"/>
    <w:rsid w:val="673B1886"/>
    <w:rsid w:val="67DE1B6A"/>
    <w:rsid w:val="67E44C3F"/>
    <w:rsid w:val="68110D0F"/>
    <w:rsid w:val="684352D5"/>
    <w:rsid w:val="68B4086D"/>
    <w:rsid w:val="69303AFB"/>
    <w:rsid w:val="69617D6C"/>
    <w:rsid w:val="699B3A79"/>
    <w:rsid w:val="69ED78DB"/>
    <w:rsid w:val="6A686216"/>
    <w:rsid w:val="6A880126"/>
    <w:rsid w:val="6ACB77BB"/>
    <w:rsid w:val="6AED1F2C"/>
    <w:rsid w:val="6B064398"/>
    <w:rsid w:val="6B1D10B5"/>
    <w:rsid w:val="6B715133"/>
    <w:rsid w:val="6B7E6624"/>
    <w:rsid w:val="6BBC674B"/>
    <w:rsid w:val="6BBD3420"/>
    <w:rsid w:val="6C76202F"/>
    <w:rsid w:val="6C876B6C"/>
    <w:rsid w:val="6C894229"/>
    <w:rsid w:val="6CAD51ED"/>
    <w:rsid w:val="6CC009D0"/>
    <w:rsid w:val="6CCA3E19"/>
    <w:rsid w:val="6CFC3CA5"/>
    <w:rsid w:val="6D3B0E2F"/>
    <w:rsid w:val="6D465A44"/>
    <w:rsid w:val="6D492E60"/>
    <w:rsid w:val="6DFA3429"/>
    <w:rsid w:val="6E267689"/>
    <w:rsid w:val="6E7973B3"/>
    <w:rsid w:val="6E8403F6"/>
    <w:rsid w:val="6E841887"/>
    <w:rsid w:val="6E9206DD"/>
    <w:rsid w:val="6F0D3B5C"/>
    <w:rsid w:val="6F267B88"/>
    <w:rsid w:val="6F651FD5"/>
    <w:rsid w:val="700E0A86"/>
    <w:rsid w:val="70855382"/>
    <w:rsid w:val="70A3417B"/>
    <w:rsid w:val="70B7739F"/>
    <w:rsid w:val="70E7131E"/>
    <w:rsid w:val="712F4EED"/>
    <w:rsid w:val="713F2D19"/>
    <w:rsid w:val="715617A4"/>
    <w:rsid w:val="71A54B64"/>
    <w:rsid w:val="71A67507"/>
    <w:rsid w:val="71CA0A17"/>
    <w:rsid w:val="7202642B"/>
    <w:rsid w:val="72145E3A"/>
    <w:rsid w:val="72360220"/>
    <w:rsid w:val="728D0BDD"/>
    <w:rsid w:val="73016908"/>
    <w:rsid w:val="734241F0"/>
    <w:rsid w:val="737364B4"/>
    <w:rsid w:val="73824B1D"/>
    <w:rsid w:val="740909E8"/>
    <w:rsid w:val="7426743E"/>
    <w:rsid w:val="74CE61C9"/>
    <w:rsid w:val="74CE7DEF"/>
    <w:rsid w:val="750278D7"/>
    <w:rsid w:val="75340B91"/>
    <w:rsid w:val="753C7334"/>
    <w:rsid w:val="75667113"/>
    <w:rsid w:val="757A50EF"/>
    <w:rsid w:val="758B119A"/>
    <w:rsid w:val="75C30938"/>
    <w:rsid w:val="75E67159"/>
    <w:rsid w:val="76022EB6"/>
    <w:rsid w:val="761B0991"/>
    <w:rsid w:val="76364D93"/>
    <w:rsid w:val="763C357C"/>
    <w:rsid w:val="766A4BC9"/>
    <w:rsid w:val="76ED056A"/>
    <w:rsid w:val="76FC1F1B"/>
    <w:rsid w:val="777008ED"/>
    <w:rsid w:val="77745802"/>
    <w:rsid w:val="777D5F77"/>
    <w:rsid w:val="77905715"/>
    <w:rsid w:val="77E70419"/>
    <w:rsid w:val="77EB6DF0"/>
    <w:rsid w:val="77F60940"/>
    <w:rsid w:val="782874DA"/>
    <w:rsid w:val="78501572"/>
    <w:rsid w:val="787F376C"/>
    <w:rsid w:val="78FA022F"/>
    <w:rsid w:val="78FD6A86"/>
    <w:rsid w:val="791C4226"/>
    <w:rsid w:val="794C77CC"/>
    <w:rsid w:val="79752E15"/>
    <w:rsid w:val="7A0C2F65"/>
    <w:rsid w:val="7A1A45DD"/>
    <w:rsid w:val="7A4A706D"/>
    <w:rsid w:val="7A6115EB"/>
    <w:rsid w:val="7A736940"/>
    <w:rsid w:val="7A98418F"/>
    <w:rsid w:val="7AC77031"/>
    <w:rsid w:val="7AEC35AA"/>
    <w:rsid w:val="7B0A7CBC"/>
    <w:rsid w:val="7B1A486E"/>
    <w:rsid w:val="7B8E7EEC"/>
    <w:rsid w:val="7BA26033"/>
    <w:rsid w:val="7C084414"/>
    <w:rsid w:val="7C800FB1"/>
    <w:rsid w:val="7CEB65C0"/>
    <w:rsid w:val="7D137721"/>
    <w:rsid w:val="7D3923AB"/>
    <w:rsid w:val="7D7171F6"/>
    <w:rsid w:val="7D8A0907"/>
    <w:rsid w:val="7DA119B4"/>
    <w:rsid w:val="7DAF065D"/>
    <w:rsid w:val="7DB677E5"/>
    <w:rsid w:val="7DCD1E14"/>
    <w:rsid w:val="7DDC24B2"/>
    <w:rsid w:val="7DF7797A"/>
    <w:rsid w:val="7E354D13"/>
    <w:rsid w:val="7E635CC6"/>
    <w:rsid w:val="7EC74E4B"/>
    <w:rsid w:val="7F231565"/>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7"/>
    <w:qFormat/>
    <w:uiPriority w:val="99"/>
    <w:pPr>
      <w:keepNext/>
      <w:keepLines/>
      <w:autoSpaceDE w:val="0"/>
      <w:autoSpaceDN w:val="0"/>
      <w:adjustRightInd w:val="0"/>
      <w:spacing w:before="240" w:after="120" w:line="300" w:lineRule="auto"/>
      <w:jc w:val="center"/>
      <w:outlineLvl w:val="0"/>
    </w:pPr>
    <w:rPr>
      <w:rFonts w:ascii="宋体" w:cs="宋体"/>
      <w:kern w:val="44"/>
      <w:sz w:val="32"/>
      <w:szCs w:val="32"/>
    </w:rPr>
  </w:style>
  <w:style w:type="paragraph" w:styleId="4">
    <w:name w:val="heading 2"/>
    <w:basedOn w:val="1"/>
    <w:next w:val="5"/>
    <w:link w:val="38"/>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6">
    <w:name w:val="heading 3"/>
    <w:basedOn w:val="1"/>
    <w:next w:val="1"/>
    <w:link w:val="39"/>
    <w:qFormat/>
    <w:uiPriority w:val="99"/>
    <w:pPr>
      <w:spacing w:before="360" w:after="120"/>
      <w:jc w:val="left"/>
      <w:outlineLvl w:val="2"/>
    </w:pPr>
    <w:rPr>
      <w:rFonts w:ascii="宋体" w:cs="宋体"/>
      <w:b/>
      <w:bCs/>
      <w:sz w:val="24"/>
      <w:szCs w:val="24"/>
      <w:u w:val="single"/>
    </w:rPr>
  </w:style>
  <w:style w:type="paragraph" w:styleId="7">
    <w:name w:val="heading 4"/>
    <w:basedOn w:val="1"/>
    <w:next w:val="1"/>
    <w:link w:val="40"/>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8">
    <w:name w:val="heading 5"/>
    <w:basedOn w:val="1"/>
    <w:next w:val="1"/>
    <w:link w:val="41"/>
    <w:qFormat/>
    <w:uiPriority w:val="99"/>
    <w:pPr>
      <w:keepNext/>
      <w:keepLines/>
      <w:spacing w:line="372" w:lineRule="auto"/>
      <w:outlineLvl w:val="4"/>
    </w:pPr>
    <w:rPr>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47"/>
    <w:qFormat/>
    <w:uiPriority w:val="99"/>
    <w:pPr>
      <w:snapToGrid w:val="0"/>
      <w:jc w:val="left"/>
    </w:pPr>
    <w:rPr>
      <w:sz w:val="18"/>
      <w:szCs w:val="18"/>
    </w:rPr>
  </w:style>
  <w:style w:type="paragraph" w:styleId="5">
    <w:name w:val="Normal Indent"/>
    <w:basedOn w:val="1"/>
    <w:next w:val="1"/>
    <w:qFormat/>
    <w:uiPriority w:val="99"/>
    <w:pPr>
      <w:autoSpaceDE w:val="0"/>
      <w:autoSpaceDN w:val="0"/>
      <w:adjustRightInd w:val="0"/>
      <w:ind w:firstLine="420"/>
      <w:jc w:val="left"/>
    </w:pPr>
    <w:rPr>
      <w:rFonts w:ascii="宋体" w:cs="宋体"/>
      <w:kern w:val="0"/>
      <w:sz w:val="24"/>
      <w:szCs w:val="24"/>
    </w:rPr>
  </w:style>
  <w:style w:type="paragraph" w:styleId="9">
    <w:name w:val="toa heading"/>
    <w:basedOn w:val="1"/>
    <w:next w:val="1"/>
    <w:qFormat/>
    <w:uiPriority w:val="99"/>
    <w:pPr>
      <w:spacing w:before="120"/>
    </w:pPr>
    <w:rPr>
      <w:rFonts w:ascii="Cambria" w:hAnsi="Cambria" w:cs="Cambria"/>
      <w:sz w:val="24"/>
      <w:szCs w:val="24"/>
    </w:rPr>
  </w:style>
  <w:style w:type="paragraph" w:styleId="10">
    <w:name w:val="annotation text"/>
    <w:basedOn w:val="1"/>
    <w:qFormat/>
    <w:uiPriority w:val="0"/>
    <w:rPr>
      <w:sz w:val="20"/>
      <w:szCs w:val="20"/>
    </w:rPr>
  </w:style>
  <w:style w:type="paragraph" w:styleId="11">
    <w:name w:val="Body Text"/>
    <w:basedOn w:val="1"/>
    <w:link w:val="42"/>
    <w:qFormat/>
    <w:uiPriority w:val="99"/>
    <w:pPr>
      <w:tabs>
        <w:tab w:val="left" w:pos="567"/>
      </w:tabs>
      <w:spacing w:before="120" w:line="22" w:lineRule="atLeast"/>
    </w:pPr>
    <w:rPr>
      <w:rFonts w:ascii="宋体" w:hAnsi="宋体" w:cs="宋体"/>
      <w:sz w:val="24"/>
      <w:szCs w:val="24"/>
    </w:rPr>
  </w:style>
  <w:style w:type="paragraph" w:styleId="12">
    <w:name w:val="Body Text Indent"/>
    <w:basedOn w:val="1"/>
    <w:link w:val="43"/>
    <w:qFormat/>
    <w:uiPriority w:val="99"/>
    <w:pPr>
      <w:spacing w:line="360" w:lineRule="auto"/>
      <w:ind w:firstLine="570"/>
    </w:pPr>
    <w:rPr>
      <w:sz w:val="24"/>
      <w:szCs w:val="24"/>
    </w:rPr>
  </w:style>
  <w:style w:type="paragraph" w:styleId="13">
    <w:name w:val="List 2"/>
    <w:basedOn w:val="1"/>
    <w:qFormat/>
    <w:uiPriority w:val="0"/>
    <w:pPr>
      <w:ind w:left="100" w:leftChars="200" w:hanging="200" w:hangingChars="200"/>
      <w:contextualSpacing/>
    </w:pPr>
  </w:style>
  <w:style w:type="paragraph" w:styleId="14">
    <w:name w:val="toc 3"/>
    <w:basedOn w:val="1"/>
    <w:next w:val="1"/>
    <w:qFormat/>
    <w:uiPriority w:val="99"/>
    <w:pPr>
      <w:ind w:left="840" w:leftChars="400"/>
    </w:pPr>
  </w:style>
  <w:style w:type="paragraph" w:styleId="15">
    <w:name w:val="Plain Text"/>
    <w:basedOn w:val="1"/>
    <w:next w:val="16"/>
    <w:link w:val="44"/>
    <w:qFormat/>
    <w:uiPriority w:val="99"/>
    <w:rPr>
      <w:rFonts w:ascii="宋体" w:hAnsi="Courier New" w:cs="宋体"/>
    </w:rPr>
  </w:style>
  <w:style w:type="paragraph" w:styleId="16">
    <w:name w:val="index 7"/>
    <w:basedOn w:val="1"/>
    <w:next w:val="1"/>
    <w:qFormat/>
    <w:uiPriority w:val="0"/>
    <w:pPr>
      <w:ind w:left="1200" w:leftChars="1200"/>
    </w:pPr>
    <w:rPr>
      <w:szCs w:val="24"/>
    </w:rPr>
  </w:style>
  <w:style w:type="paragraph" w:styleId="17">
    <w:name w:val="Date"/>
    <w:basedOn w:val="1"/>
    <w:next w:val="1"/>
    <w:qFormat/>
    <w:uiPriority w:val="0"/>
    <w:rPr>
      <w:szCs w:val="20"/>
    </w:rPr>
  </w:style>
  <w:style w:type="paragraph" w:styleId="18">
    <w:name w:val="Body Text Indent 2"/>
    <w:basedOn w:val="1"/>
    <w:qFormat/>
    <w:uiPriority w:val="0"/>
    <w:pPr>
      <w:spacing w:line="520" w:lineRule="atLeast"/>
      <w:ind w:firstLine="420" w:firstLineChars="200"/>
    </w:pPr>
    <w:rPr>
      <w:szCs w:val="24"/>
    </w:rPr>
  </w:style>
  <w:style w:type="paragraph" w:styleId="19">
    <w:name w:val="footer"/>
    <w:basedOn w:val="1"/>
    <w:link w:val="45"/>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99"/>
  </w:style>
  <w:style w:type="paragraph" w:styleId="22">
    <w:name w:val="toc 2"/>
    <w:basedOn w:val="1"/>
    <w:next w:val="1"/>
    <w:qFormat/>
    <w:uiPriority w:val="99"/>
    <w:pPr>
      <w:ind w:left="420" w:leftChars="200"/>
    </w:p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99"/>
    <w:pPr>
      <w:spacing w:before="100" w:beforeAutospacing="1" w:after="100" w:afterAutospacing="1"/>
      <w:jc w:val="left"/>
    </w:pPr>
    <w:rPr>
      <w:rFonts w:ascii="Calibri" w:hAnsi="Calibri" w:cs="Calibri"/>
      <w:kern w:val="0"/>
      <w:sz w:val="24"/>
      <w:szCs w:val="24"/>
    </w:rPr>
  </w:style>
  <w:style w:type="paragraph" w:styleId="25">
    <w:name w:val="Title"/>
    <w:basedOn w:val="13"/>
    <w:next w:val="1"/>
    <w:qFormat/>
    <w:uiPriority w:val="10"/>
    <w:pPr>
      <w:spacing w:before="240" w:after="60"/>
      <w:jc w:val="center"/>
      <w:outlineLvl w:val="0"/>
    </w:pPr>
    <w:rPr>
      <w:rFonts w:ascii="Cambria" w:hAnsi="Cambria"/>
      <w:b/>
      <w:bCs/>
      <w:sz w:val="32"/>
      <w:szCs w:val="32"/>
    </w:rPr>
  </w:style>
  <w:style w:type="paragraph" w:styleId="26">
    <w:name w:val="Body Text First Indent"/>
    <w:basedOn w:val="11"/>
    <w:next w:val="27"/>
    <w:link w:val="48"/>
    <w:qFormat/>
    <w:uiPriority w:val="99"/>
    <w:pPr>
      <w:autoSpaceDE w:val="0"/>
      <w:autoSpaceDN w:val="0"/>
      <w:adjustRightInd w:val="0"/>
      <w:spacing w:line="312" w:lineRule="atLeast"/>
      <w:ind w:firstLine="420"/>
    </w:pPr>
    <w:rPr>
      <w:kern w:val="0"/>
    </w:rPr>
  </w:style>
  <w:style w:type="paragraph" w:styleId="27">
    <w:name w:val="Body Text First Indent 2"/>
    <w:basedOn w:val="12"/>
    <w:link w:val="49"/>
    <w:qFormat/>
    <w:uiPriority w:val="99"/>
    <w:pPr>
      <w:ind w:firstLine="420" w:firstLineChars="200"/>
    </w:p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basedOn w:val="30"/>
    <w:qFormat/>
    <w:uiPriority w:val="99"/>
    <w:rPr>
      <w:rFonts w:ascii="Times New Roman" w:hAnsi="Times New Roman" w:eastAsia="宋体" w:cs="Times New Roman"/>
    </w:rPr>
  </w:style>
  <w:style w:type="character" w:styleId="33">
    <w:name w:val="Hyperlink"/>
    <w:basedOn w:val="30"/>
    <w:qFormat/>
    <w:uiPriority w:val="99"/>
    <w:rPr>
      <w:color w:val="0000FF"/>
      <w:u w:val="single"/>
    </w:rPr>
  </w:style>
  <w:style w:type="character" w:styleId="34">
    <w:name w:val="annotation reference"/>
    <w:qFormat/>
    <w:uiPriority w:val="0"/>
    <w:rPr>
      <w:sz w:val="16"/>
      <w:szCs w:val="16"/>
    </w:rPr>
  </w:style>
  <w:style w:type="character" w:styleId="35">
    <w:name w:val="HTML Sample"/>
    <w:basedOn w:val="30"/>
    <w:semiHidden/>
    <w:unhideWhenUsed/>
    <w:qFormat/>
    <w:uiPriority w:val="99"/>
    <w:rPr>
      <w:rFonts w:ascii="Courier New" w:hAnsi="Courier New"/>
    </w:rPr>
  </w:style>
  <w:style w:type="character" w:customStyle="1" w:styleId="36">
    <w:name w:val="默认段落字体1"/>
    <w:qFormat/>
    <w:uiPriority w:val="99"/>
  </w:style>
  <w:style w:type="character" w:customStyle="1" w:styleId="37">
    <w:name w:val="标题 1 字符"/>
    <w:basedOn w:val="30"/>
    <w:link w:val="3"/>
    <w:qFormat/>
    <w:uiPriority w:val="99"/>
    <w:rPr>
      <w:rFonts w:ascii="宋体" w:hAnsi="Times New Roman" w:eastAsia="宋体" w:cs="宋体"/>
      <w:b/>
      <w:bCs/>
      <w:kern w:val="44"/>
      <w:sz w:val="20"/>
      <w:szCs w:val="20"/>
    </w:rPr>
  </w:style>
  <w:style w:type="character" w:customStyle="1" w:styleId="38">
    <w:name w:val="标题 2 字符"/>
    <w:basedOn w:val="30"/>
    <w:link w:val="4"/>
    <w:qFormat/>
    <w:uiPriority w:val="99"/>
    <w:rPr>
      <w:rFonts w:ascii="Cambria" w:hAnsi="Cambria" w:eastAsia="宋体" w:cs="Cambria"/>
      <w:b/>
      <w:bCs/>
      <w:sz w:val="32"/>
      <w:szCs w:val="32"/>
    </w:rPr>
  </w:style>
  <w:style w:type="character" w:customStyle="1" w:styleId="39">
    <w:name w:val="标题 3 字符"/>
    <w:basedOn w:val="30"/>
    <w:link w:val="6"/>
    <w:qFormat/>
    <w:uiPriority w:val="99"/>
    <w:rPr>
      <w:b/>
      <w:bCs/>
      <w:sz w:val="32"/>
      <w:szCs w:val="32"/>
    </w:rPr>
  </w:style>
  <w:style w:type="character" w:customStyle="1" w:styleId="40">
    <w:name w:val="标题 4 字符"/>
    <w:basedOn w:val="30"/>
    <w:link w:val="7"/>
    <w:qFormat/>
    <w:uiPriority w:val="99"/>
    <w:rPr>
      <w:rFonts w:ascii="Cambria" w:hAnsi="Cambria" w:eastAsia="宋体" w:cs="Cambria"/>
      <w:b/>
      <w:bCs/>
      <w:sz w:val="28"/>
      <w:szCs w:val="28"/>
    </w:rPr>
  </w:style>
  <w:style w:type="character" w:customStyle="1" w:styleId="41">
    <w:name w:val="标题 5 字符"/>
    <w:basedOn w:val="30"/>
    <w:link w:val="8"/>
    <w:qFormat/>
    <w:uiPriority w:val="99"/>
    <w:rPr>
      <w:b/>
      <w:bCs/>
      <w:sz w:val="28"/>
      <w:szCs w:val="28"/>
    </w:rPr>
  </w:style>
  <w:style w:type="character" w:customStyle="1" w:styleId="42">
    <w:name w:val="正文文本 字符"/>
    <w:basedOn w:val="30"/>
    <w:link w:val="11"/>
    <w:qFormat/>
    <w:uiPriority w:val="99"/>
    <w:rPr>
      <w:sz w:val="21"/>
      <w:szCs w:val="21"/>
    </w:rPr>
  </w:style>
  <w:style w:type="character" w:customStyle="1" w:styleId="43">
    <w:name w:val="正文文本缩进 字符"/>
    <w:basedOn w:val="30"/>
    <w:link w:val="12"/>
    <w:qFormat/>
    <w:uiPriority w:val="99"/>
    <w:rPr>
      <w:sz w:val="21"/>
      <w:szCs w:val="21"/>
    </w:rPr>
  </w:style>
  <w:style w:type="character" w:customStyle="1" w:styleId="44">
    <w:name w:val="纯文本 字符"/>
    <w:basedOn w:val="30"/>
    <w:link w:val="15"/>
    <w:qFormat/>
    <w:uiPriority w:val="99"/>
    <w:rPr>
      <w:rFonts w:ascii="宋体" w:hAnsi="Courier New" w:cs="宋体"/>
      <w:sz w:val="21"/>
      <w:szCs w:val="21"/>
    </w:rPr>
  </w:style>
  <w:style w:type="character" w:customStyle="1" w:styleId="45">
    <w:name w:val="页脚 字符"/>
    <w:basedOn w:val="30"/>
    <w:link w:val="19"/>
    <w:qFormat/>
    <w:uiPriority w:val="99"/>
    <w:rPr>
      <w:sz w:val="18"/>
      <w:szCs w:val="18"/>
    </w:rPr>
  </w:style>
  <w:style w:type="character" w:customStyle="1" w:styleId="46">
    <w:name w:val="页眉 字符"/>
    <w:basedOn w:val="30"/>
    <w:link w:val="20"/>
    <w:qFormat/>
    <w:uiPriority w:val="99"/>
    <w:rPr>
      <w:sz w:val="18"/>
      <w:szCs w:val="18"/>
    </w:rPr>
  </w:style>
  <w:style w:type="character" w:customStyle="1" w:styleId="47">
    <w:name w:val="脚注文本 字符"/>
    <w:basedOn w:val="30"/>
    <w:link w:val="2"/>
    <w:qFormat/>
    <w:uiPriority w:val="99"/>
    <w:rPr>
      <w:sz w:val="18"/>
      <w:szCs w:val="18"/>
    </w:rPr>
  </w:style>
  <w:style w:type="character" w:customStyle="1" w:styleId="48">
    <w:name w:val="正文文本首行缩进 字符"/>
    <w:basedOn w:val="42"/>
    <w:link w:val="26"/>
    <w:qFormat/>
    <w:uiPriority w:val="99"/>
    <w:rPr>
      <w:sz w:val="21"/>
      <w:szCs w:val="21"/>
    </w:rPr>
  </w:style>
  <w:style w:type="character" w:customStyle="1" w:styleId="49">
    <w:name w:val="正文文本首行缩进 2 字符"/>
    <w:basedOn w:val="43"/>
    <w:link w:val="27"/>
    <w:qFormat/>
    <w:uiPriority w:val="99"/>
    <w:rPr>
      <w:sz w:val="21"/>
      <w:szCs w:val="21"/>
    </w:rPr>
  </w:style>
  <w:style w:type="paragraph" w:customStyle="1" w:styleId="50">
    <w:name w:val="Heading2"/>
    <w:basedOn w:val="1"/>
    <w:next w:val="1"/>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51">
    <w:name w:val="Default"/>
    <w:basedOn w:val="25"/>
    <w:next w:val="3"/>
    <w:qFormat/>
    <w:uiPriority w:val="99"/>
    <w:pPr>
      <w:autoSpaceDE w:val="0"/>
      <w:autoSpaceDN w:val="0"/>
    </w:pPr>
    <w:rPr>
      <w:rFonts w:ascii="宋体" w:hAnsi="Times New Roman" w:cs="宋体"/>
      <w:color w:val="000000"/>
      <w:sz w:val="24"/>
      <w:szCs w:val="24"/>
    </w:rPr>
  </w:style>
  <w:style w:type="paragraph" w:customStyle="1" w:styleId="52">
    <w:name w:val="正文缩进1"/>
    <w:basedOn w:val="1"/>
    <w:qFormat/>
    <w:uiPriority w:val="99"/>
    <w:pPr>
      <w:autoSpaceDE w:val="0"/>
      <w:autoSpaceDN w:val="0"/>
      <w:adjustRightInd w:val="0"/>
      <w:ind w:firstLine="420"/>
      <w:jc w:val="left"/>
    </w:pPr>
    <w:rPr>
      <w:rFonts w:ascii="宋体" w:cs="宋体"/>
      <w:kern w:val="0"/>
      <w:sz w:val="24"/>
      <w:szCs w:val="24"/>
    </w:rPr>
  </w:style>
  <w:style w:type="paragraph" w:customStyle="1" w:styleId="53">
    <w:name w:val="索引 11"/>
    <w:basedOn w:val="1"/>
    <w:next w:val="1"/>
    <w:qFormat/>
    <w:uiPriority w:val="99"/>
    <w:pPr>
      <w:spacing w:line="360" w:lineRule="auto"/>
    </w:pPr>
    <w:rPr>
      <w:rFonts w:ascii="仿宋_GB2312" w:eastAsia="仿宋_GB2312" w:cs="仿宋_GB2312"/>
      <w:sz w:val="24"/>
      <w:szCs w:val="24"/>
    </w:rPr>
  </w:style>
  <w:style w:type="paragraph" w:customStyle="1" w:styleId="54">
    <w:name w:val="纯文本1"/>
    <w:basedOn w:val="1"/>
    <w:qFormat/>
    <w:uiPriority w:val="99"/>
    <w:rPr>
      <w:rFonts w:ascii="宋体" w:hAnsi="Courier New" w:cs="宋体"/>
      <w:kern w:val="0"/>
      <w:sz w:val="20"/>
      <w:szCs w:val="20"/>
    </w:rPr>
  </w:style>
  <w:style w:type="character" w:customStyle="1" w:styleId="55">
    <w:name w:val="NormalCharacter"/>
    <w:qFormat/>
    <w:uiPriority w:val="99"/>
    <w:rPr>
      <w:rFonts w:ascii="Times New Roman" w:hAnsi="Times New Roman" w:eastAsia="宋体" w:cs="Times New Roman"/>
      <w:kern w:val="2"/>
      <w:sz w:val="21"/>
      <w:szCs w:val="21"/>
      <w:lang w:val="en-US" w:eastAsia="zh-CN" w:bidi="ar-SA"/>
    </w:rPr>
  </w:style>
  <w:style w:type="paragraph" w:customStyle="1" w:styleId="56">
    <w:name w:val="UserStyle_44"/>
    <w:basedOn w:val="1"/>
    <w:qFormat/>
    <w:uiPriority w:val="99"/>
    <w:pPr>
      <w:spacing w:before="120" w:after="120" w:line="360" w:lineRule="auto"/>
      <w:jc w:val="center"/>
    </w:pPr>
    <w:rPr>
      <w:rFonts w:eastAsia="仿宋_GB2312"/>
      <w:b/>
      <w:bCs/>
      <w:sz w:val="24"/>
      <w:szCs w:val="24"/>
    </w:rPr>
  </w:style>
  <w:style w:type="paragraph" w:customStyle="1" w:styleId="57">
    <w:name w:val="NormalIndent"/>
    <w:basedOn w:val="1"/>
    <w:qFormat/>
    <w:uiPriority w:val="99"/>
    <w:pPr>
      <w:ind w:firstLine="420"/>
      <w:jc w:val="left"/>
    </w:pPr>
    <w:rPr>
      <w:rFonts w:ascii="宋体" w:cs="宋体"/>
      <w:kern w:val="0"/>
      <w:sz w:val="24"/>
      <w:szCs w:val="24"/>
    </w:rPr>
  </w:style>
  <w:style w:type="paragraph" w:customStyle="1" w:styleId="58">
    <w:name w:val="图例"/>
    <w:basedOn w:val="1"/>
    <w:qFormat/>
    <w:uiPriority w:val="99"/>
    <w:pPr>
      <w:spacing w:before="120" w:after="120" w:line="360" w:lineRule="auto"/>
      <w:jc w:val="center"/>
    </w:pPr>
    <w:rPr>
      <w:rFonts w:eastAsia="仿宋_GB2312"/>
      <w:b/>
      <w:bCs/>
      <w:sz w:val="24"/>
      <w:szCs w:val="24"/>
    </w:rPr>
  </w:style>
  <w:style w:type="character" w:customStyle="1" w:styleId="59">
    <w:name w:val="font11"/>
    <w:basedOn w:val="30"/>
    <w:qFormat/>
    <w:uiPriority w:val="99"/>
    <w:rPr>
      <w:rFonts w:ascii="宋体" w:hAnsi="宋体" w:eastAsia="宋体" w:cs="宋体"/>
      <w:color w:val="FF0000"/>
      <w:sz w:val="16"/>
      <w:szCs w:val="16"/>
      <w:u w:val="none"/>
    </w:rPr>
  </w:style>
  <w:style w:type="character" w:customStyle="1" w:styleId="60">
    <w:name w:val="font21"/>
    <w:basedOn w:val="30"/>
    <w:qFormat/>
    <w:uiPriority w:val="99"/>
    <w:rPr>
      <w:rFonts w:ascii="宋体" w:hAnsi="宋体" w:eastAsia="宋体" w:cs="宋体"/>
      <w:color w:val="000000"/>
      <w:sz w:val="16"/>
      <w:szCs w:val="16"/>
      <w:u w:val="none"/>
    </w:rPr>
  </w:style>
  <w:style w:type="character" w:customStyle="1" w:styleId="61">
    <w:name w:val="style23"/>
    <w:basedOn w:val="30"/>
    <w:qFormat/>
    <w:uiPriority w:val="99"/>
  </w:style>
  <w:style w:type="paragraph" w:customStyle="1" w:styleId="62">
    <w:name w:val="表格文字"/>
    <w:basedOn w:val="1"/>
    <w:qFormat/>
    <w:uiPriority w:val="99"/>
    <w:pPr>
      <w:spacing w:before="25" w:after="25"/>
      <w:jc w:val="left"/>
    </w:pPr>
    <w:rPr>
      <w:spacing w:val="10"/>
      <w:kern w:val="0"/>
      <w:sz w:val="24"/>
      <w:szCs w:val="24"/>
    </w:rPr>
  </w:style>
  <w:style w:type="paragraph" w:styleId="63">
    <w:name w:val="List Paragraph"/>
    <w:basedOn w:val="1"/>
    <w:qFormat/>
    <w:uiPriority w:val="99"/>
    <w:pPr>
      <w:ind w:firstLine="420" w:firstLineChars="200"/>
    </w:pPr>
  </w:style>
  <w:style w:type="character" w:customStyle="1" w:styleId="64">
    <w:name w:val="font01"/>
    <w:basedOn w:val="30"/>
    <w:qFormat/>
    <w:uiPriority w:val="99"/>
    <w:rPr>
      <w:rFonts w:ascii="宋体" w:hAnsi="宋体" w:eastAsia="宋体" w:cs="宋体"/>
      <w:color w:val="000000"/>
      <w:sz w:val="22"/>
      <w:szCs w:val="22"/>
      <w:u w:val="none"/>
    </w:rPr>
  </w:style>
  <w:style w:type="character" w:customStyle="1" w:styleId="65">
    <w:name w:val="font71"/>
    <w:basedOn w:val="30"/>
    <w:qFormat/>
    <w:uiPriority w:val="99"/>
    <w:rPr>
      <w:rFonts w:ascii="Arial" w:hAnsi="Arial" w:cs="Arial"/>
      <w:color w:val="000000"/>
      <w:sz w:val="22"/>
      <w:szCs w:val="22"/>
      <w:u w:val="none"/>
    </w:rPr>
  </w:style>
  <w:style w:type="character" w:customStyle="1" w:styleId="66">
    <w:name w:val="font81"/>
    <w:basedOn w:val="30"/>
    <w:qFormat/>
    <w:uiPriority w:val="99"/>
    <w:rPr>
      <w:rFonts w:ascii="Calibri" w:hAnsi="Calibri" w:cs="Calibri"/>
      <w:color w:val="000000"/>
      <w:sz w:val="22"/>
      <w:szCs w:val="22"/>
      <w:u w:val="none"/>
    </w:rPr>
  </w:style>
  <w:style w:type="character" w:customStyle="1" w:styleId="67">
    <w:name w:val="font91"/>
    <w:basedOn w:val="30"/>
    <w:qFormat/>
    <w:uiPriority w:val="99"/>
    <w:rPr>
      <w:rFonts w:ascii="宋体" w:hAnsi="宋体" w:eastAsia="宋体" w:cs="宋体"/>
      <w:color w:val="FF0000"/>
      <w:sz w:val="22"/>
      <w:szCs w:val="22"/>
      <w:u w:val="none"/>
    </w:rPr>
  </w:style>
  <w:style w:type="paragraph" w:customStyle="1" w:styleId="68">
    <w:name w:val="样式 首行缩进:  2 字符"/>
    <w:basedOn w:val="1"/>
    <w:qFormat/>
    <w:uiPriority w:val="99"/>
    <w:pPr>
      <w:spacing w:line="360" w:lineRule="auto"/>
      <w:ind w:firstLine="480" w:firstLineChars="200"/>
      <w:jc w:val="left"/>
    </w:pPr>
    <w:rPr>
      <w:rFonts w:ascii="宋体" w:hAnsi="宋体" w:cs="宋体"/>
      <w:color w:val="000000"/>
      <w:sz w:val="24"/>
      <w:szCs w:val="24"/>
    </w:rPr>
  </w:style>
  <w:style w:type="table" w:customStyle="1" w:styleId="69">
    <w:name w:val="Table Normal1"/>
    <w:qFormat/>
    <w:uiPriority w:val="99"/>
    <w:tblPr>
      <w:tblCellMar>
        <w:top w:w="0" w:type="dxa"/>
        <w:left w:w="0" w:type="dxa"/>
        <w:bottom w:w="0" w:type="dxa"/>
        <w:right w:w="0" w:type="dxa"/>
      </w:tblCellMar>
    </w:tblPr>
  </w:style>
  <w:style w:type="character" w:customStyle="1" w:styleId="70">
    <w:name w:val="font31"/>
    <w:basedOn w:val="30"/>
    <w:qFormat/>
    <w:uiPriority w:val="99"/>
    <w:rPr>
      <w:rFonts w:ascii="宋体" w:hAnsi="宋体" w:eastAsia="宋体" w:cs="宋体"/>
      <w:color w:val="000000"/>
      <w:sz w:val="22"/>
      <w:szCs w:val="22"/>
      <w:u w:val="none"/>
    </w:rPr>
  </w:style>
  <w:style w:type="character" w:customStyle="1" w:styleId="71">
    <w:name w:val="font101"/>
    <w:basedOn w:val="30"/>
    <w:qFormat/>
    <w:uiPriority w:val="99"/>
    <w:rPr>
      <w:rFonts w:ascii="Calibri" w:hAnsi="Calibri" w:cs="Calibri"/>
      <w:color w:val="000000"/>
      <w:sz w:val="22"/>
      <w:szCs w:val="22"/>
      <w:u w:val="none"/>
    </w:rPr>
  </w:style>
  <w:style w:type="character" w:customStyle="1" w:styleId="72">
    <w:name w:val="font41"/>
    <w:basedOn w:val="30"/>
    <w:qFormat/>
    <w:uiPriority w:val="99"/>
    <w:rPr>
      <w:rFonts w:ascii="宋体" w:hAnsi="宋体" w:eastAsia="宋体" w:cs="宋体"/>
      <w:color w:val="000000"/>
      <w:sz w:val="22"/>
      <w:szCs w:val="22"/>
      <w:u w:val="none"/>
    </w:rPr>
  </w:style>
  <w:style w:type="character" w:customStyle="1" w:styleId="73">
    <w:name w:val="font51"/>
    <w:basedOn w:val="30"/>
    <w:qFormat/>
    <w:uiPriority w:val="99"/>
    <w:rPr>
      <w:rFonts w:ascii="宋体" w:hAnsi="宋体" w:eastAsia="宋体" w:cs="宋体"/>
      <w:color w:val="000000"/>
      <w:sz w:val="22"/>
      <w:szCs w:val="22"/>
      <w:u w:val="none"/>
    </w:rPr>
  </w:style>
  <w:style w:type="character" w:customStyle="1" w:styleId="74">
    <w:name w:val="font61"/>
    <w:basedOn w:val="30"/>
    <w:qFormat/>
    <w:uiPriority w:val="99"/>
    <w:rPr>
      <w:rFonts w:ascii="宋体" w:hAnsi="宋体" w:eastAsia="宋体" w:cs="宋体"/>
      <w:color w:val="000000"/>
      <w:sz w:val="22"/>
      <w:szCs w:val="22"/>
      <w:u w:val="none"/>
      <w:vertAlign w:val="superscript"/>
    </w:rPr>
  </w:style>
  <w:style w:type="paragraph" w:customStyle="1" w:styleId="75">
    <w:name w:val="列出段落1"/>
    <w:basedOn w:val="1"/>
    <w:qFormat/>
    <w:uiPriority w:val="99"/>
    <w:pPr>
      <w:ind w:firstLine="420" w:firstLineChars="200"/>
    </w:pPr>
  </w:style>
  <w:style w:type="paragraph" w:customStyle="1" w:styleId="76">
    <w:name w:val="正文1"/>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77">
    <w:name w:val="正文文本 21"/>
    <w:basedOn w:val="76"/>
    <w:qFormat/>
    <w:uiPriority w:val="0"/>
    <w:rPr>
      <w:rFonts w:ascii="SimSun;宋体" w:hAnsi="SimSun;宋体"/>
      <w:color w:val="000000"/>
      <w:sz w:val="28"/>
    </w:rPr>
  </w:style>
  <w:style w:type="paragraph" w:customStyle="1" w:styleId="78">
    <w:name w:val="列出段落11"/>
    <w:basedOn w:val="1"/>
    <w:next w:val="75"/>
    <w:qFormat/>
    <w:uiPriority w:val="34"/>
    <w:pPr>
      <w:ind w:firstLine="420" w:firstLineChars="200"/>
    </w:pPr>
  </w:style>
  <w:style w:type="character" w:customStyle="1" w:styleId="79">
    <w:name w:val="明显参考1"/>
    <w:basedOn w:val="30"/>
    <w:qFormat/>
    <w:uiPriority w:val="32"/>
    <w:rPr>
      <w:b/>
      <w:bCs/>
      <w:smallCaps/>
      <w:color w:val="C0504D"/>
      <w:spacing w:val="5"/>
      <w:u w:val="single"/>
    </w:rPr>
  </w:style>
  <w:style w:type="paragraph" w:customStyle="1" w:styleId="80">
    <w:name w:val="列表段落1"/>
    <w:basedOn w:val="1"/>
    <w:qFormat/>
    <w:uiPriority w:val="34"/>
    <w:pPr>
      <w:ind w:firstLine="420" w:firstLineChars="200"/>
    </w:pPr>
  </w:style>
  <w:style w:type="paragraph" w:customStyle="1" w:styleId="81">
    <w:name w:val="_Style 5"/>
    <w:basedOn w:val="1"/>
    <w:next w:val="63"/>
    <w:qFormat/>
    <w:uiPriority w:val="34"/>
    <w:pPr>
      <w:ind w:firstLine="420" w:firstLineChars="200"/>
    </w:pPr>
  </w:style>
  <w:style w:type="paragraph" w:customStyle="1" w:styleId="82">
    <w:name w:val="List Paragraph1"/>
    <w:basedOn w:val="1"/>
    <w:qFormat/>
    <w:uiPriority w:val="0"/>
    <w:pPr>
      <w:ind w:firstLine="420" w:firstLineChars="200"/>
    </w:pPr>
  </w:style>
  <w:style w:type="paragraph" w:customStyle="1" w:styleId="83">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84">
    <w:name w:val="No Spacing"/>
    <w:qFormat/>
    <w:uiPriority w:val="1"/>
    <w:rPr>
      <w:rFonts w:asciiTheme="minorHAnsi" w:hAnsiTheme="minorHAnsi" w:eastAsiaTheme="minorEastAsia" w:cstheme="minorBidi"/>
      <w:sz w:val="22"/>
      <w:szCs w:val="22"/>
      <w:lang w:val="en-US" w:eastAsia="zh-CN" w:bidi="ar-SA"/>
    </w:rPr>
  </w:style>
  <w:style w:type="character" w:customStyle="1" w:styleId="85">
    <w:name w:val="Anrede1IhrZeichen"/>
    <w:qFormat/>
    <w:uiPriority w:val="0"/>
    <w:rPr>
      <w:rFonts w:ascii="Arial" w:hAnsi="Arial"/>
      <w:sz w:val="20"/>
    </w:rPr>
  </w:style>
  <w:style w:type="paragraph" w:customStyle="1" w:styleId="86">
    <w:name w:val="样式1"/>
    <w:basedOn w:val="4"/>
    <w:qFormat/>
    <w:uiPriority w:val="0"/>
    <w:pPr>
      <w:spacing w:before="100" w:beforeAutospacing="1" w:after="100" w:afterAutospacing="1"/>
      <w:ind w:left="1710" w:right="100" w:rightChars="100"/>
    </w:pPr>
    <w:rPr>
      <w:sz w:val="21"/>
    </w:rPr>
  </w:style>
  <w:style w:type="paragraph" w:customStyle="1" w:styleId="87">
    <w:name w:val="_Style 1"/>
    <w:basedOn w:val="1"/>
    <w:qFormat/>
    <w:uiPriority w:val="99"/>
    <w:pPr>
      <w:ind w:firstLine="420" w:firstLineChars="200"/>
    </w:pPr>
  </w:style>
  <w:style w:type="paragraph" w:customStyle="1" w:styleId="88">
    <w:name w:val="Style1"/>
    <w:basedOn w:val="1"/>
    <w:qFormat/>
    <w:uiPriority w:val="0"/>
    <w:pPr>
      <w:widowControl/>
      <w:tabs>
        <w:tab w:val="left" w:pos="-720"/>
      </w:tabs>
      <w:spacing w:after="120"/>
    </w:pPr>
    <w:rPr>
      <w:spacing w:val="-3"/>
      <w:kern w:val="0"/>
      <w:sz w:val="24"/>
      <w:szCs w:val="20"/>
      <w:lang w:val="en-AU" w:eastAsia="en-US"/>
    </w:rPr>
  </w:style>
  <w:style w:type="paragraph" w:customStyle="1" w:styleId="89">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90">
    <w:name w:val="Body text|1"/>
    <w:basedOn w:val="1"/>
    <w:qFormat/>
    <w:uiPriority w:val="0"/>
    <w:pPr>
      <w:spacing w:line="276" w:lineRule="auto"/>
    </w:pPr>
    <w:rPr>
      <w:sz w:val="19"/>
      <w:szCs w:val="19"/>
    </w:rPr>
  </w:style>
  <w:style w:type="paragraph" w:customStyle="1" w:styleId="91">
    <w:name w:val="Body text|2"/>
    <w:basedOn w:val="1"/>
    <w:qFormat/>
    <w:uiPriority w:val="0"/>
    <w:pPr>
      <w:spacing w:line="314" w:lineRule="exact"/>
    </w:pPr>
    <w:rPr>
      <w:rFonts w:ascii="宋体" w:hAnsi="宋体" w:cs="宋体"/>
      <w:sz w:val="20"/>
      <w:szCs w:val="20"/>
      <w:lang w:val="zh-TW" w:eastAsia="zh-TW" w:bidi="zh-TW"/>
    </w:rPr>
  </w:style>
  <w:style w:type="paragraph" w:customStyle="1" w:styleId="92">
    <w:name w:val="Table Text"/>
    <w:basedOn w:val="1"/>
    <w:semiHidden/>
    <w:qFormat/>
    <w:uiPriority w:val="0"/>
    <w:rPr>
      <w:rFonts w:ascii="仿宋" w:hAnsi="仿宋" w:eastAsia="仿宋" w:cs="仿宋"/>
      <w:sz w:val="24"/>
      <w:szCs w:val="24"/>
      <w:lang w:eastAsia="en-US"/>
    </w:rPr>
  </w:style>
  <w:style w:type="table" w:customStyle="1" w:styleId="9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05E3D-918F-4BBA-8E55-002CC68EA9D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110</Pages>
  <Words>12861</Words>
  <Characters>73313</Characters>
  <Lines>610</Lines>
  <Paragraphs>172</Paragraphs>
  <TotalTime>44</TotalTime>
  <ScaleCrop>false</ScaleCrop>
  <LinksUpToDate>false</LinksUpToDate>
  <CharactersWithSpaces>86002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0℃</cp:lastModifiedBy>
  <cp:lastPrinted>2023-09-08T04:56:00Z</cp:lastPrinted>
  <dcterms:modified xsi:type="dcterms:W3CDTF">2023-10-13T04:14:21Z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0A1524B602BA4440AF171780253649DC_13</vt:lpwstr>
  </property>
</Properties>
</file>