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B14E">
      <w:pPr>
        <w:spacing w:line="300" w:lineRule="auto"/>
        <w:rPr>
          <w:rFonts w:hint="eastAsia" w:ascii="宋体" w:hAnsi="宋体" w:eastAsia="宋体" w:cs="宋体"/>
          <w:b/>
          <w:color w:val="000000" w:themeColor="text1"/>
          <w:sz w:val="48"/>
          <w:szCs w:val="48"/>
          <w:highlight w:val="none"/>
          <w14:textFill>
            <w14:solidFill>
              <w14:schemeClr w14:val="tx1"/>
            </w14:solidFill>
          </w14:textFill>
        </w:rPr>
      </w:pPr>
    </w:p>
    <w:p w14:paraId="28C9D5C2">
      <w:pPr>
        <w:pStyle w:val="10"/>
        <w:spacing w:line="300" w:lineRule="auto"/>
        <w:rPr>
          <w:rFonts w:hint="eastAsia" w:ascii="宋体" w:hAnsi="宋体" w:eastAsia="宋体" w:cs="宋体"/>
          <w:color w:val="000000" w:themeColor="text1"/>
          <w:highlight w:val="none"/>
          <w14:textFill>
            <w14:solidFill>
              <w14:schemeClr w14:val="tx1"/>
            </w14:solidFill>
          </w14:textFill>
        </w:rPr>
      </w:pPr>
    </w:p>
    <w:p w14:paraId="26026FF7">
      <w:pPr>
        <w:spacing w:line="300" w:lineRule="auto"/>
        <w:rPr>
          <w:rFonts w:hint="eastAsia" w:ascii="宋体" w:hAnsi="宋体" w:eastAsia="宋体" w:cs="宋体"/>
          <w:b/>
          <w:color w:val="000000" w:themeColor="text1"/>
          <w:sz w:val="48"/>
          <w:szCs w:val="48"/>
          <w:highlight w:val="none"/>
          <w14:textFill>
            <w14:solidFill>
              <w14:schemeClr w14:val="tx1"/>
            </w14:solidFill>
          </w14:textFill>
        </w:rPr>
      </w:pPr>
    </w:p>
    <w:p w14:paraId="34784892">
      <w:pPr>
        <w:rPr>
          <w:rFonts w:hint="eastAsia" w:ascii="宋体" w:hAnsi="宋体" w:eastAsia="宋体" w:cs="宋体"/>
          <w:color w:val="000000" w:themeColor="text1"/>
          <w:highlight w:val="none"/>
          <w14:textFill>
            <w14:solidFill>
              <w14:schemeClr w14:val="tx1"/>
            </w14:solidFill>
          </w14:textFill>
        </w:rPr>
      </w:pPr>
    </w:p>
    <w:p w14:paraId="7307A37B">
      <w:pPr>
        <w:spacing w:line="300" w:lineRule="auto"/>
        <w:jc w:val="center"/>
        <w:rPr>
          <w:rFonts w:hint="eastAsia" w:ascii="宋体" w:hAnsi="宋体" w:eastAsia="宋体" w:cs="宋体"/>
          <w:b/>
          <w:color w:val="000000" w:themeColor="text1"/>
          <w:sz w:val="52"/>
          <w:szCs w:val="40"/>
          <w:highlight w:val="none"/>
          <w:lang w:eastAsia="zh-CN"/>
          <w14:textFill>
            <w14:solidFill>
              <w14:schemeClr w14:val="tx1"/>
            </w14:solidFill>
          </w14:textFill>
        </w:rPr>
      </w:pPr>
      <w:bookmarkStart w:id="0" w:name="OLE_LINK7"/>
      <w:r>
        <w:rPr>
          <w:rFonts w:hint="eastAsia" w:ascii="宋体" w:hAnsi="宋体" w:eastAsia="宋体" w:cs="宋体"/>
          <w:b/>
          <w:color w:val="000000" w:themeColor="text1"/>
          <w:sz w:val="52"/>
          <w:szCs w:val="40"/>
          <w:highlight w:val="none"/>
          <w:lang w:eastAsia="zh-CN"/>
          <w14:textFill>
            <w14:solidFill>
              <w14:schemeClr w14:val="tx1"/>
            </w14:solidFill>
          </w14:textFill>
        </w:rPr>
        <w:t>乌鲁木齐市米东区中医医院智慧中医医院示范标杆建设项目(第四包)</w:t>
      </w:r>
    </w:p>
    <w:bookmarkEnd w:id="0"/>
    <w:p w14:paraId="4CCE5D92">
      <w:pPr>
        <w:pStyle w:val="22"/>
        <w:rPr>
          <w:rFonts w:hint="eastAsia" w:ascii="宋体" w:hAnsi="宋体" w:eastAsia="宋体" w:cs="宋体"/>
          <w:color w:val="000000" w:themeColor="text1"/>
          <w:highlight w:val="none"/>
          <w14:textFill>
            <w14:solidFill>
              <w14:schemeClr w14:val="tx1"/>
            </w14:solidFill>
          </w14:textFill>
        </w:rPr>
      </w:pPr>
    </w:p>
    <w:p w14:paraId="2660947E">
      <w:pPr>
        <w:pStyle w:val="22"/>
        <w:rPr>
          <w:rFonts w:hint="eastAsia" w:ascii="宋体" w:hAnsi="宋体" w:eastAsia="宋体" w:cs="宋体"/>
          <w:color w:val="000000" w:themeColor="text1"/>
          <w:highlight w:val="none"/>
          <w14:textFill>
            <w14:solidFill>
              <w14:schemeClr w14:val="tx1"/>
            </w14:solidFill>
          </w14:textFill>
        </w:rPr>
      </w:pPr>
    </w:p>
    <w:p w14:paraId="65BC135D">
      <w:pPr>
        <w:pStyle w:val="10"/>
        <w:spacing w:line="300" w:lineRule="auto"/>
        <w:ind w:firstLine="0"/>
        <w:rPr>
          <w:rFonts w:hint="eastAsia" w:ascii="宋体" w:hAnsi="宋体" w:eastAsia="宋体" w:cs="宋体"/>
          <w:color w:val="000000" w:themeColor="text1"/>
          <w:highlight w:val="none"/>
          <w14:textFill>
            <w14:solidFill>
              <w14:schemeClr w14:val="tx1"/>
            </w14:solidFill>
          </w14:textFill>
        </w:rPr>
      </w:pPr>
    </w:p>
    <w:p w14:paraId="29C8A881">
      <w:pPr>
        <w:spacing w:before="156" w:beforeLines="50" w:after="156" w:afterLines="50" w:line="72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公开招标文件</w:t>
      </w:r>
    </w:p>
    <w:p w14:paraId="5C1484AC">
      <w:pPr>
        <w:spacing w:line="300" w:lineRule="auto"/>
        <w:jc w:val="center"/>
        <w:rPr>
          <w:rFonts w:hint="eastAsia" w:ascii="宋体" w:hAnsi="宋体" w:eastAsia="宋体" w:cs="宋体"/>
          <w:b/>
          <w:color w:val="000000" w:themeColor="text1"/>
          <w:sz w:val="40"/>
          <w:szCs w:val="40"/>
          <w:highlight w:val="none"/>
          <w14:textFill>
            <w14:solidFill>
              <w14:schemeClr w14:val="tx1"/>
            </w14:solidFill>
          </w14:textFill>
        </w:rPr>
      </w:pPr>
    </w:p>
    <w:p w14:paraId="489C76FC">
      <w:pPr>
        <w:spacing w:line="300" w:lineRule="auto"/>
        <w:jc w:val="center"/>
        <w:rPr>
          <w:rFonts w:hint="eastAsia" w:ascii="宋体" w:hAnsi="宋体" w:eastAsia="宋体" w:cs="宋体"/>
          <w:b/>
          <w:color w:val="000000" w:themeColor="text1"/>
          <w:sz w:val="40"/>
          <w:szCs w:val="40"/>
          <w:highlight w:val="none"/>
          <w:lang w:eastAsia="zh-CN"/>
          <w14:textFill>
            <w14:solidFill>
              <w14:schemeClr w14:val="tx1"/>
            </w14:solidFill>
          </w14:textFill>
        </w:rPr>
      </w:pPr>
      <w:r>
        <w:rPr>
          <w:rFonts w:hint="eastAsia" w:ascii="宋体" w:hAnsi="宋体" w:eastAsia="宋体" w:cs="宋体"/>
          <w:b/>
          <w:color w:val="000000" w:themeColor="text1"/>
          <w:sz w:val="40"/>
          <w:szCs w:val="40"/>
          <w:highlight w:val="none"/>
          <w:lang w:eastAsia="zh-CN"/>
          <w14:textFill>
            <w14:solidFill>
              <w14:schemeClr w14:val="tx1"/>
            </w14:solidFill>
          </w14:textFill>
        </w:rPr>
        <w:t>项目编号</w:t>
      </w:r>
      <w:r>
        <w:rPr>
          <w:rFonts w:hint="eastAsia" w:ascii="宋体" w:hAnsi="宋体" w:eastAsia="宋体" w:cs="宋体"/>
          <w:b/>
          <w:color w:val="000000" w:themeColor="text1"/>
          <w:sz w:val="40"/>
          <w:szCs w:val="40"/>
          <w:highlight w:val="none"/>
          <w14:textFill>
            <w14:solidFill>
              <w14:schemeClr w14:val="tx1"/>
            </w14:solidFill>
          </w14:textFill>
        </w:rPr>
        <w:t>：</w:t>
      </w:r>
      <w:bookmarkStart w:id="1" w:name="OLE_LINK1"/>
      <w:r>
        <w:rPr>
          <w:rFonts w:hint="eastAsia" w:ascii="宋体" w:hAnsi="宋体" w:eastAsia="宋体" w:cs="宋体"/>
          <w:b/>
          <w:color w:val="000000" w:themeColor="text1"/>
          <w:sz w:val="40"/>
          <w:szCs w:val="40"/>
          <w:highlight w:val="none"/>
          <w14:textFill>
            <w14:solidFill>
              <w14:schemeClr w14:val="tx1"/>
            </w14:solidFill>
          </w14:textFill>
        </w:rPr>
        <w:t>2024(JKJ)293</w:t>
      </w:r>
    </w:p>
    <w:bookmarkEnd w:id="1"/>
    <w:p w14:paraId="3E6BFD4C">
      <w:pPr>
        <w:pStyle w:val="54"/>
        <w:spacing w:line="30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p>
    <w:p w14:paraId="29D1ABF4">
      <w:pPr>
        <w:pStyle w:val="54"/>
        <w:spacing w:line="30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p>
    <w:p w14:paraId="72B5DE64">
      <w:pPr>
        <w:pStyle w:val="54"/>
        <w:spacing w:line="300" w:lineRule="auto"/>
        <w:jc w:val="both"/>
        <w:rPr>
          <w:rFonts w:hint="eastAsia" w:ascii="宋体" w:hAnsi="宋体" w:eastAsia="宋体" w:cs="宋体"/>
          <w:b/>
          <w:color w:val="000000" w:themeColor="text1"/>
          <w:kern w:val="2"/>
          <w:sz w:val="32"/>
          <w:szCs w:val="32"/>
          <w:highlight w:val="none"/>
          <w14:textFill>
            <w14:solidFill>
              <w14:schemeClr w14:val="tx1"/>
            </w14:solidFill>
          </w14:textFill>
        </w:rPr>
      </w:pPr>
    </w:p>
    <w:p w14:paraId="32BAA48C">
      <w:pPr>
        <w:pStyle w:val="54"/>
        <w:spacing w:line="30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p>
    <w:p w14:paraId="15687B5E">
      <w:pPr>
        <w:pStyle w:val="54"/>
        <w:spacing w:line="300" w:lineRule="auto"/>
        <w:jc w:val="both"/>
        <w:rPr>
          <w:rFonts w:hint="eastAsia" w:ascii="宋体" w:hAnsi="宋体" w:eastAsia="宋体" w:cs="宋体"/>
          <w:b/>
          <w:color w:val="000000" w:themeColor="text1"/>
          <w:kern w:val="2"/>
          <w:sz w:val="32"/>
          <w:szCs w:val="32"/>
          <w:highlight w:val="none"/>
          <w14:textFill>
            <w14:solidFill>
              <w14:schemeClr w14:val="tx1"/>
            </w14:solidFill>
          </w14:textFill>
        </w:rPr>
      </w:pPr>
    </w:p>
    <w:p w14:paraId="5AB8EB3D">
      <w:pPr>
        <w:spacing w:line="30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w:t>
      </w:r>
      <w:r>
        <w:rPr>
          <w:rFonts w:hint="eastAsia" w:ascii="宋体" w:hAnsi="宋体" w:eastAsia="宋体" w:cs="宋体"/>
          <w:b/>
          <w:color w:val="auto"/>
          <w:sz w:val="28"/>
          <w:szCs w:val="28"/>
          <w:highlight w:val="none"/>
        </w:rPr>
        <w:t>人：</w:t>
      </w:r>
      <w:r>
        <w:rPr>
          <w:rFonts w:hint="eastAsia" w:ascii="宋体" w:hAnsi="宋体" w:eastAsia="宋体" w:cs="宋体"/>
          <w:b/>
          <w:color w:val="000000" w:themeColor="text1"/>
          <w:sz w:val="28"/>
          <w:szCs w:val="28"/>
          <w:highlight w:val="none"/>
          <w14:textFill>
            <w14:solidFill>
              <w14:schemeClr w14:val="tx1"/>
            </w14:solidFill>
          </w14:textFill>
        </w:rPr>
        <w:t>乌鲁木齐市米东区中医医院（盖章）</w:t>
      </w:r>
    </w:p>
    <w:p w14:paraId="22674147">
      <w:pPr>
        <w:spacing w:line="30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2BB6C374">
      <w:pPr>
        <w:spacing w:line="30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招标代理机构：新疆君凯杰工程项目管理有限公司</w:t>
      </w:r>
      <w:r>
        <w:rPr>
          <w:rFonts w:hint="eastAsia" w:ascii="宋体" w:hAnsi="宋体" w:eastAsia="宋体" w:cs="宋体"/>
          <w:b/>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（盖章）</w:t>
      </w:r>
    </w:p>
    <w:p w14:paraId="0A28B87D">
      <w:pPr>
        <w:pStyle w:val="21"/>
        <w:spacing w:line="300" w:lineRule="auto"/>
        <w:rPr>
          <w:rFonts w:hint="eastAsia" w:ascii="宋体" w:hAnsi="宋体" w:eastAsia="宋体" w:cs="宋体"/>
          <w:color w:val="000000" w:themeColor="text1"/>
          <w:sz w:val="32"/>
          <w:szCs w:val="32"/>
          <w:highlight w:val="none"/>
          <w14:textFill>
            <w14:solidFill>
              <w14:schemeClr w14:val="tx1"/>
            </w14:solidFill>
          </w14:textFill>
        </w:rPr>
      </w:pPr>
    </w:p>
    <w:p w14:paraId="67CF2EA0">
      <w:pPr>
        <w:pStyle w:val="21"/>
        <w:spacing w:line="30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二〇二四年</w:t>
      </w:r>
      <w:r>
        <w:rPr>
          <w:rFonts w:hint="eastAsia" w:ascii="宋体" w:hAnsi="宋体" w:eastAsia="宋体" w:cs="宋体"/>
          <w:color w:val="000000" w:themeColor="text1"/>
          <w:sz w:val="32"/>
          <w:szCs w:val="32"/>
          <w:highlight w:val="none"/>
          <w:lang w:val="en-US" w:eastAsia="zh-CN"/>
          <w14:textFill>
            <w14:solidFill>
              <w14:schemeClr w14:val="tx1"/>
            </w14:solidFill>
          </w14:textFill>
        </w:rPr>
        <w:t>十</w:t>
      </w:r>
      <w:r>
        <w:rPr>
          <w:rFonts w:hint="eastAsia" w:ascii="宋体" w:hAnsi="宋体" w:eastAsia="宋体" w:cs="宋体"/>
          <w:color w:val="000000" w:themeColor="text1"/>
          <w:sz w:val="32"/>
          <w:szCs w:val="32"/>
          <w:highlight w:val="none"/>
          <w14:textFill>
            <w14:solidFill>
              <w14:schemeClr w14:val="tx1"/>
            </w14:solidFill>
          </w14:textFill>
        </w:rPr>
        <w:t>月</w:t>
      </w:r>
    </w:p>
    <w:p w14:paraId="14437254">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目录</w:t>
      </w:r>
    </w:p>
    <w:sdt>
      <w:sdtPr>
        <w:rPr>
          <w:rFonts w:hint="eastAsia" w:ascii="宋体" w:hAnsi="宋体" w:eastAsia="宋体" w:cs="宋体"/>
          <w:bCs/>
          <w:color w:val="auto"/>
          <w:spacing w:val="10"/>
          <w:highlight w:val="none"/>
        </w:rPr>
        <w:id w:val="147451175"/>
        <w15:color w:val="DBDBDB"/>
        <w:docPartObj>
          <w:docPartGallery w:val="Table of Contents"/>
          <w:docPartUnique/>
        </w:docPartObj>
      </w:sdtPr>
      <w:sdtEndPr>
        <w:rPr>
          <w:rFonts w:hint="eastAsia" w:ascii="宋体" w:hAnsi="宋体" w:eastAsia="宋体" w:cs="宋体"/>
          <w:bCs/>
          <w:color w:val="auto"/>
          <w:spacing w:val="10"/>
          <w:kern w:val="0"/>
          <w:sz w:val="24"/>
          <w:highlight w:val="none"/>
        </w:rPr>
      </w:sdtEndPr>
      <w:sdtContent>
        <w:p w14:paraId="5F4635C5">
          <w:pPr>
            <w:jc w:val="center"/>
            <w:rPr>
              <w:rFonts w:hint="eastAsia" w:ascii="宋体" w:hAnsi="宋体" w:eastAsia="宋体" w:cs="宋体"/>
              <w:color w:val="auto"/>
              <w:highlight w:val="none"/>
            </w:rPr>
          </w:pPr>
        </w:p>
        <w:p w14:paraId="1CB49127">
          <w:pPr>
            <w:pStyle w:val="52"/>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"_Toc32601"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_Toc32601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1BDE9E">
          <w:pPr>
            <w:pStyle w:val="52"/>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"_Toc14253"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第二章投标须知前附表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3CBA1F76">
          <w:pPr>
            <w:pStyle w:val="52"/>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第三章投标人须知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p>
        <w:p w14:paraId="0F21EA78">
          <w:pPr>
            <w:pStyle w:val="52"/>
            <w:tabs>
              <w:tab w:val="right" w:leader="dot" w:pos="830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w:t>
          </w:r>
        </w:p>
        <w:p w14:paraId="0CA6ED3B">
          <w:pPr>
            <w:pStyle w:val="52"/>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4"/>
              <w:szCs w:val="24"/>
              <w:highlight w:val="none"/>
              <w:lang w:bidi="ar"/>
            </w:rPr>
            <w:t>第五章采购需求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229FE5B7">
          <w:pPr>
            <w:pStyle w:val="52"/>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第六章评标方法和标准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fldChar w:fldCharType="end"/>
          </w:r>
        </w:p>
        <w:p w14:paraId="23995645">
          <w:pPr>
            <w:pStyle w:val="52"/>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"_Toc17967"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92</w:t>
          </w:r>
        </w:p>
        <w:p w14:paraId="6112D87F">
          <w:pPr>
            <w:pStyle w:val="40"/>
            <w:spacing w:line="360" w:lineRule="auto"/>
            <w:jc w:val="center"/>
            <w:rPr>
              <w:rFonts w:hint="eastAsia" w:ascii="宋体" w:hAnsi="宋体" w:eastAsia="宋体" w:cs="宋体"/>
              <w:sz w:val="24"/>
              <w:szCs w:val="24"/>
              <w:highlight w:val="none"/>
            </w:rPr>
            <w:sectPr>
              <w:headerReference r:id="rId3" w:type="default"/>
              <w:pgSz w:w="11906" w:h="16838"/>
              <w:pgMar w:top="1440" w:right="1080" w:bottom="1440" w:left="1080" w:header="851" w:footer="992" w:gutter="0"/>
              <w:pgNumType w:start="1"/>
              <w:cols w:space="425" w:num="1"/>
              <w:docGrid w:type="lines" w:linePitch="312" w:charSpace="0"/>
            </w:sectPr>
          </w:pPr>
          <w:r>
            <w:rPr>
              <w:rFonts w:hint="eastAsia" w:ascii="宋体" w:hAnsi="宋体" w:eastAsia="宋体" w:cs="宋体"/>
              <w:color w:val="auto"/>
              <w:sz w:val="24"/>
              <w:szCs w:val="24"/>
              <w:highlight w:val="none"/>
            </w:rPr>
            <w:fldChar w:fldCharType="end"/>
          </w:r>
        </w:p>
      </w:sdtContent>
    </w:sdt>
    <w:p w14:paraId="51438286">
      <w:pPr>
        <w:jc w:val="center"/>
        <w:outlineLvl w:val="0"/>
        <w:rPr>
          <w:rFonts w:hint="eastAsia" w:ascii="宋体" w:hAnsi="宋体" w:eastAsia="宋体" w:cs="宋体"/>
          <w:b/>
          <w:bCs/>
          <w:sz w:val="32"/>
          <w:szCs w:val="32"/>
          <w:highlight w:val="none"/>
        </w:rPr>
      </w:pPr>
      <w:bookmarkStart w:id="2" w:name="_Toc32601"/>
      <w:r>
        <w:rPr>
          <w:rFonts w:hint="eastAsia" w:ascii="宋体" w:hAnsi="宋体" w:eastAsia="宋体" w:cs="宋体"/>
          <w:b/>
          <w:bCs/>
          <w:sz w:val="32"/>
          <w:szCs w:val="32"/>
          <w:highlight w:val="none"/>
        </w:rPr>
        <w:t>第一章</w:t>
      </w:r>
      <w:bookmarkEnd w:id="2"/>
      <w:r>
        <w:rPr>
          <w:rFonts w:hint="eastAsia" w:ascii="宋体" w:hAnsi="宋体" w:eastAsia="宋体" w:cs="宋体"/>
          <w:b/>
          <w:bCs/>
          <w:sz w:val="32"/>
          <w:szCs w:val="32"/>
          <w:highlight w:val="none"/>
        </w:rPr>
        <w:t>招标公告</w:t>
      </w:r>
    </w:p>
    <w:p w14:paraId="0812344B">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000000"/>
          <w:spacing w:val="0"/>
          <w:kern w:val="0"/>
          <w:sz w:val="28"/>
          <w:szCs w:val="28"/>
          <w:highlight w:val="none"/>
          <w:lang w:val="en-US" w:eastAsia="zh-CN" w:bidi="ar-SA"/>
        </w:rPr>
      </w:pPr>
      <w:bookmarkStart w:id="3" w:name="_Toc28359079"/>
      <w:bookmarkStart w:id="4" w:name="_Toc35393790"/>
      <w:bookmarkStart w:id="5" w:name="_Toc35393621"/>
      <w:bookmarkStart w:id="6" w:name="_Toc28359002"/>
      <w:bookmarkStart w:id="7" w:name="_Hlk24379207"/>
      <w:r>
        <w:rPr>
          <w:rFonts w:hint="eastAsia" w:ascii="宋体" w:hAnsi="宋体" w:eastAsia="宋体" w:cs="宋体"/>
          <w:b/>
          <w:bCs/>
          <w:i w:val="0"/>
          <w:iCs w:val="0"/>
          <w:caps w:val="0"/>
          <w:color w:val="000000"/>
          <w:spacing w:val="0"/>
          <w:kern w:val="0"/>
          <w:sz w:val="28"/>
          <w:szCs w:val="28"/>
          <w:highlight w:val="none"/>
          <w:lang w:val="en-US" w:eastAsia="zh-CN" w:bidi="ar-SA"/>
        </w:rPr>
        <w:t>乌鲁木齐市米东区中医医院智慧中医医院示范标杆建设项目(第四包)</w:t>
      </w:r>
    </w:p>
    <w:p w14:paraId="195C1C22">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000000"/>
          <w:spacing w:val="0"/>
          <w:kern w:val="0"/>
          <w:sz w:val="28"/>
          <w:szCs w:val="28"/>
          <w:highlight w:val="none"/>
          <w:lang w:val="en-US" w:eastAsia="zh-CN" w:bidi="ar-SA"/>
        </w:rPr>
      </w:pPr>
      <w:r>
        <w:rPr>
          <w:rFonts w:hint="eastAsia" w:ascii="宋体" w:hAnsi="宋体" w:eastAsia="宋体" w:cs="宋体"/>
          <w:b/>
          <w:bCs/>
          <w:i w:val="0"/>
          <w:iCs w:val="0"/>
          <w:caps w:val="0"/>
          <w:color w:val="000000"/>
          <w:spacing w:val="0"/>
          <w:kern w:val="0"/>
          <w:sz w:val="28"/>
          <w:szCs w:val="28"/>
          <w:highlight w:val="none"/>
          <w:lang w:val="en-US" w:eastAsia="zh-CN" w:bidi="ar-SA"/>
        </w:rPr>
        <w:t>公开招标公告</w:t>
      </w:r>
    </w:p>
    <w:p w14:paraId="5BFF6D43">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项目概况</w:t>
      </w:r>
    </w:p>
    <w:p w14:paraId="00300993">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lang w:eastAsia="zh-CN"/>
        </w:rPr>
        <w:t>乌鲁木齐市米东区中医医院智慧中医医院示范标杆建设项目(第四包)</w:t>
      </w:r>
      <w:r>
        <w:rPr>
          <w:rFonts w:hint="eastAsia" w:ascii="宋体" w:hAnsi="宋体" w:eastAsia="宋体" w:cs="宋体"/>
          <w:i w:val="0"/>
          <w:iCs w:val="0"/>
          <w:caps w:val="0"/>
          <w:color w:val="000000"/>
          <w:spacing w:val="0"/>
          <w:sz w:val="24"/>
          <w:szCs w:val="24"/>
          <w:highlight w:val="none"/>
        </w:rPr>
        <w:t>招标项目的潜在投标人应在</w:t>
      </w:r>
      <w:r>
        <w:rPr>
          <w:rFonts w:hint="eastAsia" w:ascii="宋体" w:hAnsi="宋体" w:eastAsia="宋体" w:cs="宋体"/>
          <w:i w:val="0"/>
          <w:iCs w:val="0"/>
          <w:caps w:val="0"/>
          <w:color w:val="000000"/>
          <w:spacing w:val="0"/>
          <w:sz w:val="24"/>
          <w:szCs w:val="24"/>
          <w:highlight w:val="none"/>
          <w:lang w:eastAsia="zh-CN"/>
        </w:rPr>
        <w:t>政采云平台线上</w:t>
      </w:r>
      <w:r>
        <w:rPr>
          <w:rFonts w:hint="eastAsia" w:ascii="宋体" w:hAnsi="宋体" w:eastAsia="宋体" w:cs="宋体"/>
          <w:i w:val="0"/>
          <w:iCs w:val="0"/>
          <w:caps w:val="0"/>
          <w:color w:val="000000"/>
          <w:spacing w:val="0"/>
          <w:sz w:val="24"/>
          <w:szCs w:val="24"/>
          <w:highlight w:val="none"/>
        </w:rPr>
        <w:t>获取招标文件，并于</w:t>
      </w:r>
      <w:r>
        <w:rPr>
          <w:rFonts w:hint="eastAsia" w:ascii="宋体" w:hAnsi="宋体" w:eastAsia="宋体" w:cs="宋体"/>
          <w:i w:val="0"/>
          <w:iCs w:val="0"/>
          <w:caps w:val="0"/>
          <w:color w:val="000000"/>
          <w:spacing w:val="0"/>
          <w:sz w:val="24"/>
          <w:szCs w:val="24"/>
          <w:highlight w:val="none"/>
          <w:lang w:eastAsia="zh-CN"/>
        </w:rPr>
        <w:t>2024年</w:t>
      </w:r>
      <w:r>
        <w:rPr>
          <w:rFonts w:hint="eastAsia" w:ascii="宋体" w:hAnsi="宋体" w:eastAsia="宋体" w:cs="宋体"/>
          <w:i w:val="0"/>
          <w:iCs w:val="0"/>
          <w:caps w:val="0"/>
          <w:color w:val="000000"/>
          <w:spacing w:val="0"/>
          <w:sz w:val="24"/>
          <w:szCs w:val="24"/>
          <w:highlight w:val="none"/>
          <w:lang w:val="en-US" w:eastAsia="zh-CN"/>
        </w:rPr>
        <w:t>11</w:t>
      </w:r>
      <w:r>
        <w:rPr>
          <w:rFonts w:hint="eastAsia" w:ascii="宋体" w:hAnsi="宋体" w:eastAsia="宋体" w:cs="宋体"/>
          <w:i w:val="0"/>
          <w:iCs w:val="0"/>
          <w:caps w:val="0"/>
          <w:color w:val="000000"/>
          <w:spacing w:val="0"/>
          <w:sz w:val="24"/>
          <w:szCs w:val="24"/>
          <w:highlight w:val="none"/>
          <w:lang w:eastAsia="zh-CN"/>
        </w:rPr>
        <w:t>月</w:t>
      </w:r>
      <w:r>
        <w:rPr>
          <w:rFonts w:hint="eastAsia" w:ascii="宋体" w:hAnsi="宋体" w:eastAsia="宋体" w:cs="宋体"/>
          <w:i w:val="0"/>
          <w:iCs w:val="0"/>
          <w:caps w:val="0"/>
          <w:color w:val="000000"/>
          <w:spacing w:val="0"/>
          <w:sz w:val="24"/>
          <w:szCs w:val="24"/>
          <w:highlight w:val="none"/>
          <w:lang w:val="en-US" w:eastAsia="zh-CN"/>
        </w:rPr>
        <w:t>15</w:t>
      </w:r>
      <w:r>
        <w:rPr>
          <w:rFonts w:hint="eastAsia" w:ascii="宋体" w:hAnsi="宋体" w:eastAsia="宋体" w:cs="宋体"/>
          <w:i w:val="0"/>
          <w:iCs w:val="0"/>
          <w:caps w:val="0"/>
          <w:color w:val="000000"/>
          <w:spacing w:val="0"/>
          <w:sz w:val="24"/>
          <w:szCs w:val="24"/>
          <w:highlight w:val="none"/>
          <w:lang w:eastAsia="zh-CN"/>
        </w:rPr>
        <w:t>日</w:t>
      </w:r>
      <w:r>
        <w:rPr>
          <w:rFonts w:hint="eastAsia" w:ascii="宋体" w:hAnsi="宋体" w:eastAsia="宋体" w:cs="宋体"/>
          <w:i w:val="0"/>
          <w:iCs w:val="0"/>
          <w:caps w:val="0"/>
          <w:color w:val="000000"/>
          <w:spacing w:val="0"/>
          <w:sz w:val="24"/>
          <w:szCs w:val="24"/>
          <w:highlight w:val="none"/>
        </w:rPr>
        <w:t>11:00（北京时间）前递交投标文件。</w:t>
      </w:r>
    </w:p>
    <w:p w14:paraId="24A05554">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一、项目基本情况</w:t>
      </w:r>
    </w:p>
    <w:p w14:paraId="3873E303">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项目编号：2024(JKJ)293</w:t>
      </w:r>
    </w:p>
    <w:p w14:paraId="2767B4EB">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rPr>
        <w:t>项目名称：</w:t>
      </w:r>
      <w:r>
        <w:rPr>
          <w:rFonts w:hint="eastAsia" w:ascii="宋体" w:hAnsi="宋体" w:eastAsia="宋体" w:cs="宋体"/>
          <w:i w:val="0"/>
          <w:iCs w:val="0"/>
          <w:caps w:val="0"/>
          <w:color w:val="000000"/>
          <w:spacing w:val="0"/>
          <w:sz w:val="24"/>
          <w:szCs w:val="24"/>
          <w:highlight w:val="none"/>
          <w:lang w:eastAsia="zh-CN"/>
        </w:rPr>
        <w:t>乌鲁木齐市米东区中医医院智慧中医医院示范标杆建设项目(第四包)</w:t>
      </w:r>
    </w:p>
    <w:p w14:paraId="2D712EDB">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采购方式：公开招标</w:t>
      </w:r>
    </w:p>
    <w:p w14:paraId="7BD4AC11">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预算金额（元）：</w:t>
      </w:r>
      <w:r>
        <w:rPr>
          <w:rFonts w:hint="eastAsia" w:ascii="宋体" w:hAnsi="宋体" w:eastAsia="宋体" w:cs="宋体"/>
          <w:i w:val="0"/>
          <w:iCs w:val="0"/>
          <w:caps w:val="0"/>
          <w:color w:val="000000"/>
          <w:spacing w:val="0"/>
          <w:sz w:val="24"/>
          <w:szCs w:val="24"/>
          <w:highlight w:val="none"/>
          <w:lang w:val="en-US" w:eastAsia="zh-CN"/>
        </w:rPr>
        <w:t>1970000.00</w:t>
      </w:r>
    </w:p>
    <w:p w14:paraId="41086929">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最高限价（元）：</w:t>
      </w:r>
      <w:r>
        <w:rPr>
          <w:rFonts w:hint="eastAsia" w:ascii="宋体" w:hAnsi="宋体" w:eastAsia="宋体" w:cs="宋体"/>
          <w:i w:val="0"/>
          <w:iCs w:val="0"/>
          <w:caps w:val="0"/>
          <w:color w:val="000000"/>
          <w:spacing w:val="0"/>
          <w:sz w:val="24"/>
          <w:szCs w:val="24"/>
          <w:highlight w:val="none"/>
          <w:lang w:val="en-US" w:eastAsia="zh-CN"/>
        </w:rPr>
        <w:t>1970000.00</w:t>
      </w:r>
    </w:p>
    <w:p w14:paraId="0D934BC3">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采购需求：</w:t>
      </w:r>
    </w:p>
    <w:p w14:paraId="1CA1D7EB">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标项名称:</w:t>
      </w:r>
      <w:r>
        <w:rPr>
          <w:rFonts w:hint="eastAsia" w:ascii="宋体" w:hAnsi="宋体" w:eastAsia="宋体" w:cs="宋体"/>
          <w:i w:val="0"/>
          <w:iCs w:val="0"/>
          <w:caps w:val="0"/>
          <w:color w:val="000000"/>
          <w:spacing w:val="0"/>
          <w:sz w:val="24"/>
          <w:szCs w:val="24"/>
          <w:highlight w:val="none"/>
          <w:lang w:eastAsia="zh-CN"/>
        </w:rPr>
        <w:t>乌鲁木齐市米东区中医医院智慧中医医院示范标杆建设项目(第四包)</w:t>
      </w:r>
    </w:p>
    <w:p w14:paraId="2E7E4600">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数量:不限</w:t>
      </w:r>
    </w:p>
    <w:p w14:paraId="00DB4F53">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预算金额（元）:</w:t>
      </w:r>
      <w:r>
        <w:rPr>
          <w:rFonts w:hint="eastAsia" w:ascii="宋体" w:hAnsi="宋体" w:eastAsia="宋体" w:cs="宋体"/>
          <w:i w:val="0"/>
          <w:iCs w:val="0"/>
          <w:caps w:val="0"/>
          <w:color w:val="000000"/>
          <w:spacing w:val="0"/>
          <w:sz w:val="24"/>
          <w:szCs w:val="24"/>
          <w:highlight w:val="none"/>
          <w:lang w:val="en-US" w:eastAsia="zh-CN"/>
        </w:rPr>
        <w:t>1970000.00</w:t>
      </w:r>
    </w:p>
    <w:p w14:paraId="5E7B6471">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简要规格描述或项目基本概况介绍、用途：</w:t>
      </w:r>
      <w:bookmarkStart w:id="8" w:name="OLE_LINK12"/>
      <w:r>
        <w:rPr>
          <w:rFonts w:hint="eastAsia" w:ascii="宋体" w:hAnsi="宋体" w:eastAsia="宋体" w:cs="宋体"/>
          <w:i w:val="0"/>
          <w:iCs w:val="0"/>
          <w:caps w:val="0"/>
          <w:color w:val="000000"/>
          <w:spacing w:val="0"/>
          <w:sz w:val="24"/>
          <w:szCs w:val="24"/>
          <w:highlight w:val="none"/>
        </w:rPr>
        <w:t>智慧中医医院示范标杆建设</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详见采购文件</w:t>
      </w:r>
      <w:bookmarkEnd w:id="8"/>
    </w:p>
    <w:p w14:paraId="5B72896C">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备注：</w:t>
      </w:r>
    </w:p>
    <w:p w14:paraId="3C05B7FB">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rPr>
        <w:t>合同履约期限：</w:t>
      </w:r>
      <w:bookmarkStart w:id="9" w:name="OLE_LINK3"/>
      <w:r>
        <w:rPr>
          <w:rFonts w:hint="eastAsia" w:ascii="宋体" w:hAnsi="宋体" w:eastAsia="宋体" w:cs="宋体"/>
          <w:i w:val="0"/>
          <w:iCs w:val="0"/>
          <w:caps w:val="0"/>
          <w:color w:val="000000"/>
          <w:spacing w:val="0"/>
          <w:sz w:val="24"/>
          <w:szCs w:val="24"/>
          <w:highlight w:val="none"/>
          <w:lang w:val="en-US" w:eastAsia="zh-CN"/>
        </w:rPr>
        <w:t>自签订合同后90个自然日内完成开发、实施。</w:t>
      </w:r>
    </w:p>
    <w:bookmarkEnd w:id="9"/>
    <w:p w14:paraId="0634596A">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本项目（否）接受联合体投标。</w:t>
      </w:r>
    </w:p>
    <w:p w14:paraId="606934B2">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二、申请人的资格要求：</w:t>
      </w:r>
    </w:p>
    <w:p w14:paraId="5EF7DC96">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1.满足《中华人民共和国政府采购法》第二十二条规定；</w:t>
      </w:r>
    </w:p>
    <w:p w14:paraId="69C06FAD">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2.落实政府采购政策需满足的资格要求：</w:t>
      </w:r>
      <w:bookmarkStart w:id="10" w:name="OLE_LINK15"/>
      <w:r>
        <w:rPr>
          <w:rFonts w:hint="eastAsia" w:ascii="宋体" w:hAnsi="宋体" w:eastAsia="宋体" w:cs="宋体"/>
          <w:sz w:val="24"/>
          <w:szCs w:val="24"/>
          <w:highlight w:val="none"/>
        </w:rPr>
        <w:t>非专门面向中小企业（含中型、小型、微型企业）采购项目，根据《政府采购促进中小企业发展管理办法》（财库[2020]46号）的规定，评标时将给予此类企业进行价格10%的优惠，用优惠后的价格参与评审。</w:t>
      </w:r>
      <w:bookmarkEnd w:id="10"/>
    </w:p>
    <w:p w14:paraId="1DA95105">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3.本项目的特定资格要求：</w:t>
      </w:r>
      <w:r>
        <w:rPr>
          <w:rFonts w:hint="eastAsia" w:ascii="宋体" w:hAnsi="宋体" w:eastAsia="宋体" w:cs="宋体"/>
          <w:i w:val="0"/>
          <w:iCs w:val="0"/>
          <w:caps w:val="0"/>
          <w:color w:val="000000"/>
          <w:spacing w:val="0"/>
          <w:sz w:val="24"/>
          <w:szCs w:val="24"/>
          <w:highlight w:val="none"/>
          <w:lang w:eastAsia="zh-CN"/>
        </w:rPr>
        <w:t>无</w:t>
      </w:r>
    </w:p>
    <w:p w14:paraId="0D7A8B9D">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三、获取招标文件</w:t>
      </w:r>
    </w:p>
    <w:p w14:paraId="0CBE76E7">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时间：2024年</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eastAsia="zh-CN"/>
        </w:rPr>
        <w:t>月</w:t>
      </w:r>
      <w:r>
        <w:rPr>
          <w:rFonts w:hint="eastAsia" w:ascii="宋体" w:hAnsi="宋体" w:eastAsia="宋体" w:cs="宋体"/>
          <w:i w:val="0"/>
          <w:iCs w:val="0"/>
          <w:caps w:val="0"/>
          <w:color w:val="000000"/>
          <w:spacing w:val="0"/>
          <w:sz w:val="24"/>
          <w:szCs w:val="24"/>
          <w:highlight w:val="none"/>
          <w:lang w:val="en-US" w:eastAsia="zh-CN"/>
        </w:rPr>
        <w:t>23</w:t>
      </w:r>
      <w:r>
        <w:rPr>
          <w:rFonts w:hint="eastAsia" w:ascii="宋体" w:hAnsi="宋体" w:eastAsia="宋体" w:cs="宋体"/>
          <w:i w:val="0"/>
          <w:iCs w:val="0"/>
          <w:caps w:val="0"/>
          <w:color w:val="000000"/>
          <w:spacing w:val="0"/>
          <w:sz w:val="24"/>
          <w:szCs w:val="24"/>
          <w:highlight w:val="none"/>
          <w:lang w:eastAsia="zh-CN"/>
        </w:rPr>
        <w:t>日至2024年</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lang w:eastAsia="zh-CN"/>
        </w:rPr>
        <w:t>月</w:t>
      </w:r>
      <w:r>
        <w:rPr>
          <w:rFonts w:hint="eastAsia" w:ascii="宋体" w:hAnsi="宋体" w:eastAsia="宋体" w:cs="宋体"/>
          <w:i w:val="0"/>
          <w:iCs w:val="0"/>
          <w:caps w:val="0"/>
          <w:color w:val="000000"/>
          <w:spacing w:val="0"/>
          <w:sz w:val="24"/>
          <w:szCs w:val="24"/>
          <w:highlight w:val="none"/>
          <w:lang w:val="en-US" w:eastAsia="zh-CN"/>
        </w:rPr>
        <w:t>30</w:t>
      </w:r>
      <w:r>
        <w:rPr>
          <w:rFonts w:hint="eastAsia" w:ascii="宋体" w:hAnsi="宋体" w:eastAsia="宋体" w:cs="宋体"/>
          <w:i w:val="0"/>
          <w:iCs w:val="0"/>
          <w:caps w:val="0"/>
          <w:color w:val="000000"/>
          <w:spacing w:val="0"/>
          <w:sz w:val="24"/>
          <w:szCs w:val="24"/>
          <w:highlight w:val="none"/>
          <w:lang w:eastAsia="zh-CN"/>
        </w:rPr>
        <w:t>日</w:t>
      </w:r>
      <w:r>
        <w:rPr>
          <w:rFonts w:hint="eastAsia" w:ascii="宋体" w:hAnsi="宋体" w:eastAsia="宋体" w:cs="宋体"/>
          <w:i w:val="0"/>
          <w:iCs w:val="0"/>
          <w:caps w:val="0"/>
          <w:color w:val="000000"/>
          <w:spacing w:val="0"/>
          <w:sz w:val="24"/>
          <w:szCs w:val="24"/>
          <w:highlight w:val="none"/>
        </w:rPr>
        <w:t>，每天上午00:00至12:00，下午12:00至23:59（北京时间，法定节假日除外）</w:t>
      </w:r>
    </w:p>
    <w:p w14:paraId="2A35CDAF">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rPr>
        <w:t>地点：</w:t>
      </w:r>
      <w:r>
        <w:rPr>
          <w:rFonts w:hint="eastAsia" w:ascii="宋体" w:hAnsi="宋体" w:eastAsia="宋体" w:cs="宋体"/>
          <w:i w:val="0"/>
          <w:iCs w:val="0"/>
          <w:caps w:val="0"/>
          <w:color w:val="000000"/>
          <w:spacing w:val="0"/>
          <w:sz w:val="24"/>
          <w:szCs w:val="24"/>
          <w:highlight w:val="none"/>
          <w:lang w:eastAsia="zh-CN"/>
        </w:rPr>
        <w:t>政采云平台线上</w:t>
      </w:r>
    </w:p>
    <w:p w14:paraId="373F3A4E">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方式：供应商登录政采云平台https://www.zcygov.cn/在线申请获取采购文件（进入“项目采购”应用，在获取采购文件菜单中选择项目，申请获取采购文件）</w:t>
      </w:r>
    </w:p>
    <w:p w14:paraId="1D8478AD">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售价（元）：</w:t>
      </w:r>
      <w:r>
        <w:rPr>
          <w:rFonts w:hint="eastAsia" w:ascii="宋体" w:hAnsi="宋体" w:eastAsia="宋体" w:cs="宋体"/>
          <w:i w:val="0"/>
          <w:iCs w:val="0"/>
          <w:caps w:val="0"/>
          <w:color w:val="000000"/>
          <w:spacing w:val="0"/>
          <w:sz w:val="24"/>
          <w:szCs w:val="24"/>
          <w:highlight w:val="none"/>
          <w:lang w:val="en-US" w:eastAsia="zh-CN"/>
        </w:rPr>
        <w:t>0</w:t>
      </w:r>
    </w:p>
    <w:p w14:paraId="0CB0D473">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四、提交投标文件截止时间、开标时间和地点</w:t>
      </w:r>
    </w:p>
    <w:p w14:paraId="44222EC7">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提交投标文件截止时间：</w:t>
      </w:r>
      <w:bookmarkStart w:id="192" w:name="_GoBack"/>
      <w:r>
        <w:rPr>
          <w:rFonts w:hint="eastAsia" w:ascii="宋体" w:hAnsi="宋体" w:eastAsia="宋体" w:cs="宋体"/>
          <w:i w:val="0"/>
          <w:iCs w:val="0"/>
          <w:caps w:val="0"/>
          <w:color w:val="000000"/>
          <w:spacing w:val="0"/>
          <w:sz w:val="24"/>
          <w:szCs w:val="24"/>
          <w:highlight w:val="none"/>
          <w:lang w:eastAsia="zh-CN"/>
        </w:rPr>
        <w:t>2024</w:t>
      </w:r>
      <w:bookmarkEnd w:id="192"/>
      <w:r>
        <w:rPr>
          <w:rFonts w:hint="eastAsia" w:ascii="宋体" w:hAnsi="宋体" w:eastAsia="宋体" w:cs="宋体"/>
          <w:i w:val="0"/>
          <w:iCs w:val="0"/>
          <w:caps w:val="0"/>
          <w:color w:val="000000"/>
          <w:spacing w:val="0"/>
          <w:sz w:val="24"/>
          <w:szCs w:val="24"/>
          <w:highlight w:val="none"/>
          <w:lang w:eastAsia="zh-CN"/>
        </w:rPr>
        <w:t>年</w:t>
      </w:r>
      <w:r>
        <w:rPr>
          <w:rFonts w:hint="eastAsia" w:ascii="宋体" w:hAnsi="宋体" w:eastAsia="宋体" w:cs="宋体"/>
          <w:i w:val="0"/>
          <w:iCs w:val="0"/>
          <w:caps w:val="0"/>
          <w:color w:val="000000"/>
          <w:spacing w:val="0"/>
          <w:sz w:val="24"/>
          <w:szCs w:val="24"/>
          <w:highlight w:val="none"/>
          <w:lang w:val="en-US" w:eastAsia="zh-CN"/>
        </w:rPr>
        <w:t>11</w:t>
      </w:r>
      <w:r>
        <w:rPr>
          <w:rFonts w:hint="eastAsia" w:ascii="宋体" w:hAnsi="宋体" w:eastAsia="宋体" w:cs="宋体"/>
          <w:i w:val="0"/>
          <w:iCs w:val="0"/>
          <w:caps w:val="0"/>
          <w:color w:val="000000"/>
          <w:spacing w:val="0"/>
          <w:sz w:val="24"/>
          <w:szCs w:val="24"/>
          <w:highlight w:val="none"/>
          <w:lang w:eastAsia="zh-CN"/>
        </w:rPr>
        <w:t>月</w:t>
      </w:r>
      <w:r>
        <w:rPr>
          <w:rFonts w:hint="eastAsia" w:ascii="宋体" w:hAnsi="宋体" w:eastAsia="宋体" w:cs="宋体"/>
          <w:i w:val="0"/>
          <w:iCs w:val="0"/>
          <w:caps w:val="0"/>
          <w:color w:val="000000"/>
          <w:spacing w:val="0"/>
          <w:sz w:val="24"/>
          <w:szCs w:val="24"/>
          <w:highlight w:val="none"/>
          <w:lang w:val="en-US" w:eastAsia="zh-CN"/>
        </w:rPr>
        <w:t>15</w:t>
      </w:r>
      <w:r>
        <w:rPr>
          <w:rFonts w:hint="eastAsia" w:ascii="宋体" w:hAnsi="宋体" w:eastAsia="宋体" w:cs="宋体"/>
          <w:i w:val="0"/>
          <w:iCs w:val="0"/>
          <w:caps w:val="0"/>
          <w:color w:val="000000"/>
          <w:spacing w:val="0"/>
          <w:sz w:val="24"/>
          <w:szCs w:val="24"/>
          <w:highlight w:val="none"/>
          <w:lang w:eastAsia="zh-CN"/>
        </w:rPr>
        <w:t>日</w:t>
      </w:r>
      <w:r>
        <w:rPr>
          <w:rFonts w:hint="eastAsia" w:ascii="宋体" w:hAnsi="宋体" w:eastAsia="宋体" w:cs="宋体"/>
          <w:i w:val="0"/>
          <w:iCs w:val="0"/>
          <w:caps w:val="0"/>
          <w:color w:val="000000"/>
          <w:spacing w:val="0"/>
          <w:sz w:val="24"/>
          <w:szCs w:val="24"/>
          <w:highlight w:val="none"/>
        </w:rPr>
        <w:t>11:00（北京时间）</w:t>
      </w:r>
    </w:p>
    <w:p w14:paraId="4CA7F5DD">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投标地点：请登录政采云投标客户端投标</w:t>
      </w:r>
    </w:p>
    <w:p w14:paraId="6BA86E12">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开标时间：</w:t>
      </w:r>
      <w:r>
        <w:rPr>
          <w:rFonts w:hint="eastAsia" w:ascii="宋体" w:hAnsi="宋体" w:eastAsia="宋体" w:cs="宋体"/>
          <w:i w:val="0"/>
          <w:iCs w:val="0"/>
          <w:caps w:val="0"/>
          <w:color w:val="000000"/>
          <w:spacing w:val="0"/>
          <w:sz w:val="24"/>
          <w:szCs w:val="24"/>
          <w:highlight w:val="none"/>
          <w:lang w:eastAsia="zh-CN"/>
        </w:rPr>
        <w:t>2024年</w:t>
      </w:r>
      <w:r>
        <w:rPr>
          <w:rFonts w:hint="eastAsia" w:ascii="宋体" w:hAnsi="宋体" w:eastAsia="宋体" w:cs="宋体"/>
          <w:i w:val="0"/>
          <w:iCs w:val="0"/>
          <w:caps w:val="0"/>
          <w:color w:val="000000"/>
          <w:spacing w:val="0"/>
          <w:sz w:val="24"/>
          <w:szCs w:val="24"/>
          <w:highlight w:val="none"/>
          <w:lang w:val="en-US" w:eastAsia="zh-CN"/>
        </w:rPr>
        <w:t>11</w:t>
      </w:r>
      <w:r>
        <w:rPr>
          <w:rFonts w:hint="eastAsia" w:ascii="宋体" w:hAnsi="宋体" w:eastAsia="宋体" w:cs="宋体"/>
          <w:i w:val="0"/>
          <w:iCs w:val="0"/>
          <w:caps w:val="0"/>
          <w:color w:val="000000"/>
          <w:spacing w:val="0"/>
          <w:sz w:val="24"/>
          <w:szCs w:val="24"/>
          <w:highlight w:val="none"/>
          <w:lang w:eastAsia="zh-CN"/>
        </w:rPr>
        <w:t>月</w:t>
      </w:r>
      <w:r>
        <w:rPr>
          <w:rFonts w:hint="eastAsia" w:ascii="宋体" w:hAnsi="宋体" w:eastAsia="宋体" w:cs="宋体"/>
          <w:i w:val="0"/>
          <w:iCs w:val="0"/>
          <w:caps w:val="0"/>
          <w:color w:val="000000"/>
          <w:spacing w:val="0"/>
          <w:sz w:val="24"/>
          <w:szCs w:val="24"/>
          <w:highlight w:val="none"/>
          <w:lang w:val="en-US" w:eastAsia="zh-CN"/>
        </w:rPr>
        <w:t>15</w:t>
      </w:r>
      <w:r>
        <w:rPr>
          <w:rFonts w:hint="eastAsia" w:ascii="宋体" w:hAnsi="宋体" w:eastAsia="宋体" w:cs="宋体"/>
          <w:i w:val="0"/>
          <w:iCs w:val="0"/>
          <w:caps w:val="0"/>
          <w:color w:val="000000"/>
          <w:spacing w:val="0"/>
          <w:sz w:val="24"/>
          <w:szCs w:val="24"/>
          <w:highlight w:val="none"/>
          <w:lang w:eastAsia="zh-CN"/>
        </w:rPr>
        <w:t>日</w:t>
      </w:r>
      <w:r>
        <w:rPr>
          <w:rFonts w:hint="eastAsia" w:ascii="宋体" w:hAnsi="宋体" w:eastAsia="宋体" w:cs="宋体"/>
          <w:i w:val="0"/>
          <w:iCs w:val="0"/>
          <w:caps w:val="0"/>
          <w:color w:val="000000"/>
          <w:spacing w:val="0"/>
          <w:sz w:val="24"/>
          <w:szCs w:val="24"/>
          <w:highlight w:val="none"/>
        </w:rPr>
        <w:t>11:00（北京时间）</w:t>
      </w:r>
    </w:p>
    <w:p w14:paraId="171E273B">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开标地点：请登录政采云投标客户端投标（政采云平台https://www.zcygov.cn/）</w:t>
      </w:r>
    </w:p>
    <w:p w14:paraId="161F8402">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五、公告期限</w:t>
      </w:r>
    </w:p>
    <w:p w14:paraId="014D1CC1">
      <w:pPr>
        <w:pStyle w:val="23"/>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自本公告发布之日起5个工作日。</w:t>
      </w:r>
    </w:p>
    <w:p w14:paraId="68606F93">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六、其他补充事宜</w:t>
      </w:r>
    </w:p>
    <w:p w14:paraId="2CA835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bookmarkStart w:id="11" w:name="OLE_LINK16"/>
      <w:r>
        <w:rPr>
          <w:rFonts w:hint="eastAsia" w:ascii="宋体" w:hAnsi="宋体" w:eastAsia="宋体" w:cs="宋体"/>
          <w:sz w:val="24"/>
          <w:szCs w:val="24"/>
          <w:highlight w:val="none"/>
        </w:rPr>
        <w:t>1、本次采购采用电子交易方式，电子交易平台为“招采专区平台（https://xezc.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15A879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将政采云电子交易客户端下载、安装完成后，可通过账号密码或CA登录客户端进行投标文件制作。在使用政采云投标客户端时，建议使用WIN7及以上操作系统。客户端请至小额招采专区平台（https://xezc.zcygov.cn/）操作指南查看，如有问题可拨打政采云客户服务热线95763进行咨询。</w:t>
      </w:r>
    </w:p>
    <w:p w14:paraId="0D823C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3、加密的电子投标文件（.jmbs格式）应在投标文件递交截止时间前通过政采云平台上传完成。</w:t>
      </w:r>
    </w:p>
    <w:p w14:paraId="5976A0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开启当日，投标人无需到达开标现场，仅需通过政采云平台“不见面”开标大厅完成远程解密、开标唱标、询标澄清、结果公布等交互环节。投标人必须使用能正确解密投标文件的“CA锁”在规定的时间内完成远程解密，因投标人原因未能解密、解密失败或解密超时，视为投标人撤销其投标文件。</w:t>
      </w:r>
    </w:p>
    <w:p w14:paraId="36311D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5、逾期上传或者未上传指定地点的投标文件，采购人不予受理。</w:t>
      </w:r>
    </w:p>
    <w:bookmarkEnd w:id="11"/>
    <w:p w14:paraId="54191386">
      <w:pPr>
        <w:pStyle w:val="23"/>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sz w:val="24"/>
          <w:szCs w:val="24"/>
          <w:highlight w:val="none"/>
        </w:rPr>
      </w:pPr>
      <w:r>
        <w:rPr>
          <w:rStyle w:val="30"/>
          <w:rFonts w:hint="eastAsia" w:ascii="宋体" w:hAnsi="宋体" w:eastAsia="宋体" w:cs="宋体"/>
          <w:b/>
          <w:bCs w:val="0"/>
          <w:i w:val="0"/>
          <w:iCs w:val="0"/>
          <w:caps w:val="0"/>
          <w:color w:val="000000"/>
          <w:spacing w:val="0"/>
          <w:sz w:val="24"/>
          <w:szCs w:val="24"/>
          <w:highlight w:val="none"/>
        </w:rPr>
        <w:t>七、对本次采购提出询问，请按以下方式联系</w:t>
      </w:r>
    </w:p>
    <w:p w14:paraId="66F16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02676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名称：乌鲁木齐市米东区中医医院</w:t>
      </w:r>
    </w:p>
    <w:p w14:paraId="48B12B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地址：乌鲁木齐市米东区府前中路1055号</w:t>
      </w:r>
    </w:p>
    <w:p w14:paraId="1FB12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联系方式：孙继刚</w:t>
      </w:r>
      <w:r>
        <w:rPr>
          <w:rFonts w:hint="eastAsia" w:ascii="宋体" w:hAnsi="宋体" w:eastAsia="宋体" w:cs="宋体"/>
          <w:sz w:val="24"/>
          <w:szCs w:val="24"/>
          <w:highlight w:val="none"/>
          <w:lang w:eastAsia="zh-CN"/>
        </w:rPr>
        <w:t>0991-7892187</w:t>
      </w:r>
    </w:p>
    <w:p w14:paraId="00BFEC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28B0AE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称：新疆君凯杰工程项目管理有限公司</w:t>
      </w:r>
    </w:p>
    <w:p w14:paraId="63195C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址：乌鲁木齐市会展大道1119号大成尔雅A座901室</w:t>
      </w:r>
    </w:p>
    <w:p w14:paraId="779A4D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16699887301</w:t>
      </w:r>
    </w:p>
    <w:p w14:paraId="000192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610FAA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岑小龙</w:t>
      </w:r>
    </w:p>
    <w:p w14:paraId="6003D8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16699887301</w:t>
      </w:r>
    </w:p>
    <w:bookmarkEnd w:id="3"/>
    <w:bookmarkEnd w:id="4"/>
    <w:bookmarkEnd w:id="5"/>
    <w:bookmarkEnd w:id="6"/>
    <w:bookmarkEnd w:id="7"/>
    <w:p w14:paraId="1872A585">
      <w:pPr>
        <w:rPr>
          <w:rFonts w:hint="eastAsia" w:ascii="宋体" w:hAnsi="宋体" w:eastAsia="宋体" w:cs="宋体"/>
          <w:b/>
          <w:bCs/>
          <w:sz w:val="32"/>
          <w:szCs w:val="32"/>
          <w:highlight w:val="none"/>
        </w:rPr>
      </w:pPr>
      <w:bookmarkStart w:id="12" w:name="_Toc19959"/>
      <w:bookmarkStart w:id="13" w:name="_Toc14253"/>
      <w:r>
        <w:rPr>
          <w:rFonts w:hint="eastAsia" w:ascii="宋体" w:hAnsi="宋体" w:eastAsia="宋体" w:cs="宋体"/>
          <w:b/>
          <w:bCs/>
          <w:sz w:val="32"/>
          <w:szCs w:val="32"/>
          <w:highlight w:val="none"/>
        </w:rPr>
        <w:br w:type="page"/>
      </w:r>
    </w:p>
    <w:p w14:paraId="2AFC19B4">
      <w:pPr>
        <w:adjustRightInd w:val="0"/>
        <w:snapToGrid w:val="0"/>
        <w:spacing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第二章投标须知前附表</w:t>
      </w:r>
      <w:bookmarkEnd w:id="12"/>
      <w:bookmarkEnd w:id="13"/>
    </w:p>
    <w:p w14:paraId="53BB8D55">
      <w:pPr>
        <w:adjustRightInd w:val="0"/>
        <w:snapToGrid w:val="0"/>
        <w:spacing w:line="360" w:lineRule="auto"/>
        <w:ind w:right="-313" w:rightChars="-149" w:firstLine="480" w:firstLineChars="200"/>
        <w:rPr>
          <w:rFonts w:hint="eastAsia" w:ascii="宋体" w:hAnsi="宋体" w:eastAsia="宋体" w:cs="宋体"/>
          <w:sz w:val="24"/>
          <w:highlight w:val="none"/>
        </w:rPr>
      </w:pPr>
      <w:r>
        <w:rPr>
          <w:rFonts w:hint="eastAsia" w:ascii="宋体" w:hAnsi="宋体" w:eastAsia="宋体" w:cs="宋体"/>
          <w:sz w:val="24"/>
          <w:highlight w:val="none"/>
        </w:rPr>
        <w:t>本表是本招标项目的具体资料，是对投标人须知的具体补充和修改，如有矛盾，应以本前附表为准。</w:t>
      </w:r>
    </w:p>
    <w:tbl>
      <w:tblPr>
        <w:tblStyle w:val="28"/>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72A867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5FB719CE">
            <w:pPr>
              <w:widowControl/>
              <w:adjustRightInd w:val="0"/>
              <w:snapToGrid w:val="0"/>
              <w:spacing w:line="440" w:lineRule="exact"/>
              <w:jc w:val="center"/>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条款号</w:t>
            </w:r>
          </w:p>
        </w:tc>
        <w:tc>
          <w:tcPr>
            <w:tcW w:w="8364" w:type="dxa"/>
            <w:tcBorders>
              <w:tl2br w:val="nil"/>
              <w:tr2bl w:val="nil"/>
            </w:tcBorders>
          </w:tcPr>
          <w:p w14:paraId="464FFA2E">
            <w:pPr>
              <w:widowControl/>
              <w:adjustRightInd w:val="0"/>
              <w:snapToGrid w:val="0"/>
              <w:spacing w:line="440" w:lineRule="exact"/>
              <w:jc w:val="center"/>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内容</w:t>
            </w:r>
          </w:p>
        </w:tc>
      </w:tr>
      <w:tr w14:paraId="1486E7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10BA7C35">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1.1</w:t>
            </w:r>
          </w:p>
        </w:tc>
        <w:tc>
          <w:tcPr>
            <w:tcW w:w="8364" w:type="dxa"/>
            <w:tcBorders>
              <w:tl2br w:val="nil"/>
              <w:tr2bl w:val="nil"/>
            </w:tcBorders>
            <w:vAlign w:val="center"/>
          </w:tcPr>
          <w:p w14:paraId="00B99FE7">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bookmarkStart w:id="14" w:name="OLE_LINK9"/>
            <w:r>
              <w:rPr>
                <w:rFonts w:hint="eastAsia" w:ascii="宋体" w:hAnsi="宋体" w:eastAsia="宋体" w:cs="宋体"/>
                <w:kern w:val="0"/>
                <w:sz w:val="24"/>
                <w:highlight w:val="none"/>
                <w:lang w:eastAsia="zh-CN" w:bidi="ar"/>
              </w:rPr>
              <w:t>采购人</w:t>
            </w:r>
            <w:bookmarkEnd w:id="14"/>
            <w:r>
              <w:rPr>
                <w:rFonts w:hint="eastAsia" w:ascii="宋体" w:hAnsi="宋体" w:eastAsia="宋体" w:cs="宋体"/>
                <w:kern w:val="0"/>
                <w:sz w:val="24"/>
                <w:highlight w:val="none"/>
                <w:lang w:eastAsia="zh-CN" w:bidi="ar"/>
              </w:rPr>
              <w:t>信息：</w:t>
            </w:r>
          </w:p>
          <w:p w14:paraId="3A40184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单位名称：乌鲁木齐市米东区中医医院</w:t>
            </w:r>
          </w:p>
          <w:p w14:paraId="77CE84B4">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单位地址：乌鲁木齐市米东区府前中路1055号</w:t>
            </w:r>
          </w:p>
          <w:p w14:paraId="4BC9DA41">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联系人：孙继刚</w:t>
            </w:r>
          </w:p>
          <w:p w14:paraId="7124A83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联系电话：</w:t>
            </w:r>
            <w:r>
              <w:rPr>
                <w:rFonts w:hint="eastAsia" w:ascii="宋体" w:hAnsi="宋体" w:eastAsia="宋体" w:cs="宋体"/>
                <w:kern w:val="0"/>
                <w:sz w:val="24"/>
                <w:highlight w:val="none"/>
                <w:lang w:eastAsia="zh-CN" w:bidi="ar"/>
              </w:rPr>
              <w:t>0991-7892187</w:t>
            </w:r>
          </w:p>
        </w:tc>
      </w:tr>
      <w:tr w14:paraId="5D2EC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0524D534">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1.2</w:t>
            </w:r>
          </w:p>
        </w:tc>
        <w:tc>
          <w:tcPr>
            <w:tcW w:w="8364" w:type="dxa"/>
            <w:tcBorders>
              <w:tl2br w:val="nil"/>
              <w:tr2bl w:val="nil"/>
            </w:tcBorders>
            <w:vAlign w:val="center"/>
          </w:tcPr>
          <w:p w14:paraId="0DF0F731">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eastAsia="zh-CN" w:bidi="ar"/>
              </w:rPr>
              <w:t>采购代理机构信息：</w:t>
            </w:r>
          </w:p>
          <w:p w14:paraId="25E50486">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单位名称：</w:t>
            </w:r>
            <w:r>
              <w:rPr>
                <w:rFonts w:hint="eastAsia" w:ascii="宋体" w:hAnsi="宋体" w:eastAsia="宋体" w:cs="宋体"/>
                <w:kern w:val="0"/>
                <w:sz w:val="24"/>
                <w:highlight w:val="none"/>
                <w:lang w:val="en-US" w:eastAsia="zh-CN" w:bidi="ar"/>
              </w:rPr>
              <w:t>新疆君凯杰工程项目管理有限公司</w:t>
            </w:r>
          </w:p>
          <w:p w14:paraId="6B25585B">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单位地址：乌鲁木齐市会展大道1119号大成尔雅A座901室</w:t>
            </w:r>
          </w:p>
          <w:p w14:paraId="5F23DFD4">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联系人：</w:t>
            </w:r>
            <w:r>
              <w:rPr>
                <w:rFonts w:hint="eastAsia" w:ascii="宋体" w:hAnsi="宋体" w:eastAsia="宋体" w:cs="宋体"/>
                <w:kern w:val="0"/>
                <w:sz w:val="24"/>
                <w:highlight w:val="none"/>
                <w:lang w:val="en-US" w:eastAsia="zh-CN" w:bidi="ar"/>
              </w:rPr>
              <w:t>岑小龙</w:t>
            </w:r>
          </w:p>
          <w:p w14:paraId="6F12DBB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联系电话：</w:t>
            </w:r>
            <w:r>
              <w:rPr>
                <w:rFonts w:hint="eastAsia" w:ascii="宋体" w:hAnsi="宋体" w:eastAsia="宋体" w:cs="宋体"/>
                <w:kern w:val="0"/>
                <w:sz w:val="24"/>
                <w:highlight w:val="none"/>
                <w:lang w:val="en-US" w:eastAsia="zh-CN" w:bidi="ar"/>
              </w:rPr>
              <w:t>16699887301</w:t>
            </w:r>
          </w:p>
          <w:p w14:paraId="6064125D">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电子邮箱：</w:t>
            </w:r>
            <w:r>
              <w:rPr>
                <w:rFonts w:hint="eastAsia" w:ascii="宋体" w:hAnsi="宋体" w:eastAsia="宋体" w:cs="宋体"/>
                <w:kern w:val="0"/>
                <w:sz w:val="24"/>
                <w:highlight w:val="none"/>
                <w:lang w:val="en-US" w:eastAsia="zh-CN" w:bidi="ar"/>
              </w:rPr>
              <w:t>360522467@qq.com</w:t>
            </w:r>
          </w:p>
        </w:tc>
      </w:tr>
      <w:tr w14:paraId="4D125F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37995DC4">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1.3</w:t>
            </w:r>
          </w:p>
        </w:tc>
        <w:tc>
          <w:tcPr>
            <w:tcW w:w="8364" w:type="dxa"/>
            <w:tcBorders>
              <w:bottom w:val="single" w:color="auto" w:sz="4" w:space="0"/>
              <w:tl2br w:val="nil"/>
              <w:tr2bl w:val="nil"/>
            </w:tcBorders>
            <w:vAlign w:val="center"/>
          </w:tcPr>
          <w:p w14:paraId="65908257">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合格投标人的其他资格要求：</w:t>
            </w:r>
          </w:p>
          <w:p w14:paraId="2F4AB894">
            <w:pPr>
              <w:pStyle w:val="40"/>
              <w:widowControl w:val="0"/>
              <w:rPr>
                <w:rFonts w:hint="eastAsia" w:ascii="宋体" w:hAnsi="宋体" w:eastAsia="宋体" w:cs="宋体"/>
                <w:bCs w:val="0"/>
                <w:sz w:val="24"/>
                <w:szCs w:val="24"/>
                <w:highlight w:val="none"/>
                <w:lang w:bidi="ar"/>
              </w:rPr>
            </w:pPr>
            <w:r>
              <w:rPr>
                <w:rFonts w:hint="eastAsia" w:ascii="宋体" w:hAnsi="宋体" w:eastAsia="宋体" w:cs="宋体"/>
                <w:bCs w:val="0"/>
                <w:sz w:val="24"/>
                <w:szCs w:val="24"/>
                <w:highlight w:val="none"/>
                <w:lang w:bidi="ar"/>
              </w:rPr>
              <w:t>1.满足《中华人民共和国政府采购法》第二十二条规定；</w:t>
            </w:r>
          </w:p>
          <w:p w14:paraId="206CE51D">
            <w:pPr>
              <w:pStyle w:val="40"/>
              <w:widowControl w:val="0"/>
              <w:rPr>
                <w:rFonts w:hint="eastAsia" w:ascii="宋体" w:hAnsi="宋体" w:eastAsia="宋体" w:cs="宋体"/>
                <w:bCs w:val="0"/>
                <w:sz w:val="24"/>
                <w:szCs w:val="24"/>
                <w:highlight w:val="none"/>
                <w:lang w:eastAsia="zh-CN" w:bidi="ar"/>
              </w:rPr>
            </w:pPr>
            <w:r>
              <w:rPr>
                <w:rFonts w:hint="eastAsia" w:ascii="宋体" w:hAnsi="宋体" w:eastAsia="宋体" w:cs="宋体"/>
                <w:bCs w:val="0"/>
                <w:sz w:val="24"/>
                <w:szCs w:val="24"/>
                <w:highlight w:val="none"/>
                <w:lang w:bidi="ar"/>
              </w:rPr>
              <w:t>2.落实政府采购政策需满足的资格要求：标项1：</w:t>
            </w:r>
            <w:r>
              <w:rPr>
                <w:rFonts w:hint="eastAsia" w:ascii="宋体" w:hAnsi="宋体" w:eastAsia="宋体" w:cs="宋体"/>
                <w:b/>
                <w:bCs/>
                <w:sz w:val="24"/>
                <w:szCs w:val="24"/>
                <w:highlight w:val="none"/>
                <w:lang w:bidi="ar"/>
              </w:rPr>
              <w:t>本项目为非专门面向中小企业（含中型、小型、微型企业）采购项目</w:t>
            </w:r>
            <w:r>
              <w:rPr>
                <w:rFonts w:hint="eastAsia" w:ascii="宋体" w:hAnsi="宋体" w:eastAsia="宋体" w:cs="宋体"/>
                <w:bCs w:val="0"/>
                <w:sz w:val="24"/>
                <w:szCs w:val="24"/>
                <w:highlight w:val="none"/>
                <w:lang w:bidi="ar"/>
              </w:rPr>
              <w:t>，根据《政府采购促进中小企业发展管理办法》（财库[2020]46号）的规定，评标时将给予此类企业进行价格</w:t>
            </w:r>
            <w:r>
              <w:rPr>
                <w:rFonts w:hint="eastAsia" w:ascii="宋体" w:hAnsi="宋体" w:eastAsia="宋体" w:cs="宋体"/>
                <w:b/>
                <w:bCs/>
                <w:sz w:val="24"/>
                <w:szCs w:val="24"/>
                <w:highlight w:val="none"/>
                <w:lang w:bidi="ar"/>
              </w:rPr>
              <w:t>10%</w:t>
            </w:r>
            <w:r>
              <w:rPr>
                <w:rFonts w:hint="eastAsia" w:ascii="宋体" w:hAnsi="宋体" w:eastAsia="宋体" w:cs="宋体"/>
                <w:bCs w:val="0"/>
                <w:sz w:val="24"/>
                <w:szCs w:val="24"/>
                <w:highlight w:val="none"/>
                <w:lang w:bidi="ar"/>
              </w:rPr>
              <w:t>的优惠，用优惠后的价格参与评审。</w:t>
            </w:r>
          </w:p>
          <w:p w14:paraId="05CBAE59">
            <w:pPr>
              <w:pStyle w:val="40"/>
              <w:widowControl w:val="0"/>
              <w:rPr>
                <w:rFonts w:hint="eastAsia" w:ascii="宋体" w:hAnsi="宋体" w:eastAsia="宋体" w:cs="宋体"/>
                <w:bCs w:val="0"/>
                <w:sz w:val="24"/>
                <w:szCs w:val="24"/>
                <w:highlight w:val="none"/>
                <w:lang w:eastAsia="zh-CN" w:bidi="ar"/>
              </w:rPr>
            </w:pPr>
            <w:r>
              <w:rPr>
                <w:rFonts w:hint="eastAsia" w:ascii="宋体" w:hAnsi="宋体" w:eastAsia="宋体" w:cs="宋体"/>
                <w:bCs w:val="0"/>
                <w:sz w:val="24"/>
                <w:szCs w:val="24"/>
                <w:highlight w:val="none"/>
                <w:lang w:bidi="ar"/>
              </w:rPr>
              <w:t>3.本项目的特定资格要求：</w:t>
            </w:r>
            <w:r>
              <w:rPr>
                <w:rFonts w:hint="eastAsia" w:ascii="宋体" w:hAnsi="宋体" w:eastAsia="宋体" w:cs="宋体"/>
                <w:bCs w:val="0"/>
                <w:sz w:val="24"/>
                <w:szCs w:val="24"/>
                <w:highlight w:val="none"/>
                <w:lang w:eastAsia="zh-CN" w:bidi="ar"/>
              </w:rPr>
              <w:t>无</w:t>
            </w:r>
          </w:p>
        </w:tc>
      </w:tr>
      <w:tr w14:paraId="25E8B4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20602C35">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1.4</w:t>
            </w:r>
          </w:p>
        </w:tc>
        <w:tc>
          <w:tcPr>
            <w:tcW w:w="8364" w:type="dxa"/>
            <w:tcBorders>
              <w:top w:val="single" w:color="auto" w:sz="4" w:space="0"/>
              <w:tl2br w:val="nil"/>
              <w:tr2bl w:val="nil"/>
            </w:tcBorders>
            <w:vAlign w:val="center"/>
          </w:tcPr>
          <w:p w14:paraId="11FD3C59">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是否允许采购进口产品：否</w:t>
            </w:r>
          </w:p>
        </w:tc>
      </w:tr>
      <w:tr w14:paraId="3042F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146A2F9E">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1.5.1</w:t>
            </w:r>
          </w:p>
        </w:tc>
        <w:tc>
          <w:tcPr>
            <w:tcW w:w="8364" w:type="dxa"/>
            <w:tcBorders>
              <w:tl2br w:val="nil"/>
              <w:tr2bl w:val="nil"/>
            </w:tcBorders>
            <w:vAlign w:val="center"/>
          </w:tcPr>
          <w:p w14:paraId="67038338">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（采购标的）所属行业：行业划分标准所属行业为</w:t>
            </w:r>
            <w:r>
              <w:rPr>
                <w:rFonts w:hint="eastAsia" w:ascii="宋体" w:hAnsi="宋体" w:eastAsia="宋体" w:cs="宋体"/>
                <w:b/>
                <w:bCs/>
                <w:kern w:val="0"/>
                <w:sz w:val="24"/>
                <w:highlight w:val="none"/>
                <w:lang w:bidi="ar"/>
              </w:rPr>
              <w:t>软件和信息技术服务业</w:t>
            </w:r>
            <w:r>
              <w:rPr>
                <w:rFonts w:hint="eastAsia" w:ascii="宋体" w:hAnsi="宋体" w:eastAsia="宋体" w:cs="宋体"/>
                <w:kern w:val="0"/>
                <w:sz w:val="24"/>
                <w:highlight w:val="none"/>
                <w:lang w:bidi="ar"/>
              </w:rPr>
              <w:t>。</w:t>
            </w:r>
          </w:p>
          <w:p w14:paraId="2756B013">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（十二）</w:t>
            </w:r>
            <w:bookmarkStart w:id="15" w:name="OLE_LINK17"/>
            <w:r>
              <w:rPr>
                <w:rFonts w:hint="eastAsia" w:ascii="宋体" w:hAnsi="宋体" w:eastAsia="宋体" w:cs="宋体"/>
                <w:kern w:val="0"/>
                <w:sz w:val="24"/>
                <w:highlight w:val="none"/>
                <w:lang w:bidi="ar"/>
              </w:rPr>
              <w:t>软件和信息技术服务业</w:t>
            </w:r>
            <w:bookmarkEnd w:id="15"/>
            <w:r>
              <w:rPr>
                <w:rFonts w:hint="eastAsia" w:ascii="宋体" w:hAnsi="宋体" w:eastAsia="宋体" w:cs="宋体"/>
                <w:kern w:val="0"/>
                <w:sz w:val="24"/>
                <w:highlight w:val="none"/>
                <w:lang w:bidi="ar"/>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3165B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1BF3D48">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1.5.2</w:t>
            </w:r>
          </w:p>
        </w:tc>
        <w:tc>
          <w:tcPr>
            <w:tcW w:w="8364" w:type="dxa"/>
            <w:tcBorders>
              <w:tl2br w:val="nil"/>
              <w:tr2bl w:val="nil"/>
            </w:tcBorders>
            <w:vAlign w:val="center"/>
          </w:tcPr>
          <w:p w14:paraId="47B39A13">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☑本项目不专门面向中小企业预留采购份额。</w:t>
            </w:r>
            <w:r>
              <w:rPr>
                <w:rFonts w:hint="eastAsia" w:ascii="宋体" w:hAnsi="宋体" w:eastAsia="宋体" w:cs="宋体"/>
                <w:b/>
                <w:bCs/>
                <w:kern w:val="0"/>
                <w:sz w:val="24"/>
                <w:highlight w:val="none"/>
                <w:lang w:val="en-US" w:eastAsia="zh-CN" w:bidi="ar"/>
              </w:rPr>
              <w:t>对符合规定的小微企业报价给予10%的扣除，用扣除后的价格参加评审。</w:t>
            </w:r>
          </w:p>
          <w:p w14:paraId="7CE3E74B">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□本项目专门面向</w:t>
            </w:r>
            <w:r>
              <w:rPr>
                <w:rFonts w:hint="eastAsia" w:ascii="宋体" w:hAnsi="宋体" w:eastAsia="宋体" w:cs="宋体"/>
                <w:b/>
                <w:bCs/>
                <w:kern w:val="0"/>
                <w:sz w:val="24"/>
                <w:highlight w:val="none"/>
                <w:lang w:val="en-US" w:eastAsia="zh-CN" w:bidi="ar"/>
              </w:rPr>
              <w:t>□中小□小微企业</w:t>
            </w:r>
            <w:r>
              <w:rPr>
                <w:rFonts w:hint="eastAsia" w:ascii="宋体" w:hAnsi="宋体" w:eastAsia="宋体" w:cs="宋体"/>
                <w:kern w:val="0"/>
                <w:sz w:val="24"/>
                <w:highlight w:val="none"/>
                <w:lang w:val="en-US" w:eastAsia="zh-CN" w:bidi="ar"/>
              </w:rPr>
              <w:t>采购。即:提供的货物</w:t>
            </w:r>
            <w:bookmarkStart w:id="16" w:name="OLE_LINK18"/>
            <w:bookmarkStart w:id="17" w:name="OLE_LINK2"/>
            <w:r>
              <w:rPr>
                <w:rFonts w:hint="eastAsia" w:ascii="宋体" w:hAnsi="宋体" w:eastAsia="宋体" w:cs="宋体"/>
                <w:kern w:val="0"/>
                <w:sz w:val="24"/>
                <w:highlight w:val="none"/>
                <w:lang w:val="en-US" w:eastAsia="zh-CN" w:bidi="ar"/>
              </w:rPr>
              <w:t>或承建（承接）</w:t>
            </w:r>
            <w:bookmarkEnd w:id="16"/>
            <w:r>
              <w:rPr>
                <w:rFonts w:hint="eastAsia" w:ascii="宋体" w:hAnsi="宋体" w:eastAsia="宋体" w:cs="宋体"/>
                <w:kern w:val="0"/>
                <w:sz w:val="24"/>
                <w:highlight w:val="none"/>
                <w:lang w:val="en-US" w:eastAsia="zh-CN" w:bidi="ar"/>
              </w:rPr>
              <w:t>企业</w:t>
            </w:r>
            <w:bookmarkEnd w:id="17"/>
            <w:r>
              <w:rPr>
                <w:rFonts w:hint="eastAsia" w:ascii="宋体" w:hAnsi="宋体" w:eastAsia="宋体" w:cs="宋体"/>
                <w:kern w:val="0"/>
                <w:sz w:val="24"/>
                <w:highlight w:val="none"/>
                <w:lang w:val="en-US" w:eastAsia="zh-CN" w:bidi="ar"/>
              </w:rPr>
              <w:t>全部由符合政策要求的</w:t>
            </w:r>
            <w:r>
              <w:rPr>
                <w:rFonts w:hint="eastAsia" w:ascii="宋体" w:hAnsi="宋体" w:eastAsia="宋体" w:cs="宋体"/>
                <w:b/>
                <w:bCs/>
                <w:kern w:val="0"/>
                <w:sz w:val="24"/>
                <w:highlight w:val="none"/>
                <w:lang w:val="en-US" w:eastAsia="zh-CN" w:bidi="ar"/>
              </w:rPr>
              <w:t>□中小□小微</w:t>
            </w:r>
            <w:r>
              <w:rPr>
                <w:rFonts w:hint="eastAsia" w:ascii="宋体" w:hAnsi="宋体" w:eastAsia="宋体" w:cs="宋体"/>
                <w:kern w:val="0"/>
                <w:sz w:val="24"/>
                <w:highlight w:val="none"/>
                <w:lang w:val="en-US" w:eastAsia="zh-CN" w:bidi="ar"/>
              </w:rPr>
              <w:t>企业制造或承建（承接）。</w:t>
            </w:r>
          </w:p>
          <w:p w14:paraId="4296BC9D">
            <w:pPr>
              <w:widowControl/>
              <w:adjustRightInd w:val="0"/>
              <w:snapToGrid w:val="0"/>
              <w:spacing w:line="440" w:lineRule="exact"/>
              <w:rPr>
                <w:rFonts w:hint="eastAsia" w:ascii="宋体" w:hAnsi="宋体" w:eastAsia="宋体" w:cs="宋体"/>
                <w:b/>
                <w:bCs/>
                <w:kern w:val="0"/>
                <w:sz w:val="24"/>
                <w:highlight w:val="none"/>
                <w:lang w:val="en-US" w:eastAsia="zh-CN" w:bidi="ar"/>
              </w:rPr>
            </w:pPr>
            <w:r>
              <w:rPr>
                <w:rFonts w:hint="eastAsia" w:ascii="宋体" w:hAnsi="宋体" w:eastAsia="宋体" w:cs="宋体"/>
                <w:kern w:val="0"/>
                <w:sz w:val="24"/>
                <w:highlight w:val="none"/>
                <w:lang w:val="en-US" w:eastAsia="zh-CN"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kern w:val="0"/>
                <w:sz w:val="24"/>
                <w:highlight w:val="none"/>
                <w:lang w:val="en-US" w:eastAsia="zh-CN" w:bidi="ar"/>
              </w:rPr>
              <w:t>要求获得采购合同的投标人将本采购包金额的至少%分包给一家或者多家中小企业，这其中预留给小微企业的比例至少%，须提供《拟分包情况说明》，监狱和戒毒企业、残疾人福利性单位视同小型、微型企业（格式详见招标文件）。</w:t>
            </w:r>
          </w:p>
        </w:tc>
      </w:tr>
      <w:tr w14:paraId="1B1A4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65019449">
            <w:pPr>
              <w:widowControl/>
              <w:adjustRightInd w:val="0"/>
              <w:snapToGrid w:val="0"/>
              <w:spacing w:line="440" w:lineRule="exact"/>
              <w:jc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1.6</w:t>
            </w:r>
          </w:p>
        </w:tc>
        <w:tc>
          <w:tcPr>
            <w:tcW w:w="8364" w:type="dxa"/>
            <w:tcBorders>
              <w:tl2br w:val="nil"/>
              <w:tr2bl w:val="nil"/>
            </w:tcBorders>
            <w:vAlign w:val="center"/>
          </w:tcPr>
          <w:p w14:paraId="02059F28">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是否允许联合体投标：否</w:t>
            </w:r>
          </w:p>
        </w:tc>
      </w:tr>
      <w:tr w14:paraId="4C33CB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3EEC2EFB">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1.</w:t>
            </w:r>
            <w:r>
              <w:rPr>
                <w:rFonts w:hint="eastAsia" w:ascii="宋体" w:hAnsi="宋体" w:eastAsia="宋体" w:cs="宋体"/>
                <w:kern w:val="0"/>
                <w:sz w:val="24"/>
                <w:highlight w:val="none"/>
                <w:lang w:val="en-US" w:eastAsia="zh-CN" w:bidi="ar"/>
              </w:rPr>
              <w:t>7</w:t>
            </w:r>
          </w:p>
        </w:tc>
        <w:tc>
          <w:tcPr>
            <w:tcW w:w="8364" w:type="dxa"/>
            <w:tcBorders>
              <w:tl2br w:val="nil"/>
              <w:tr2bl w:val="nil"/>
            </w:tcBorders>
            <w:vAlign w:val="center"/>
          </w:tcPr>
          <w:p w14:paraId="4DC7D453">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联合体的其他资格要求：无</w:t>
            </w:r>
          </w:p>
        </w:tc>
      </w:tr>
      <w:tr w14:paraId="2F4DC8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54441103">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1.8</w:t>
            </w:r>
          </w:p>
        </w:tc>
        <w:tc>
          <w:tcPr>
            <w:tcW w:w="8364" w:type="dxa"/>
            <w:tcBorders>
              <w:tl2br w:val="nil"/>
              <w:tr2bl w:val="nil"/>
            </w:tcBorders>
            <w:vAlign w:val="center"/>
          </w:tcPr>
          <w:p w14:paraId="0F89A6CC">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预算金额：</w:t>
            </w:r>
            <w:r>
              <w:rPr>
                <w:rFonts w:hint="eastAsia" w:ascii="宋体" w:hAnsi="宋体" w:eastAsia="宋体" w:cs="宋体"/>
                <w:kern w:val="0"/>
                <w:sz w:val="24"/>
                <w:highlight w:val="none"/>
                <w:lang w:val="en-US" w:eastAsia="zh-CN" w:bidi="ar"/>
              </w:rPr>
              <w:t>1970000.00元</w:t>
            </w:r>
            <w:r>
              <w:rPr>
                <w:rFonts w:hint="eastAsia" w:ascii="宋体" w:hAnsi="宋体" w:eastAsia="宋体" w:cs="宋体"/>
                <w:kern w:val="0"/>
                <w:sz w:val="24"/>
                <w:highlight w:val="none"/>
                <w:lang w:bidi="ar"/>
              </w:rPr>
              <w:t>；</w:t>
            </w:r>
          </w:p>
          <w:p w14:paraId="6E695A7C">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最高限价：</w:t>
            </w:r>
            <w:r>
              <w:rPr>
                <w:rFonts w:hint="eastAsia" w:ascii="宋体" w:hAnsi="宋体" w:eastAsia="宋体" w:cs="宋体"/>
                <w:kern w:val="0"/>
                <w:sz w:val="24"/>
                <w:highlight w:val="none"/>
                <w:lang w:val="en-US" w:eastAsia="zh-CN" w:bidi="ar"/>
              </w:rPr>
              <w:t>1970000.00</w:t>
            </w:r>
            <w:r>
              <w:rPr>
                <w:rFonts w:hint="eastAsia" w:ascii="宋体" w:hAnsi="宋体" w:eastAsia="宋体" w:cs="宋体"/>
                <w:kern w:val="0"/>
                <w:sz w:val="24"/>
                <w:highlight w:val="none"/>
                <w:lang w:eastAsia="zh-CN" w:bidi="ar"/>
              </w:rPr>
              <w:t>元。</w:t>
            </w:r>
          </w:p>
          <w:p w14:paraId="04525558">
            <w:pPr>
              <w:widowControl/>
              <w:adjustRightInd w:val="0"/>
              <w:snapToGrid w:val="0"/>
              <w:spacing w:line="440" w:lineRule="exact"/>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服务期限：自签订合同后90个自然日内完成开发、实施。</w:t>
            </w:r>
          </w:p>
        </w:tc>
      </w:tr>
      <w:tr w14:paraId="1542E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4FF64350">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1.9</w:t>
            </w:r>
          </w:p>
        </w:tc>
        <w:tc>
          <w:tcPr>
            <w:tcW w:w="8364" w:type="dxa"/>
            <w:tcBorders>
              <w:tl2br w:val="nil"/>
              <w:tr2bl w:val="nil"/>
            </w:tcBorders>
            <w:vAlign w:val="center"/>
          </w:tcPr>
          <w:p w14:paraId="30521B34">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是否组织现场考察或者召开答疑会：否</w:t>
            </w:r>
          </w:p>
          <w:p w14:paraId="1C28B1B5">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组织现场考察或者召开答疑会相关要求：</w:t>
            </w:r>
          </w:p>
          <w:p w14:paraId="75CC69FD">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w:t>
            </w:r>
          </w:p>
          <w:p w14:paraId="1E39B706">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□将在招标文件提供期限截止后以书面形式通知所有获取招标文件的潜在投标人</w:t>
            </w:r>
          </w:p>
        </w:tc>
      </w:tr>
      <w:tr w14:paraId="61D4EA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66CD619F">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1.10</w:t>
            </w:r>
          </w:p>
        </w:tc>
        <w:tc>
          <w:tcPr>
            <w:tcW w:w="8364" w:type="dxa"/>
            <w:tcBorders>
              <w:tl2br w:val="nil"/>
              <w:tr2bl w:val="nil"/>
            </w:tcBorders>
            <w:vAlign w:val="center"/>
          </w:tcPr>
          <w:p w14:paraId="27227A83">
            <w:pPr>
              <w:widowControl/>
              <w:adjustRightInd w:val="0"/>
              <w:snapToGrid w:val="0"/>
              <w:spacing w:line="440" w:lineRule="exact"/>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如投标人对多个包进行投标，可以中标</w:t>
            </w:r>
            <w:r>
              <w:rPr>
                <w:rFonts w:hint="eastAsia" w:ascii="宋体" w:hAnsi="宋体" w:eastAsia="宋体" w:cs="宋体"/>
                <w:kern w:val="0"/>
                <w:sz w:val="24"/>
                <w:highlight w:val="none"/>
                <w:u w:val="single"/>
                <w:lang w:val="en-US" w:eastAsia="zh-CN" w:bidi="ar"/>
              </w:rPr>
              <w:t>多个</w:t>
            </w:r>
            <w:r>
              <w:rPr>
                <w:rFonts w:hint="eastAsia" w:ascii="宋体" w:hAnsi="宋体" w:eastAsia="宋体" w:cs="宋体"/>
                <w:kern w:val="0"/>
                <w:sz w:val="24"/>
                <w:highlight w:val="none"/>
                <w:lang w:bidi="ar"/>
              </w:rPr>
              <w:t>包</w:t>
            </w:r>
            <w:r>
              <w:rPr>
                <w:rFonts w:hint="eastAsia" w:ascii="宋体" w:hAnsi="宋体" w:eastAsia="宋体" w:cs="宋体"/>
                <w:kern w:val="0"/>
                <w:sz w:val="24"/>
                <w:highlight w:val="none"/>
                <w:lang w:eastAsia="zh-CN" w:bidi="ar"/>
              </w:rPr>
              <w:t>。</w:t>
            </w:r>
          </w:p>
        </w:tc>
      </w:tr>
      <w:tr w14:paraId="5C5FAF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0C78F60E">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w:t>
            </w:r>
            <w:r>
              <w:rPr>
                <w:rFonts w:hint="eastAsia" w:ascii="宋体" w:hAnsi="宋体" w:eastAsia="宋体" w:cs="宋体"/>
                <w:kern w:val="0"/>
                <w:sz w:val="24"/>
                <w:highlight w:val="none"/>
                <w:lang w:bidi="ar"/>
              </w:rPr>
              <w:t>1</w:t>
            </w:r>
            <w:r>
              <w:rPr>
                <w:rFonts w:hint="eastAsia" w:ascii="宋体" w:hAnsi="宋体" w:eastAsia="宋体" w:cs="宋体"/>
                <w:kern w:val="0"/>
                <w:sz w:val="24"/>
                <w:highlight w:val="none"/>
                <w:lang w:val="en-US" w:eastAsia="zh-CN" w:bidi="ar"/>
              </w:rPr>
              <w:t>1</w:t>
            </w:r>
          </w:p>
        </w:tc>
        <w:tc>
          <w:tcPr>
            <w:tcW w:w="8364" w:type="dxa"/>
            <w:tcBorders>
              <w:tl2br w:val="nil"/>
              <w:tr2bl w:val="nil"/>
            </w:tcBorders>
            <w:vAlign w:val="center"/>
          </w:tcPr>
          <w:p w14:paraId="5219F7B5">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保证金形式：银行汇票、银行电汇、转账、本票或者金融机构、担保机构出具的保函等非现金形式提交。</w:t>
            </w:r>
          </w:p>
          <w:p w14:paraId="7BEE56E8">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保证金数额：</w:t>
            </w:r>
            <w:r>
              <w:rPr>
                <w:rFonts w:hint="eastAsia" w:ascii="宋体" w:hAnsi="宋体" w:eastAsia="宋体" w:cs="宋体"/>
                <w:kern w:val="0"/>
                <w:sz w:val="24"/>
                <w:highlight w:val="none"/>
                <w:lang w:val="en-US" w:eastAsia="zh-CN" w:bidi="ar"/>
              </w:rPr>
              <w:t>19700</w:t>
            </w:r>
            <w:r>
              <w:rPr>
                <w:rFonts w:hint="eastAsia" w:ascii="宋体" w:hAnsi="宋体" w:eastAsia="宋体" w:cs="宋体"/>
                <w:kern w:val="0"/>
                <w:sz w:val="24"/>
                <w:highlight w:val="none"/>
                <w:lang w:bidi="ar"/>
              </w:rPr>
              <w:t>元</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val="en-US" w:eastAsia="zh-CN" w:bidi="ar"/>
              </w:rPr>
              <w:t>壹万玖仟柒佰元整</w:t>
            </w:r>
            <w:r>
              <w:rPr>
                <w:rFonts w:hint="eastAsia" w:ascii="宋体" w:hAnsi="宋体" w:eastAsia="宋体" w:cs="宋体"/>
                <w:kern w:val="0"/>
                <w:sz w:val="24"/>
                <w:highlight w:val="none"/>
                <w:lang w:eastAsia="zh-CN" w:bidi="ar"/>
              </w:rPr>
              <w:t>）</w:t>
            </w:r>
          </w:p>
          <w:p w14:paraId="7F1B44E2">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开户单位名称：新疆君凯杰工程项目管理有限公司</w:t>
            </w:r>
          </w:p>
          <w:p w14:paraId="3F1551FD">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开户银行：中国农业银行乌鲁木齐昆仑路支行</w:t>
            </w:r>
          </w:p>
          <w:p w14:paraId="33DC4EFA">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账    号： 30006 4010 400 10690</w:t>
            </w:r>
          </w:p>
          <w:p w14:paraId="60ADF998">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行    号：10388 1000 646</w:t>
            </w:r>
          </w:p>
          <w:p w14:paraId="204FA865">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以电汇或银行转账形式缴纳保证金的投标人注意事项：</w:t>
            </w:r>
          </w:p>
          <w:p w14:paraId="6C7BF749">
            <w:pPr>
              <w:widowControl/>
              <w:adjustRightInd w:val="0"/>
              <w:snapToGrid w:val="0"/>
              <w:spacing w:line="440" w:lineRule="exact"/>
              <w:rPr>
                <w:rFonts w:hint="eastAsia" w:ascii="宋体" w:hAnsi="宋体" w:eastAsia="宋体" w:cs="宋体"/>
                <w:b/>
                <w:bCs/>
                <w:kern w:val="0"/>
                <w:sz w:val="24"/>
                <w:highlight w:val="none"/>
                <w:lang w:bidi="ar"/>
              </w:rPr>
            </w:pPr>
            <w:r>
              <w:rPr>
                <w:rFonts w:hint="eastAsia" w:ascii="宋体" w:hAnsi="宋体" w:eastAsia="宋体" w:cs="宋体"/>
                <w:kern w:val="0"/>
                <w:sz w:val="24"/>
                <w:highlight w:val="none"/>
                <w:lang w:bidi="ar"/>
              </w:rPr>
              <w:t>(1)若采用银行汇票、银行电汇、转账、本票时，在汇款附言（或银行摘要）中，</w:t>
            </w:r>
            <w:r>
              <w:rPr>
                <w:rFonts w:hint="eastAsia" w:ascii="宋体" w:hAnsi="宋体" w:eastAsia="宋体" w:cs="宋体"/>
                <w:b/>
                <w:bCs/>
                <w:kern w:val="0"/>
                <w:sz w:val="24"/>
                <w:highlight w:val="none"/>
                <w:lang w:bidi="ar"/>
              </w:rPr>
              <w:t>标明项目名称</w:t>
            </w:r>
            <w:r>
              <w:rPr>
                <w:rFonts w:hint="eastAsia" w:ascii="宋体" w:hAnsi="宋体" w:eastAsia="宋体" w:cs="宋体"/>
                <w:b/>
                <w:bCs/>
                <w:kern w:val="0"/>
                <w:sz w:val="24"/>
                <w:highlight w:val="none"/>
                <w:lang w:eastAsia="zh-CN" w:bidi="ar"/>
              </w:rPr>
              <w:t>或项目编号</w:t>
            </w:r>
            <w:r>
              <w:rPr>
                <w:rFonts w:hint="eastAsia" w:ascii="宋体" w:hAnsi="宋体" w:eastAsia="宋体" w:cs="宋体"/>
                <w:b/>
                <w:bCs/>
                <w:kern w:val="0"/>
                <w:sz w:val="24"/>
                <w:highlight w:val="none"/>
                <w:lang w:bidi="ar"/>
              </w:rPr>
              <w:t>、包号（如分包）。</w:t>
            </w:r>
          </w:p>
          <w:p w14:paraId="088F7C06">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1B7C6F54">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备注：投标保证金缴纳截止时间同开标时间一致。</w:t>
            </w:r>
          </w:p>
        </w:tc>
      </w:tr>
      <w:tr w14:paraId="3581B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9B2C6CD">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1.12</w:t>
            </w:r>
          </w:p>
        </w:tc>
        <w:tc>
          <w:tcPr>
            <w:tcW w:w="8364" w:type="dxa"/>
            <w:tcBorders>
              <w:tl2br w:val="nil"/>
              <w:tr2bl w:val="nil"/>
            </w:tcBorders>
            <w:vAlign w:val="center"/>
          </w:tcPr>
          <w:p w14:paraId="283BAD15">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投标有效期：90日历日</w:t>
            </w:r>
          </w:p>
        </w:tc>
      </w:tr>
      <w:tr w14:paraId="16D032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0AFCA8A">
            <w:pPr>
              <w:widowControl/>
              <w:adjustRightInd w:val="0"/>
              <w:snapToGrid w:val="0"/>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1.13</w:t>
            </w:r>
          </w:p>
        </w:tc>
        <w:tc>
          <w:tcPr>
            <w:tcW w:w="8364" w:type="dxa"/>
            <w:tcBorders>
              <w:tl2br w:val="nil"/>
              <w:tr2bl w:val="nil"/>
            </w:tcBorders>
            <w:vAlign w:val="center"/>
          </w:tcPr>
          <w:p w14:paraId="0F1219AB">
            <w:pPr>
              <w:widowControl/>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采用不见面开标（电子标）：</w:t>
            </w:r>
          </w:p>
          <w:p w14:paraId="1863DA81">
            <w:pPr>
              <w:widowControl/>
              <w:adjustRightInd w:val="0"/>
              <w:snapToGrid w:val="0"/>
              <w:spacing w:line="440" w:lineRule="exact"/>
              <w:rPr>
                <w:rFonts w:hint="eastAsia" w:ascii="宋体" w:hAnsi="宋体" w:eastAsia="宋体" w:cs="宋体"/>
                <w:highlight w:val="none"/>
              </w:rPr>
            </w:pPr>
            <w:r>
              <w:rPr>
                <w:rFonts w:hint="eastAsia" w:ascii="宋体" w:hAnsi="宋体" w:eastAsia="宋体" w:cs="宋体"/>
                <w:sz w:val="24"/>
                <w:highlight w:val="none"/>
              </w:rPr>
              <w:t>投标文件制作完成并生成加密标书，在开标前，供应商需将加密的投标文件上传至政采云平台,到达开标时间后,解密投标文件。</w:t>
            </w:r>
          </w:p>
        </w:tc>
      </w:tr>
      <w:tr w14:paraId="260CBE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18C6B25">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1.14</w:t>
            </w:r>
          </w:p>
        </w:tc>
        <w:tc>
          <w:tcPr>
            <w:tcW w:w="8364" w:type="dxa"/>
            <w:tcBorders>
              <w:tl2br w:val="nil"/>
              <w:tr2bl w:val="nil"/>
            </w:tcBorders>
            <w:vAlign w:val="center"/>
          </w:tcPr>
          <w:p w14:paraId="527F1D99">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投标截止时间：</w:t>
            </w:r>
            <w:r>
              <w:rPr>
                <w:rFonts w:hint="eastAsia" w:ascii="宋体" w:hAnsi="宋体" w:eastAsia="宋体" w:cs="宋体"/>
                <w:sz w:val="24"/>
                <w:highlight w:val="none"/>
                <w:lang w:eastAsia="zh-CN"/>
              </w:rPr>
              <w:t>2024年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15</w:t>
            </w:r>
            <w:r>
              <w:rPr>
                <w:rFonts w:hint="eastAsia" w:ascii="宋体" w:hAnsi="宋体" w:eastAsia="宋体" w:cs="宋体"/>
                <w:sz w:val="24"/>
                <w:highlight w:val="none"/>
                <w:lang w:eastAsia="zh-CN"/>
              </w:rPr>
              <w:t>日</w:t>
            </w:r>
            <w:r>
              <w:rPr>
                <w:rFonts w:hint="eastAsia" w:ascii="宋体" w:hAnsi="宋体" w:eastAsia="宋体" w:cs="宋体"/>
                <w:sz w:val="24"/>
                <w:highlight w:val="none"/>
              </w:rPr>
              <w:t>11:00（北京时间）</w:t>
            </w:r>
          </w:p>
        </w:tc>
      </w:tr>
      <w:tr w14:paraId="285FA8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1CC4A6F6">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1.15</w:t>
            </w:r>
          </w:p>
        </w:tc>
        <w:tc>
          <w:tcPr>
            <w:tcW w:w="8364" w:type="dxa"/>
            <w:tcBorders>
              <w:tl2br w:val="nil"/>
              <w:tr2bl w:val="nil"/>
            </w:tcBorders>
            <w:vAlign w:val="center"/>
          </w:tcPr>
          <w:p w14:paraId="5471496E">
            <w:pPr>
              <w:widowControl/>
              <w:adjustRightInd w:val="0"/>
              <w:snapToGrid w:val="0"/>
              <w:spacing w:line="440" w:lineRule="exac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开标时间：</w:t>
            </w:r>
            <w:r>
              <w:rPr>
                <w:rFonts w:hint="eastAsia" w:ascii="宋体" w:hAnsi="宋体" w:eastAsia="宋体" w:cs="宋体"/>
                <w:sz w:val="24"/>
                <w:highlight w:val="none"/>
                <w:lang w:eastAsia="zh-CN"/>
              </w:rPr>
              <w:t>2024年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15</w:t>
            </w:r>
            <w:r>
              <w:rPr>
                <w:rFonts w:hint="eastAsia" w:ascii="宋体" w:hAnsi="宋体" w:eastAsia="宋体" w:cs="宋体"/>
                <w:sz w:val="24"/>
                <w:highlight w:val="none"/>
                <w:lang w:eastAsia="zh-CN"/>
              </w:rPr>
              <w:t>日</w:t>
            </w:r>
            <w:r>
              <w:rPr>
                <w:rFonts w:hint="eastAsia" w:ascii="宋体" w:hAnsi="宋体" w:eastAsia="宋体" w:cs="宋体"/>
                <w:sz w:val="24"/>
                <w:highlight w:val="none"/>
              </w:rPr>
              <w:t>11:00（北京时间）</w:t>
            </w:r>
          </w:p>
          <w:p w14:paraId="5D6665F4">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开标地点：政采云平台（https://www.zcygov.cn/）不见面开标系统</w:t>
            </w:r>
          </w:p>
        </w:tc>
      </w:tr>
      <w:tr w14:paraId="3BE9E2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04C74646">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1.16</w:t>
            </w:r>
          </w:p>
        </w:tc>
        <w:tc>
          <w:tcPr>
            <w:tcW w:w="8364" w:type="dxa"/>
            <w:tcBorders>
              <w:bottom w:val="single" w:color="auto" w:sz="4" w:space="0"/>
              <w:tl2br w:val="nil"/>
              <w:tr2bl w:val="nil"/>
            </w:tcBorders>
            <w:vAlign w:val="center"/>
          </w:tcPr>
          <w:p w14:paraId="0EEB0B3D">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信用查询时间：公告发布之日起至递交投标截止时间前</w:t>
            </w:r>
          </w:p>
        </w:tc>
      </w:tr>
      <w:tr w14:paraId="1C247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6F695F04">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1.17</w:t>
            </w:r>
          </w:p>
        </w:tc>
        <w:tc>
          <w:tcPr>
            <w:tcW w:w="8364" w:type="dxa"/>
            <w:tcBorders>
              <w:top w:val="single" w:color="auto" w:sz="4" w:space="0"/>
              <w:tl2br w:val="nil"/>
              <w:tr2bl w:val="nil"/>
            </w:tcBorders>
            <w:vAlign w:val="center"/>
          </w:tcPr>
          <w:p w14:paraId="12588EED">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本项目是否允许分包：</w:t>
            </w:r>
          </w:p>
          <w:p w14:paraId="00F2082B">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☑不允许</w:t>
            </w:r>
          </w:p>
          <w:p w14:paraId="0A73B946">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□允许，具体要求：</w:t>
            </w:r>
          </w:p>
          <w:p w14:paraId="3AFBFF38">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（1）可以分包履行的具体内容：投标人自行拟定；</w:t>
            </w:r>
          </w:p>
          <w:p w14:paraId="1463AA33">
            <w:pPr>
              <w:widowControl/>
              <w:adjustRightInd w:val="0"/>
              <w:snapToGrid w:val="0"/>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（2）允许分包的金额或者比例：投标人自行拟定；</w:t>
            </w:r>
          </w:p>
          <w:p w14:paraId="53100986">
            <w:pPr>
              <w:widowControl/>
              <w:adjustRightInd w:val="0"/>
              <w:snapToGrid w:val="0"/>
              <w:spacing w:line="440" w:lineRule="exact"/>
              <w:rPr>
                <w:rFonts w:hint="eastAsia" w:ascii="宋体" w:hAnsi="宋体" w:eastAsia="宋体" w:cs="宋体"/>
                <w:highlight w:val="none"/>
              </w:rPr>
            </w:pPr>
            <w:r>
              <w:rPr>
                <w:rFonts w:hint="eastAsia" w:ascii="宋体" w:hAnsi="宋体" w:eastAsia="宋体" w:cs="宋体"/>
                <w:sz w:val="24"/>
                <w:highlight w:val="none"/>
                <w:lang w:val="en-US" w:eastAsia="zh-CN"/>
              </w:rPr>
              <w:t>（3）其他要求：/。</w:t>
            </w:r>
          </w:p>
        </w:tc>
      </w:tr>
      <w:tr w14:paraId="32CF17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E287CDF">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1.18</w:t>
            </w:r>
          </w:p>
        </w:tc>
        <w:tc>
          <w:tcPr>
            <w:tcW w:w="8364" w:type="dxa"/>
            <w:tcBorders>
              <w:tl2br w:val="nil"/>
              <w:tr2bl w:val="nil"/>
            </w:tcBorders>
            <w:vAlign w:val="center"/>
          </w:tcPr>
          <w:p w14:paraId="1DBDD680">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评标方法：综合评分法</w:t>
            </w:r>
          </w:p>
        </w:tc>
      </w:tr>
      <w:tr w14:paraId="6D70B1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D33ED46">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1.19</w:t>
            </w:r>
          </w:p>
        </w:tc>
        <w:tc>
          <w:tcPr>
            <w:tcW w:w="8364" w:type="dxa"/>
            <w:tcBorders>
              <w:tl2br w:val="nil"/>
              <w:tr2bl w:val="nil"/>
            </w:tcBorders>
            <w:vAlign w:val="center"/>
          </w:tcPr>
          <w:p w14:paraId="3912A846">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推荐中标候选投标人的数量：3</w:t>
            </w:r>
          </w:p>
        </w:tc>
      </w:tr>
      <w:tr w14:paraId="6EF5F0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18A69A1">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1.20</w:t>
            </w:r>
          </w:p>
        </w:tc>
        <w:tc>
          <w:tcPr>
            <w:tcW w:w="8364" w:type="dxa"/>
            <w:tcBorders>
              <w:tl2br w:val="nil"/>
              <w:tr2bl w:val="nil"/>
            </w:tcBorders>
            <w:vAlign w:val="center"/>
          </w:tcPr>
          <w:p w14:paraId="7A4F2669">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采购人是否委托评标委员会直接确定中标人：否</w:t>
            </w:r>
          </w:p>
        </w:tc>
      </w:tr>
      <w:tr w14:paraId="15624B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62480D0">
            <w:pPr>
              <w:widowControl/>
              <w:adjustRightInd w:val="0"/>
              <w:snapToGrid w:val="0"/>
              <w:spacing w:line="440" w:lineRule="exact"/>
              <w:jc w:val="center"/>
              <w:rPr>
                <w:rFonts w:hint="eastAsia" w:ascii="宋体" w:hAnsi="宋体" w:eastAsia="宋体" w:cs="宋体"/>
                <w:kern w:val="0"/>
                <w:sz w:val="24"/>
                <w:highlight w:val="none"/>
                <w:lang w:val="en-US" w:bidi="ar"/>
              </w:rPr>
            </w:pPr>
            <w:r>
              <w:rPr>
                <w:rFonts w:hint="eastAsia" w:ascii="宋体" w:hAnsi="宋体" w:eastAsia="宋体" w:cs="宋体"/>
                <w:kern w:val="0"/>
                <w:sz w:val="24"/>
                <w:highlight w:val="none"/>
                <w:lang w:val="en-US" w:eastAsia="zh-CN" w:bidi="ar"/>
              </w:rPr>
              <w:t>1.21</w:t>
            </w:r>
          </w:p>
        </w:tc>
        <w:tc>
          <w:tcPr>
            <w:tcW w:w="8364" w:type="dxa"/>
            <w:tcBorders>
              <w:tl2br w:val="nil"/>
              <w:tr2bl w:val="nil"/>
            </w:tcBorders>
          </w:tcPr>
          <w:p w14:paraId="583C6624">
            <w:pPr>
              <w:widowControl/>
              <w:adjustRightInd w:val="0"/>
              <w:snapToGrid w:val="0"/>
              <w:spacing w:line="440" w:lineRule="exact"/>
              <w:rPr>
                <w:rFonts w:hint="eastAsia" w:ascii="宋体" w:hAnsi="宋体" w:eastAsia="宋体" w:cs="宋体"/>
                <w:sz w:val="24"/>
                <w:highlight w:val="none"/>
                <w:lang w:eastAsia="zh-CN"/>
              </w:rPr>
            </w:pPr>
            <w:r>
              <w:rPr>
                <w:rFonts w:hint="eastAsia" w:ascii="宋体" w:hAnsi="宋体" w:eastAsia="宋体" w:cs="宋体"/>
                <w:sz w:val="24"/>
                <w:highlight w:val="none"/>
              </w:rPr>
              <w:t>提交履约保证金的时间：签订合同后/日历日（不适用）</w:t>
            </w:r>
          </w:p>
          <w:p w14:paraId="3F2735A0">
            <w:pPr>
              <w:widowControl/>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履约保证金金额：/</w:t>
            </w:r>
          </w:p>
          <w:p w14:paraId="0937A72F">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sz w:val="24"/>
                <w:highlight w:val="none"/>
              </w:rPr>
              <w:t>履约保证金形式：/</w:t>
            </w:r>
          </w:p>
        </w:tc>
      </w:tr>
      <w:tr w14:paraId="460A89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D09E2CF">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1.22</w:t>
            </w:r>
          </w:p>
        </w:tc>
        <w:tc>
          <w:tcPr>
            <w:tcW w:w="8364" w:type="dxa"/>
            <w:tcBorders>
              <w:tl2br w:val="nil"/>
              <w:tr2bl w:val="nil"/>
            </w:tcBorders>
          </w:tcPr>
          <w:p w14:paraId="3ED0F9DD">
            <w:pPr>
              <w:widowControl/>
              <w:adjustRightInd w:val="0"/>
              <w:snapToGrid w:val="0"/>
              <w:spacing w:line="44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1、是否由中标人缴纳招标代理费：是</w:t>
            </w:r>
          </w:p>
          <w:p w14:paraId="4347FD32">
            <w:pPr>
              <w:widowControl/>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招标代理费：参照原国家计委计价格【2002】1980号文的计算方法收取。</w:t>
            </w:r>
          </w:p>
          <w:p w14:paraId="0763DAA3">
            <w:pPr>
              <w:widowControl/>
              <w:numPr>
                <w:ilvl w:val="0"/>
                <w:numId w:val="3"/>
              </w:numPr>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支付形式：支票、电汇等形式</w:t>
            </w:r>
          </w:p>
          <w:p w14:paraId="7717A4D2">
            <w:pPr>
              <w:widowControl/>
              <w:adjustRightInd w:val="0"/>
              <w:snapToGrid w:val="0"/>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3、支付时间：在中标人领取中标通知书时，由中标人向采购代理机构一次性支付全部招标代理服务费</w:t>
            </w:r>
          </w:p>
        </w:tc>
      </w:tr>
      <w:tr w14:paraId="77EE83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B789D0C">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1.23</w:t>
            </w:r>
          </w:p>
        </w:tc>
        <w:tc>
          <w:tcPr>
            <w:tcW w:w="8364" w:type="dxa"/>
            <w:tcBorders>
              <w:tl2br w:val="nil"/>
              <w:tr2bl w:val="nil"/>
            </w:tcBorders>
          </w:tcPr>
          <w:p w14:paraId="5214B4CE">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针对同一采购程序环节的质疑次数：</w:t>
            </w:r>
          </w:p>
          <w:p w14:paraId="384E6A7F">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sym w:font="Wingdings 2" w:char="0052"/>
            </w:r>
            <w:r>
              <w:rPr>
                <w:rFonts w:hint="eastAsia" w:ascii="宋体" w:hAnsi="宋体" w:eastAsia="宋体" w:cs="宋体"/>
                <w:kern w:val="0"/>
                <w:sz w:val="24"/>
                <w:highlight w:val="none"/>
                <w:lang w:bidi="ar"/>
              </w:rPr>
              <w:t>一次性提出</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多次提出</w:t>
            </w:r>
          </w:p>
        </w:tc>
      </w:tr>
      <w:tr w14:paraId="7F8EDD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49C74B3C">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1.24</w:t>
            </w:r>
          </w:p>
        </w:tc>
        <w:tc>
          <w:tcPr>
            <w:tcW w:w="8364" w:type="dxa"/>
            <w:tcBorders>
              <w:tl2br w:val="nil"/>
              <w:tr2bl w:val="nil"/>
            </w:tcBorders>
            <w:vAlign w:val="top"/>
          </w:tcPr>
          <w:p w14:paraId="68AECE71">
            <w:pPr>
              <w:widowControl/>
              <w:adjustRightInd w:val="0"/>
              <w:snapToGrid w:val="0"/>
              <w:spacing w:line="440" w:lineRule="exact"/>
              <w:jc w:val="left"/>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项目属性：</w:t>
            </w:r>
            <w:r>
              <w:rPr>
                <w:rFonts w:hint="eastAsia" w:ascii="宋体" w:hAnsi="宋体" w:eastAsia="宋体" w:cs="宋体"/>
                <w:b/>
                <w:bCs/>
                <w:kern w:val="0"/>
                <w:sz w:val="24"/>
                <w:highlight w:val="none"/>
                <w:lang w:eastAsia="zh-CN" w:bidi="ar"/>
              </w:rPr>
              <w:t>服务</w:t>
            </w:r>
          </w:p>
        </w:tc>
      </w:tr>
      <w:tr w14:paraId="6FEFA8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02168DD">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1.25</w:t>
            </w:r>
          </w:p>
        </w:tc>
        <w:tc>
          <w:tcPr>
            <w:tcW w:w="8364" w:type="dxa"/>
            <w:tcBorders>
              <w:tl2br w:val="nil"/>
              <w:tr2bl w:val="nil"/>
            </w:tcBorders>
            <w:vAlign w:val="top"/>
          </w:tcPr>
          <w:p w14:paraId="03229F86">
            <w:pPr>
              <w:widowControl/>
              <w:adjustRightInd w:val="0"/>
              <w:snapToGrid w:val="0"/>
              <w:spacing w:line="44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现场演示：</w:t>
            </w:r>
          </w:p>
          <w:p w14:paraId="29CC99AB">
            <w:pPr>
              <w:widowControl/>
              <w:adjustRightInd w:val="0"/>
              <w:snapToGrid w:val="0"/>
              <w:spacing w:line="440" w:lineRule="exact"/>
              <w:jc w:val="left"/>
              <w:rPr>
                <w:rFonts w:hint="eastAsia" w:ascii="宋体" w:hAnsi="宋体" w:eastAsia="宋体" w:cs="宋体"/>
                <w:b w:val="0"/>
                <w:bCs w:val="0"/>
                <w:color w:val="000000"/>
                <w:kern w:val="0"/>
                <w:sz w:val="24"/>
                <w:highlight w:val="none"/>
                <w:lang w:val="zh-CN"/>
              </w:rPr>
            </w:pPr>
            <w:r>
              <w:rPr>
                <w:rFonts w:hint="eastAsia" w:ascii="宋体" w:hAnsi="宋体" w:eastAsia="宋体" w:cs="宋体"/>
                <w:b w:val="0"/>
                <w:bCs w:val="0"/>
                <w:color w:val="000000"/>
                <w:kern w:val="0"/>
                <w:sz w:val="24"/>
                <w:highlight w:val="none"/>
                <w:lang w:val="zh-CN"/>
              </w:rPr>
              <w:sym w:font="Wingdings 2" w:char="00A3"/>
            </w:r>
            <w:r>
              <w:rPr>
                <w:rFonts w:hint="eastAsia" w:ascii="宋体" w:hAnsi="宋体" w:eastAsia="宋体" w:cs="宋体"/>
                <w:b w:val="0"/>
                <w:bCs w:val="0"/>
                <w:color w:val="000000"/>
                <w:kern w:val="0"/>
                <w:sz w:val="24"/>
                <w:highlight w:val="none"/>
                <w:lang w:val="zh-CN"/>
              </w:rPr>
              <w:t>不需要。</w:t>
            </w:r>
          </w:p>
          <w:p w14:paraId="740A98A0">
            <w:pPr>
              <w:widowControl/>
              <w:adjustRightInd w:val="0"/>
              <w:snapToGrid w:val="0"/>
              <w:spacing w:line="440" w:lineRule="exact"/>
              <w:jc w:val="left"/>
              <w:rPr>
                <w:rFonts w:hint="eastAsia" w:ascii="宋体" w:hAnsi="宋体" w:eastAsia="宋体" w:cs="宋体"/>
                <w:b w:val="0"/>
                <w:bCs w:val="0"/>
                <w:color w:val="000000"/>
                <w:kern w:val="0"/>
                <w:sz w:val="24"/>
                <w:highlight w:val="none"/>
                <w:lang w:val="zh-CN"/>
              </w:rPr>
            </w:pPr>
            <w:r>
              <w:rPr>
                <w:rFonts w:hint="eastAsia" w:ascii="宋体" w:hAnsi="宋体" w:eastAsia="宋体" w:cs="宋体"/>
                <w:b w:val="0"/>
                <w:bCs w:val="0"/>
                <w:color w:val="000000"/>
                <w:kern w:val="0"/>
                <w:sz w:val="24"/>
                <w:highlight w:val="none"/>
                <w:lang w:val="zh-CN"/>
              </w:rPr>
              <w:sym w:font="Wingdings 2" w:char="0052"/>
            </w:r>
            <w:r>
              <w:rPr>
                <w:rFonts w:hint="eastAsia" w:ascii="宋体" w:hAnsi="宋体" w:eastAsia="宋体" w:cs="宋体"/>
                <w:b/>
                <w:bCs/>
                <w:color w:val="000000"/>
                <w:kern w:val="0"/>
                <w:sz w:val="24"/>
                <w:highlight w:val="none"/>
                <w:lang w:val="zh-CN"/>
              </w:rPr>
              <w:t>需要，演示要求如下：</w:t>
            </w:r>
          </w:p>
          <w:p w14:paraId="4BC4001F">
            <w:pPr>
              <w:widowControl/>
              <w:adjustRightInd w:val="0"/>
              <w:snapToGrid w:val="0"/>
              <w:spacing w:line="44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zh-CN"/>
              </w:rPr>
              <w:t>1、演示内容：</w:t>
            </w:r>
            <w:r>
              <w:rPr>
                <w:rFonts w:hint="eastAsia" w:ascii="宋体" w:hAnsi="宋体" w:eastAsia="宋体" w:cs="宋体"/>
                <w:color w:val="000000"/>
                <w:kern w:val="0"/>
                <w:sz w:val="24"/>
                <w:highlight w:val="none"/>
              </w:rPr>
              <w:t>根据评分项内容</w:t>
            </w:r>
            <w:r>
              <w:rPr>
                <w:rFonts w:hint="eastAsia" w:ascii="宋体" w:hAnsi="宋体" w:eastAsia="宋体" w:cs="宋体"/>
                <w:color w:val="000000"/>
                <w:kern w:val="0"/>
                <w:sz w:val="24"/>
                <w:highlight w:val="none"/>
                <w:lang w:eastAsia="zh-CN"/>
              </w:rPr>
              <w:t>。</w:t>
            </w:r>
          </w:p>
          <w:p w14:paraId="071EE7F4">
            <w:pPr>
              <w:widowControl/>
              <w:adjustRightInd w:val="0"/>
              <w:snapToGrid w:val="0"/>
              <w:spacing w:line="44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zh-CN"/>
              </w:rPr>
              <w:t>2、演示人员：</w:t>
            </w:r>
            <w:r>
              <w:rPr>
                <w:rFonts w:hint="eastAsia" w:ascii="宋体" w:hAnsi="宋体" w:eastAsia="宋体" w:cs="宋体"/>
                <w:color w:val="000000"/>
                <w:kern w:val="0"/>
                <w:sz w:val="24"/>
                <w:highlight w:val="none"/>
              </w:rPr>
              <w:t>授权代表或项目负责人</w:t>
            </w:r>
            <w:r>
              <w:rPr>
                <w:rFonts w:hint="eastAsia" w:ascii="宋体" w:hAnsi="宋体" w:eastAsia="宋体" w:cs="宋体"/>
                <w:color w:val="000000"/>
                <w:kern w:val="0"/>
                <w:sz w:val="24"/>
                <w:highlight w:val="none"/>
                <w:lang w:eastAsia="zh-CN"/>
              </w:rPr>
              <w:t>。</w:t>
            </w:r>
          </w:p>
          <w:p w14:paraId="20A309F0">
            <w:pPr>
              <w:widowControl/>
              <w:adjustRightInd w:val="0"/>
              <w:snapToGrid w:val="0"/>
              <w:spacing w:line="440" w:lineRule="exact"/>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3、演示时限：</w:t>
            </w:r>
            <w:r>
              <w:rPr>
                <w:rFonts w:hint="eastAsia" w:ascii="宋体" w:hAnsi="宋体" w:eastAsia="宋体" w:cs="宋体"/>
                <w:color w:val="000000"/>
                <w:kern w:val="0"/>
                <w:sz w:val="24"/>
                <w:highlight w:val="none"/>
                <w:lang w:val="en-US" w:eastAsia="zh-CN"/>
              </w:rPr>
              <w:t>30</w:t>
            </w:r>
            <w:r>
              <w:rPr>
                <w:rFonts w:hint="eastAsia" w:ascii="宋体" w:hAnsi="宋体" w:eastAsia="宋体" w:cs="宋体"/>
                <w:color w:val="000000"/>
                <w:kern w:val="0"/>
                <w:sz w:val="24"/>
                <w:highlight w:val="none"/>
              </w:rPr>
              <w:t>分钟</w:t>
            </w:r>
            <w:r>
              <w:rPr>
                <w:rFonts w:hint="eastAsia" w:ascii="宋体" w:hAnsi="宋体" w:eastAsia="宋体" w:cs="宋体"/>
                <w:color w:val="000000"/>
                <w:kern w:val="0"/>
                <w:sz w:val="24"/>
                <w:highlight w:val="none"/>
                <w:lang w:val="en-US" w:eastAsia="zh-CN"/>
              </w:rPr>
              <w:t>内</w:t>
            </w:r>
            <w:r>
              <w:rPr>
                <w:rFonts w:hint="eastAsia" w:ascii="宋体" w:hAnsi="宋体" w:eastAsia="宋体" w:cs="宋体"/>
                <w:color w:val="000000"/>
                <w:kern w:val="0"/>
                <w:sz w:val="24"/>
                <w:highlight w:val="none"/>
                <w:lang w:val="zh-CN"/>
              </w:rPr>
              <w:t>。</w:t>
            </w:r>
          </w:p>
          <w:p w14:paraId="4693615D">
            <w:pPr>
              <w:widowControl/>
              <w:adjustRightInd w:val="0"/>
              <w:snapToGrid w:val="0"/>
              <w:spacing w:line="44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zh-CN"/>
              </w:rPr>
              <w:t>4、演示形式：</w:t>
            </w:r>
            <w:r>
              <w:rPr>
                <w:rFonts w:hint="eastAsia" w:ascii="宋体" w:hAnsi="宋体" w:eastAsia="宋体" w:cs="宋体"/>
                <w:color w:val="000000"/>
                <w:kern w:val="0"/>
                <w:sz w:val="24"/>
                <w:highlight w:val="none"/>
              </w:rPr>
              <w:t>投标人</w:t>
            </w:r>
            <w:r>
              <w:rPr>
                <w:rFonts w:hint="eastAsia" w:ascii="宋体" w:hAnsi="宋体" w:eastAsia="宋体" w:cs="宋体"/>
                <w:color w:val="000000"/>
                <w:kern w:val="0"/>
                <w:sz w:val="24"/>
                <w:highlight w:val="none"/>
                <w:lang w:val="en-US" w:eastAsia="zh-CN"/>
              </w:rPr>
              <w:t>在政采云平台上</w:t>
            </w:r>
            <w:r>
              <w:rPr>
                <w:rFonts w:hint="eastAsia" w:ascii="宋体" w:hAnsi="宋体" w:eastAsia="宋体" w:cs="宋体"/>
                <w:color w:val="000000"/>
                <w:kern w:val="0"/>
                <w:sz w:val="24"/>
                <w:highlight w:val="none"/>
              </w:rPr>
              <w:t>演示</w:t>
            </w:r>
            <w:r>
              <w:rPr>
                <w:rFonts w:hint="eastAsia" w:ascii="宋体" w:hAnsi="宋体" w:eastAsia="宋体" w:cs="宋体"/>
                <w:color w:val="000000"/>
                <w:kern w:val="0"/>
                <w:sz w:val="24"/>
                <w:highlight w:val="none"/>
                <w:lang w:eastAsia="zh-CN"/>
              </w:rPr>
              <w:t>。</w:t>
            </w:r>
          </w:p>
          <w:p w14:paraId="1AE406E9">
            <w:pPr>
              <w:widowControl/>
              <w:adjustRightInd w:val="0"/>
              <w:snapToGrid w:val="0"/>
              <w:spacing w:line="440" w:lineRule="exact"/>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注意：投标人须提前准备演示内容，具体内容详见评分标准。提前配置好演示设备。</w:t>
            </w:r>
          </w:p>
          <w:p w14:paraId="41633361">
            <w:pPr>
              <w:widowControl/>
              <w:numPr>
                <w:ilvl w:val="0"/>
                <w:numId w:val="4"/>
              </w:numPr>
              <w:adjustRightInd w:val="0"/>
              <w:snapToGrid w:val="0"/>
              <w:spacing w:line="440" w:lineRule="exact"/>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演示点：移动护理+护理管理√14个、通用治疗系统√9个、临床药学系统√7个</w:t>
            </w:r>
          </w:p>
          <w:p w14:paraId="700E7ACF">
            <w:pPr>
              <w:widowControl/>
              <w:numPr>
                <w:ilvl w:val="0"/>
                <w:numId w:val="4"/>
              </w:numPr>
              <w:adjustRightInd w:val="0"/>
              <w:snapToGrid w:val="0"/>
              <w:spacing w:line="440" w:lineRule="exact"/>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备份演示文件在投标截止前加密发送至360522467@qq.com邮箱，如遇平台原因无法在政采云平台演示的由代理机构向投标人发送邮件获取演示视频密码现场播放。</w:t>
            </w:r>
          </w:p>
        </w:tc>
      </w:tr>
      <w:tr w14:paraId="06B68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D7E33DA">
            <w:pPr>
              <w:widowControl/>
              <w:adjustRightInd w:val="0"/>
              <w:snapToGrid w:val="0"/>
              <w:spacing w:line="440" w:lineRule="exact"/>
              <w:jc w:val="center"/>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1.26</w:t>
            </w:r>
          </w:p>
        </w:tc>
        <w:tc>
          <w:tcPr>
            <w:tcW w:w="8364" w:type="dxa"/>
            <w:tcBorders>
              <w:tl2br w:val="nil"/>
              <w:tr2bl w:val="nil"/>
            </w:tcBorders>
            <w:vAlign w:val="top"/>
          </w:tcPr>
          <w:p w14:paraId="0589A689">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开标结束后，中标单位需在中标后</w:t>
            </w:r>
            <w:r>
              <w:rPr>
                <w:rFonts w:hint="eastAsia" w:ascii="宋体" w:hAnsi="宋体" w:eastAsia="宋体" w:cs="宋体"/>
                <w:kern w:val="0"/>
                <w:sz w:val="24"/>
                <w:highlight w:val="none"/>
                <w:lang w:eastAsia="zh-CN" w:bidi="ar"/>
              </w:rPr>
              <w:t>三</w:t>
            </w:r>
            <w:r>
              <w:rPr>
                <w:rFonts w:hint="eastAsia" w:ascii="宋体" w:hAnsi="宋体" w:eastAsia="宋体" w:cs="宋体"/>
                <w:kern w:val="0"/>
                <w:sz w:val="24"/>
                <w:highlight w:val="none"/>
                <w:lang w:bidi="ar"/>
              </w:rPr>
              <w:t>个工作日内提供纸质版响应文件正本1份，副本2份（要求盖章+胶装）</w:t>
            </w:r>
          </w:p>
        </w:tc>
      </w:tr>
      <w:tr w14:paraId="0F5AD0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7127A530">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适用于本投标人须知额外增加</w:t>
            </w:r>
            <w:r>
              <w:rPr>
                <w:rFonts w:hint="eastAsia" w:ascii="宋体" w:hAnsi="宋体" w:eastAsia="宋体" w:cs="宋体"/>
                <w:kern w:val="0"/>
                <w:sz w:val="24"/>
                <w:highlight w:val="none"/>
                <w:lang w:eastAsia="zh-CN" w:bidi="ar"/>
              </w:rPr>
              <w:t>的</w:t>
            </w:r>
            <w:r>
              <w:rPr>
                <w:rFonts w:hint="eastAsia" w:ascii="宋体" w:hAnsi="宋体" w:eastAsia="宋体" w:cs="宋体"/>
                <w:kern w:val="0"/>
                <w:sz w:val="24"/>
                <w:highlight w:val="none"/>
                <w:lang w:bidi="ar"/>
              </w:rPr>
              <w:t>变动：</w:t>
            </w:r>
          </w:p>
          <w:p w14:paraId="0473E2CF">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1、关于本项目所有公告、公示在新疆政府采购网发布。</w:t>
            </w:r>
          </w:p>
          <w:p w14:paraId="2C370A89">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2、请投标单位随时关注本项目的澄清、答疑、变更事项。</w:t>
            </w:r>
          </w:p>
          <w:p w14:paraId="0131D808">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3、本项目实行电子招投标，供应商须登录政采云平台申请获取招标文件，并通过政采云电子投标客户端制作响应文件，同时自行承担与投标有关的一切费用。</w:t>
            </w:r>
          </w:p>
          <w:p w14:paraId="1E3D778C">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2ED09D24">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6ADAFBBD">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3DC35FCA">
            <w:pPr>
              <w:widowControl/>
              <w:adjustRightInd w:val="0"/>
              <w:snapToGrid w:val="0"/>
              <w:spacing w:line="440" w:lineRule="exact"/>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17D5ED">
            <w:pPr>
              <w:widowControl/>
              <w:adjustRightInd w:val="0"/>
              <w:snapToGrid w:val="0"/>
              <w:spacing w:line="440" w:lineRule="exact"/>
              <w:jc w:val="left"/>
              <w:rPr>
                <w:rFonts w:hint="eastAsia" w:ascii="宋体" w:hAnsi="宋体" w:eastAsia="宋体" w:cs="宋体"/>
                <w:highlight w:val="none"/>
              </w:rPr>
            </w:pPr>
            <w:r>
              <w:rPr>
                <w:rFonts w:hint="eastAsia" w:ascii="宋体" w:hAnsi="宋体" w:eastAsia="宋体" w:cs="宋体"/>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55B50B6A">
      <w:pPr>
        <w:pStyle w:val="53"/>
        <w:spacing w:line="440" w:lineRule="exact"/>
        <w:rPr>
          <w:rFonts w:hint="eastAsia" w:ascii="宋体" w:hAnsi="宋体" w:eastAsia="宋体" w:cs="宋体"/>
          <w:sz w:val="24"/>
          <w:highlight w:val="none"/>
        </w:rPr>
      </w:pPr>
      <w:r>
        <w:rPr>
          <w:rFonts w:hint="eastAsia" w:ascii="宋体" w:hAnsi="宋体" w:eastAsia="宋体" w:cs="宋体"/>
          <w:sz w:val="24"/>
          <w:highlight w:val="none"/>
        </w:rPr>
        <w:t>注：1、本表内容与招标文件其它内容不一致的，应当以本表内容为准。</w:t>
      </w:r>
    </w:p>
    <w:p w14:paraId="53DF96D0">
      <w:pPr>
        <w:pStyle w:val="53"/>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2、本表中“</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sz w:val="24"/>
          <w:highlight w:val="none"/>
        </w:rPr>
        <w:fldChar w:fldCharType="end"/>
      </w:r>
      <w:r>
        <w:rPr>
          <w:rFonts w:hint="eastAsia" w:ascii="宋体" w:hAnsi="宋体" w:eastAsia="宋体" w:cs="宋体"/>
          <w:sz w:val="24"/>
          <w:highlight w:val="none"/>
        </w:rPr>
        <w:t>”标示选择使用该项，“□”标示不选择使用该项。</w:t>
      </w:r>
      <w:bookmarkStart w:id="18" w:name="EB61dc4c9ac9c04154b29a6c247670320a"/>
      <w:bookmarkEnd w:id="18"/>
    </w:p>
    <w:p w14:paraId="4771BD97">
      <w:pPr>
        <w:adjustRightInd w:val="0"/>
        <w:snapToGrid w:val="0"/>
        <w:spacing w:line="360" w:lineRule="auto"/>
        <w:rPr>
          <w:rFonts w:hint="eastAsia" w:ascii="宋体" w:hAnsi="宋体" w:eastAsia="宋体" w:cs="宋体"/>
          <w:sz w:val="24"/>
          <w:highlight w:val="none"/>
        </w:rPr>
      </w:pPr>
    </w:p>
    <w:p w14:paraId="46AC612E">
      <w:pPr>
        <w:rPr>
          <w:rFonts w:hint="eastAsia" w:ascii="宋体" w:hAnsi="宋体" w:eastAsia="宋体" w:cs="宋体"/>
          <w:sz w:val="24"/>
          <w:highlight w:val="none"/>
        </w:rPr>
      </w:pPr>
      <w:r>
        <w:rPr>
          <w:rFonts w:hint="eastAsia" w:ascii="宋体" w:hAnsi="宋体" w:eastAsia="宋体" w:cs="宋体"/>
          <w:sz w:val="24"/>
          <w:highlight w:val="none"/>
        </w:rPr>
        <w:br w:type="page"/>
      </w:r>
    </w:p>
    <w:p w14:paraId="48991A94">
      <w:pPr>
        <w:adjustRightInd w:val="0"/>
        <w:snapToGrid w:val="0"/>
        <w:spacing w:line="440" w:lineRule="exact"/>
        <w:jc w:val="center"/>
        <w:outlineLvl w:val="0"/>
        <w:rPr>
          <w:rFonts w:hint="eastAsia" w:ascii="宋体" w:hAnsi="宋体" w:eastAsia="宋体" w:cs="宋体"/>
          <w:b/>
          <w:bCs/>
          <w:sz w:val="32"/>
          <w:szCs w:val="32"/>
          <w:highlight w:val="none"/>
        </w:rPr>
      </w:pPr>
      <w:bookmarkStart w:id="19" w:name="_Toc3899"/>
      <w:r>
        <w:rPr>
          <w:rFonts w:hint="eastAsia" w:ascii="宋体" w:hAnsi="宋体" w:eastAsia="宋体" w:cs="宋体"/>
          <w:b/>
          <w:bCs/>
          <w:sz w:val="32"/>
          <w:szCs w:val="32"/>
          <w:highlight w:val="none"/>
        </w:rPr>
        <w:t>第三章投标人须知</w:t>
      </w:r>
      <w:bookmarkEnd w:id="19"/>
    </w:p>
    <w:p w14:paraId="7781CC7B">
      <w:pPr>
        <w:adjustRightInd w:val="0"/>
        <w:snapToGrid w:val="0"/>
        <w:spacing w:line="44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一、说明</w:t>
      </w:r>
    </w:p>
    <w:p w14:paraId="0FD21E12">
      <w:pPr>
        <w:adjustRightInd w:val="0"/>
        <w:snapToGrid w:val="0"/>
        <w:spacing w:line="440" w:lineRule="exact"/>
        <w:ind w:left="635" w:leftChars="229" w:hanging="154" w:hangingChars="64"/>
        <w:rPr>
          <w:rFonts w:hint="eastAsia" w:ascii="宋体" w:hAnsi="宋体" w:eastAsia="宋体" w:cs="宋体"/>
          <w:b/>
          <w:bCs/>
          <w:sz w:val="24"/>
          <w:highlight w:val="none"/>
        </w:rPr>
      </w:pPr>
      <w:r>
        <w:rPr>
          <w:rFonts w:hint="eastAsia" w:ascii="宋体" w:hAnsi="宋体" w:eastAsia="宋体" w:cs="宋体"/>
          <w:b/>
          <w:bCs/>
          <w:sz w:val="24"/>
          <w:highlight w:val="none"/>
        </w:rPr>
        <w:t>1.采购人、采购代理机构及投标人</w:t>
      </w:r>
    </w:p>
    <w:p w14:paraId="4D5A14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1.1采购人：是指依法进行政府采购的国家机构、事业单位、团体组织。</w:t>
      </w:r>
    </w:p>
    <w:p w14:paraId="5B052F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1.2采购代理机构：本次招标的采购代理机构为</w:t>
      </w:r>
      <w:r>
        <w:rPr>
          <w:rFonts w:hint="eastAsia" w:ascii="宋体" w:hAnsi="宋体" w:eastAsia="宋体" w:cs="宋体"/>
          <w:sz w:val="24"/>
          <w:highlight w:val="none"/>
          <w:lang w:val="en-US" w:eastAsia="zh-CN"/>
        </w:rPr>
        <w:t>新疆君凯杰工程项目管理有限公司</w:t>
      </w:r>
      <w:r>
        <w:rPr>
          <w:rFonts w:hint="eastAsia" w:ascii="宋体" w:hAnsi="宋体" w:eastAsia="宋体" w:cs="宋体"/>
          <w:sz w:val="24"/>
          <w:highlight w:val="none"/>
        </w:rPr>
        <w:t>。</w:t>
      </w:r>
    </w:p>
    <w:p w14:paraId="6BB818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1.3投标人：是指响应招标、参加投标竞争的法人、非法人组织或者自然人。潜在投标人：以招标文件规定的方式获取本项目招标文件的法人、非法人组织或者自然人。</w:t>
      </w:r>
    </w:p>
    <w:p w14:paraId="50B3AF0D">
      <w:pPr>
        <w:adjustRightInd w:val="0"/>
        <w:snapToGrid w:val="0"/>
        <w:spacing w:line="440" w:lineRule="exact"/>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rPr>
        <w:t>投标人须满足以下条件：</w:t>
      </w:r>
    </w:p>
    <w:p w14:paraId="6D85B4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具备《中华人民共和国政府采购法》第二十二条关于投标人条件的规定，遵守国家、本项目采购人本级和上级财政部门政府采购的有关规定。</w:t>
      </w:r>
    </w:p>
    <w:p w14:paraId="457940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以招标文件规定的方式获得了本项目的招标文件。</w:t>
      </w:r>
    </w:p>
    <w:p w14:paraId="64397F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符合</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中规定的其他资格要求。</w:t>
      </w:r>
    </w:p>
    <w:p w14:paraId="488749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1.4如经财政主管部门批准可以采购进口产品，将在</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中写明。但投标人应保证所投产品可履行合法通关手续进入中国境内。若</w:t>
      </w:r>
      <w:r>
        <w:rPr>
          <w:rFonts w:hint="eastAsia" w:ascii="宋体" w:hAnsi="宋体" w:eastAsia="宋体" w:cs="宋体"/>
          <w:sz w:val="24"/>
          <w:highlight w:val="none"/>
          <w:u w:val="single"/>
        </w:rPr>
        <w:t>投标须知前附表中</w:t>
      </w:r>
      <w:r>
        <w:rPr>
          <w:rFonts w:hint="eastAsia" w:ascii="宋体" w:hAnsi="宋体" w:eastAsia="宋体" w:cs="宋体"/>
          <w:sz w:val="24"/>
          <w:highlight w:val="none"/>
        </w:rPr>
        <w:t>未写明允许采购进口产品，如投标人所投产品为进口产品，其投标将作为</w:t>
      </w:r>
      <w:r>
        <w:rPr>
          <w:rFonts w:hint="eastAsia" w:ascii="宋体" w:hAnsi="宋体" w:eastAsia="宋体" w:cs="宋体"/>
          <w:b/>
          <w:bCs/>
          <w:sz w:val="24"/>
          <w:highlight w:val="none"/>
          <w:u w:val="single"/>
        </w:rPr>
        <w:t>无效投标</w:t>
      </w:r>
      <w:r>
        <w:rPr>
          <w:rFonts w:hint="eastAsia" w:ascii="宋体" w:hAnsi="宋体" w:eastAsia="宋体" w:cs="宋体"/>
          <w:sz w:val="24"/>
          <w:highlight w:val="none"/>
          <w:u w:val="single"/>
        </w:rPr>
        <w:t>被拒绝。</w:t>
      </w:r>
    </w:p>
    <w:p w14:paraId="157B52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1.5中小企业、监狱企业及残疾人福利性单位。</w:t>
      </w:r>
    </w:p>
    <w:p w14:paraId="017949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1.5.1采购标的对应的中小企业划分标准所属行业见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u w:val="none"/>
          <w:lang w:eastAsia="zh-CN"/>
        </w:rPr>
        <w:t>。</w:t>
      </w:r>
    </w:p>
    <w:p w14:paraId="2299F2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1.5.2若投标须知前附表中写明专门面向中小或小微企业采购的，如投标人所提供的货物为非中小或小微企业制造，或提供的服务、工程为非中小或小微企业承接，其投标将被认定为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。若投标须知前附表中写明本项目预留部分采购项目预算专门面向中小企业采购的，本项目面向中小企业采购预留份额、措施及比例见投标须知前附表，未达到上述比例的投标将被认定为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。承接企业如为监狱企业或残疾人福利性单位的，视同为小型、微型企业。</w:t>
      </w:r>
    </w:p>
    <w:p w14:paraId="60FAFA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008A21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1.5.4投标人提供的货物、工程或者服务符合下列情形的，享受中小企业扶持政策：</w:t>
      </w:r>
    </w:p>
    <w:p w14:paraId="4CC7A7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（1）在货物采购项目中，货物由中小企业制造，即货物由中小企业生产且使用该中小企业商号或者注册商标；</w:t>
      </w:r>
    </w:p>
    <w:p w14:paraId="1405A6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（2）在工程采购项目中，工程由中小企业承建，即工程施工单位为中小企业；</w:t>
      </w:r>
    </w:p>
    <w:p w14:paraId="04C6DD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（3）在服务采购项目中，服务由中小企业承接，即提供服务的人员为中小企业依照《中华人民共和国劳动合同法》订立劳动合同的从业人员。</w:t>
      </w:r>
    </w:p>
    <w:p w14:paraId="5BB680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1.5.5在货物采购项目中，投标人提供的货物既有中小企业制造货物，也有大型企业制造货物的，不享受中小企业扶持政策。</w:t>
      </w:r>
    </w:p>
    <w:p w14:paraId="5EB871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1.5.6以联合体形式参加政府采购活动，联合体各方均为中小企业的，联合体视同中小企业。其中，联合体各方均为小微企业的，联合体视同小微企业。</w:t>
      </w:r>
    </w:p>
    <w:p w14:paraId="56C0C9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3DEF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享受中小企业扶持政策获得政府采购合同的，小微企业不得将合同分包给大中型企业，中型企业不得将合同分包给大型企业。</w:t>
      </w:r>
    </w:p>
    <w:p w14:paraId="478DA6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供应商信用记录</w:t>
      </w:r>
    </w:p>
    <w:p w14:paraId="3DB99F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2F6916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如投标须知前附表中允许联合体投标，对联合体规定如下：</w:t>
      </w:r>
    </w:p>
    <w:p w14:paraId="6183D5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.1两个以上投标人可以组成一个投标联合体，以一个投标人的身份投标。</w:t>
      </w:r>
    </w:p>
    <w:p w14:paraId="33FC1D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.2联合体各方均应符合《中华人民共和国政府采购法》第二十二条规定的条件，遵守国家、本项目采购人本级和上级财政部门政府采购的有关规定。</w:t>
      </w:r>
    </w:p>
    <w:p w14:paraId="523A8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.3采购人根据采购项目对投标人的特殊要求，联合体中至少应当有一方符合相关规定。</w:t>
      </w:r>
    </w:p>
    <w:p w14:paraId="5C766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.4联合体各方应签订共同投标协议，明确约定联合体各方承担的工作和相应的责任，并将共同投标协议连同投标文件一并提交采购人或采购代理机构。</w:t>
      </w:r>
    </w:p>
    <w:p w14:paraId="1DB5CF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1435B9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.6联合体中有同类资质的投标人按照联合体分工承担相同工作的，按照资质等级较低的投标人确定资质等级。</w:t>
      </w:r>
    </w:p>
    <w:p w14:paraId="7FCC4F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.7以联合体形式参加政府采购活动的，联合体各方不得再单独参加或者与其他投标人另外组成联合体参加本项目投标，否则相关投标将被认定为</w:t>
      </w:r>
      <w:r>
        <w:rPr>
          <w:rFonts w:hint="eastAsia" w:ascii="宋体" w:hAnsi="宋体" w:eastAsia="宋体" w:cs="宋体"/>
          <w:b/>
          <w:bCs/>
          <w:sz w:val="24"/>
          <w:highlight w:val="none"/>
        </w:rPr>
        <w:t>投标无效。</w:t>
      </w:r>
    </w:p>
    <w:p w14:paraId="79B060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.8对联合体投标的其他资格要求见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w:t>
      </w:r>
    </w:p>
    <w:p w14:paraId="301E0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1.7单位负责人为同一人或者存在直接控股、管理关系的不同投标人，其投标将被认定为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177816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1.8为本项目提供整体设计、规范编制或者项目管理、监理、检测等服务的投标人，其投标将被认定为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1DD0938E">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2．资金来源</w:t>
      </w:r>
    </w:p>
    <w:p w14:paraId="186440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2.1本项目的采购人已获得足以支付本次招标后所签订的合同项下的资金（包括财政性资金和本项目采购中无法与财政性资金分割的非财政性资金）。</w:t>
      </w:r>
    </w:p>
    <w:p w14:paraId="4DC979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2.2项目预算金额和最高限价见</w:t>
      </w:r>
      <w:r>
        <w:rPr>
          <w:rFonts w:hint="eastAsia" w:ascii="宋体" w:hAnsi="宋体" w:eastAsia="宋体" w:cs="宋体"/>
          <w:sz w:val="24"/>
          <w:highlight w:val="none"/>
          <w:u w:val="single"/>
        </w:rPr>
        <w:t>投标须知前附表。</w:t>
      </w:r>
    </w:p>
    <w:p w14:paraId="0B8A66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2.3投标人报价超过招标文件规定的预算金额或者最高限价的，其投标将被认定为</w:t>
      </w:r>
      <w:r>
        <w:rPr>
          <w:rFonts w:hint="eastAsia" w:ascii="宋体" w:hAnsi="宋体" w:eastAsia="宋体" w:cs="宋体"/>
          <w:b/>
          <w:bCs/>
          <w:sz w:val="24"/>
          <w:highlight w:val="none"/>
        </w:rPr>
        <w:t>投标无效。</w:t>
      </w:r>
    </w:p>
    <w:p w14:paraId="5EBA9C2B">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3.投标费用</w:t>
      </w:r>
    </w:p>
    <w:p w14:paraId="2E2C342B">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3.1投标人应自行承担所有与准备和参加投标有关的费用，无论投标的结果如何，采购人或采购代理机构在任何情况下均无承担这些费用的义务和责任。</w:t>
      </w:r>
    </w:p>
    <w:p w14:paraId="1321FD41">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4.适用法律</w:t>
      </w:r>
    </w:p>
    <w:p w14:paraId="563BBA1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5FDCE8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sz w:val="24"/>
          <w:highlight w:val="none"/>
        </w:rPr>
      </w:pPr>
    </w:p>
    <w:p w14:paraId="135373D8">
      <w:pPr>
        <w:pStyle w:val="40"/>
        <w:widowControl w:val="0"/>
        <w:adjustRightInd w:val="0"/>
        <w:snapToGrid w:val="0"/>
        <w:spacing w:before="0" w:after="0" w:line="440" w:lineRule="exact"/>
        <w:ind w:left="745" w:hanging="745" w:hangingChars="265"/>
        <w:jc w:val="center"/>
        <w:rPr>
          <w:rFonts w:hint="eastAsia" w:ascii="宋体" w:hAnsi="宋体" w:eastAsia="宋体" w:cs="宋体"/>
          <w:bCs w:val="0"/>
          <w:spacing w:val="0"/>
          <w:kern w:val="2"/>
          <w:sz w:val="28"/>
          <w:szCs w:val="28"/>
          <w:highlight w:val="none"/>
          <w:lang w:bidi="ar"/>
        </w:rPr>
      </w:pPr>
      <w:r>
        <w:rPr>
          <w:rFonts w:hint="eastAsia" w:ascii="宋体" w:hAnsi="宋体" w:eastAsia="宋体" w:cs="宋体"/>
          <w:b/>
          <w:spacing w:val="0"/>
          <w:kern w:val="2"/>
          <w:sz w:val="28"/>
          <w:szCs w:val="28"/>
          <w:highlight w:val="none"/>
          <w:lang w:bidi="ar"/>
        </w:rPr>
        <w:t>二</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招标文件</w:t>
      </w:r>
    </w:p>
    <w:p w14:paraId="53A21CD0">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5.招标文件构成</w:t>
      </w:r>
    </w:p>
    <w:p w14:paraId="53B7FADE">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5.1招标文件包括以下部分：</w:t>
      </w:r>
    </w:p>
    <w:p w14:paraId="208A9261">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第一章招标公告</w:t>
      </w:r>
    </w:p>
    <w:p w14:paraId="36B41B66">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第二章投标须知前附表</w:t>
      </w:r>
    </w:p>
    <w:p w14:paraId="384C8E13">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第三章投标人须知</w:t>
      </w:r>
    </w:p>
    <w:p w14:paraId="4B3EE884">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第四章政府采购合同</w:t>
      </w:r>
    </w:p>
    <w:p w14:paraId="545F50E5">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第五章采购需求</w:t>
      </w:r>
    </w:p>
    <w:p w14:paraId="16BDF568">
      <w:pPr>
        <w:adjustRightInd w:val="0"/>
        <w:snapToGrid w:val="0"/>
        <w:spacing w:line="440" w:lineRule="exact"/>
        <w:ind w:left="634" w:leftChars="302" w:firstLine="4"/>
        <w:rPr>
          <w:rFonts w:hint="eastAsia" w:ascii="宋体" w:hAnsi="宋体" w:eastAsia="宋体" w:cs="宋体"/>
          <w:sz w:val="24"/>
          <w:highlight w:val="none"/>
        </w:rPr>
      </w:pPr>
      <w:r>
        <w:rPr>
          <w:rFonts w:hint="eastAsia" w:ascii="宋体" w:hAnsi="宋体" w:eastAsia="宋体" w:cs="宋体"/>
          <w:sz w:val="24"/>
          <w:highlight w:val="none"/>
        </w:rPr>
        <w:t>第六章评标方法和评标标准</w:t>
      </w:r>
    </w:p>
    <w:p w14:paraId="4882CF32">
      <w:pPr>
        <w:adjustRightInd w:val="0"/>
        <w:snapToGrid w:val="0"/>
        <w:spacing w:line="440" w:lineRule="exact"/>
        <w:ind w:left="634" w:leftChars="302" w:firstLine="4"/>
        <w:rPr>
          <w:rFonts w:hint="eastAsia" w:ascii="宋体" w:hAnsi="宋体" w:eastAsia="宋体" w:cs="宋体"/>
          <w:sz w:val="24"/>
          <w:highlight w:val="none"/>
          <w:lang w:eastAsia="zh-CN"/>
        </w:rPr>
      </w:pPr>
      <w:r>
        <w:rPr>
          <w:rFonts w:hint="eastAsia" w:ascii="宋体" w:hAnsi="宋体" w:eastAsia="宋体" w:cs="宋体"/>
          <w:sz w:val="24"/>
          <w:highlight w:val="none"/>
        </w:rPr>
        <w:t>第七章投标文件格式</w:t>
      </w:r>
    </w:p>
    <w:p w14:paraId="6A0379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5.2招标文件中有不一致的，有澄清的部分以最终的澄清更正内容为准；未澄清的，以</w:t>
      </w:r>
      <w:r>
        <w:rPr>
          <w:rFonts w:hint="eastAsia" w:ascii="宋体" w:hAnsi="宋体" w:eastAsia="宋体" w:cs="宋体"/>
          <w:sz w:val="24"/>
          <w:highlight w:val="none"/>
          <w:u w:val="single"/>
        </w:rPr>
        <w:t>投标须知前附表为准</w:t>
      </w:r>
      <w:r>
        <w:rPr>
          <w:rFonts w:hint="eastAsia" w:ascii="宋体" w:hAnsi="宋体" w:eastAsia="宋体" w:cs="宋体"/>
          <w:sz w:val="24"/>
          <w:highlight w:val="none"/>
        </w:rPr>
        <w:t>；投标须知前附表不涉及的内容，以编排在后的最后描述为准。</w:t>
      </w:r>
    </w:p>
    <w:p w14:paraId="31010D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eastAsia="宋体" w:cs="宋体"/>
          <w:b/>
          <w:bCs/>
          <w:sz w:val="24"/>
          <w:highlight w:val="none"/>
        </w:rPr>
        <w:t>投标被拒绝。</w:t>
      </w:r>
    </w:p>
    <w:p w14:paraId="039E38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5.4现场考察或者答疑会及相关事项见</w:t>
      </w:r>
      <w:r>
        <w:rPr>
          <w:rFonts w:hint="eastAsia" w:ascii="宋体" w:hAnsi="宋体" w:eastAsia="宋体" w:cs="宋体"/>
          <w:sz w:val="24"/>
          <w:highlight w:val="none"/>
          <w:u w:val="single"/>
        </w:rPr>
        <w:t>投标须知前附表。</w:t>
      </w:r>
    </w:p>
    <w:p w14:paraId="524AE6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，对样品的评审方法及评审标准见招标文件第六章。</w:t>
      </w:r>
    </w:p>
    <w:p w14:paraId="233B6E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招标文件规定投标人提交样品的，样品属于投标文件的组成部分。样品的生产、运输、安装、保全等一切费用由投标人自理。</w:t>
      </w:r>
    </w:p>
    <w:p w14:paraId="2288B5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2441B96">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6.招标文件的澄清与修改</w:t>
      </w:r>
    </w:p>
    <w:p w14:paraId="1A1BCB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6.1采购人或采购代理机构对已发出的招标文件进行必要澄清或者修改的，将在原公告发布媒体（网站）上发布更正公告（通知），因投标人未及时</w:t>
      </w:r>
      <w:r>
        <w:rPr>
          <w:rFonts w:hint="eastAsia" w:ascii="宋体" w:hAnsi="宋体" w:eastAsia="宋体" w:cs="宋体"/>
          <w:sz w:val="24"/>
          <w:highlight w:val="none"/>
          <w:lang w:eastAsia="zh-CN"/>
        </w:rPr>
        <w:t>登录</w:t>
      </w:r>
      <w:r>
        <w:rPr>
          <w:rFonts w:hint="eastAsia" w:ascii="宋体" w:hAnsi="宋体" w:eastAsia="宋体" w:cs="宋体"/>
          <w:sz w:val="24"/>
          <w:highlight w:val="none"/>
        </w:rPr>
        <w:t>媒体（网站）查看导致未及时收到通知的，采购人或采购代理机构不承担责任。</w:t>
      </w:r>
    </w:p>
    <w:p w14:paraId="6266EA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8E781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0C0C5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6.4为了保证对招标文件的澄清和修改满足法律的时限要求，任何要求对招标文件进行澄清的投标人，均应在投标截止期十五日前，以书面形式将澄清要求通知采购人或采购代理机构。</w:t>
      </w:r>
    </w:p>
    <w:p w14:paraId="3EEB2C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6.5如更正公告有重新发布电子招标文件的，投标人应登录电子招投标平台下载最新发布的电子招标文件制作投标文件。</w:t>
      </w:r>
    </w:p>
    <w:p w14:paraId="01B796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5DF7AE61">
      <w:pPr>
        <w:adjustRightInd w:val="0"/>
        <w:snapToGrid w:val="0"/>
        <w:spacing w:line="440" w:lineRule="exact"/>
        <w:ind w:left="635" w:leftChars="229" w:hanging="154" w:hangingChars="64"/>
        <w:rPr>
          <w:rFonts w:hint="eastAsia" w:ascii="宋体" w:hAnsi="宋体" w:eastAsia="宋体" w:cs="宋体"/>
          <w:b/>
          <w:bCs/>
          <w:sz w:val="24"/>
          <w:highlight w:val="none"/>
          <w:lang w:eastAsia="zh-CN"/>
        </w:rPr>
      </w:pPr>
      <w:r>
        <w:rPr>
          <w:rFonts w:hint="eastAsia" w:ascii="宋体" w:hAnsi="宋体" w:eastAsia="宋体" w:cs="宋体"/>
          <w:b/>
          <w:bCs/>
          <w:sz w:val="24"/>
          <w:highlight w:val="none"/>
        </w:rPr>
        <w:t>7.投标截止时间的顺延</w:t>
      </w:r>
    </w:p>
    <w:p w14:paraId="052961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为使投标人有足够的时间对招标文件的澄清或者修改部分进行研究而准备投标或因其他原因，采购人将依法决定是否顺延投标截止时间。</w:t>
      </w:r>
    </w:p>
    <w:p w14:paraId="214470E9">
      <w:pPr>
        <w:adjustRightInd w:val="0"/>
        <w:snapToGrid w:val="0"/>
        <w:spacing w:line="440" w:lineRule="exact"/>
        <w:ind w:left="636" w:hanging="636" w:hangingChars="265"/>
        <w:rPr>
          <w:rFonts w:hint="eastAsia" w:ascii="宋体" w:hAnsi="宋体" w:eastAsia="宋体" w:cs="宋体"/>
          <w:sz w:val="24"/>
          <w:highlight w:val="none"/>
        </w:rPr>
      </w:pPr>
    </w:p>
    <w:p w14:paraId="664A2FD9">
      <w:pPr>
        <w:pStyle w:val="40"/>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highlight w:val="none"/>
          <w:lang w:bidi="ar"/>
        </w:rPr>
      </w:pPr>
      <w:r>
        <w:rPr>
          <w:rFonts w:hint="eastAsia" w:ascii="宋体" w:hAnsi="宋体" w:eastAsia="宋体" w:cs="宋体"/>
          <w:b/>
          <w:spacing w:val="0"/>
          <w:kern w:val="2"/>
          <w:sz w:val="28"/>
          <w:szCs w:val="28"/>
          <w:highlight w:val="none"/>
          <w:lang w:bidi="ar"/>
        </w:rPr>
        <w:t>三</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投标文件的编制</w:t>
      </w:r>
    </w:p>
    <w:p w14:paraId="3661C26E">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8.投标范围及投标文件中标准和计量单位的使用及投标语言</w:t>
      </w:r>
    </w:p>
    <w:p w14:paraId="7CD515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8.1投标人可对招标文件中一个或几个分包货物进行投标，除非在</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中另有规定。</w:t>
      </w:r>
    </w:p>
    <w:p w14:paraId="1B3B08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8.2投标人应当对所投分包招标文件采购需求中列的所有内容进行投标，如仅响应分包中的部分内容，其该包投标将被认定为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6EFCA3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8.3无论招标文件中是否要求，投标人所投货物及其伴随的服务和工程均应符合国家强制性标准。</w:t>
      </w:r>
    </w:p>
    <w:p w14:paraId="35F4E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8.4除招标文件中有特殊要求外，投标文件中所使用的计量单位，应采用中华人民共和国法定计量单位。</w:t>
      </w:r>
    </w:p>
    <w:p w14:paraId="688EB8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8C83AA5">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9.投标文件组成</w:t>
      </w:r>
    </w:p>
    <w:p w14:paraId="0478F3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9.1投标人应当按照招标文件的要求编制投标文件。投标文件应由资格证明文件、报价文件、商务和技术文件四部分构成。投标文件的部分格式要求，见第七章《投标文件格式》。</w:t>
      </w:r>
    </w:p>
    <w:p w14:paraId="4EBBDE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9.2第五章《采购需求》及第六章《评标程序、评标方法和评标标准》中涉及的证明文件。</w:t>
      </w:r>
    </w:p>
    <w:p w14:paraId="6F8688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29E72B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9.4投标人认为应附的其他材料。</w:t>
      </w:r>
    </w:p>
    <w:p w14:paraId="709D7E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9.5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017563EF">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0</w:t>
      </w:r>
      <w:r>
        <w:rPr>
          <w:rFonts w:hint="eastAsia" w:ascii="宋体" w:hAnsi="宋体" w:eastAsia="宋体" w:cs="宋体"/>
          <w:b/>
          <w:spacing w:val="0"/>
          <w:kern w:val="2"/>
          <w:sz w:val="24"/>
          <w:szCs w:val="24"/>
          <w:highlight w:val="none"/>
          <w:lang w:bidi="ar"/>
        </w:rPr>
        <w:t>.投标报价</w:t>
      </w:r>
    </w:p>
    <w:p w14:paraId="1154A6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10.1所有投标均以人民币报价。</w:t>
      </w:r>
    </w:p>
    <w:p w14:paraId="3B37C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highlight w:val="none"/>
          <w:lang w:val="en-US" w:eastAsia="zh-CN"/>
        </w:rPr>
        <w:t>10.2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宋体" w:hAnsi="宋体" w:eastAsia="宋体" w:cs="宋体"/>
          <w:b/>
          <w:bCs/>
          <w:sz w:val="24"/>
          <w:highlight w:val="none"/>
          <w:lang w:val="en-US" w:eastAsia="zh-CN"/>
        </w:rPr>
        <w:t>投标被拒绝。</w:t>
      </w:r>
    </w:p>
    <w:p w14:paraId="5AF101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7C39BB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highlight w:val="none"/>
          <w:lang w:val="en-US" w:eastAsia="zh-CN"/>
        </w:rPr>
        <w:t>10.4投标人应按照““第五章采购需求”的需求内容、责任范围以及第四章政府采购合同”进行报价。并按“开标一览表”和“分项报价表”规定的格式报出总价和分项价格。</w:t>
      </w:r>
      <w:r>
        <w:rPr>
          <w:rFonts w:hint="eastAsia" w:ascii="宋体" w:hAnsi="宋体" w:eastAsia="宋体" w:cs="宋体"/>
          <w:b/>
          <w:bCs/>
          <w:sz w:val="24"/>
          <w:highlight w:val="none"/>
          <w:lang w:val="en-US" w:eastAsia="zh-CN"/>
        </w:rPr>
        <w:t>投标总价中不得包含招标文件要求以外的内容，否则，在评审时不予核减</w:t>
      </w:r>
    </w:p>
    <w:p w14:paraId="681BA8CD">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1</w:t>
      </w:r>
      <w:r>
        <w:rPr>
          <w:rFonts w:hint="eastAsia" w:ascii="宋体" w:hAnsi="宋体" w:eastAsia="宋体" w:cs="宋体"/>
          <w:b/>
          <w:spacing w:val="0"/>
          <w:kern w:val="2"/>
          <w:sz w:val="24"/>
          <w:szCs w:val="24"/>
          <w:highlight w:val="none"/>
          <w:lang w:bidi="ar"/>
        </w:rPr>
        <w:t>.投标保证金</w:t>
      </w:r>
    </w:p>
    <w:p w14:paraId="2FDF8C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11.1投标人应按投标须知前附表中规定的金额及要求交纳投标保证金，并作为其投标的一部分。</w:t>
      </w:r>
    </w:p>
    <w:p w14:paraId="6AD0FB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11.2交纳保证金的形式除供应商须知前附表中另有约定外，可采用的形式：政府采购法律法规接受的支票、汇票、本票、网上银行支付或者金融机构、担保机构出具的保函等非现金形式。</w:t>
      </w:r>
    </w:p>
    <w:p w14:paraId="43420B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31C436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56A476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11.5投标保证金（保函）有效期同投标有效期。</w:t>
      </w:r>
    </w:p>
    <w:p w14:paraId="2990A4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11.6联合体投标的，可以由联合体中的一方或者共同提交投标保证金，以一方名义提交投标保证金的，对联合体各方均具有约束力。</w:t>
      </w:r>
    </w:p>
    <w:p w14:paraId="24725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11.7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296CDD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11.8投标人在投标截止时间前撤回已提交的投标文件的，自收到投标人书面撤回通知之日起5个工作日内退还已收取的投标保证金。</w:t>
      </w:r>
    </w:p>
    <w:p w14:paraId="6DF21C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11.9中标人的投标保证金，自采购合同签订之日起5个工作日内退还中标人。</w:t>
      </w:r>
    </w:p>
    <w:p w14:paraId="233791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11.10未中标投标人的投标保证金，自中标通知书发出之日起5个工作日内退还未中标人。</w:t>
      </w:r>
    </w:p>
    <w:p w14:paraId="282E89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11.11终止采购活动的项目已经收取投标保证金的，自终止采购活动后5个工作日内退还已收取的投标保证金。</w:t>
      </w:r>
    </w:p>
    <w:p w14:paraId="1A27D9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11.12有下列情形之一的，采购人或采购代理机构可以不予退还投标保证金：</w:t>
      </w:r>
    </w:p>
    <w:p w14:paraId="78BE97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11.12.1在投标有效期内，投标人撤回投标的；</w:t>
      </w:r>
    </w:p>
    <w:p w14:paraId="08A680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11.12.2中标人不按本招标文件的规定与采购人签订合同的；</w:t>
      </w:r>
    </w:p>
    <w:p w14:paraId="4AA6AC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11.12.3中标人不按本招标文件的规定提交履约保证金的；</w:t>
      </w:r>
    </w:p>
    <w:p w14:paraId="763A6D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11.12.4中标人不按本招标文件的规定缴纳中标服务费的；</w:t>
      </w:r>
    </w:p>
    <w:p w14:paraId="459CD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11.12.5存在的串通投标情形的；</w:t>
      </w:r>
    </w:p>
    <w:p w14:paraId="577445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11.12.6存在向采购人、代理机构或评标专家行贿事实的；</w:t>
      </w:r>
    </w:p>
    <w:p w14:paraId="791460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11.12.7法律、法规规定的其它情况。</w:t>
      </w:r>
    </w:p>
    <w:p w14:paraId="2664A4CD">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val="en-US" w:eastAsia="zh-CN" w:bidi="ar"/>
        </w:rPr>
      </w:pPr>
      <w:r>
        <w:rPr>
          <w:rFonts w:hint="eastAsia" w:ascii="宋体" w:hAnsi="宋体" w:eastAsia="宋体" w:cs="宋体"/>
          <w:b/>
          <w:spacing w:val="0"/>
          <w:kern w:val="2"/>
          <w:sz w:val="24"/>
          <w:szCs w:val="24"/>
          <w:highlight w:val="none"/>
          <w:lang w:val="en-US" w:eastAsia="zh-CN" w:bidi="ar"/>
        </w:rPr>
        <w:t>12.投标有效期</w:t>
      </w:r>
    </w:p>
    <w:p w14:paraId="542479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12.1投标文件应在投标须知前附表中规定的投标有效期内保持有效，投标有效期少于招标文件规定期限的，其</w:t>
      </w:r>
      <w:r>
        <w:rPr>
          <w:rFonts w:hint="eastAsia" w:ascii="宋体" w:hAnsi="宋体" w:eastAsia="宋体" w:cs="宋体"/>
          <w:b/>
          <w:bCs/>
          <w:sz w:val="24"/>
          <w:highlight w:val="none"/>
          <w:lang w:val="en-US" w:eastAsia="zh-CN"/>
        </w:rPr>
        <w:t>投标无效。</w:t>
      </w:r>
    </w:p>
    <w:p w14:paraId="48D9BB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36532A59">
      <w:pPr>
        <w:pStyle w:val="40"/>
        <w:widowControl w:val="0"/>
        <w:adjustRightInd w:val="0"/>
        <w:snapToGrid w:val="0"/>
        <w:spacing w:before="0" w:after="0" w:line="440" w:lineRule="exact"/>
        <w:ind w:left="635" w:leftChars="229" w:hanging="154" w:hangingChars="64"/>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3</w:t>
      </w:r>
      <w:r>
        <w:rPr>
          <w:rFonts w:hint="eastAsia" w:ascii="宋体" w:hAnsi="宋体" w:eastAsia="宋体" w:cs="宋体"/>
          <w:b/>
          <w:spacing w:val="0"/>
          <w:kern w:val="2"/>
          <w:sz w:val="24"/>
          <w:szCs w:val="24"/>
          <w:highlight w:val="none"/>
          <w:lang w:bidi="ar"/>
        </w:rPr>
        <w:t>.投标文件的制作</w:t>
      </w:r>
    </w:p>
    <w:p w14:paraId="69012E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3378C0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13.2投标人应使用电子招投标平台提供的投标客户端编制、标记、加密投标文件，成功加密后将生成指定格式的电子投标文件和电子备用投标文件</w:t>
      </w:r>
    </w:p>
    <w:p w14:paraId="58B25E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13.3如有对多个采购包投标的，要对每个采购包独立制作电子投标文件。</w:t>
      </w:r>
    </w:p>
    <w:p w14:paraId="483F40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13.4投标人须对招标文件的对应要求给予唯一的实质性响应，否则将视为不响应。</w:t>
      </w:r>
    </w:p>
    <w:p w14:paraId="46646F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13.5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31D04D72">
      <w:pPr>
        <w:adjustRightInd w:val="0"/>
        <w:snapToGrid w:val="0"/>
        <w:spacing w:line="440" w:lineRule="exact"/>
        <w:ind w:left="636" w:hanging="636" w:hangingChars="265"/>
        <w:rPr>
          <w:rFonts w:hint="eastAsia" w:ascii="宋体" w:hAnsi="宋体" w:eastAsia="宋体" w:cs="宋体"/>
          <w:sz w:val="24"/>
          <w:highlight w:val="none"/>
          <w:lang w:bidi="ar"/>
        </w:rPr>
      </w:pPr>
    </w:p>
    <w:p w14:paraId="6EDEF688">
      <w:pPr>
        <w:adjustRightInd w:val="0"/>
        <w:snapToGrid w:val="0"/>
        <w:spacing w:line="440" w:lineRule="exact"/>
        <w:ind w:left="745" w:hanging="745" w:hangingChars="265"/>
        <w:jc w:val="center"/>
        <w:rPr>
          <w:rFonts w:hint="eastAsia" w:ascii="宋体" w:hAnsi="宋体" w:eastAsia="宋体" w:cs="宋体"/>
          <w:b/>
          <w:bCs/>
          <w:sz w:val="28"/>
          <w:szCs w:val="28"/>
          <w:highlight w:val="none"/>
          <w:lang w:bidi="ar"/>
        </w:rPr>
      </w:pPr>
      <w:r>
        <w:rPr>
          <w:rFonts w:hint="eastAsia" w:ascii="宋体" w:hAnsi="宋体" w:eastAsia="宋体" w:cs="宋体"/>
          <w:b/>
          <w:bCs/>
          <w:sz w:val="28"/>
          <w:szCs w:val="28"/>
          <w:highlight w:val="none"/>
          <w:lang w:bidi="ar"/>
        </w:rPr>
        <w:t>四</w:t>
      </w:r>
      <w:r>
        <w:rPr>
          <w:rFonts w:hint="eastAsia" w:ascii="宋体" w:hAnsi="宋体" w:eastAsia="宋体" w:cs="宋体"/>
          <w:b/>
          <w:bCs/>
          <w:sz w:val="28"/>
          <w:szCs w:val="28"/>
          <w:highlight w:val="none"/>
          <w:lang w:eastAsia="zh-CN" w:bidi="ar"/>
        </w:rPr>
        <w:t>、</w:t>
      </w:r>
      <w:r>
        <w:rPr>
          <w:rFonts w:hint="eastAsia" w:ascii="宋体" w:hAnsi="宋体" w:eastAsia="宋体" w:cs="宋体"/>
          <w:b/>
          <w:bCs/>
          <w:sz w:val="28"/>
          <w:szCs w:val="28"/>
          <w:highlight w:val="none"/>
          <w:lang w:bidi="ar"/>
        </w:rPr>
        <w:t>投标文件的递交</w:t>
      </w:r>
    </w:p>
    <w:p w14:paraId="50AC9014">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val="en-US" w:eastAsia="zh-CN" w:bidi="ar"/>
        </w:rPr>
      </w:pPr>
      <w:r>
        <w:rPr>
          <w:rFonts w:hint="eastAsia" w:ascii="宋体" w:hAnsi="宋体" w:eastAsia="宋体" w:cs="宋体"/>
          <w:b/>
          <w:spacing w:val="0"/>
          <w:kern w:val="2"/>
          <w:sz w:val="24"/>
          <w:szCs w:val="24"/>
          <w:highlight w:val="none"/>
          <w:lang w:val="en-US" w:eastAsia="zh-CN" w:bidi="ar"/>
        </w:rPr>
        <w:t>14.投标文件的提交</w:t>
      </w:r>
    </w:p>
    <w:p w14:paraId="38EC7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677B8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14.2代理机构对因不可抗力事件造成的投标文件的损坏、丢失的，不承担责任。</w:t>
      </w:r>
    </w:p>
    <w:p w14:paraId="2EFDDB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14.3出现下述情形之一，属于未成功提交投标文件，按无效投标处理：</w:t>
      </w:r>
    </w:p>
    <w:p w14:paraId="7D2F3B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14.3.1至提交投标文件截止时，投标文件未完整上传的。</w:t>
      </w:r>
    </w:p>
    <w:p w14:paraId="55EF32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14.3.2投标文件未按投标格式中注明需签字盖章的要求进行签名（含电子签名）和加盖电子印章，或签名（含电子签名）或电子印章不完整的。</w:t>
      </w:r>
    </w:p>
    <w:p w14:paraId="586E84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14.3.3投标文件损坏或格式不正确的。</w:t>
      </w:r>
    </w:p>
    <w:p w14:paraId="381DEB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14.4投标文件的修改、撤回与撤销</w:t>
      </w:r>
    </w:p>
    <w:p w14:paraId="087803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77335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14.4.2在提交投标文件截止时间后，投标人不得补充、修改和更换投标文件。</w:t>
      </w:r>
    </w:p>
    <w:p w14:paraId="517B4E9C">
      <w:pPr>
        <w:pStyle w:val="40"/>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highlight w:val="none"/>
          <w:lang w:bidi="ar"/>
        </w:rPr>
      </w:pPr>
      <w:r>
        <w:rPr>
          <w:rFonts w:hint="eastAsia" w:ascii="宋体" w:hAnsi="宋体" w:eastAsia="宋体" w:cs="宋体"/>
          <w:b/>
          <w:spacing w:val="0"/>
          <w:kern w:val="2"/>
          <w:sz w:val="28"/>
          <w:szCs w:val="28"/>
          <w:highlight w:val="none"/>
          <w:lang w:bidi="ar"/>
        </w:rPr>
        <w:t>五</w:t>
      </w:r>
      <w:r>
        <w:rPr>
          <w:rFonts w:hint="eastAsia" w:ascii="宋体" w:hAnsi="宋体" w:eastAsia="宋体" w:cs="宋体"/>
          <w:b/>
          <w:spacing w:val="0"/>
          <w:kern w:val="2"/>
          <w:sz w:val="28"/>
          <w:szCs w:val="28"/>
          <w:highlight w:val="none"/>
          <w:lang w:eastAsia="zh-CN" w:bidi="ar"/>
        </w:rPr>
        <w:t>、</w:t>
      </w:r>
      <w:r>
        <w:rPr>
          <w:rFonts w:hint="eastAsia" w:ascii="宋体" w:hAnsi="宋体" w:eastAsia="宋体" w:cs="宋体"/>
          <w:b/>
          <w:spacing w:val="0"/>
          <w:kern w:val="2"/>
          <w:sz w:val="28"/>
          <w:szCs w:val="28"/>
          <w:highlight w:val="none"/>
          <w:lang w:bidi="ar"/>
        </w:rPr>
        <w:t>开标及评标</w:t>
      </w:r>
    </w:p>
    <w:p w14:paraId="2D61C9EE">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eastAsia="zh-CN"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5.</w:t>
      </w:r>
      <w:r>
        <w:rPr>
          <w:rFonts w:hint="eastAsia" w:ascii="宋体" w:hAnsi="宋体" w:eastAsia="宋体" w:cs="宋体"/>
          <w:b/>
          <w:spacing w:val="0"/>
          <w:kern w:val="2"/>
          <w:sz w:val="24"/>
          <w:szCs w:val="24"/>
          <w:highlight w:val="none"/>
          <w:lang w:bidi="ar"/>
        </w:rPr>
        <w:t>开标</w:t>
      </w:r>
    </w:p>
    <w:p w14:paraId="1B6C4D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15.1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51922F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15.2采用远程电子开标的：</w:t>
      </w:r>
    </w:p>
    <w:p w14:paraId="687815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2BA6A4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5488AF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宋体" w:hAnsi="宋体" w:eastAsia="宋体" w:cs="宋体"/>
          <w:b/>
          <w:bCs/>
          <w:sz w:val="24"/>
          <w:highlight w:val="none"/>
          <w:lang w:val="en-US" w:eastAsia="zh-CN"/>
        </w:rPr>
        <w:t>投标将被拒绝</w:t>
      </w:r>
      <w:r>
        <w:rPr>
          <w:rFonts w:hint="eastAsia" w:ascii="宋体" w:hAnsi="宋体" w:eastAsia="宋体" w:cs="宋体"/>
          <w:sz w:val="24"/>
          <w:highlight w:val="none"/>
          <w:lang w:val="en-US" w:eastAsia="zh-CN"/>
        </w:rPr>
        <w:t>，作无效投标处理。</w:t>
      </w:r>
    </w:p>
    <w:p w14:paraId="0E18B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15.3投标人代表对开标过程和开标记录有疑义，以及认为采购人、采购代理机构相关工作人员有需要回避的情形的，应当场提出询问或者回避申请。投标人未参加开标的，视同认可开标结果。</w:t>
      </w:r>
    </w:p>
    <w:p w14:paraId="30DF42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15.4投标截止时间后，投标人不足3家的，不得开标。同时，本次采购活动结束。</w:t>
      </w:r>
    </w:p>
    <w:p w14:paraId="631FDC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15.5开标时出现下列情况的，视为</w:t>
      </w:r>
      <w:r>
        <w:rPr>
          <w:rFonts w:hint="eastAsia" w:ascii="宋体" w:hAnsi="宋体" w:eastAsia="宋体" w:cs="宋体"/>
          <w:b/>
          <w:bCs/>
          <w:sz w:val="24"/>
          <w:highlight w:val="none"/>
          <w:lang w:val="en-US" w:eastAsia="zh-CN"/>
        </w:rPr>
        <w:t>投标无效</w:t>
      </w:r>
      <w:r>
        <w:rPr>
          <w:rFonts w:hint="eastAsia" w:ascii="宋体" w:hAnsi="宋体" w:eastAsia="宋体" w:cs="宋体"/>
          <w:sz w:val="24"/>
          <w:highlight w:val="none"/>
          <w:lang w:val="en-US" w:eastAsia="zh-CN"/>
        </w:rPr>
        <w:t>处理：</w:t>
      </w:r>
    </w:p>
    <w:p w14:paraId="7A073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15.5.1因投标人自身原因，未在规定时间内完成电子投标文件解密的；</w:t>
      </w:r>
    </w:p>
    <w:p w14:paraId="5E93B4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15.5.2如需使用备用电子投标文件解密时，在规定的解密时间内无法提供备用电子投标文件或提供的备用电子投标文件与加密的电子投标文件版本不一致（即两份文件不是投标客户端编制同时生成的）。</w:t>
      </w:r>
    </w:p>
    <w:p w14:paraId="473252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15.6采购人或采购代理机构将对开标过程进行记录，由参加开标的各投标人代表和相关工作人员签字确认。</w:t>
      </w:r>
    </w:p>
    <w:p w14:paraId="4C6982F8">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1</w:t>
      </w:r>
      <w:r>
        <w:rPr>
          <w:rFonts w:hint="eastAsia" w:ascii="宋体" w:hAnsi="宋体" w:eastAsia="宋体" w:cs="宋体"/>
          <w:b/>
          <w:spacing w:val="0"/>
          <w:kern w:val="2"/>
          <w:sz w:val="24"/>
          <w:szCs w:val="24"/>
          <w:highlight w:val="none"/>
          <w:lang w:val="en-US" w:eastAsia="zh-CN" w:bidi="ar"/>
        </w:rPr>
        <w:t>6.</w:t>
      </w:r>
      <w:r>
        <w:rPr>
          <w:rFonts w:hint="eastAsia" w:ascii="宋体" w:hAnsi="宋体" w:eastAsia="宋体" w:cs="宋体"/>
          <w:b/>
          <w:spacing w:val="0"/>
          <w:kern w:val="2"/>
          <w:sz w:val="24"/>
          <w:szCs w:val="24"/>
          <w:highlight w:val="none"/>
          <w:lang w:bidi="ar"/>
        </w:rPr>
        <w:t>资格审查及组建评标委员会</w:t>
      </w:r>
    </w:p>
    <w:p w14:paraId="0A49C3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1583A3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16.2资格审查要求详见第六章《评标程序、评标方法和评标标准》。</w:t>
      </w:r>
    </w:p>
    <w:p w14:paraId="31100C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6A5E831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17.评标委员会</w:t>
      </w:r>
    </w:p>
    <w:p w14:paraId="65BF1F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17.1评标委员会根据政府采购有关规定和本次招标采购项目的特点进行组建，并负责具体评标事务，独立履行职责。</w:t>
      </w:r>
    </w:p>
    <w:p w14:paraId="43ADFC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14FBE5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18.评标程序、评标方法和评标标准</w:t>
      </w:r>
    </w:p>
    <w:p w14:paraId="475CE3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18.1详见第六章《评标程序、评标方法和评标标准》</w:t>
      </w:r>
    </w:p>
    <w:p w14:paraId="5FC99B8A">
      <w:pPr>
        <w:pStyle w:val="40"/>
        <w:widowControl w:val="0"/>
        <w:adjustRightInd w:val="0"/>
        <w:snapToGrid w:val="0"/>
        <w:spacing w:before="0" w:after="0" w:line="440" w:lineRule="exact"/>
        <w:ind w:left="635" w:leftChars="229" w:hanging="154" w:hangingChars="64"/>
        <w:rPr>
          <w:rFonts w:hint="eastAsia" w:ascii="宋体" w:hAnsi="宋体" w:eastAsia="宋体" w:cs="宋体"/>
          <w:b/>
          <w:spacing w:val="0"/>
          <w:kern w:val="2"/>
          <w:sz w:val="24"/>
          <w:szCs w:val="24"/>
          <w:highlight w:val="none"/>
          <w:lang w:bidi="ar"/>
        </w:rPr>
      </w:pPr>
    </w:p>
    <w:p w14:paraId="53572D1C">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20" w:name="_Toc507399473"/>
      <w:bookmarkStart w:id="21" w:name="_Toc216582810"/>
      <w:r>
        <w:rPr>
          <w:rFonts w:hint="eastAsia" w:ascii="宋体" w:hAnsi="宋体" w:eastAsia="宋体" w:cs="宋体"/>
          <w:b/>
          <w:bCs/>
          <w:color w:val="auto"/>
          <w:sz w:val="24"/>
          <w:highlight w:val="none"/>
          <w:lang w:bidi="ar"/>
        </w:rPr>
        <w:t>六</w:t>
      </w:r>
      <w:r>
        <w:rPr>
          <w:rFonts w:hint="eastAsia" w:ascii="宋体" w:hAnsi="宋体" w:eastAsia="宋体" w:cs="宋体"/>
          <w:b/>
          <w:bCs/>
          <w:color w:val="auto"/>
          <w:sz w:val="24"/>
          <w:highlight w:val="none"/>
          <w:lang w:eastAsia="zh-CN" w:bidi="ar"/>
        </w:rPr>
        <w:t>、</w:t>
      </w:r>
      <w:r>
        <w:rPr>
          <w:rFonts w:hint="eastAsia" w:ascii="宋体" w:hAnsi="宋体" w:eastAsia="宋体" w:cs="宋体"/>
          <w:b/>
          <w:bCs/>
          <w:color w:val="auto"/>
          <w:sz w:val="24"/>
          <w:highlight w:val="none"/>
          <w:lang w:bidi="ar"/>
        </w:rPr>
        <w:t>确定中标</w:t>
      </w:r>
      <w:bookmarkEnd w:id="20"/>
      <w:bookmarkEnd w:id="21"/>
    </w:p>
    <w:p w14:paraId="49891C4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19.确定中标人</w:t>
      </w:r>
    </w:p>
    <w:p w14:paraId="0B921A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宋体" w:hAnsi="宋体" w:eastAsia="宋体" w:cs="宋体"/>
          <w:sz w:val="24"/>
          <w:highlight w:val="none"/>
          <w:u w:val="single"/>
          <w:lang w:val="en-US" w:eastAsia="zh-CN"/>
        </w:rPr>
        <w:t>投标须知前附表。</w:t>
      </w:r>
    </w:p>
    <w:p w14:paraId="5FCD7C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20.中标公告与中标通知书</w:t>
      </w:r>
    </w:p>
    <w:p w14:paraId="18594D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20.1采购人或采购代理机构自中标人确定之日起2个工作日内，在招标公告发布媒体发布中标结果，同时向中标人发出中标通知书，中标公告期限为1个工作日。</w:t>
      </w:r>
    </w:p>
    <w:p w14:paraId="5C9B9F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20.2中标通知书对采购人和中标供应商均具有法律效力。中标通知书发出后，中标供应商放弃中标项目的，应当依法承担法律责任。</w:t>
      </w:r>
    </w:p>
    <w:p w14:paraId="0CBFE9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21.废标</w:t>
      </w:r>
    </w:p>
    <w:p w14:paraId="14C09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21.1在招标采购中，出现下列情形之一的，应予废标：</w:t>
      </w:r>
    </w:p>
    <w:p w14:paraId="221ECF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21.1.1符合专业条件的供应商或者对招标文件作实质响应的供应商不足三家的；</w:t>
      </w:r>
    </w:p>
    <w:p w14:paraId="090288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21.1.2出现影响采购公正的违法、违规行为的；</w:t>
      </w:r>
    </w:p>
    <w:p w14:paraId="7B6E06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21.1.3投标人的报价均超过了采购预算，采购人不能支付的；</w:t>
      </w:r>
    </w:p>
    <w:p w14:paraId="227596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21.1.4因重大变故，采购任务取消的；</w:t>
      </w:r>
    </w:p>
    <w:p w14:paraId="2B2539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21.1.5法律、法规规定的其他情形。</w:t>
      </w:r>
    </w:p>
    <w:p w14:paraId="496748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21.2废标后，采购人将废标理由通知所有投标人。</w:t>
      </w:r>
    </w:p>
    <w:p w14:paraId="343CEB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22.签订合同</w:t>
      </w:r>
    </w:p>
    <w:p w14:paraId="26DCF2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22.1中标人、采购人应当自中标通知书发出之日起30日内，按照招标文件和中标人投标文件的规定签订书面合同。所签订的合同不得对招标文件确定的事项和中标人投标文件作实质性修改。</w:t>
      </w:r>
    </w:p>
    <w:p w14:paraId="08B44D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22.2中标人拒绝与采购人签订合同的，采购人可以按照评标报告推荐的中标候选人名单排序，确定下一候选人为中标人，也可以重新开展政府采购活动。</w:t>
      </w:r>
    </w:p>
    <w:p w14:paraId="4BDA10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22.3联合体中标的，联合体各方应当共同与采购人签订合同，就中标项目向采购人承担连带责任。</w:t>
      </w:r>
    </w:p>
    <w:p w14:paraId="5854B3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sz w:val="24"/>
          <w:highlight w:val="none"/>
          <w:lang w:val="en-US" w:eastAsia="zh-CN"/>
        </w:rPr>
        <w:t>投标无效</w:t>
      </w:r>
      <w:r>
        <w:rPr>
          <w:rFonts w:hint="eastAsia" w:ascii="宋体" w:hAnsi="宋体" w:eastAsia="宋体" w:cs="宋体"/>
          <w:sz w:val="24"/>
          <w:highlight w:val="none"/>
          <w:lang w:val="en-US" w:eastAsia="zh-CN"/>
        </w:rPr>
        <w:t>。中标人就采购项目和分包项目向采购人负责，分包供应商就分包项目承担责任。</w:t>
      </w:r>
    </w:p>
    <w:p w14:paraId="72848A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23.履约保证金</w:t>
      </w:r>
    </w:p>
    <w:p w14:paraId="2B45BC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23.1中标人应按照</w:t>
      </w:r>
      <w:r>
        <w:rPr>
          <w:rFonts w:hint="eastAsia" w:ascii="宋体" w:hAnsi="宋体" w:eastAsia="宋体" w:cs="宋体"/>
          <w:sz w:val="24"/>
          <w:highlight w:val="none"/>
          <w:u w:val="single"/>
          <w:lang w:val="en-US" w:eastAsia="zh-CN"/>
        </w:rPr>
        <w:t>投标须知前附表</w:t>
      </w:r>
      <w:r>
        <w:rPr>
          <w:rFonts w:hint="eastAsia" w:ascii="宋体" w:hAnsi="宋体" w:eastAsia="宋体" w:cs="宋体"/>
          <w:sz w:val="24"/>
          <w:highlight w:val="none"/>
          <w:lang w:val="en-US" w:eastAsia="zh-CN"/>
        </w:rPr>
        <w:t>规定的金额、形式和时间向采购人缴纳履约保证金。</w:t>
      </w:r>
    </w:p>
    <w:p w14:paraId="273FB5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23.2经采购人同意，中标人也可以自愿采用其他履约保证金的提供方式。</w:t>
      </w:r>
    </w:p>
    <w:p w14:paraId="4F389E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23.3如果中标人没有按照上述条款规定缴纳履约保证金，将视为放弃中标资格，中标人的投标保证金将被没收。在此情况下，采购人可确定下一候选人为中标人，也可以重新开展政府采购活动。</w:t>
      </w:r>
    </w:p>
    <w:p w14:paraId="267F74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24.代理服务费</w:t>
      </w:r>
    </w:p>
    <w:p w14:paraId="3CC0CA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24.1收费对象、收费标准及缴纳时间见投标须知前附表。由中标人支付的，中标人须一次性向采购代理机构缴纳代理费，投标报价应包含代理费用。</w:t>
      </w:r>
    </w:p>
    <w:p w14:paraId="31A8A9F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25.询问与质疑</w:t>
      </w:r>
    </w:p>
    <w:p w14:paraId="301EAE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25.1询问</w:t>
      </w:r>
    </w:p>
    <w:p w14:paraId="6E59D7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25.1.1投标人对政府采购活动事项（招标文件、采购过程和成交结果）有疑问的，可以向采购人或采购代理机构提出询问，采购人或采购代理机构将及时作出答复，但答复的</w:t>
      </w:r>
    </w:p>
    <w:p w14:paraId="546F6DB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内容不涉及商业秘密。询问可以口头方式提出，也可以书面方式提出，书面方式包括但不限于传真、信函、电子邮件。联系方式见</w:t>
      </w:r>
      <w:r>
        <w:rPr>
          <w:rFonts w:hint="eastAsia" w:ascii="宋体" w:hAnsi="宋体" w:eastAsia="宋体" w:cs="宋体"/>
          <w:sz w:val="24"/>
          <w:highlight w:val="none"/>
          <w:u w:val="single"/>
          <w:lang w:val="en-US" w:eastAsia="zh-CN"/>
        </w:rPr>
        <w:t>投标须知前附表</w:t>
      </w:r>
      <w:r>
        <w:rPr>
          <w:rFonts w:hint="eastAsia" w:ascii="宋体" w:hAnsi="宋体" w:eastAsia="宋体" w:cs="宋体"/>
          <w:sz w:val="24"/>
          <w:highlight w:val="none"/>
          <w:lang w:val="en-US" w:eastAsia="zh-CN"/>
        </w:rPr>
        <w:t>中“采购人、采购代理机构的名称、地址和联系方式”。</w:t>
      </w:r>
    </w:p>
    <w:p w14:paraId="37F42A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25.2质疑</w:t>
      </w:r>
    </w:p>
    <w:p w14:paraId="78E827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25.2.1投标人认为招标文件、采购过程、中标结果使自己的权益受到损害的，可以在知道或者应知其权益受到损害之日起7个工作日内，由投标人派授权代表以书面形式向采</w:t>
      </w:r>
    </w:p>
    <w:p w14:paraId="407A2B1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购人、采购代理机构提出质疑。采购人、采购代理机构在收到质疑函后7个工作日内作出答复。</w:t>
      </w:r>
    </w:p>
    <w:p w14:paraId="0D7DEC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25.2.2供应商应知其权益受到损害之日是指：</w:t>
      </w:r>
    </w:p>
    <w:p w14:paraId="67C99967">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（1）对招标文件提出质疑的，为获取招标文件之日或者招标文件获取期限届满之日；（2）对采购过程提出质疑的，为各采购程序环节结束之日；</w:t>
      </w:r>
    </w:p>
    <w:p w14:paraId="6853BA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（3）对中标结果提出质疑的，为中标结果公告期限届满之日。</w:t>
      </w:r>
    </w:p>
    <w:p w14:paraId="412F22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25.2.3投标人质疑应当有明确的请求和必要的证明材料。依照谁主张谁举证的原则，提出质疑者须同时提交相关证据材料和注明证据的确切来源，证据来源必须合法，采购人</w:t>
      </w:r>
    </w:p>
    <w:p w14:paraId="19B1684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或采购代理机构有权将质疑函转发质疑事项各关联方，请其作出解释说明。对捏造事实、滥用维权扰乱采购秩序的恶意质疑者，将上报政府采购监督管理部门依法处理。</w:t>
      </w:r>
    </w:p>
    <w:p w14:paraId="529DA4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25.2.4质疑函须使用财政部制定的范本文件。投标人为自然人的，应当由本人签字；投标人为法人或者其他组织的，应当由法定代表人、主要负责人，或者其授权代表签字或</w:t>
      </w:r>
    </w:p>
    <w:p w14:paraId="517D97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者盖章，并加盖公章。</w:t>
      </w:r>
    </w:p>
    <w:p w14:paraId="68BB11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质疑函应当包括下列内容：</w:t>
      </w:r>
    </w:p>
    <w:p w14:paraId="5663B6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（1）投标人名称、地址、邮编、联系人及联系电话；</w:t>
      </w:r>
    </w:p>
    <w:p w14:paraId="2BE995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（2）质疑项目的名称、编号；</w:t>
      </w:r>
    </w:p>
    <w:p w14:paraId="00EB9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（3）具体、明确的质疑事项和与质疑事项相关的请求；</w:t>
      </w:r>
    </w:p>
    <w:p w14:paraId="554CD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（4）事实依据；</w:t>
      </w:r>
    </w:p>
    <w:p w14:paraId="24BD9F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（5）必要的法律依据；</w:t>
      </w:r>
    </w:p>
    <w:p w14:paraId="300F57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（6）提出质疑的日期。</w:t>
      </w:r>
    </w:p>
    <w:p w14:paraId="5243D0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865DB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12D8C1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25.2.7采购代理机构质疑函接收部门、联系电话和通讯地址</w:t>
      </w:r>
    </w:p>
    <w:p w14:paraId="2D1508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联系部门：新疆君凯杰工程项目管理有限公司</w:t>
      </w:r>
    </w:p>
    <w:p w14:paraId="74088A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联系电话：16699887301</w:t>
      </w:r>
    </w:p>
    <w:p w14:paraId="745467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通讯地址：乌鲁木齐市会展大道1119号大成尔雅A座901室</w:t>
      </w:r>
    </w:p>
    <w:p w14:paraId="4333545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26.其他</w:t>
      </w:r>
    </w:p>
    <w:p w14:paraId="4E52F1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759708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26.2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6DC9EE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26.3适用于本投标人须知的额外增加的变动详见</w:t>
      </w:r>
      <w:r>
        <w:rPr>
          <w:rFonts w:hint="eastAsia" w:ascii="宋体" w:hAnsi="宋体" w:eastAsia="宋体" w:cs="宋体"/>
          <w:sz w:val="24"/>
          <w:highlight w:val="none"/>
          <w:u w:val="single"/>
          <w:lang w:val="en-US" w:eastAsia="zh-CN"/>
        </w:rPr>
        <w:t>投标须知前附表。</w:t>
      </w:r>
    </w:p>
    <w:p w14:paraId="3C66545B">
      <w:pPr>
        <w:adjustRightInd w:val="0"/>
        <w:snapToGrid w:val="0"/>
        <w:spacing w:line="440" w:lineRule="exact"/>
        <w:jc w:val="center"/>
        <w:outlineLvl w:val="0"/>
        <w:rPr>
          <w:rFonts w:hint="eastAsia" w:ascii="宋体" w:hAnsi="宋体" w:eastAsia="宋体" w:cs="宋体"/>
          <w:b/>
          <w:bCs/>
          <w:sz w:val="32"/>
          <w:szCs w:val="32"/>
          <w:highlight w:val="none"/>
        </w:rPr>
      </w:pPr>
      <w:bookmarkStart w:id="22" w:name="_Toc507399488"/>
      <w:bookmarkStart w:id="23" w:name="_Toc4000"/>
    </w:p>
    <w:p w14:paraId="365DC6AB">
      <w:pPr>
        <w:adjustRightInd w:val="0"/>
        <w:snapToGrid w:val="0"/>
        <w:spacing w:line="440" w:lineRule="exact"/>
        <w:jc w:val="center"/>
        <w:outlineLvl w:val="0"/>
        <w:rPr>
          <w:rFonts w:hint="eastAsia" w:ascii="宋体" w:hAnsi="宋体" w:eastAsia="宋体" w:cs="宋体"/>
          <w:b/>
          <w:bCs/>
          <w:sz w:val="32"/>
          <w:szCs w:val="32"/>
          <w:highlight w:val="none"/>
        </w:rPr>
      </w:pPr>
    </w:p>
    <w:p w14:paraId="6F52CED0">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ED11734">
      <w:pPr>
        <w:adjustRightInd w:val="0"/>
        <w:snapToGrid w:val="0"/>
        <w:spacing w:line="440" w:lineRule="exact"/>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第四章</w:t>
      </w:r>
      <w:bookmarkEnd w:id="22"/>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政府采购合同</w:t>
      </w:r>
      <w:bookmarkEnd w:id="23"/>
    </w:p>
    <w:p w14:paraId="724B7FA5">
      <w:pPr>
        <w:overflowPunct w:val="0"/>
        <w:spacing w:line="440" w:lineRule="exact"/>
        <w:jc w:val="center"/>
        <w:rPr>
          <w:rFonts w:hint="eastAsia" w:ascii="宋体" w:hAnsi="宋体" w:eastAsia="宋体" w:cs="宋体"/>
          <w:sz w:val="24"/>
          <w:szCs w:val="32"/>
          <w:highlight w:val="none"/>
        </w:rPr>
      </w:pPr>
    </w:p>
    <w:p w14:paraId="271CF2F0">
      <w:pPr>
        <w:overflowPunct w:val="0"/>
        <w:spacing w:line="440" w:lineRule="exact"/>
        <w:jc w:val="center"/>
        <w:rPr>
          <w:rFonts w:hint="eastAsia" w:ascii="宋体" w:hAnsi="宋体" w:eastAsia="宋体" w:cs="宋体"/>
          <w:sz w:val="36"/>
          <w:szCs w:val="44"/>
          <w:highlight w:val="none"/>
        </w:rPr>
      </w:pPr>
    </w:p>
    <w:p w14:paraId="30BFE634">
      <w:pPr>
        <w:overflowPunct w:val="0"/>
        <w:spacing w:line="440" w:lineRule="exact"/>
        <w:jc w:val="center"/>
        <w:rPr>
          <w:rFonts w:hint="eastAsia" w:ascii="宋体" w:hAnsi="宋体" w:eastAsia="宋体" w:cs="宋体"/>
          <w:b/>
          <w:bCs/>
          <w:sz w:val="36"/>
          <w:szCs w:val="44"/>
          <w:highlight w:val="none"/>
        </w:rPr>
      </w:pPr>
      <w:r>
        <w:rPr>
          <w:rFonts w:hint="eastAsia" w:ascii="宋体" w:hAnsi="宋体" w:eastAsia="宋体" w:cs="宋体"/>
          <w:b/>
          <w:bCs/>
          <w:sz w:val="28"/>
          <w:szCs w:val="28"/>
          <w:highlight w:val="none"/>
        </w:rPr>
        <w:t>(XX采购)最终合同以双方实际签订为准</w:t>
      </w:r>
    </w:p>
    <w:p w14:paraId="002D3B24">
      <w:pPr>
        <w:overflowPunct w:val="0"/>
        <w:spacing w:line="440" w:lineRule="exact"/>
        <w:jc w:val="center"/>
        <w:rPr>
          <w:rFonts w:hint="eastAsia" w:ascii="宋体" w:hAnsi="宋体" w:eastAsia="宋体" w:cs="宋体"/>
          <w:sz w:val="36"/>
          <w:szCs w:val="44"/>
          <w:highlight w:val="none"/>
          <w:lang w:eastAsia="zh-CN"/>
        </w:rPr>
      </w:pPr>
      <w:r>
        <w:rPr>
          <w:rFonts w:hint="eastAsia" w:ascii="宋体" w:hAnsi="宋体" w:eastAsia="宋体" w:cs="宋体"/>
          <w:sz w:val="36"/>
          <w:szCs w:val="44"/>
          <w:highlight w:val="none"/>
        </w:rPr>
        <w:t>乌鲁木齐市米东区中医医院</w:t>
      </w:r>
      <w:r>
        <w:rPr>
          <w:rFonts w:hint="eastAsia" w:ascii="宋体" w:hAnsi="宋体" w:eastAsia="宋体" w:cs="宋体"/>
          <w:sz w:val="36"/>
          <w:szCs w:val="44"/>
          <w:highlight w:val="none"/>
          <w:lang w:eastAsia="zh-CN"/>
        </w:rPr>
        <w:t>购买服务</w:t>
      </w:r>
    </w:p>
    <w:p w14:paraId="5E762A9D">
      <w:pPr>
        <w:overflowPunct w:val="0"/>
        <w:spacing w:line="440" w:lineRule="exact"/>
        <w:jc w:val="center"/>
        <w:rPr>
          <w:rFonts w:hint="eastAsia" w:ascii="宋体" w:hAnsi="宋体" w:eastAsia="宋体" w:cs="宋体"/>
          <w:sz w:val="36"/>
          <w:szCs w:val="44"/>
          <w:highlight w:val="none"/>
        </w:rPr>
      </w:pPr>
    </w:p>
    <w:p w14:paraId="4002CC91">
      <w:pPr>
        <w:overflowPunct w:val="0"/>
        <w:spacing w:line="440" w:lineRule="exact"/>
        <w:rPr>
          <w:rFonts w:hint="eastAsia" w:ascii="宋体" w:hAnsi="宋体" w:eastAsia="宋体" w:cs="宋体"/>
          <w:sz w:val="28"/>
          <w:szCs w:val="36"/>
          <w:highlight w:val="none"/>
        </w:rPr>
      </w:pPr>
    </w:p>
    <w:p w14:paraId="5619F136">
      <w:pPr>
        <w:overflowPunct w:val="0"/>
        <w:spacing w:line="440" w:lineRule="exact"/>
        <w:jc w:val="center"/>
        <w:rPr>
          <w:rFonts w:hint="eastAsia" w:ascii="宋体" w:hAnsi="宋体" w:eastAsia="宋体" w:cs="宋体"/>
          <w:sz w:val="28"/>
          <w:szCs w:val="36"/>
          <w:highlight w:val="none"/>
        </w:rPr>
      </w:pPr>
      <w:r>
        <w:rPr>
          <w:rFonts w:hint="eastAsia" w:ascii="宋体" w:hAnsi="宋体" w:eastAsia="宋体" w:cs="宋体"/>
          <w:sz w:val="28"/>
          <w:szCs w:val="36"/>
          <w:highlight w:val="none"/>
          <w:lang w:eastAsia="zh-CN"/>
        </w:rPr>
        <w:t>服务</w:t>
      </w:r>
      <w:r>
        <w:rPr>
          <w:rFonts w:hint="eastAsia" w:ascii="宋体" w:hAnsi="宋体" w:eastAsia="宋体" w:cs="宋体"/>
          <w:sz w:val="28"/>
          <w:szCs w:val="36"/>
          <w:highlight w:val="none"/>
        </w:rPr>
        <w:t>合同</w:t>
      </w:r>
    </w:p>
    <w:p w14:paraId="63E6DCD0">
      <w:pPr>
        <w:overflowPunct w:val="0"/>
        <w:spacing w:line="440" w:lineRule="exact"/>
        <w:jc w:val="right"/>
        <w:rPr>
          <w:rFonts w:hint="eastAsia" w:ascii="宋体" w:hAnsi="宋体" w:eastAsia="宋体" w:cs="宋体"/>
          <w:sz w:val="28"/>
          <w:szCs w:val="36"/>
          <w:highlight w:val="none"/>
        </w:rPr>
      </w:pPr>
    </w:p>
    <w:p w14:paraId="79886A11">
      <w:pPr>
        <w:overflowPunct w:val="0"/>
        <w:spacing w:line="440" w:lineRule="exact"/>
        <w:jc w:val="right"/>
        <w:rPr>
          <w:rFonts w:hint="eastAsia" w:ascii="宋体" w:hAnsi="宋体" w:eastAsia="宋体" w:cs="宋体"/>
          <w:sz w:val="28"/>
          <w:szCs w:val="36"/>
          <w:highlight w:val="none"/>
        </w:rPr>
      </w:pPr>
    </w:p>
    <w:p w14:paraId="66C3D837">
      <w:pPr>
        <w:overflowPunct w:val="0"/>
        <w:spacing w:line="440" w:lineRule="exact"/>
        <w:jc w:val="right"/>
        <w:rPr>
          <w:rFonts w:hint="eastAsia" w:ascii="宋体" w:hAnsi="宋体" w:eastAsia="宋体" w:cs="宋体"/>
          <w:sz w:val="28"/>
          <w:szCs w:val="36"/>
          <w:highlight w:val="none"/>
        </w:rPr>
      </w:pPr>
    </w:p>
    <w:p w14:paraId="19637A2F">
      <w:pPr>
        <w:pStyle w:val="25"/>
        <w:rPr>
          <w:rFonts w:hint="eastAsia" w:ascii="宋体" w:hAnsi="宋体" w:eastAsia="宋体" w:cs="宋体"/>
          <w:highlight w:val="none"/>
        </w:rPr>
      </w:pPr>
    </w:p>
    <w:p w14:paraId="3D49DAEE">
      <w:pPr>
        <w:overflowPunct w:val="0"/>
        <w:spacing w:line="440" w:lineRule="exact"/>
        <w:jc w:val="right"/>
        <w:rPr>
          <w:rFonts w:hint="eastAsia" w:ascii="宋体" w:hAnsi="宋体" w:eastAsia="宋体" w:cs="宋体"/>
          <w:sz w:val="28"/>
          <w:szCs w:val="36"/>
          <w:highlight w:val="none"/>
        </w:rPr>
      </w:pPr>
    </w:p>
    <w:p w14:paraId="3A5EEE66">
      <w:pPr>
        <w:overflowPunct w:val="0"/>
        <w:spacing w:line="440" w:lineRule="exact"/>
        <w:jc w:val="right"/>
        <w:rPr>
          <w:rFonts w:hint="eastAsia" w:ascii="宋体" w:hAnsi="宋体" w:eastAsia="宋体" w:cs="宋体"/>
          <w:sz w:val="28"/>
          <w:szCs w:val="36"/>
          <w:highlight w:val="none"/>
        </w:rPr>
      </w:pPr>
    </w:p>
    <w:p w14:paraId="3400A540">
      <w:pPr>
        <w:overflowPunct w:val="0"/>
        <w:spacing w:line="440" w:lineRule="exact"/>
        <w:jc w:val="right"/>
        <w:rPr>
          <w:rFonts w:hint="eastAsia" w:ascii="宋体" w:hAnsi="宋体" w:eastAsia="宋体" w:cs="宋体"/>
          <w:sz w:val="28"/>
          <w:szCs w:val="36"/>
          <w:highlight w:val="none"/>
        </w:rPr>
      </w:pPr>
    </w:p>
    <w:p w14:paraId="45C4F0FF">
      <w:pPr>
        <w:overflowPunct w:val="0"/>
        <w:spacing w:line="440" w:lineRule="exact"/>
        <w:jc w:val="right"/>
        <w:rPr>
          <w:rFonts w:hint="eastAsia" w:ascii="宋体" w:hAnsi="宋体" w:eastAsia="宋体" w:cs="宋体"/>
          <w:sz w:val="28"/>
          <w:szCs w:val="36"/>
          <w:highlight w:val="none"/>
        </w:rPr>
      </w:pPr>
    </w:p>
    <w:p w14:paraId="20CFBE14">
      <w:pPr>
        <w:overflowPunct w:val="0"/>
        <w:spacing w:line="440" w:lineRule="exact"/>
        <w:jc w:val="right"/>
        <w:rPr>
          <w:rFonts w:hint="eastAsia" w:ascii="宋体" w:hAnsi="宋体" w:eastAsia="宋体" w:cs="宋体"/>
          <w:sz w:val="28"/>
          <w:szCs w:val="36"/>
          <w:highlight w:val="none"/>
        </w:rPr>
      </w:pPr>
    </w:p>
    <w:p w14:paraId="3879691D">
      <w:pPr>
        <w:overflowPunct w:val="0"/>
        <w:spacing w:line="440" w:lineRule="exact"/>
        <w:rPr>
          <w:rFonts w:hint="eastAsia" w:ascii="宋体" w:hAnsi="宋体" w:eastAsia="宋体" w:cs="宋体"/>
          <w:sz w:val="28"/>
          <w:szCs w:val="36"/>
          <w:highlight w:val="none"/>
        </w:rPr>
      </w:pPr>
    </w:p>
    <w:p w14:paraId="7D84E415">
      <w:pPr>
        <w:overflowPunct w:val="0"/>
        <w:spacing w:line="440" w:lineRule="exact"/>
        <w:rPr>
          <w:rFonts w:hint="eastAsia" w:ascii="宋体" w:hAnsi="宋体" w:eastAsia="宋体" w:cs="宋体"/>
          <w:sz w:val="28"/>
          <w:szCs w:val="36"/>
          <w:highlight w:val="none"/>
        </w:rPr>
      </w:pPr>
      <w:r>
        <w:rPr>
          <w:rFonts w:hint="eastAsia" w:ascii="宋体" w:hAnsi="宋体" w:eastAsia="宋体" w:cs="宋体"/>
          <w:sz w:val="28"/>
          <w:szCs w:val="36"/>
          <w:highlight w:val="none"/>
        </w:rPr>
        <w:t>甲方(买方)：乌鲁木齐市米东区中医医院</w:t>
      </w:r>
    </w:p>
    <w:p w14:paraId="00644A58">
      <w:pPr>
        <w:overflowPunct w:val="0"/>
        <w:spacing w:line="440" w:lineRule="exact"/>
        <w:rPr>
          <w:rFonts w:hint="eastAsia" w:ascii="宋体" w:hAnsi="宋体" w:eastAsia="宋体" w:cs="宋体"/>
          <w:sz w:val="28"/>
          <w:szCs w:val="36"/>
          <w:highlight w:val="none"/>
        </w:rPr>
      </w:pPr>
    </w:p>
    <w:p w14:paraId="79354FF9">
      <w:pPr>
        <w:overflowPunct w:val="0"/>
        <w:spacing w:line="440" w:lineRule="exact"/>
        <w:rPr>
          <w:rFonts w:hint="eastAsia" w:ascii="宋体" w:hAnsi="宋体" w:eastAsia="宋体" w:cs="宋体"/>
          <w:sz w:val="28"/>
          <w:szCs w:val="36"/>
          <w:highlight w:val="none"/>
        </w:rPr>
      </w:pPr>
    </w:p>
    <w:p w14:paraId="594A422B">
      <w:pPr>
        <w:overflowPunct w:val="0"/>
        <w:spacing w:line="440" w:lineRule="exact"/>
        <w:rPr>
          <w:rFonts w:hint="eastAsia" w:ascii="宋体" w:hAnsi="宋体" w:eastAsia="宋体" w:cs="宋体"/>
          <w:sz w:val="28"/>
          <w:szCs w:val="36"/>
          <w:highlight w:val="none"/>
          <w:lang w:eastAsia="zh-CN"/>
        </w:rPr>
      </w:pPr>
      <w:r>
        <w:rPr>
          <w:rFonts w:hint="eastAsia" w:ascii="宋体" w:hAnsi="宋体" w:eastAsia="宋体" w:cs="宋体"/>
          <w:sz w:val="28"/>
          <w:szCs w:val="36"/>
          <w:highlight w:val="none"/>
        </w:rPr>
        <w:t>乙方(卖方)：</w:t>
      </w:r>
    </w:p>
    <w:p w14:paraId="70F3BE1A">
      <w:pPr>
        <w:overflowPunct w:val="0"/>
        <w:spacing w:line="440" w:lineRule="exact"/>
        <w:rPr>
          <w:rFonts w:hint="eastAsia" w:ascii="宋体" w:hAnsi="宋体" w:eastAsia="宋体" w:cs="宋体"/>
          <w:sz w:val="28"/>
          <w:szCs w:val="36"/>
          <w:highlight w:val="none"/>
        </w:rPr>
      </w:pPr>
    </w:p>
    <w:p w14:paraId="0C37959D">
      <w:pPr>
        <w:overflowPunct w:val="0"/>
        <w:spacing w:line="440" w:lineRule="exact"/>
        <w:rPr>
          <w:rFonts w:hint="eastAsia" w:ascii="宋体" w:hAnsi="宋体" w:eastAsia="宋体" w:cs="宋体"/>
          <w:sz w:val="28"/>
          <w:szCs w:val="36"/>
          <w:highlight w:val="none"/>
        </w:rPr>
      </w:pPr>
    </w:p>
    <w:p w14:paraId="232C4FBB">
      <w:pPr>
        <w:overflowPunct w:val="0"/>
        <w:spacing w:line="440" w:lineRule="exact"/>
        <w:rPr>
          <w:rFonts w:hint="eastAsia" w:ascii="宋体" w:hAnsi="宋体" w:eastAsia="宋体" w:cs="宋体"/>
          <w:sz w:val="28"/>
          <w:szCs w:val="36"/>
          <w:highlight w:val="none"/>
        </w:rPr>
      </w:pPr>
      <w:r>
        <w:rPr>
          <w:rFonts w:hint="eastAsia" w:ascii="宋体" w:hAnsi="宋体" w:eastAsia="宋体" w:cs="宋体"/>
          <w:sz w:val="28"/>
          <w:szCs w:val="36"/>
          <w:highlight w:val="none"/>
        </w:rPr>
        <w:t>合</w:t>
      </w:r>
      <w:r>
        <w:rPr>
          <w:rFonts w:hint="eastAsia" w:ascii="宋体" w:hAnsi="宋体" w:eastAsia="宋体" w:cs="宋体"/>
          <w:color w:val="auto"/>
          <w:sz w:val="28"/>
          <w:szCs w:val="36"/>
          <w:highlight w:val="none"/>
        </w:rPr>
        <w:t>同编号：</w:t>
      </w:r>
    </w:p>
    <w:p w14:paraId="6F8ECD18">
      <w:pPr>
        <w:overflowPunct w:val="0"/>
        <w:spacing w:line="440" w:lineRule="exact"/>
        <w:rPr>
          <w:rFonts w:hint="eastAsia" w:ascii="宋体" w:hAnsi="宋体" w:eastAsia="宋体" w:cs="宋体"/>
          <w:sz w:val="22"/>
          <w:szCs w:val="28"/>
          <w:highlight w:val="none"/>
        </w:rPr>
      </w:pPr>
    </w:p>
    <w:p w14:paraId="7727CCAB">
      <w:pPr>
        <w:overflowPunct w:val="0"/>
        <w:spacing w:line="440" w:lineRule="exact"/>
        <w:rPr>
          <w:rFonts w:hint="eastAsia" w:ascii="宋体" w:hAnsi="宋体" w:eastAsia="宋体" w:cs="宋体"/>
          <w:highlight w:val="none"/>
        </w:rPr>
      </w:pPr>
    </w:p>
    <w:p w14:paraId="009E185B">
      <w:pPr>
        <w:overflowPunct w:val="0"/>
        <w:spacing w:line="440" w:lineRule="exact"/>
        <w:rPr>
          <w:rFonts w:hint="eastAsia" w:ascii="宋体" w:hAnsi="宋体" w:eastAsia="宋体" w:cs="宋体"/>
          <w:highlight w:val="none"/>
        </w:rPr>
      </w:pPr>
    </w:p>
    <w:p w14:paraId="7A7A8E84">
      <w:pPr>
        <w:overflowPunct w:val="0"/>
        <w:spacing w:line="440" w:lineRule="exact"/>
        <w:rPr>
          <w:rFonts w:hint="eastAsia" w:ascii="宋体" w:hAnsi="宋体" w:eastAsia="宋体" w:cs="宋体"/>
          <w:highlight w:val="none"/>
        </w:rPr>
      </w:pPr>
    </w:p>
    <w:p w14:paraId="7D9F01D9">
      <w:pPr>
        <w:overflowPunct w:val="0"/>
        <w:spacing w:line="440" w:lineRule="exact"/>
        <w:rPr>
          <w:rFonts w:hint="eastAsia" w:ascii="宋体" w:hAnsi="宋体" w:eastAsia="宋体" w:cs="宋体"/>
          <w:highlight w:val="none"/>
        </w:rPr>
      </w:pPr>
    </w:p>
    <w:p w14:paraId="34013531">
      <w:pPr>
        <w:overflowPunct w:val="0"/>
        <w:spacing w:line="440" w:lineRule="exact"/>
        <w:rPr>
          <w:rFonts w:hint="eastAsia" w:ascii="宋体" w:hAnsi="宋体" w:eastAsia="宋体" w:cs="宋体"/>
          <w:highlight w:val="none"/>
        </w:rPr>
      </w:pPr>
    </w:p>
    <w:p w14:paraId="5B99BE07">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甲方（采购方）：乌鲁木齐市米东区中医医院</w:t>
      </w:r>
    </w:p>
    <w:p w14:paraId="137B389F">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乙方（投标人）：</w:t>
      </w:r>
    </w:p>
    <w:p w14:paraId="7D6564F0">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招标代理机构： </w:t>
      </w:r>
    </w:p>
    <w:p w14:paraId="630E871F">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p>
    <w:p w14:paraId="1928F104">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甲乙双方根据政府采购的有关规定，和中标通知书的要求，经双方友好协商，一致同意达成如下内容，特订立本合同，以便共同遵守。</w:t>
      </w:r>
    </w:p>
    <w:p w14:paraId="65052684">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第一条：合同标的</w:t>
      </w:r>
    </w:p>
    <w:p w14:paraId="4C72A06A">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采购需求所列明的服务。</w:t>
      </w:r>
    </w:p>
    <w:p w14:paraId="3C2E3738">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第二条：合同价格</w:t>
      </w:r>
    </w:p>
    <w:p w14:paraId="6DE52B74">
      <w:pPr>
        <w:keepNext w:val="0"/>
        <w:keepLines w:val="0"/>
        <w:pageBreakBefore w:val="0"/>
        <w:widowControl/>
        <w:numPr>
          <w:ilvl w:val="0"/>
          <w:numId w:val="5"/>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总价为人民币（大写）：元整。</w:t>
      </w:r>
    </w:p>
    <w:p w14:paraId="3CEF2F9D">
      <w:pPr>
        <w:keepNext w:val="0"/>
        <w:keepLines w:val="0"/>
        <w:pageBreakBefore w:val="0"/>
        <w:widowControl/>
        <w:numPr>
          <w:ilvl w:val="0"/>
          <w:numId w:val="0"/>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2、合同价格中包含本采购文件约定的所有工作内容及相关费用。</w:t>
      </w:r>
    </w:p>
    <w:p w14:paraId="5FB2E103">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第三条：付款方式</w:t>
      </w:r>
    </w:p>
    <w:p w14:paraId="7D3B9D0C">
      <w:pPr>
        <w:keepNext w:val="0"/>
        <w:keepLines w:val="0"/>
        <w:pageBreakBefore w:val="0"/>
        <w:widowControl/>
        <w:numPr>
          <w:ilvl w:val="0"/>
          <w:numId w:val="6"/>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甲乙双方确认的货款结算依据：投标文件、中标（成交）通知书，采购合同书，乙方开具的发票，甲方出具的验收结算书等。</w:t>
      </w:r>
    </w:p>
    <w:p w14:paraId="7A66CBFF">
      <w:pPr>
        <w:keepNext w:val="0"/>
        <w:keepLines w:val="0"/>
        <w:pageBreakBefore w:val="0"/>
        <w:widowControl/>
        <w:numPr>
          <w:ilvl w:val="0"/>
          <w:numId w:val="0"/>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2、乙方须向甲方出具合法有效完整的完税发票及凭证资料进行支付结算。</w:t>
      </w:r>
    </w:p>
    <w:p w14:paraId="793A3A96">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第四条：服务要求</w:t>
      </w:r>
    </w:p>
    <w:p w14:paraId="1D1B4A2F">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履约期限：。</w:t>
      </w:r>
    </w:p>
    <w:p w14:paraId="10EB9702">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乙方应无条件接受甲方对工作进度的调查和督促，因成果质量造成的返工、修改，经济损失由乙方承担。</w:t>
      </w:r>
    </w:p>
    <w:p w14:paraId="623F1869">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甲方在验收过程中发现乙方有违约问题，可按招标文件、投标文件的规定要求乙方及时予以解决。</w:t>
      </w:r>
    </w:p>
    <w:p w14:paraId="6A45AC61">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未经甲方同意，乙方不得对本项目进行转包分包。</w:t>
      </w:r>
    </w:p>
    <w:p w14:paraId="5B060B45">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质量标准：合格；质量符合国家、地方和行业相关标准和规范及招标人采购需求所包含的内容。</w:t>
      </w:r>
    </w:p>
    <w:p w14:paraId="4F2B989F">
      <w:pPr>
        <w:keepNext w:val="0"/>
        <w:keepLines w:val="0"/>
        <w:pageBreakBefore w:val="0"/>
        <w:widowControl/>
        <w:numPr>
          <w:ilvl w:val="0"/>
          <w:numId w:val="7"/>
        </w:numPr>
        <w:suppressLineNumbers w:val="0"/>
        <w:kinsoku/>
        <w:wordWrap/>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验收标准：①、严格按照招标文件要求和中标投标人投标文件内容进行验收。②、严格按照政府采购相关法律法规的要求进行验收。③、采购人可根据项目情况邀请专家进行验收。</w:t>
      </w:r>
    </w:p>
    <w:p w14:paraId="2FFF6A6E">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第五条：本合同的有效组成文件：</w:t>
      </w:r>
    </w:p>
    <w:p w14:paraId="08C5C6CD">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1、投标文件。2、中标通知书。3、甲方出具的验货结算书。4、乙方所提供的其他承诺。</w:t>
      </w:r>
    </w:p>
    <w:p w14:paraId="37A58EEC">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第六条：违约责任：</w:t>
      </w:r>
    </w:p>
    <w:p w14:paraId="621CF1BA">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1、因甲方原因造成乙方停工、返工及合同停止，乙方不承担违约责任。2、经甲方组织的人员审查发现，乙方未按甲方要求完成任务，或在项目实施过程中出现重大质量问题，甲方有权要求乙方返工。3、乙方未经甲方同意将项目中的全部或部分工作任务分包给第三方，或将项目转包给第三方承担，甲方有权要求乙方予以纠正或解除合同。4、乙方向甲方应提供与合同要求相符的服务，提交的所有资料成果必须保证真实可靠，且交付给甲方的成果不侵犯任何第三人的合法权益。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2%的违约金。5、甲乙双方任何一方由于不可抗拒的原因不能履行合同时，应及时向对方通报不能履行或不能完全履行的理由，根据具体情况可部分或全部免于承担违约责任。6、双方必须严格执行《中华人民共和国民法典》的有关违约责任规定。</w:t>
      </w:r>
    </w:p>
    <w:p w14:paraId="7FFDB54E">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第七条：不可抗力</w:t>
      </w:r>
    </w:p>
    <w:p w14:paraId="3D4138B4">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1、本合同生效后发生不可抗力的，发生不可抗力的一方应立即通知对方和乌鲁木齐市米东区中医医院，并在不可抗力发生之日起五天内提供不可抗力的详情及有关证明文件送交对方和乌鲁木齐市米东区中医医院。2、发生不可抗力事件时，双方应协商以寻找一个合理的解决方法，并尽一切努力减轻不可抗力产生的后果。如不可抗力影响双方合同正常执行的，双方应友好协商解决本合同是否继续履行或终止。3、一方因不可抗力不能按本合同约定履行的，可以减轻或免除一方的违约责任，一方不能证明不能按本合同约定履行是因不可抗力的，应当承担本合同约定的违约和赔偿责任。</w:t>
      </w:r>
    </w:p>
    <w:p w14:paraId="52AAB88D">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第八条：合同的解除和变更</w:t>
      </w:r>
    </w:p>
    <w:p w14:paraId="65976140">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当合同一方要求变更或解除合同时，在新协议未达成前，原合同仍然有效。要求变更的一方应及时书面通知对方乌鲁木齐市米东区中医医院，对方在接到通知15日内书面给予答复，逾期未答复则视为已同意。双方达成协议的，按新协议执行，并报乌鲁木齐市米东区中医医院备案。</w:t>
      </w:r>
    </w:p>
    <w:p w14:paraId="0A2C36BD">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第九条：争议解决方式</w:t>
      </w:r>
    </w:p>
    <w:p w14:paraId="38906369">
      <w:pPr>
        <w:keepNext w:val="0"/>
        <w:keepLines w:val="0"/>
        <w:pageBreakBefore w:val="0"/>
        <w:widowControl/>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
        </w:rPr>
        <w:t>甲乙双方在合同执行中发生争议，由甲乙双方协商解决，协商解决不了的，甲乙双方均有权向乌鲁木齐市米东区中医医院投诉或向合同签署所在地人民法院提起诉讼。</w:t>
      </w:r>
    </w:p>
    <w:p w14:paraId="4B898870">
      <w:pPr>
        <w:keepNext w:val="0"/>
        <w:keepLines w:val="0"/>
        <w:pageBreakBefore w:val="0"/>
        <w:widowControl/>
        <w:suppressLineNumbers w:val="0"/>
        <w:kinsoku/>
        <w:wordWrap/>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第十条：合同生效及其他</w:t>
      </w:r>
    </w:p>
    <w:p w14:paraId="44A29775">
      <w:pPr>
        <w:keepNext w:val="0"/>
        <w:keepLines w:val="0"/>
        <w:pageBreakBefore w:val="0"/>
        <w:widowControl/>
        <w:numPr>
          <w:ilvl w:val="0"/>
          <w:numId w:val="8"/>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本合同经甲乙双方盖章和代表签字日期，即为本合同生效日期。如双方盖章签字日期不一致时，以最后盖章签字方的盖章签字日期为合同的生效日期。</w:t>
      </w:r>
    </w:p>
    <w:p w14:paraId="58763E71">
      <w:pPr>
        <w:keepNext w:val="0"/>
        <w:keepLines w:val="0"/>
        <w:pageBreakBefore w:val="0"/>
        <w:widowControl/>
        <w:numPr>
          <w:ilvl w:val="0"/>
          <w:numId w:val="8"/>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本合同一式陆份，甲伍份，乙方一份，政府采购办、招标代理公司各一。</w:t>
      </w:r>
    </w:p>
    <w:p w14:paraId="4CD121E4">
      <w:pPr>
        <w:keepNext w:val="0"/>
        <w:keepLines w:val="0"/>
        <w:pageBreakBefore w:val="0"/>
        <w:widowControl/>
        <w:numPr>
          <w:ilvl w:val="0"/>
          <w:numId w:val="8"/>
        </w:numPr>
        <w:suppressLineNumbers w:val="0"/>
        <w:kinsoku/>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本合同的未尽事项，必要时由甲乙双方另订补充协议，经甲乙双方盖章和双方授权代表签字后与本合同具有同等法律效力，补充协议必须交乌鲁木齐市米东区中医医院备案。</w:t>
      </w:r>
    </w:p>
    <w:p w14:paraId="3DC42EF4">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甲方法人(签字)：</w:t>
      </w:r>
    </w:p>
    <w:p w14:paraId="1407079B">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甲方代表(签字)：</w:t>
      </w:r>
    </w:p>
    <w:p w14:paraId="08D39797">
      <w:pPr>
        <w:pStyle w:val="25"/>
        <w:spacing w:line="24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实际使用科室</w:t>
      </w:r>
      <w:r>
        <w:rPr>
          <w:rFonts w:hint="eastAsia" w:ascii="宋体" w:hAnsi="宋体" w:eastAsia="宋体" w:cs="宋体"/>
          <w:sz w:val="24"/>
          <w:szCs w:val="24"/>
          <w:highlight w:val="none"/>
        </w:rPr>
        <w:t>(签字)：</w:t>
      </w:r>
    </w:p>
    <w:p w14:paraId="76EA7C0E">
      <w:pPr>
        <w:spacing w:line="240" w:lineRule="auto"/>
        <w:ind w:firstLine="480" w:firstLineChars="200"/>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SA"/>
        </w:rPr>
        <w:t>归口部门</w:t>
      </w:r>
      <w:r>
        <w:rPr>
          <w:rFonts w:hint="eastAsia" w:ascii="宋体" w:hAnsi="宋体" w:eastAsia="宋体" w:cs="宋体"/>
          <w:sz w:val="24"/>
          <w:szCs w:val="24"/>
          <w:highlight w:val="none"/>
        </w:rPr>
        <w:t>(签字)：</w:t>
      </w:r>
    </w:p>
    <w:p w14:paraId="40E655D8">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合同专用章：</w:t>
      </w:r>
    </w:p>
    <w:p w14:paraId="36C01486">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67D5614B">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单位电话：</w:t>
      </w:r>
    </w:p>
    <w:p w14:paraId="1BD5FF68">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合同签订时间：年月日</w:t>
      </w:r>
    </w:p>
    <w:p w14:paraId="7EEF0DD0">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5C710C73">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乙方法人(签字)：</w:t>
      </w:r>
    </w:p>
    <w:p w14:paraId="0A70EF23">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乙方代表(签字)：</w:t>
      </w:r>
    </w:p>
    <w:p w14:paraId="2E6A1C05">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合同专用章：</w:t>
      </w:r>
    </w:p>
    <w:p w14:paraId="4A569BA0">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07DD1930">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单位电话：</w:t>
      </w:r>
    </w:p>
    <w:p w14:paraId="1943D04E">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4866D942">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38B3AFC9">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合同签订时间：年月日</w:t>
      </w:r>
    </w:p>
    <w:p w14:paraId="003CC5F2">
      <w:pPr>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注：最终合同以实际签订为准。</w:t>
      </w:r>
    </w:p>
    <w:p w14:paraId="07A5E873">
      <w:pPr>
        <w:adjustRightInd w:val="0"/>
        <w:snapToGrid w:val="0"/>
        <w:spacing w:line="460" w:lineRule="exact"/>
        <w:ind w:firstLine="480" w:firstLineChars="200"/>
        <w:rPr>
          <w:rFonts w:hint="eastAsia" w:ascii="宋体" w:hAnsi="宋体" w:eastAsia="宋体" w:cs="宋体"/>
          <w:sz w:val="24"/>
          <w:highlight w:val="none"/>
          <w:lang w:bidi="ar"/>
        </w:rPr>
      </w:pPr>
    </w:p>
    <w:p w14:paraId="67BF6E62">
      <w:pPr>
        <w:rPr>
          <w:rFonts w:hint="eastAsia" w:ascii="宋体" w:hAnsi="宋体" w:eastAsia="宋体" w:cs="宋体"/>
          <w:sz w:val="24"/>
          <w:highlight w:val="none"/>
        </w:rPr>
      </w:pPr>
      <w:bookmarkStart w:id="24" w:name="_Toc7984"/>
      <w:r>
        <w:rPr>
          <w:rFonts w:hint="eastAsia" w:ascii="宋体" w:hAnsi="宋体" w:eastAsia="宋体" w:cs="宋体"/>
          <w:b/>
          <w:bCs/>
          <w:sz w:val="32"/>
          <w:szCs w:val="32"/>
          <w:highlight w:val="none"/>
          <w:lang w:bidi="ar"/>
        </w:rPr>
        <w:br w:type="page"/>
      </w:r>
      <w:r>
        <w:rPr>
          <w:rFonts w:hint="eastAsia" w:ascii="宋体" w:hAnsi="宋体" w:eastAsia="宋体" w:cs="宋体"/>
          <w:b/>
          <w:bCs/>
          <w:spacing w:val="-1"/>
          <w:sz w:val="24"/>
          <w:highlight w:val="none"/>
        </w:rPr>
        <w:t>附件1:</w:t>
      </w:r>
    </w:p>
    <w:p w14:paraId="52A4742E">
      <w:pPr>
        <w:pStyle w:val="15"/>
        <w:spacing w:line="329" w:lineRule="auto"/>
        <w:rPr>
          <w:rFonts w:hint="eastAsia" w:ascii="宋体" w:hAnsi="宋体" w:eastAsia="宋体" w:cs="宋体"/>
          <w:highlight w:val="none"/>
        </w:rPr>
      </w:pPr>
    </w:p>
    <w:p w14:paraId="1C1BA54F">
      <w:pPr>
        <w:spacing w:before="150" w:line="219" w:lineRule="auto"/>
        <w:jc w:val="center"/>
        <w:rPr>
          <w:rFonts w:hint="eastAsia" w:ascii="宋体" w:hAnsi="宋体" w:eastAsia="宋体" w:cs="宋体"/>
          <w:sz w:val="24"/>
          <w:highlight w:val="none"/>
        </w:rPr>
      </w:pPr>
      <w:r>
        <w:rPr>
          <w:rFonts w:hint="eastAsia" w:ascii="宋体" w:hAnsi="宋体" w:eastAsia="宋体" w:cs="宋体"/>
          <w:b/>
          <w:bCs/>
          <w:spacing w:val="1"/>
          <w:sz w:val="24"/>
          <w:highlight w:val="none"/>
        </w:rPr>
        <w:t>法人身份证明书及委托人身份证明书(付联系方式)</w:t>
      </w:r>
    </w:p>
    <w:p w14:paraId="72253F68">
      <w:pPr>
        <w:pStyle w:val="15"/>
        <w:spacing w:line="305" w:lineRule="auto"/>
        <w:rPr>
          <w:rFonts w:hint="eastAsia" w:ascii="宋体" w:hAnsi="宋体" w:eastAsia="宋体" w:cs="宋体"/>
          <w:highlight w:val="none"/>
          <w:lang w:val="en-US"/>
        </w:rPr>
      </w:pPr>
      <w:r>
        <w:rPr>
          <w:rFonts w:hint="eastAsia" w:ascii="宋体" w:hAnsi="宋体" w:eastAsia="宋体" w:cs="宋体"/>
          <w:highlight w:val="none"/>
          <w:lang w:val="en-US"/>
        </w:rPr>
        <w:t>附身份证正反面</w:t>
      </w:r>
    </w:p>
    <w:p w14:paraId="76F86A4B">
      <w:pPr>
        <w:pStyle w:val="15"/>
        <w:spacing w:line="305" w:lineRule="auto"/>
        <w:rPr>
          <w:rFonts w:hint="eastAsia" w:ascii="宋体" w:hAnsi="宋体" w:eastAsia="宋体" w:cs="宋体"/>
          <w:highlight w:val="none"/>
        </w:rPr>
      </w:pPr>
    </w:p>
    <w:p w14:paraId="71B113DB">
      <w:pPr>
        <w:pStyle w:val="15"/>
        <w:spacing w:line="305" w:lineRule="auto"/>
        <w:rPr>
          <w:rFonts w:hint="eastAsia" w:ascii="宋体" w:hAnsi="宋体" w:eastAsia="宋体" w:cs="宋体"/>
          <w:highlight w:val="none"/>
        </w:rPr>
      </w:pPr>
    </w:p>
    <w:p w14:paraId="6293BAD6">
      <w:pPr>
        <w:spacing w:before="57" w:line="219" w:lineRule="auto"/>
        <w:rPr>
          <w:rFonts w:hint="eastAsia" w:ascii="宋体" w:hAnsi="宋体" w:eastAsia="宋体" w:cs="宋体"/>
          <w:b/>
          <w:bCs/>
          <w:spacing w:val="-1"/>
          <w:sz w:val="24"/>
          <w:highlight w:val="none"/>
        </w:rPr>
      </w:pPr>
    </w:p>
    <w:p w14:paraId="01F6F669">
      <w:pPr>
        <w:spacing w:before="57" w:line="219" w:lineRule="auto"/>
        <w:rPr>
          <w:rFonts w:hint="eastAsia" w:ascii="宋体" w:hAnsi="宋体" w:eastAsia="宋体" w:cs="宋体"/>
          <w:sz w:val="24"/>
          <w:highlight w:val="none"/>
        </w:rPr>
      </w:pPr>
      <w:r>
        <w:rPr>
          <w:rFonts w:hint="eastAsia" w:ascii="宋体" w:hAnsi="宋体" w:eastAsia="宋体" w:cs="宋体"/>
          <w:b/>
          <w:bCs/>
          <w:spacing w:val="-1"/>
          <w:sz w:val="24"/>
          <w:highlight w:val="none"/>
        </w:rPr>
        <w:t>附件2:</w:t>
      </w:r>
    </w:p>
    <w:p w14:paraId="38794313">
      <w:pPr>
        <w:pStyle w:val="15"/>
        <w:spacing w:line="244" w:lineRule="auto"/>
        <w:rPr>
          <w:rFonts w:hint="eastAsia" w:ascii="宋体" w:hAnsi="宋体" w:eastAsia="宋体" w:cs="宋体"/>
          <w:highlight w:val="none"/>
        </w:rPr>
      </w:pPr>
    </w:p>
    <w:p w14:paraId="51AE2F09">
      <w:pPr>
        <w:spacing w:before="108" w:line="219" w:lineRule="auto"/>
        <w:jc w:val="center"/>
        <w:rPr>
          <w:rFonts w:hint="eastAsia" w:ascii="宋体" w:hAnsi="宋体" w:eastAsia="宋体" w:cs="宋体"/>
          <w:sz w:val="24"/>
          <w:highlight w:val="none"/>
        </w:rPr>
      </w:pPr>
      <w:r>
        <w:rPr>
          <w:rFonts w:hint="eastAsia" w:ascii="宋体" w:hAnsi="宋体" w:eastAsia="宋体" w:cs="宋体"/>
          <w:b/>
          <w:bCs/>
          <w:spacing w:val="-21"/>
          <w:sz w:val="24"/>
          <w:highlight w:val="none"/>
        </w:rPr>
        <w:t>营业执照</w:t>
      </w:r>
    </w:p>
    <w:p w14:paraId="4AD80836">
      <w:pPr>
        <w:pStyle w:val="15"/>
        <w:spacing w:line="274" w:lineRule="auto"/>
        <w:rPr>
          <w:rFonts w:hint="eastAsia" w:ascii="宋体" w:hAnsi="宋体" w:eastAsia="宋体" w:cs="宋体"/>
          <w:highlight w:val="none"/>
        </w:rPr>
      </w:pPr>
    </w:p>
    <w:p w14:paraId="0667A6A5">
      <w:pPr>
        <w:pStyle w:val="15"/>
        <w:spacing w:line="274" w:lineRule="auto"/>
        <w:rPr>
          <w:rFonts w:hint="eastAsia" w:ascii="宋体" w:hAnsi="宋体" w:eastAsia="宋体" w:cs="宋体"/>
          <w:highlight w:val="none"/>
        </w:rPr>
      </w:pPr>
    </w:p>
    <w:p w14:paraId="03FFA1F5">
      <w:pPr>
        <w:pStyle w:val="15"/>
        <w:rPr>
          <w:rFonts w:hint="eastAsia" w:ascii="宋体" w:hAnsi="宋体" w:eastAsia="宋体" w:cs="宋体"/>
          <w:highlight w:val="none"/>
        </w:rPr>
      </w:pPr>
    </w:p>
    <w:p w14:paraId="6BFF77E8">
      <w:pPr>
        <w:spacing w:before="104" w:line="219" w:lineRule="auto"/>
        <w:rPr>
          <w:rFonts w:hint="eastAsia" w:ascii="宋体" w:hAnsi="宋体" w:eastAsia="宋体" w:cs="宋体"/>
          <w:sz w:val="24"/>
          <w:highlight w:val="none"/>
        </w:rPr>
      </w:pPr>
      <w:r>
        <w:rPr>
          <w:rFonts w:hint="eastAsia" w:ascii="宋体" w:hAnsi="宋体" w:eastAsia="宋体" w:cs="宋体"/>
          <w:b/>
          <w:bCs/>
          <w:spacing w:val="-20"/>
          <w:sz w:val="24"/>
          <w:highlight w:val="none"/>
        </w:rPr>
        <w:t>附件</w:t>
      </w:r>
      <w:r>
        <w:rPr>
          <w:rFonts w:hint="eastAsia" w:ascii="宋体" w:hAnsi="宋体" w:eastAsia="宋体" w:cs="宋体"/>
          <w:b/>
          <w:bCs/>
          <w:spacing w:val="-20"/>
          <w:sz w:val="24"/>
          <w:highlight w:val="none"/>
          <w:lang w:val="en-US" w:eastAsia="zh-CN"/>
        </w:rPr>
        <w:t>3.</w:t>
      </w:r>
      <w:r>
        <w:rPr>
          <w:rFonts w:hint="eastAsia" w:ascii="宋体" w:hAnsi="宋体" w:eastAsia="宋体" w:cs="宋体"/>
          <w:b/>
          <w:bCs/>
          <w:spacing w:val="-20"/>
          <w:sz w:val="24"/>
          <w:highlight w:val="none"/>
        </w:rPr>
        <w:t>:</w:t>
      </w:r>
    </w:p>
    <w:p w14:paraId="2703DD4B">
      <w:pPr>
        <w:spacing w:before="36" w:line="219" w:lineRule="auto"/>
        <w:jc w:val="center"/>
        <w:rPr>
          <w:rFonts w:hint="eastAsia" w:ascii="宋体" w:hAnsi="宋体" w:eastAsia="宋体" w:cs="宋体"/>
          <w:spacing w:val="27"/>
          <w:sz w:val="24"/>
          <w:highlight w:val="none"/>
        </w:rPr>
      </w:pPr>
      <w:r>
        <w:rPr>
          <w:rFonts w:hint="eastAsia" w:ascii="宋体" w:hAnsi="宋体" w:eastAsia="宋体" w:cs="宋体"/>
          <w:spacing w:val="27"/>
          <w:sz w:val="24"/>
          <w:highlight w:val="none"/>
        </w:rPr>
        <w:t>技术参数</w:t>
      </w:r>
    </w:p>
    <w:p w14:paraId="1BDECB0D">
      <w:pPr>
        <w:pStyle w:val="15"/>
        <w:spacing w:line="295" w:lineRule="auto"/>
        <w:rPr>
          <w:rFonts w:hint="eastAsia" w:ascii="宋体" w:hAnsi="宋体" w:eastAsia="宋体" w:cs="宋体"/>
          <w:highlight w:val="none"/>
        </w:rPr>
      </w:pPr>
    </w:p>
    <w:p w14:paraId="1226F035">
      <w:pPr>
        <w:pStyle w:val="15"/>
        <w:spacing w:line="278" w:lineRule="auto"/>
        <w:rPr>
          <w:rFonts w:hint="eastAsia" w:ascii="宋体" w:hAnsi="宋体" w:eastAsia="宋体" w:cs="宋体"/>
          <w:highlight w:val="none"/>
        </w:rPr>
      </w:pPr>
    </w:p>
    <w:p w14:paraId="17A3925C">
      <w:pPr>
        <w:spacing w:before="104" w:line="219" w:lineRule="auto"/>
        <w:rPr>
          <w:rFonts w:hint="eastAsia" w:ascii="宋体" w:hAnsi="宋体" w:eastAsia="宋体" w:cs="宋体"/>
          <w:b/>
          <w:bCs/>
          <w:spacing w:val="-20"/>
          <w:sz w:val="24"/>
          <w:highlight w:val="none"/>
        </w:rPr>
      </w:pPr>
      <w:r>
        <w:rPr>
          <w:rFonts w:hint="eastAsia" w:ascii="宋体" w:hAnsi="宋体" w:eastAsia="宋体" w:cs="宋体"/>
          <w:b/>
          <w:bCs/>
          <w:spacing w:val="-20"/>
          <w:sz w:val="24"/>
          <w:highlight w:val="none"/>
        </w:rPr>
        <w:t>附件</w:t>
      </w:r>
      <w:r>
        <w:rPr>
          <w:rFonts w:hint="eastAsia" w:ascii="宋体" w:hAnsi="宋体" w:eastAsia="宋体" w:cs="宋体"/>
          <w:b/>
          <w:bCs/>
          <w:spacing w:val="-20"/>
          <w:sz w:val="24"/>
          <w:highlight w:val="none"/>
          <w:lang w:val="en-US" w:eastAsia="zh-CN"/>
        </w:rPr>
        <w:t>4</w:t>
      </w:r>
      <w:r>
        <w:rPr>
          <w:rFonts w:hint="eastAsia" w:ascii="宋体" w:hAnsi="宋体" w:eastAsia="宋体" w:cs="宋体"/>
          <w:b/>
          <w:bCs/>
          <w:spacing w:val="-20"/>
          <w:sz w:val="24"/>
          <w:highlight w:val="none"/>
        </w:rPr>
        <w:t>:</w:t>
      </w:r>
    </w:p>
    <w:p w14:paraId="306C8948">
      <w:pPr>
        <w:spacing w:before="36" w:line="219" w:lineRule="auto"/>
        <w:jc w:val="center"/>
        <w:rPr>
          <w:rFonts w:hint="eastAsia" w:ascii="宋体" w:hAnsi="宋体" w:eastAsia="宋体" w:cs="宋体"/>
          <w:sz w:val="24"/>
          <w:highlight w:val="none"/>
        </w:rPr>
      </w:pPr>
      <w:r>
        <w:rPr>
          <w:rFonts w:hint="eastAsia" w:ascii="宋体" w:hAnsi="宋体" w:eastAsia="宋体" w:cs="宋体"/>
          <w:spacing w:val="27"/>
          <w:sz w:val="24"/>
          <w:highlight w:val="none"/>
        </w:rPr>
        <w:t>基本服务要求承诺函</w:t>
      </w:r>
    </w:p>
    <w:p w14:paraId="27A781E1">
      <w:pPr>
        <w:pStyle w:val="15"/>
        <w:spacing w:line="324" w:lineRule="auto"/>
        <w:jc w:val="center"/>
        <w:rPr>
          <w:rFonts w:hint="eastAsia" w:ascii="宋体" w:hAnsi="宋体" w:eastAsia="宋体" w:cs="宋体"/>
          <w:highlight w:val="none"/>
        </w:rPr>
      </w:pPr>
    </w:p>
    <w:p w14:paraId="199879CE">
      <w:pPr>
        <w:spacing w:before="104" w:line="219" w:lineRule="auto"/>
        <w:rPr>
          <w:rFonts w:hint="eastAsia" w:ascii="宋体" w:hAnsi="宋体" w:eastAsia="宋体" w:cs="宋体"/>
          <w:b/>
          <w:bCs/>
          <w:spacing w:val="-20"/>
          <w:sz w:val="24"/>
          <w:highlight w:val="none"/>
        </w:rPr>
      </w:pPr>
      <w:r>
        <w:rPr>
          <w:rFonts w:hint="eastAsia" w:ascii="宋体" w:hAnsi="宋体" w:eastAsia="宋体" w:cs="宋体"/>
          <w:b/>
          <w:bCs/>
          <w:spacing w:val="-20"/>
          <w:sz w:val="24"/>
          <w:highlight w:val="none"/>
        </w:rPr>
        <w:t>附件</w:t>
      </w:r>
      <w:r>
        <w:rPr>
          <w:rFonts w:hint="eastAsia" w:ascii="宋体" w:hAnsi="宋体" w:eastAsia="宋体" w:cs="宋体"/>
          <w:b/>
          <w:bCs/>
          <w:spacing w:val="-20"/>
          <w:sz w:val="24"/>
          <w:highlight w:val="none"/>
          <w:lang w:val="en-US" w:eastAsia="zh-CN"/>
        </w:rPr>
        <w:t>5</w:t>
      </w:r>
      <w:r>
        <w:rPr>
          <w:rFonts w:hint="eastAsia" w:ascii="宋体" w:hAnsi="宋体" w:eastAsia="宋体" w:cs="宋体"/>
          <w:b/>
          <w:bCs/>
          <w:spacing w:val="-20"/>
          <w:sz w:val="24"/>
          <w:highlight w:val="none"/>
        </w:rPr>
        <w:t>:</w:t>
      </w:r>
    </w:p>
    <w:p w14:paraId="0DED67BC">
      <w:pPr>
        <w:spacing w:before="170" w:line="219" w:lineRule="auto"/>
        <w:jc w:val="center"/>
        <w:rPr>
          <w:rFonts w:hint="eastAsia" w:ascii="宋体" w:hAnsi="宋体" w:eastAsia="宋体" w:cs="宋体"/>
          <w:sz w:val="24"/>
          <w:highlight w:val="none"/>
        </w:rPr>
      </w:pPr>
      <w:r>
        <w:rPr>
          <w:rFonts w:hint="eastAsia" w:ascii="宋体" w:hAnsi="宋体" w:eastAsia="宋体" w:cs="宋体"/>
          <w:spacing w:val="27"/>
          <w:sz w:val="24"/>
          <w:highlight w:val="none"/>
        </w:rPr>
        <w:t>代理商售后服务承诺书</w:t>
      </w:r>
    </w:p>
    <w:p w14:paraId="6C13D2E9">
      <w:pPr>
        <w:pStyle w:val="15"/>
        <w:spacing w:line="412" w:lineRule="auto"/>
        <w:rPr>
          <w:rFonts w:hint="eastAsia" w:ascii="宋体" w:hAnsi="宋体" w:eastAsia="宋体" w:cs="宋体"/>
          <w:highlight w:val="none"/>
        </w:rPr>
      </w:pPr>
    </w:p>
    <w:p w14:paraId="1812C576">
      <w:pPr>
        <w:spacing w:before="91" w:line="219" w:lineRule="auto"/>
        <w:rPr>
          <w:rFonts w:hint="eastAsia" w:ascii="宋体" w:hAnsi="宋体" w:eastAsia="宋体" w:cs="宋体"/>
          <w:sz w:val="24"/>
          <w:highlight w:val="none"/>
        </w:rPr>
      </w:pPr>
      <w:r>
        <w:rPr>
          <w:rFonts w:hint="eastAsia" w:ascii="宋体" w:hAnsi="宋体" w:eastAsia="宋体" w:cs="宋体"/>
          <w:b/>
          <w:bCs/>
          <w:spacing w:val="-20"/>
          <w:sz w:val="24"/>
          <w:highlight w:val="none"/>
        </w:rPr>
        <w:t>附件</w:t>
      </w:r>
      <w:r>
        <w:rPr>
          <w:rFonts w:hint="eastAsia" w:ascii="宋体" w:hAnsi="宋体" w:eastAsia="宋体" w:cs="宋体"/>
          <w:b/>
          <w:bCs/>
          <w:spacing w:val="-20"/>
          <w:sz w:val="24"/>
          <w:highlight w:val="none"/>
          <w:lang w:val="en-US" w:eastAsia="zh-CN"/>
        </w:rPr>
        <w:t>6</w:t>
      </w:r>
      <w:r>
        <w:rPr>
          <w:rFonts w:hint="eastAsia" w:ascii="宋体" w:hAnsi="宋体" w:eastAsia="宋体" w:cs="宋体"/>
          <w:b/>
          <w:bCs/>
          <w:spacing w:val="-20"/>
          <w:sz w:val="24"/>
          <w:highlight w:val="none"/>
        </w:rPr>
        <w:t>:</w:t>
      </w:r>
    </w:p>
    <w:p w14:paraId="0FBB3B02">
      <w:pPr>
        <w:spacing w:before="170" w:line="219" w:lineRule="auto"/>
        <w:jc w:val="center"/>
        <w:rPr>
          <w:rFonts w:hint="eastAsia" w:ascii="宋体" w:hAnsi="宋体" w:eastAsia="宋体" w:cs="宋体"/>
          <w:spacing w:val="27"/>
          <w:sz w:val="24"/>
          <w:highlight w:val="none"/>
        </w:rPr>
      </w:pPr>
      <w:r>
        <w:rPr>
          <w:rFonts w:hint="eastAsia" w:ascii="宋体" w:hAnsi="宋体" w:eastAsia="宋体" w:cs="宋体"/>
          <w:spacing w:val="27"/>
          <w:sz w:val="24"/>
          <w:highlight w:val="none"/>
        </w:rPr>
        <w:t>厂家售后服务承诺书</w:t>
      </w:r>
    </w:p>
    <w:p w14:paraId="475965C7">
      <w:pPr>
        <w:pStyle w:val="15"/>
        <w:spacing w:line="274" w:lineRule="auto"/>
        <w:rPr>
          <w:rFonts w:hint="eastAsia" w:ascii="宋体" w:hAnsi="宋体" w:eastAsia="宋体" w:cs="宋体"/>
          <w:highlight w:val="none"/>
        </w:rPr>
      </w:pPr>
    </w:p>
    <w:p w14:paraId="57FFEF76">
      <w:pPr>
        <w:pStyle w:val="15"/>
        <w:spacing w:line="274" w:lineRule="auto"/>
        <w:rPr>
          <w:rFonts w:hint="eastAsia" w:ascii="宋体" w:hAnsi="宋体" w:eastAsia="宋体" w:cs="宋体"/>
          <w:highlight w:val="none"/>
        </w:rPr>
      </w:pPr>
    </w:p>
    <w:p w14:paraId="6E43C06F">
      <w:pPr>
        <w:spacing w:before="94" w:line="219" w:lineRule="auto"/>
        <w:rPr>
          <w:rFonts w:hint="eastAsia" w:ascii="宋体" w:hAnsi="宋体" w:eastAsia="宋体" w:cs="宋体"/>
          <w:sz w:val="24"/>
          <w:highlight w:val="none"/>
        </w:rPr>
      </w:pPr>
      <w:r>
        <w:rPr>
          <w:rFonts w:hint="eastAsia" w:ascii="宋体" w:hAnsi="宋体" w:eastAsia="宋体" w:cs="宋体"/>
          <w:b/>
          <w:bCs/>
          <w:spacing w:val="4"/>
          <w:sz w:val="24"/>
          <w:highlight w:val="none"/>
        </w:rPr>
        <w:t>附件</w:t>
      </w:r>
      <w:r>
        <w:rPr>
          <w:rFonts w:hint="eastAsia" w:ascii="宋体" w:hAnsi="宋体" w:eastAsia="宋体" w:cs="宋体"/>
          <w:b/>
          <w:bCs/>
          <w:spacing w:val="4"/>
          <w:sz w:val="24"/>
          <w:highlight w:val="none"/>
          <w:lang w:val="en-US" w:eastAsia="zh-CN"/>
        </w:rPr>
        <w:t>7</w:t>
      </w:r>
      <w:r>
        <w:rPr>
          <w:rFonts w:hint="eastAsia" w:ascii="宋体" w:hAnsi="宋体" w:eastAsia="宋体" w:cs="宋体"/>
          <w:b/>
          <w:bCs/>
          <w:spacing w:val="4"/>
          <w:sz w:val="24"/>
          <w:highlight w:val="none"/>
        </w:rPr>
        <w:t>:</w:t>
      </w:r>
    </w:p>
    <w:p w14:paraId="6C181AFA">
      <w:pPr>
        <w:spacing w:before="170" w:line="219" w:lineRule="auto"/>
        <w:jc w:val="center"/>
        <w:rPr>
          <w:rFonts w:hint="eastAsia" w:ascii="宋体" w:hAnsi="宋体" w:eastAsia="宋体" w:cs="宋体"/>
          <w:spacing w:val="27"/>
          <w:sz w:val="24"/>
          <w:highlight w:val="none"/>
        </w:rPr>
      </w:pPr>
      <w:r>
        <w:rPr>
          <w:rFonts w:hint="eastAsia" w:ascii="宋体" w:hAnsi="宋体" w:eastAsia="宋体" w:cs="宋体"/>
          <w:spacing w:val="27"/>
          <w:sz w:val="24"/>
          <w:highlight w:val="none"/>
        </w:rPr>
        <w:t>培训计划</w:t>
      </w:r>
    </w:p>
    <w:p w14:paraId="67556724">
      <w:pPr>
        <w:pStyle w:val="15"/>
        <w:spacing w:line="245" w:lineRule="auto"/>
        <w:rPr>
          <w:rFonts w:hint="eastAsia" w:ascii="宋体" w:hAnsi="宋体" w:eastAsia="宋体" w:cs="宋体"/>
          <w:highlight w:val="none"/>
        </w:rPr>
      </w:pPr>
    </w:p>
    <w:p w14:paraId="6C5DCCD4">
      <w:pPr>
        <w:spacing w:before="98" w:line="219" w:lineRule="auto"/>
        <w:rPr>
          <w:rFonts w:hint="eastAsia" w:ascii="宋体" w:hAnsi="宋体" w:eastAsia="宋体" w:cs="宋体"/>
          <w:sz w:val="24"/>
          <w:highlight w:val="none"/>
        </w:rPr>
      </w:pPr>
      <w:r>
        <w:rPr>
          <w:rFonts w:hint="eastAsia" w:ascii="宋体" w:hAnsi="宋体" w:eastAsia="宋体" w:cs="宋体"/>
          <w:b/>
          <w:bCs/>
          <w:spacing w:val="-10"/>
          <w:sz w:val="24"/>
          <w:highlight w:val="none"/>
        </w:rPr>
        <w:t>附件</w:t>
      </w:r>
      <w:r>
        <w:rPr>
          <w:rFonts w:hint="eastAsia" w:ascii="宋体" w:hAnsi="宋体" w:eastAsia="宋体" w:cs="宋体"/>
          <w:b/>
          <w:bCs/>
          <w:spacing w:val="-10"/>
          <w:sz w:val="24"/>
          <w:highlight w:val="none"/>
          <w:lang w:val="en-US" w:eastAsia="zh-CN"/>
        </w:rPr>
        <w:t>8</w:t>
      </w:r>
      <w:r>
        <w:rPr>
          <w:rFonts w:hint="eastAsia" w:ascii="宋体" w:hAnsi="宋体" w:eastAsia="宋体" w:cs="宋体"/>
          <w:b/>
          <w:bCs/>
          <w:spacing w:val="-10"/>
          <w:sz w:val="24"/>
          <w:highlight w:val="none"/>
        </w:rPr>
        <w:t>:</w:t>
      </w:r>
    </w:p>
    <w:p w14:paraId="13361AD5">
      <w:pPr>
        <w:pStyle w:val="15"/>
        <w:spacing w:line="344" w:lineRule="auto"/>
        <w:rPr>
          <w:rFonts w:hint="eastAsia" w:ascii="宋体" w:hAnsi="宋体" w:eastAsia="宋体" w:cs="宋体"/>
          <w:highlight w:val="none"/>
        </w:rPr>
      </w:pPr>
    </w:p>
    <w:p w14:paraId="4A032DBF">
      <w:pPr>
        <w:spacing w:before="170" w:line="219" w:lineRule="auto"/>
        <w:jc w:val="center"/>
        <w:rPr>
          <w:rFonts w:hint="eastAsia" w:ascii="宋体" w:hAnsi="宋体" w:eastAsia="宋体" w:cs="宋体"/>
          <w:spacing w:val="27"/>
          <w:sz w:val="24"/>
          <w:highlight w:val="none"/>
        </w:rPr>
      </w:pPr>
      <w:r>
        <w:rPr>
          <w:rFonts w:hint="eastAsia" w:ascii="宋体" w:hAnsi="宋体" w:eastAsia="宋体" w:cs="宋体"/>
          <w:spacing w:val="27"/>
          <w:sz w:val="24"/>
          <w:highlight w:val="none"/>
        </w:rPr>
        <w:t>中标(成交)通知书</w:t>
      </w:r>
    </w:p>
    <w:p w14:paraId="0D117EBC">
      <w:pPr>
        <w:spacing w:before="172" w:line="219" w:lineRule="auto"/>
        <w:ind w:left="865"/>
        <w:rPr>
          <w:rFonts w:hint="eastAsia" w:ascii="宋体" w:hAnsi="宋体" w:eastAsia="宋体" w:cs="宋体"/>
          <w:sz w:val="22"/>
          <w:szCs w:val="22"/>
          <w:highlight w:val="none"/>
        </w:rPr>
      </w:pPr>
    </w:p>
    <w:p w14:paraId="13AAEDE0">
      <w:pPr>
        <w:jc w:val="center"/>
        <w:outlineLvl w:val="2"/>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bidi="ar"/>
        </w:rPr>
        <w:br w:type="page"/>
      </w:r>
      <w:r>
        <w:rPr>
          <w:rFonts w:hint="eastAsia" w:ascii="宋体" w:hAnsi="宋体" w:eastAsia="宋体" w:cs="宋体"/>
          <w:b/>
          <w:bCs/>
          <w:sz w:val="32"/>
          <w:szCs w:val="32"/>
          <w:highlight w:val="none"/>
        </w:rPr>
        <w:t>供应商拒绝采购领域商业贿赂承诺书</w:t>
      </w:r>
    </w:p>
    <w:p w14:paraId="1ADE8D92">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为营造守法诚信、廉洁高效的工作环境，防止违规违纪行为的发生，我公司郑重承诺如下：</w:t>
      </w:r>
    </w:p>
    <w:p w14:paraId="6BE7A76F">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1、在参与采购活动中遵纪守法、诚信经营、公平竞标。</w:t>
      </w:r>
    </w:p>
    <w:p w14:paraId="092CAB48">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2、不向采购人、采购代理机构和采购评审专家进行任何形式的商业贿赂以谋取交易机会。</w:t>
      </w:r>
    </w:p>
    <w:p w14:paraId="3097E5EB">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3、不向采购代理机构和采购人提供虚假资质文件或采用虚假应标方式参与采购市场竞争并谋取中标、成交。</w:t>
      </w:r>
    </w:p>
    <w:p w14:paraId="68FB5F6E">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4、不采取“围标、陪标”等商业欺诈手段谋取中标、成交。</w:t>
      </w:r>
    </w:p>
    <w:p w14:paraId="200F9FEB">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5、不采取不正当手段诋毁、排挤其他供应商。</w:t>
      </w:r>
    </w:p>
    <w:p w14:paraId="6A1BB1B3">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6、不在提供商品和服务时“偷梁换柱、以次充好”损害采购人的合法权益。</w:t>
      </w:r>
    </w:p>
    <w:p w14:paraId="2641D57A">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7、不与采购人、采购代理机构采购评审专家或其它供应商恶意串通，进行质疑和投诉，维护采购市场秩序。</w:t>
      </w:r>
    </w:p>
    <w:p w14:paraId="0908F3F3">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8、尊重和接受采购监督管理部门的监督和采购代理机构招标采购要求，承担因违约行为给采购人造成的损失。</w:t>
      </w:r>
    </w:p>
    <w:p w14:paraId="2A2C3298">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9、不发生其他有悖于采购公开、公平、公正和诚信原则的行为。</w:t>
      </w:r>
    </w:p>
    <w:p w14:paraId="3FC324E4">
      <w:pPr>
        <w:pStyle w:val="15"/>
        <w:spacing w:line="360" w:lineRule="auto"/>
        <w:ind w:firstLine="480" w:firstLineChars="200"/>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若我公司有关人员违反本《廉洁承诺书》，我公司愿接受贵公司责令整改、暂停业务往来、取消业务往来、纳入“合作方黑名单”等处理。</w:t>
      </w:r>
    </w:p>
    <w:p w14:paraId="3C9452AB">
      <w:pPr>
        <w:pStyle w:val="15"/>
        <w:spacing w:line="360" w:lineRule="auto"/>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特此承诺。</w:t>
      </w:r>
    </w:p>
    <w:p w14:paraId="033D3C6D">
      <w:pPr>
        <w:widowControl/>
        <w:spacing w:line="360" w:lineRule="auto"/>
        <w:ind w:left="239" w:leftChars="114"/>
        <w:jc w:val="left"/>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承诺单位：（盖章）</w:t>
      </w:r>
    </w:p>
    <w:p w14:paraId="2CA99F85">
      <w:pPr>
        <w:widowControl/>
        <w:spacing w:line="408" w:lineRule="auto"/>
        <w:ind w:left="239" w:leftChars="114"/>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                                   年  月  日</w:t>
      </w:r>
    </w:p>
    <w:p w14:paraId="668648E2">
      <w:pPr>
        <w:rPr>
          <w:rFonts w:hint="eastAsia" w:ascii="宋体" w:hAnsi="宋体" w:eastAsia="宋体" w:cs="宋体"/>
          <w:b/>
          <w:bCs/>
          <w:sz w:val="32"/>
          <w:szCs w:val="32"/>
          <w:highlight w:val="none"/>
          <w:lang w:bidi="ar"/>
        </w:rPr>
      </w:pPr>
    </w:p>
    <w:p w14:paraId="53F15FC4">
      <w:pPr>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br w:type="page"/>
      </w:r>
    </w:p>
    <w:p w14:paraId="0660D9F1">
      <w:pPr>
        <w:adjustRightInd w:val="0"/>
        <w:snapToGrid w:val="0"/>
        <w:spacing w:line="360" w:lineRule="auto"/>
        <w:jc w:val="center"/>
        <w:outlineLvl w:val="0"/>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t>第五章采购需求</w:t>
      </w:r>
      <w:bookmarkEnd w:id="24"/>
    </w:p>
    <w:p w14:paraId="4BA635F3">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bookmarkStart w:id="25" w:name="_Toc167963529"/>
      <w:bookmarkStart w:id="26" w:name="_Toc175302051"/>
      <w:bookmarkStart w:id="27" w:name="_Toc3191"/>
    </w:p>
    <w:bookmarkEnd w:id="25"/>
    <w:bookmarkEnd w:id="26"/>
    <w:p w14:paraId="63C28360">
      <w:pPr>
        <w:pStyle w:val="81"/>
        <w:ind w:firstLine="48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建设目标</w:t>
      </w:r>
    </w:p>
    <w:p w14:paraId="24EC32DA">
      <w:pPr>
        <w:pStyle w:val="81"/>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结合时代背景，响应国家号召，遵循国家医改总体部署及卫生改革政策的总体规划，并从医院自身发展需求出发，围绕“一切以病人为中心”，以建立数字化智慧医院信息系统为方向，依托“云计算”、基于“大数据”、应用“物联网”、实现“智慧医疗、以人为本”为长远目标。通过全面评估现有系统，进行信息化整体替换新建，制定前瞻性的信息化规划，本着继承、发展、新建的精神，开展符合基于平台的智慧医院信息化建设，整体提升医院的信息化水平。以病人为中心，改善患者就医体验；以电子病历为核心，全面推进电子病历应用水平提高；基于医院数据中心，全面优化信息架构，提高医院管理决策水平。此外积极融入区域医疗，实现与区域平台的协同联动，对标电子病历分级评价五级测评、互联互通四级甲等要求进行建设，为最终达到电子病历分级评价五级测评、互联互通四级甲等的目标奠定坚实的基础。具体分项目标如下：</w:t>
      </w:r>
    </w:p>
    <w:p w14:paraId="6A4D51F6">
      <w:pPr>
        <w:pStyle w:val="81"/>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1、医疗协作</w:t>
      </w:r>
      <w:r>
        <w:rPr>
          <w:rFonts w:hint="eastAsia" w:ascii="宋体" w:hAnsi="宋体" w:eastAsia="宋体" w:cs="宋体"/>
          <w:sz w:val="24"/>
          <w:szCs w:val="24"/>
          <w:highlight w:val="none"/>
        </w:rPr>
        <w:t>：以信息化作为支撑手段，实现医院内部的互联互通，整合优势医疗资源，以“管理输出、技术输出、人才培养、质量控制、多点执业、信息共享、双向转诊、协同医疗”为导向，实现“调动资源、整合资源、互惠互通”的长远目标。以业务协同为主线打造院内集成平台，基于HL7数据格式和交换流程，通过ESB服务总线保障业务系统之间统一信息交换和共享。通过服务异步技术，隔离系统故障，降低系统耦合，确保大规模数据交换性能，提升医院整体架构稳定性。以病人为中心、以临床为核心、以医嘱为主线，新建院内信息集成平台，搭建医院总线、患者主索引、员工主索引、科室主索引等，建设临床数据中心CDR、运营管理数据中心ODR、科研数据中心SDR、资源数据中心RDR、患者数据中心PDR，整合历史及现有临床数据，开展患者统一视图、决策分析等应用。以提升临床电子病历应用水平，并推进以医院为核心的区域医联体建设，帮助医院实现从数字化向智能化的跨越。</w:t>
      </w:r>
    </w:p>
    <w:p w14:paraId="1359C492">
      <w:pPr>
        <w:pStyle w:val="81"/>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2、流程再造：</w:t>
      </w:r>
      <w:r>
        <w:rPr>
          <w:rFonts w:hint="eastAsia" w:ascii="宋体" w:hAnsi="宋体" w:eastAsia="宋体" w:cs="宋体"/>
          <w:sz w:val="24"/>
          <w:szCs w:val="24"/>
          <w:highlight w:val="none"/>
        </w:rPr>
        <w:t>医院就诊流程和诊疗服务模式采用互联网智慧医疗，深化流程再造，落地院前、院中、院后全流程优化协作服务。面向患者的服务，从诊中服务扩展到诊前咨询、自诊、预约以及诊后的服务评价、健康随访、慢病续方等，并且和医院线下系统打通，形成线下线上全流程的一体化服务。</w:t>
      </w:r>
    </w:p>
    <w:p w14:paraId="686907ED">
      <w:pPr>
        <w:pStyle w:val="81"/>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3、管理可及：</w:t>
      </w:r>
      <w:r>
        <w:rPr>
          <w:rFonts w:hint="eastAsia" w:ascii="宋体" w:hAnsi="宋体" w:eastAsia="宋体" w:cs="宋体"/>
          <w:sz w:val="24"/>
          <w:szCs w:val="24"/>
          <w:highlight w:val="none"/>
        </w:rPr>
        <w:t>将医院自身管理诉求与“5W”管理、“6R”原则、岗位责任制管理等管理理念相结合，并固化到信息系统当中，实施闭环管理监控，让管理更可及。搭建数据中心，对医院各类数据进行清理整合，构建统一的院内业务数据仓库，实现医院数据的规范化、持久化管理；透过数据，全面掌控医院运营中的每一个细节，发现内在规律和趋势，使医院管理者准确获悉“发生了什么”、“为什么发生”、“未来将怎样”，并通过直观的图表展示给决策者，决策者可根据正确有力的信息反馈并做出相应变革，使矛盾和问题得到及时解决，从而实现决策、控制、反馈、再决策、再控制、再反馈……，在循环积累中不断提高；针对卫生统计网络直报平台，进行针对性的优化开发配置，减轻卫统数据生成、管理、报送等的压力，同时也能明显提高卫生统计数据质量。</w:t>
      </w:r>
    </w:p>
    <w:p w14:paraId="30524946">
      <w:pPr>
        <w:pStyle w:val="81"/>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4、行业标杆：</w:t>
      </w:r>
      <w:r>
        <w:rPr>
          <w:rFonts w:hint="eastAsia" w:ascii="宋体" w:hAnsi="宋体" w:eastAsia="宋体" w:cs="宋体"/>
          <w:sz w:val="24"/>
          <w:szCs w:val="24"/>
          <w:highlight w:val="none"/>
        </w:rPr>
        <w:t>信息系统达到国际上同类数字化医院建设的先进水平，达到国内同等级医院数字化建设的领先水平。对标电子病历分级评价五级测评、互联互通四级甲等要求进行建设，“以收费核心，以医嘱为主线”提升门急诊挂号收费、出入院管理、综合管理与统计查询、药房药库等系统；提升医生站、护士站、电子病历、检验信息系统、院内PACS系统、超声系统、内窥镜系统等。最终通过卫健委互联互通标准符合性评测以及电子病历应用水平等级评价。</w:t>
      </w:r>
    </w:p>
    <w:p w14:paraId="10124EDD">
      <w:pPr>
        <w:ind w:firstLine="482" w:firstLineChars="200"/>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5、技术领先</w:t>
      </w:r>
      <w:r>
        <w:rPr>
          <w:rFonts w:hint="eastAsia" w:ascii="宋体" w:hAnsi="宋体" w:eastAsia="宋体" w:cs="宋体"/>
          <w:sz w:val="24"/>
          <w:szCs w:val="24"/>
          <w:highlight w:val="none"/>
        </w:rPr>
        <w:t>：软件应用国内最先进的信息技术和物联网技术，硬件支撑体系满足医院5年内发展需要。</w:t>
      </w:r>
    </w:p>
    <w:p w14:paraId="5E604AD7">
      <w:pPr>
        <w:pStyle w:val="15"/>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p w14:paraId="212FABF8">
      <w:pPr>
        <w:pStyle w:val="77"/>
        <w:pageBreakBefore w:val="0"/>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VTE上报系统</w:t>
      </w:r>
    </w:p>
    <w:p w14:paraId="1C78A277">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VTE（医师）</w:t>
      </w:r>
    </w:p>
    <w:p w14:paraId="3AC5D2C0">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系统支持在医生打开电子病历时，主动提醒医生完成对患者 VTE风险评估，在医生确认系统自动评估的结果后，提醒自动消失；</w:t>
      </w:r>
    </w:p>
    <w:p w14:paraId="6B549A2D">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提供对在院患者监测指标和 VTE 发生率进行实时动态追踪和统计分析功能，提醒医生对未按规范防治的高危患者及时采取补救措施进行防治、避免和减少因未及时防治而导致的VTE发生率及致死率；</w:t>
      </w:r>
    </w:p>
    <w:p w14:paraId="7F959B3A">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结合医院监管需求，支持医院根据自身业务需求，设置VTE风险评估、出血风险评估等患者在院风险评估的提醒方式，提醒强度区分三级：1级仅提醒、2级弹出框主动展示提醒医生关注、3级弹出框主动展示提醒，以监测医生在患者住院期间病情变化的关键节点是否及时完成相关评估。</w:t>
      </w:r>
    </w:p>
    <w:p w14:paraId="361BFD5E">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提供在患者入院后 22-24 小时内，系统主动提醒及限制医生是否及时完成对护理 VTE 风险评估的二次确认及修改；</w:t>
      </w:r>
    </w:p>
    <w:p w14:paraId="5F2D1687">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提供在患者完成手术后 22-24 小时内，系统主动提醒及限制医生是否及时完成患者 VTE 风险评估；</w:t>
      </w:r>
    </w:p>
    <w:p w14:paraId="47D0BE1A">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提供在患者完成转科后 22-24 小时内，系统主动提醒及限制转入科室是否及时完成患者 VTE 风险评估；</w:t>
      </w:r>
    </w:p>
    <w:p w14:paraId="7B4AEF2A">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患者出院时，系统主动提醒医生再次进行 VTE 风险评估，避免在患者出院前发生遗漏；</w:t>
      </w:r>
    </w:p>
    <w:p w14:paraId="1966F90A">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提供患者进行风险评估后患者列表进行显示预警（比如用红、橙、绿颜色代表高、中、低危）患者；</w:t>
      </w:r>
    </w:p>
    <w:p w14:paraId="1BDA40FD">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通知公告日常提醒提供给医师科室内患者最新不同评估节点，整体评估情况展示；</w:t>
      </w:r>
    </w:p>
    <w:p w14:paraId="7C1EBE39">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若患者的超声、心脏彩超、CTA等影像检查报告上出现以下关键词：“深静脉血栓形成”、“肺栓塞”、“静脉血栓”、“血栓形成”、“血栓”、“栓塞”，系统自动提醒医生进行评估。（需与第三方做接口）；</w:t>
      </w:r>
    </w:p>
    <w:p w14:paraId="6766DA61">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提供结合患者病历信息、医嘱、检查检验结果等信息与评估量表项目匹配规则，智能提取评估项；</w:t>
      </w:r>
    </w:p>
    <w:p w14:paraId="442A0EF8">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提供针对患者已下达的预防医嘱在医务人员评估时进行系统展示提醒医嘱开立情况；</w:t>
      </w:r>
    </w:p>
    <w:p w14:paraId="6E9B3C53">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提供医生VTE风险评估表项目根据不同量表的评估规则，通过勾选的项目自动计算得分得出VTE风险等级；</w:t>
      </w:r>
    </w:p>
    <w:p w14:paraId="2A247F5B">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提供出血风险评估表信息项目勾选功能，包括基础疾病相关危险因素、手术相关危险因素，并自动得出出血风险程度；</w:t>
      </w:r>
    </w:p>
    <w:p w14:paraId="1986803D">
      <w:pPr>
        <w:pageBreakBefore w:val="0"/>
        <w:numPr>
          <w:ilvl w:val="0"/>
          <w:numId w:val="9"/>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推荐适用于手术患者/内科住院患者的出血风险评估表；</w:t>
      </w:r>
    </w:p>
    <w:p w14:paraId="7BE0F15D">
      <w:pPr>
        <w:pageBreakBefore w:val="0"/>
        <w:numPr>
          <w:ilvl w:val="0"/>
          <w:numId w:val="1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提供根据患者风险等级及出血程度情况对未进行 VTE预防措施的患者，主动提醒医师进行相应的基础预防、物理预防、药物预防、联合预防等措施；</w:t>
      </w:r>
    </w:p>
    <w:p w14:paraId="121E57C6">
      <w:pPr>
        <w:pageBreakBefore w:val="0"/>
        <w:numPr>
          <w:ilvl w:val="0"/>
          <w:numId w:val="1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当患者VTE评估结果为中/高危，且出血风险为高危时，若尚未完成物理预防医嘱，系统应主动对医生进行提醒（弹框提醒），在医生提交/保存医嘱时，进行提醒，若医生有其他考虑，需写明原因；</w:t>
      </w:r>
    </w:p>
    <w:p w14:paraId="53723D47">
      <w:pPr>
        <w:pageBreakBefore w:val="0"/>
        <w:numPr>
          <w:ilvl w:val="0"/>
          <w:numId w:val="1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当患者出血风险为高危时，若医生继续下达抗凝药物医嘱时，系统应主动对医生进行提醒），在医生提交/保存医嘱时，进行提醒，若医生有其他考虑，需写明原因；</w:t>
      </w:r>
    </w:p>
    <w:p w14:paraId="5E0CEBA3">
      <w:pPr>
        <w:pageBreakBefore w:val="0"/>
        <w:numPr>
          <w:ilvl w:val="0"/>
          <w:numId w:val="1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当患者VTE评估结果为中/高危，且出血风险为低危时，系统应主动提醒（弹框提醒）医生下达抗凝药物医嘱以预防血栓，若医生有其他顾虑，需写明原因；</w:t>
      </w:r>
    </w:p>
    <w:p w14:paraId="4A87C198">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系统支持记录患者在院内评估结果，供医师分析患者的评估结果变化趋势，帮助针对患者，建立个性化VTE防治方案；</w:t>
      </w:r>
    </w:p>
    <w:p w14:paraId="3CAA6B46">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系统自动生成患者在院内VTE风险评估、出血风险评估等所有风险评估结果、评估时间及详细评估项的历史纪录；</w:t>
      </w:r>
    </w:p>
    <w:p w14:paraId="49D0A59D">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系统支持医生快速根据患者病情变化对已完成的评估结果进行修改或重新评估；</w:t>
      </w:r>
    </w:p>
    <w:p w14:paraId="736705BA">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提供患者在院期间，系统主动提醒医师进行VTE日常病程及知情同意书的创建，并支持评估数据病历回写功能；</w:t>
      </w:r>
    </w:p>
    <w:p w14:paraId="4DCCD40B">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提供VTE评估表，出血风险评估表，预防措施量表回写及打印功能，且提供提交时自动生成医生签名和评估日期，可自动生成对应文书，支持CA数字签名认证。</w:t>
      </w:r>
    </w:p>
    <w:p w14:paraId="1CD92039">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系统根据患者风险评估结果及出血风险程度自动判断患者是否符合wells评分的条件；</w:t>
      </w:r>
    </w:p>
    <w:p w14:paraId="04C591F9">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系统根据患者评估情况自动判断患者是否符合PE评分的条件；</w:t>
      </w:r>
    </w:p>
    <w:p w14:paraId="5BD3C535">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系统根据患者评估情况自动判断患者是否符合PESI评分的条件；</w:t>
      </w:r>
    </w:p>
    <w:p w14:paraId="3030D230">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提供对血栓患者、高风险患者进行随访，能自动提取住院期间血栓患者列表、高风险患者列表于出院7天后提示医务人员进行随访，记录随访人员、随访时间、随访时长；</w:t>
      </w:r>
    </w:p>
    <w:p w14:paraId="7C55E8AC">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支持对随访表单填写的数据进行后期的统计分析及报表导出功能；</w:t>
      </w:r>
    </w:p>
    <w:p w14:paraId="774E69D6">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支持院内VTE上报审核功能，院内VTE相关职能部门可进行针对VTE上报信息进行，审核，打回，作废等流程；</w:t>
      </w:r>
    </w:p>
    <w:p w14:paraId="0A12C1E9">
      <w:pPr>
        <w:pageBreakBefore w:val="0"/>
        <w:numPr>
          <w:ilvl w:val="0"/>
          <w:numId w:val="11"/>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支持医院管理方对 VTE 关键指标进行回顾性分析，完善临床医生管理和质控监控措施</w:t>
      </w:r>
    </w:p>
    <w:p w14:paraId="3DFCA425">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VTE（护理）</w:t>
      </w:r>
    </w:p>
    <w:p w14:paraId="6995737B">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按科室属性（内、外、产科）不同血栓评估表单（Padua评估量表、Caprini评估量表、产科评估量表）进行选择项评分，护士评分结果保存后推送给医生，医生端收到提醒由医生审核修改及进一步评分后再生成血栓评估结果；</w:t>
      </w:r>
    </w:p>
    <w:p w14:paraId="5F1FC270">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提供患者年龄、体重指数BMI等护理在入院评估时已有的客观数据实现自动判断和评估；</w:t>
      </w:r>
    </w:p>
    <w:p w14:paraId="26B9198A">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提供针对新入院患者未进行风险评估的提示与 8 小时限时提醒催评；</w:t>
      </w:r>
    </w:p>
    <w:p w14:paraId="73345A63">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提供VTE各个评估节点（入院，转科，术后，阶段，出院），评估提示及催评；</w:t>
      </w:r>
    </w:p>
    <w:p w14:paraId="0D12545C">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提供护理VTE风险评估表项目根据不同量表的评估规则，通过勾选的项目自动计算得分得出VTE风险等级；</w:t>
      </w:r>
    </w:p>
    <w:p w14:paraId="224571FE">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提供VTE评估表提交医师端功能，提交时自动生成护士签名和评估日期，可自动生成对应文书，支持CA数字签名认证；</w:t>
      </w:r>
    </w:p>
    <w:p w14:paraId="6D30AE8D">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提供评估量表结构化存储，支持多系统调取及共享；</w:t>
      </w:r>
    </w:p>
    <w:p w14:paraId="5C614407">
      <w:pPr>
        <w:pageBreakBefore w:val="0"/>
        <w:numPr>
          <w:ilvl w:val="0"/>
          <w:numId w:val="12"/>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提供《风险评估统计明细表》 《督导记录单》等报表导出功能；</w:t>
      </w:r>
    </w:p>
    <w:p w14:paraId="2CD64D20">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VTE（质量分析）</w:t>
      </w:r>
    </w:p>
    <w:p w14:paraId="38D55595">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支持对每个指标进行多维度统计，如月度，季度，年度；</w:t>
      </w:r>
    </w:p>
    <w:p w14:paraId="044A329E">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可筛选科室病区、时间范围实现相应科室或时间段内的质控指标统计；</w:t>
      </w:r>
    </w:p>
    <w:p w14:paraId="33F8776D">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自动统计VTE相关质控指标，并进行折线图和表格展示，图表和表格支持导出；</w:t>
      </w:r>
    </w:p>
    <w:p w14:paraId="16C97F8A">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提供风险评估和预防类指标：VTE风险评估比率=接受VTE风险评估的出院患者总例数/同期出院患者总例数，通过公式计算得出本指标，并支持报表明细统计及导出。</w:t>
      </w:r>
    </w:p>
    <w:p w14:paraId="21BF5248">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提供风险评估和预防类指标：出血风险评估比率=接受出血风险评估的出院患者总例数/VTE 风险评估为高危和/或中危的患者总例数，通过公式计算得出本指标，并支持报表明细统计及导出。</w:t>
      </w:r>
    </w:p>
    <w:p w14:paraId="311D89A1">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提供风险评估和预防类指标：VTE 预防措施实施比率=VTE预防措施实施的出院患者总例数/VTE 风险评估为高危和/或中危的出院患者总例数，通过公式计算得出本指标，并支持报表明细统计及导出。</w:t>
      </w:r>
    </w:p>
    <w:p w14:paraId="707C832C">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提供风险评估和预防类指标-VTE恰当预防措施实施比率=采取VTE 恰当预防措施的出院患者总例数/VTE 风险评估为高危和/或中危的出院患者总例数，通过公式计算得出本指标，并支持报表明细统计及导出。</w:t>
      </w:r>
    </w:p>
    <w:p w14:paraId="7B081B4E">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提供风险评估和预防类指标-VTE 风险评估比率=接受VTE风险评估的出院患者总例数/同期出院患者总例数，通过公式计算得出本指标，并支持报表明细统计及导出。</w:t>
      </w:r>
    </w:p>
    <w:p w14:paraId="1C86265B">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提供诊断类指标-住院患者实施静脉超声检查比率=实施静脉超声检查的出院患者总例数/临床评估属中度及高度 VTE 可能的出院患者总例数，通过公式计算得出本指标，并支持报表明细统计及导出。</w:t>
      </w:r>
    </w:p>
    <w:p w14:paraId="5EC187E9">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提供诊断类指标-住院患者实施D-二聚体检测比率=实施 CTPA 出院患者总例数/PE 临床评估高度可能的出院患者总例数，通过公式计算得出本指标，并支持报表明细统计及导出。</w:t>
      </w:r>
    </w:p>
    <w:p w14:paraId="2B60C518">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提供治疗类指标-住院 VTE 患者实施抗凝治疗比率=执行VTE抗凝治疗的出院患者总例数/出院确诊 VTE 的出院患者总例数，通过公式计算得出本指标，并直接报表统计及导出。</w:t>
      </w:r>
    </w:p>
    <w:p w14:paraId="1A46CFFD">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提供治疗类指标-住院VTE患者实施溶栓治疗比率=执行VTE溶栓治疗的出院患者总例数/出院确诊 VTE 的出院患者总例数，通过公式计算得出本指标，并支持报表明细统计及导出。</w:t>
      </w:r>
    </w:p>
    <w:p w14:paraId="10012DE4">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提供结局相关指标-医院相关性VTE发生比率=出院确诊医院内 VTE 的出院患者总例数/出院患者总例数，通过公式计算得出本指标，并支持报表明细统计及导出。</w:t>
      </w:r>
    </w:p>
    <w:p w14:paraId="08726594">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提供结局相关指标-VTE相关病死率=因 VTE而死亡的患者总例数/出院确诊 VTE 的出院患者总例数，通过公式计算得出本指标，并支持报表明细统计及导出。</w:t>
      </w:r>
    </w:p>
    <w:p w14:paraId="0F6201A4">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提供成本相关指标-平均住院费用=出院确诊VTE的患者住院总费用/出院确诊 VTE 的出院患者总例数，通过公式计算得出本指标，并支持报表明细统计及导出。</w:t>
      </w:r>
    </w:p>
    <w:p w14:paraId="3F07A748">
      <w:pPr>
        <w:pageBreakBefore w:val="0"/>
        <w:numPr>
          <w:ilvl w:val="0"/>
          <w:numId w:val="13"/>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提供成本相关指标-平均住院天数=出院确诊VTE的患者住院总天数/出院确诊 VTE 的出院患者总例数，通过公式计算得出本指标，并支持报表明细统计及导出。</w:t>
      </w:r>
    </w:p>
    <w:p w14:paraId="24317043">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VTE（配置管理）</w:t>
      </w:r>
    </w:p>
    <w:p w14:paraId="0EF79FD8">
      <w:pPr>
        <w:pageBreakBefore w:val="0"/>
        <w:numPr>
          <w:ilvl w:val="0"/>
          <w:numId w:val="14"/>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提供根据科室属性定制化评估量表项目、规则及布局</w:t>
      </w:r>
    </w:p>
    <w:p w14:paraId="22452DEE">
      <w:pPr>
        <w:pageBreakBefore w:val="0"/>
        <w:numPr>
          <w:ilvl w:val="0"/>
          <w:numId w:val="14"/>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系统具有与各类临床信息系统的集成能力，具有《临床检验结果共享互操作性规范》测试认证，提供测试证书。</w:t>
      </w:r>
    </w:p>
    <w:p w14:paraId="0BCDE44A">
      <w:pPr>
        <w:pageBreakBefore w:val="0"/>
        <w:numPr>
          <w:ilvl w:val="0"/>
          <w:numId w:val="14"/>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提供根据医院最小颗粒度（科室，角色，称谓，职能）分配系统功能权限</w:t>
      </w:r>
    </w:p>
    <w:p w14:paraId="13B44AA2">
      <w:pPr>
        <w:pStyle w:val="42"/>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提供多种触发风险评估及上报规则维护</w:t>
      </w:r>
    </w:p>
    <w:p w14:paraId="3231D64A">
      <w:pPr>
        <w:pStyle w:val="42"/>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Cs/>
          <w:sz w:val="24"/>
          <w:szCs w:val="24"/>
          <w:highlight w:val="none"/>
        </w:rPr>
      </w:pPr>
    </w:p>
    <w:p w14:paraId="59093216">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应用场景</w:t>
      </w:r>
    </w:p>
    <w:p w14:paraId="3AB464E1">
      <w:pPr>
        <w:pageBreakBefore w:val="0"/>
        <w:numPr>
          <w:ilvl w:val="0"/>
          <w:numId w:val="0"/>
        </w:numPr>
        <w:kinsoku/>
        <w:wordWrap/>
        <w:overflowPunct/>
        <w:topLinePunct w:val="0"/>
        <w:autoSpaceDE/>
        <w:autoSpaceDN/>
        <w:bidi w:val="0"/>
        <w:adjustRightInd/>
        <w:snapToGrid/>
        <w:spacing w:line="360" w:lineRule="auto"/>
        <w:ind w:firstLine="42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与电子病历集成，可通过悬浮窗模式，对使用电子病历用户进行病历数据实时监控、交互与提醒。系统可与医院医生站/EMR的对接，实现医生端的预警与决策提醒；可与医院护士站的对接，实现护士端的预警与决策提醒。</w:t>
      </w:r>
    </w:p>
    <w:p w14:paraId="4B82E555">
      <w:pPr>
        <w:rPr>
          <w:rFonts w:hint="eastAsia" w:ascii="宋体" w:hAnsi="宋体" w:eastAsia="宋体" w:cs="宋体"/>
          <w:sz w:val="24"/>
          <w:szCs w:val="24"/>
          <w:highlight w:val="none"/>
        </w:rPr>
      </w:pPr>
    </w:p>
    <w:p w14:paraId="7B1B4E33">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3E9F780">
      <w:pPr>
        <w:pStyle w:val="77"/>
        <w:pageBreakBefore w:val="0"/>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环境卫生学系统</w:t>
      </w:r>
    </w:p>
    <w:p w14:paraId="1418E72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系统满足以下国家规范</w:t>
      </w:r>
      <w:r>
        <w:rPr>
          <w:rFonts w:hint="eastAsia" w:ascii="宋体" w:hAnsi="宋体" w:eastAsia="宋体" w:cs="宋体"/>
          <w:sz w:val="24"/>
          <w:szCs w:val="24"/>
          <w:highlight w:val="none"/>
        </w:rPr>
        <w:t>：《GB 15982-2012 医院消毒卫生标准》、《WST 367-2012 医疗机构消毒技术规范》、《GB洁净手术部建筑技术规范GB50333-2013 》、《WST 368-2012-空气净化管理规范》、《WST 313—2009 医务人员手卫生规范》、《YY 0572-2015血液透析及治疗相关用水》、《血液净化标准操作规程》、《WS 507—2016软式内镜清洗消毒技术规范》、《GB 19258-2012 紫外线杀菌灯》、《WS 310.1—2016 医院消毒供应中心 第1部分：管理规范》、《WS 310.2—2016 医院消毒供应中心第2部分：清洗消毒及灭菌技术操作规范》、《WS 310.3—2016 医院消毒供应中心第3部分：清洗消毒及灭菌效果监测标准》、《GB/T 30690—2014 小型压力蒸汽灭菌器灭菌效果监测方法和评价要求》等。</w:t>
      </w:r>
    </w:p>
    <w:tbl>
      <w:tblPr>
        <w:tblStyle w:val="28"/>
        <w:tblW w:w="4808"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9"/>
        <w:gridCol w:w="1621"/>
        <w:gridCol w:w="5023"/>
      </w:tblGrid>
      <w:tr w14:paraId="62F5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5" w:type="pct"/>
            <w:gridSpan w:val="3"/>
            <w:noWrap w:val="0"/>
            <w:vAlign w:val="top"/>
          </w:tcPr>
          <w:p w14:paraId="40E6350A">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模块名称</w:t>
            </w:r>
          </w:p>
        </w:tc>
        <w:tc>
          <w:tcPr>
            <w:tcW w:w="3064" w:type="pct"/>
            <w:noWrap w:val="0"/>
            <w:vAlign w:val="top"/>
          </w:tcPr>
          <w:p w14:paraId="1CEA72FC">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功能</w:t>
            </w:r>
          </w:p>
        </w:tc>
      </w:tr>
      <w:tr w14:paraId="52CB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2780D87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监测标准</w:t>
            </w:r>
          </w:p>
        </w:tc>
        <w:tc>
          <w:tcPr>
            <w:tcW w:w="3064" w:type="pct"/>
            <w:noWrap w:val="0"/>
            <w:vAlign w:val="top"/>
          </w:tcPr>
          <w:p w14:paraId="3D7DE95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1自定义监测科室</w:t>
            </w:r>
          </w:p>
        </w:tc>
      </w:tr>
      <w:tr w14:paraId="5EC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A2AC6F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466D9C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2自定义监测数量</w:t>
            </w:r>
          </w:p>
        </w:tc>
      </w:tr>
      <w:tr w14:paraId="459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45D075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C1676E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3自定义空气监测布点数量</w:t>
            </w:r>
          </w:p>
        </w:tc>
      </w:tr>
      <w:tr w14:paraId="3A35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8CC21E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C262A4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.4自定义耗材数量</w:t>
            </w:r>
          </w:p>
        </w:tc>
      </w:tr>
      <w:tr w14:paraId="5E97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54A12A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71103ED">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.5自定义监测项目</w:t>
            </w:r>
          </w:p>
        </w:tc>
      </w:tr>
      <w:tr w14:paraId="7CA1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112891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5BC6D3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.6自定义菌种鉴定异常范围</w:t>
            </w:r>
          </w:p>
        </w:tc>
      </w:tr>
      <w:tr w14:paraId="7650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5A5E6A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55FA0A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.7自定义标准计算方式</w:t>
            </w:r>
          </w:p>
        </w:tc>
      </w:tr>
      <w:tr w14:paraId="45B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24B9793">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162F48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.8自定义采样点计算方式</w:t>
            </w:r>
          </w:p>
        </w:tc>
      </w:tr>
      <w:tr w14:paraId="5419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DF7A28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671F90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.9启用和停用评估标准</w:t>
            </w:r>
          </w:p>
        </w:tc>
      </w:tr>
      <w:tr w14:paraId="5A7F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41BF45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C59133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.10新增检测项目</w:t>
            </w:r>
          </w:p>
        </w:tc>
      </w:tr>
      <w:tr w14:paraId="6ADE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D8DA29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6FD645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.11新增采样方法和采样耗材</w:t>
            </w:r>
          </w:p>
        </w:tc>
      </w:tr>
      <w:tr w14:paraId="195D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54DB6C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670B86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.12新增合格标准和单位</w:t>
            </w:r>
          </w:p>
        </w:tc>
      </w:tr>
      <w:tr w14:paraId="6D8F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CDC110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94B974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.13新增监测规范</w:t>
            </w:r>
          </w:p>
        </w:tc>
      </w:tr>
      <w:tr w14:paraId="7A8F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271B36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D0F9EC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.14新增项目分类</w:t>
            </w:r>
          </w:p>
        </w:tc>
      </w:tr>
      <w:tr w14:paraId="3CA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66EA0F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CFB72F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.15新增菌种鉴定合格范围</w:t>
            </w:r>
          </w:p>
        </w:tc>
      </w:tr>
      <w:tr w14:paraId="56EB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87256E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069141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.16新增菌种鉴定异常范围</w:t>
            </w:r>
          </w:p>
        </w:tc>
      </w:tr>
      <w:tr w14:paraId="3043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33C743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F72897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.17新增标准计算方式</w:t>
            </w:r>
          </w:p>
        </w:tc>
      </w:tr>
      <w:tr w14:paraId="1EBE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97CB25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0F00CD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.18新增采样点计算方式</w:t>
            </w:r>
          </w:p>
        </w:tc>
      </w:tr>
      <w:tr w14:paraId="6791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restart"/>
            <w:noWrap w:val="0"/>
            <w:vAlign w:val="center"/>
          </w:tcPr>
          <w:p w14:paraId="50A5EBC0">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2.耗材管理</w:t>
            </w:r>
          </w:p>
        </w:tc>
        <w:tc>
          <w:tcPr>
            <w:tcW w:w="989" w:type="pct"/>
            <w:vMerge w:val="restart"/>
            <w:noWrap w:val="0"/>
            <w:vAlign w:val="center"/>
          </w:tcPr>
          <w:p w14:paraId="1B72498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耗材采购</w:t>
            </w:r>
          </w:p>
        </w:tc>
        <w:tc>
          <w:tcPr>
            <w:tcW w:w="3064" w:type="pct"/>
            <w:noWrap w:val="0"/>
            <w:vAlign w:val="top"/>
          </w:tcPr>
          <w:p w14:paraId="7B72CEA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统计所有时间段耗材需求量</w:t>
            </w:r>
          </w:p>
        </w:tc>
      </w:tr>
      <w:tr w14:paraId="129F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24ACA5A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989" w:type="pct"/>
            <w:vMerge w:val="continue"/>
            <w:noWrap w:val="0"/>
            <w:vAlign w:val="center"/>
          </w:tcPr>
          <w:p w14:paraId="158EE74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57CC61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2统计各科室所有时间段耗材需求量</w:t>
            </w:r>
          </w:p>
        </w:tc>
      </w:tr>
      <w:tr w14:paraId="2C71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60881570">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989" w:type="pct"/>
            <w:vMerge w:val="restart"/>
            <w:noWrap w:val="0"/>
            <w:vAlign w:val="center"/>
          </w:tcPr>
          <w:p w14:paraId="15A7ECD3">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耗材分发</w:t>
            </w:r>
          </w:p>
        </w:tc>
        <w:tc>
          <w:tcPr>
            <w:tcW w:w="3064" w:type="pct"/>
            <w:noWrap w:val="0"/>
            <w:vAlign w:val="top"/>
          </w:tcPr>
          <w:p w14:paraId="34634A0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rPr>
              <w:t>1打印耗材清单</w:t>
            </w:r>
          </w:p>
        </w:tc>
      </w:tr>
      <w:tr w14:paraId="64CA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21EDBFC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989" w:type="pct"/>
            <w:vMerge w:val="continue"/>
            <w:noWrap w:val="0"/>
            <w:vAlign w:val="center"/>
          </w:tcPr>
          <w:p w14:paraId="5FD9F1B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FB26C8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rPr>
              <w:t>2打印科室标签</w:t>
            </w:r>
          </w:p>
        </w:tc>
      </w:tr>
      <w:tr w14:paraId="4C17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30AC217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989" w:type="pct"/>
            <w:vMerge w:val="continue"/>
            <w:noWrap w:val="0"/>
            <w:vAlign w:val="center"/>
          </w:tcPr>
          <w:p w14:paraId="03814FA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DBFB8D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rPr>
              <w:t>3发送耗材领取提醒</w:t>
            </w:r>
          </w:p>
        </w:tc>
      </w:tr>
      <w:tr w14:paraId="4B21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0566BDA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989" w:type="pct"/>
            <w:vMerge w:val="continue"/>
            <w:noWrap w:val="0"/>
            <w:vAlign w:val="center"/>
          </w:tcPr>
          <w:p w14:paraId="5FBB6BD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903412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rPr>
              <w:t>4自定义筛选耗材使用时间段</w:t>
            </w:r>
          </w:p>
        </w:tc>
      </w:tr>
      <w:tr w14:paraId="406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gridSpan w:val="2"/>
            <w:vMerge w:val="continue"/>
            <w:noWrap w:val="0"/>
            <w:vAlign w:val="center"/>
          </w:tcPr>
          <w:p w14:paraId="5721E93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989" w:type="pct"/>
            <w:vMerge w:val="continue"/>
            <w:noWrap w:val="0"/>
            <w:vAlign w:val="center"/>
          </w:tcPr>
          <w:p w14:paraId="18DC069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CC2298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2.2.</w:t>
            </w:r>
            <w:r>
              <w:rPr>
                <w:rFonts w:hint="eastAsia" w:ascii="宋体" w:hAnsi="宋体" w:eastAsia="宋体" w:cs="宋体"/>
                <w:sz w:val="24"/>
                <w:szCs w:val="24"/>
                <w:highlight w:val="none"/>
              </w:rPr>
              <w:t>5自定义筛选耗材使用科室</w:t>
            </w:r>
          </w:p>
        </w:tc>
      </w:tr>
      <w:tr w14:paraId="6037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07B50B93">
            <w:pPr>
              <w:pageBreakBefore w:val="0"/>
              <w:kinsoku/>
              <w:wordWrap/>
              <w:overflowPunct/>
              <w:topLinePunct w:val="0"/>
              <w:autoSpaceDE/>
              <w:autoSpaceDN/>
              <w:bidi w:val="0"/>
              <w:adjustRightInd/>
              <w:snapToGrid/>
              <w:spacing w:line="360" w:lineRule="auto"/>
              <w:ind w:firstLine="240" w:firstLineChars="1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标本采集</w:t>
            </w:r>
          </w:p>
        </w:tc>
        <w:tc>
          <w:tcPr>
            <w:tcW w:w="3064" w:type="pct"/>
            <w:noWrap w:val="0"/>
            <w:vAlign w:val="top"/>
          </w:tcPr>
          <w:p w14:paraId="641CCF4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.1打印采样任务清单</w:t>
            </w:r>
          </w:p>
        </w:tc>
      </w:tr>
      <w:tr w14:paraId="78F0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8DE9FF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4BDA28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.2打印样本条码</w:t>
            </w:r>
          </w:p>
        </w:tc>
      </w:tr>
      <w:tr w14:paraId="2222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B9EE25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3B5DC2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.3扫码录入采样信息</w:t>
            </w:r>
          </w:p>
        </w:tc>
      </w:tr>
      <w:tr w14:paraId="09EA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854DC2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8F218A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.4自定义筛选监测时间段</w:t>
            </w:r>
          </w:p>
        </w:tc>
      </w:tr>
      <w:tr w14:paraId="064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CF5864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34C212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.5快速搜索指定项目</w:t>
            </w:r>
          </w:p>
        </w:tc>
      </w:tr>
      <w:tr w14:paraId="5A8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D14B5E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6E4C59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.6快速搜索指定项目分类</w:t>
            </w:r>
          </w:p>
        </w:tc>
      </w:tr>
      <w:tr w14:paraId="657D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09E4F5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D4B207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.7快速搜索指定条码</w:t>
            </w:r>
          </w:p>
        </w:tc>
      </w:tr>
      <w:tr w14:paraId="6344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04F1B8FD">
            <w:pPr>
              <w:pageBreakBefore w:val="0"/>
              <w:kinsoku/>
              <w:wordWrap/>
              <w:overflowPunct/>
              <w:topLinePunct w:val="0"/>
              <w:autoSpaceDE/>
              <w:autoSpaceDN/>
              <w:bidi w:val="0"/>
              <w:adjustRightInd/>
              <w:snapToGrid/>
              <w:spacing w:line="360" w:lineRule="auto"/>
              <w:ind w:firstLine="240" w:firstLineChars="1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.检验登记</w:t>
            </w:r>
          </w:p>
        </w:tc>
        <w:tc>
          <w:tcPr>
            <w:tcW w:w="3064" w:type="pct"/>
            <w:noWrap w:val="0"/>
            <w:vAlign w:val="top"/>
          </w:tcPr>
          <w:p w14:paraId="47B12B1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.1打印转皿项目条码</w:t>
            </w:r>
          </w:p>
        </w:tc>
      </w:tr>
      <w:tr w14:paraId="32DD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92595C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504DBF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.2自定义筛选采样时间段</w:t>
            </w:r>
          </w:p>
        </w:tc>
      </w:tr>
      <w:tr w14:paraId="00BA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6A5A57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017A98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.3自定义检测项目</w:t>
            </w:r>
          </w:p>
        </w:tc>
      </w:tr>
      <w:tr w14:paraId="58EA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91EE75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7BE5FC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.4扫码录入检验结果</w:t>
            </w:r>
          </w:p>
        </w:tc>
      </w:tr>
      <w:tr w14:paraId="16F9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6CF194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7C3164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.5无菌样本批量登记</w:t>
            </w:r>
          </w:p>
        </w:tc>
      </w:tr>
      <w:tr w14:paraId="771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23C100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5DBEDB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.6批量审核检验结果</w:t>
            </w:r>
          </w:p>
        </w:tc>
      </w:tr>
      <w:tr w14:paraId="13D3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07E344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8361AF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.7自定义审核环节</w:t>
            </w:r>
          </w:p>
        </w:tc>
      </w:tr>
      <w:tr w14:paraId="2DDF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D375DB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39458B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.8快速搜索指定条码</w:t>
            </w:r>
          </w:p>
        </w:tc>
      </w:tr>
      <w:tr w14:paraId="4EF2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D11EF5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476486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.9同一界面采样点录入和结果登记</w:t>
            </w:r>
          </w:p>
        </w:tc>
      </w:tr>
      <w:tr w14:paraId="156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646DE4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9AC912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.10录入单个样本的检验结果</w:t>
            </w:r>
          </w:p>
        </w:tc>
      </w:tr>
      <w:tr w14:paraId="3EC3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2FEB1B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B09D8D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.11修改错误填写的检验结果</w:t>
            </w:r>
          </w:p>
        </w:tc>
      </w:tr>
      <w:tr w14:paraId="4E67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6D9AD8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BB3330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.12自定义接收环节</w:t>
            </w:r>
          </w:p>
        </w:tc>
      </w:tr>
      <w:tr w14:paraId="011E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0C07FD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650E69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.13扫码变更接收状态</w:t>
            </w:r>
          </w:p>
        </w:tc>
      </w:tr>
      <w:tr w14:paraId="2E4B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restart"/>
            <w:noWrap w:val="0"/>
            <w:vAlign w:val="center"/>
          </w:tcPr>
          <w:p w14:paraId="43AFE7F9">
            <w:pPr>
              <w:pageBreakBefore w:val="0"/>
              <w:kinsoku/>
              <w:wordWrap/>
              <w:overflowPunct/>
              <w:topLinePunct w:val="0"/>
              <w:autoSpaceDE/>
              <w:autoSpaceDN/>
              <w:bidi w:val="0"/>
              <w:adjustRightInd/>
              <w:snapToGrid/>
              <w:spacing w:line="360" w:lineRule="auto"/>
              <w:ind w:firstLine="240" w:firstLineChars="1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5.监测报告</w:t>
            </w:r>
          </w:p>
        </w:tc>
        <w:tc>
          <w:tcPr>
            <w:tcW w:w="1012" w:type="pct"/>
            <w:gridSpan w:val="2"/>
            <w:vMerge w:val="restart"/>
            <w:noWrap w:val="0"/>
            <w:vAlign w:val="center"/>
          </w:tcPr>
          <w:p w14:paraId="0DBB4942">
            <w:pPr>
              <w:pageBreakBefore w:val="0"/>
              <w:kinsoku/>
              <w:wordWrap/>
              <w:overflowPunct/>
              <w:topLinePunct w:val="0"/>
              <w:autoSpaceDE/>
              <w:autoSpaceDN/>
              <w:bidi w:val="0"/>
              <w:adjustRightInd/>
              <w:snapToGrid/>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5.1监测报告</w:t>
            </w:r>
          </w:p>
        </w:tc>
        <w:tc>
          <w:tcPr>
            <w:tcW w:w="3064" w:type="pct"/>
            <w:noWrap w:val="0"/>
            <w:vAlign w:val="top"/>
          </w:tcPr>
          <w:p w14:paraId="2BB6925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.1展示监测项目合格情况</w:t>
            </w:r>
          </w:p>
        </w:tc>
      </w:tr>
      <w:tr w14:paraId="26B4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7B280CC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729F47B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D4EB84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.2展示监测项目不合格情况</w:t>
            </w:r>
          </w:p>
        </w:tc>
      </w:tr>
      <w:tr w14:paraId="2C90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10BD147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7758A24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F6EB52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.3展示单个项目监测报告</w:t>
            </w:r>
          </w:p>
        </w:tc>
      </w:tr>
      <w:tr w14:paraId="01D5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7CF3C2C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2A96016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BC3914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.4展示多项目监测报告</w:t>
            </w:r>
          </w:p>
        </w:tc>
      </w:tr>
      <w:tr w14:paraId="419B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5CF909A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664BB68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DFBDEA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.5展示多科室监测报告</w:t>
            </w:r>
          </w:p>
        </w:tc>
      </w:tr>
      <w:tr w14:paraId="6FF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4B3A2F9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5521349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31F7ED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.6展示不同监测形式下监测报告</w:t>
            </w:r>
          </w:p>
        </w:tc>
      </w:tr>
      <w:tr w14:paraId="3519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1A07436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7528F42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5D3878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.7展示自定义监测时间段的监测报告</w:t>
            </w:r>
          </w:p>
        </w:tc>
      </w:tr>
      <w:tr w14:paraId="6585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2837B9B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08E5E49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7CF880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.8报告打印</w:t>
            </w:r>
          </w:p>
        </w:tc>
      </w:tr>
      <w:tr w14:paraId="5799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2A89CD7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15E27DB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1961B4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.9单独展示不合格任务</w:t>
            </w:r>
          </w:p>
        </w:tc>
      </w:tr>
      <w:tr w14:paraId="243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133778F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12A62C1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5140EC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.10按科室展示监测任务</w:t>
            </w:r>
          </w:p>
        </w:tc>
      </w:tr>
      <w:tr w14:paraId="4349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274EC50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0303402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C2FD46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.11按项目展示监测任务</w:t>
            </w:r>
          </w:p>
        </w:tc>
      </w:tr>
      <w:tr w14:paraId="0F23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6D6CA4A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4DC61A4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981D2A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.12按监测形势展示监测任务</w:t>
            </w:r>
          </w:p>
        </w:tc>
      </w:tr>
      <w:tr w14:paraId="1F12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03C57EC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09ECFEF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93AE83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.13按采样时间展示监测任务</w:t>
            </w:r>
          </w:p>
        </w:tc>
      </w:tr>
      <w:tr w14:paraId="7819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58C326A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3E5AFFF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A77793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.14一键通知监测任务不合格情况</w:t>
            </w:r>
          </w:p>
        </w:tc>
      </w:tr>
      <w:tr w14:paraId="5764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6548280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770A21E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54AE96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.15一键通知监测任务复采</w:t>
            </w:r>
          </w:p>
        </w:tc>
      </w:tr>
      <w:tr w14:paraId="410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62F1099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58B1995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0816D4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5.1</w:t>
            </w:r>
            <w:r>
              <w:rPr>
                <w:rFonts w:hint="eastAsia" w:ascii="宋体" w:hAnsi="宋体" w:eastAsia="宋体" w:cs="宋体"/>
                <w:sz w:val="24"/>
                <w:szCs w:val="24"/>
                <w:highlight w:val="none"/>
              </w:rPr>
              <w:t>.16一键通知整改要求</w:t>
            </w:r>
          </w:p>
        </w:tc>
      </w:tr>
      <w:tr w14:paraId="05BC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4FA96C20">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1012" w:type="pct"/>
            <w:gridSpan w:val="2"/>
            <w:vMerge w:val="restart"/>
            <w:noWrap w:val="0"/>
            <w:vAlign w:val="center"/>
          </w:tcPr>
          <w:p w14:paraId="60C672C3">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5.2监测进展</w:t>
            </w:r>
          </w:p>
        </w:tc>
        <w:tc>
          <w:tcPr>
            <w:tcW w:w="3064" w:type="pct"/>
            <w:noWrap w:val="0"/>
            <w:vAlign w:val="top"/>
          </w:tcPr>
          <w:p w14:paraId="61AB879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rPr>
              <w:t>.1按科室展示监测任务当前执行环节</w:t>
            </w:r>
          </w:p>
        </w:tc>
      </w:tr>
      <w:tr w14:paraId="5719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560091A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2A75DAC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EAD6E9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rPr>
              <w:t>.2按项目展示监测任务当前执行环节</w:t>
            </w:r>
          </w:p>
        </w:tc>
      </w:tr>
      <w:tr w14:paraId="5A0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56115A9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0CF39BA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2DD9C6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rPr>
              <w:t>.3按时间段展示监测任务当前执行环节</w:t>
            </w:r>
          </w:p>
        </w:tc>
      </w:tr>
      <w:tr w14:paraId="1BDA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5BFAE09B">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564C4B2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D91A36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rPr>
              <w:t>.4单独展示未完成任务</w:t>
            </w:r>
          </w:p>
        </w:tc>
      </w:tr>
      <w:tr w14:paraId="6AD4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pct"/>
            <w:vMerge w:val="continue"/>
            <w:noWrap w:val="0"/>
            <w:vAlign w:val="center"/>
          </w:tcPr>
          <w:p w14:paraId="2FD4066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2" w:type="pct"/>
            <w:gridSpan w:val="2"/>
            <w:vMerge w:val="continue"/>
            <w:noWrap w:val="0"/>
            <w:vAlign w:val="center"/>
          </w:tcPr>
          <w:p w14:paraId="049AE40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29EE13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5.2</w:t>
            </w:r>
            <w:r>
              <w:rPr>
                <w:rFonts w:hint="eastAsia" w:ascii="宋体" w:hAnsi="宋体" w:eastAsia="宋体" w:cs="宋体"/>
                <w:sz w:val="24"/>
                <w:szCs w:val="24"/>
                <w:highlight w:val="none"/>
              </w:rPr>
              <w:t>.5一键通知监测任务未完成情况</w:t>
            </w:r>
          </w:p>
        </w:tc>
      </w:tr>
      <w:tr w14:paraId="3A9D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0EFE8EC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.持续改进</w:t>
            </w:r>
          </w:p>
        </w:tc>
        <w:tc>
          <w:tcPr>
            <w:tcW w:w="3064" w:type="pct"/>
            <w:noWrap w:val="0"/>
            <w:vAlign w:val="top"/>
          </w:tcPr>
          <w:p w14:paraId="6B95003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2.6.1按科室展示整改任务</w:t>
            </w:r>
          </w:p>
        </w:tc>
      </w:tr>
      <w:tr w14:paraId="64BE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F52312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65FDB4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2.6.2按采样时间展示整改任务</w:t>
            </w:r>
          </w:p>
        </w:tc>
      </w:tr>
      <w:tr w14:paraId="152C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E84A89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085C48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2.6.3通知监测科室责任人员整改要求</w:t>
            </w:r>
          </w:p>
        </w:tc>
      </w:tr>
      <w:tr w14:paraId="39C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335176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94AFE6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2.6.4通知监督部门整改评价</w:t>
            </w:r>
          </w:p>
        </w:tc>
      </w:tr>
      <w:tr w14:paraId="60D3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49EA7F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081E75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2.6.5自定义选择整改任务</w:t>
            </w:r>
          </w:p>
        </w:tc>
      </w:tr>
      <w:tr w14:paraId="59C9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CCAD0D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4448E8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2.6.6展示应整改未整改任务</w:t>
            </w:r>
          </w:p>
        </w:tc>
      </w:tr>
      <w:tr w14:paraId="7F8C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BDFB01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EDED34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2.6.7展示应评价未评价任务</w:t>
            </w:r>
          </w:p>
        </w:tc>
      </w:tr>
      <w:tr w14:paraId="6194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85F6DE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BE88AA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2.6.8自定义重新整改的任务</w:t>
            </w:r>
          </w:p>
        </w:tc>
      </w:tr>
      <w:tr w14:paraId="1AE3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CEAC27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52146A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2.6.9打印整改报告</w:t>
            </w:r>
          </w:p>
        </w:tc>
      </w:tr>
      <w:tr w14:paraId="7F44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26B254DB">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.监测统计</w:t>
            </w:r>
          </w:p>
        </w:tc>
        <w:tc>
          <w:tcPr>
            <w:tcW w:w="3064" w:type="pct"/>
            <w:noWrap w:val="0"/>
            <w:vAlign w:val="top"/>
          </w:tcPr>
          <w:p w14:paraId="4F2F7CB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.1统计监测不合格任务</w:t>
            </w:r>
          </w:p>
        </w:tc>
      </w:tr>
      <w:tr w14:paraId="285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9382F1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CB1D9F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.2统计监测合格任务</w:t>
            </w:r>
          </w:p>
        </w:tc>
      </w:tr>
      <w:tr w14:paraId="5C8C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99E61CA">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889BE6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.3统计各时间段监测任务合格情况</w:t>
            </w:r>
          </w:p>
        </w:tc>
      </w:tr>
      <w:tr w14:paraId="6A0B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A35E49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4AC121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.4统计各时间段监测任务不合格情况</w:t>
            </w:r>
          </w:p>
        </w:tc>
      </w:tr>
      <w:tr w14:paraId="68FE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8D875E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CD6AD8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.5统计初检任务合格情况</w:t>
            </w:r>
          </w:p>
        </w:tc>
      </w:tr>
      <w:tr w14:paraId="64E4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B07DB1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D10556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.6统计初检任务不合格情况</w:t>
            </w:r>
          </w:p>
        </w:tc>
      </w:tr>
      <w:tr w14:paraId="4627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580D83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9DA7B2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.7统计复检任务合格情况</w:t>
            </w:r>
          </w:p>
        </w:tc>
      </w:tr>
      <w:tr w14:paraId="484C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01DBB6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5CA37C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.8统计复检任务不合格情况</w:t>
            </w:r>
          </w:p>
        </w:tc>
      </w:tr>
      <w:tr w14:paraId="126B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A08A4E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0D71DE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.9统计各科室监测任务合格情况</w:t>
            </w:r>
          </w:p>
        </w:tc>
      </w:tr>
      <w:tr w14:paraId="52D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BD7968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178926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.10统计各科室监测任务不合格情况</w:t>
            </w:r>
          </w:p>
        </w:tc>
      </w:tr>
      <w:tr w14:paraId="0F80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954E1E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76EB5E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.11统计各监测项目合格情况</w:t>
            </w:r>
          </w:p>
        </w:tc>
      </w:tr>
      <w:tr w14:paraId="0759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4ED760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0E8531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.12统计各监测项目不合格情况</w:t>
            </w:r>
          </w:p>
        </w:tc>
      </w:tr>
      <w:tr w14:paraId="6CD3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DCDF78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CBC520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.13统计常规监测任务合格情况</w:t>
            </w:r>
          </w:p>
        </w:tc>
      </w:tr>
      <w:tr w14:paraId="3FD6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6EFD5E3">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218742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.14统计常规监测任务不合格情况</w:t>
            </w:r>
          </w:p>
        </w:tc>
      </w:tr>
      <w:tr w14:paraId="6379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744A1D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6BB011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.15统计院感抽检任务合格情况</w:t>
            </w:r>
          </w:p>
        </w:tc>
      </w:tr>
      <w:tr w14:paraId="3D00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CECC62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0A4C9E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.16统计院感抽检任务不合格情况</w:t>
            </w:r>
          </w:p>
        </w:tc>
      </w:tr>
      <w:tr w14:paraId="656A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E8186C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BB6486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.17统计临时监测任务合格情况</w:t>
            </w:r>
          </w:p>
        </w:tc>
      </w:tr>
      <w:tr w14:paraId="53D5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93B122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3197BF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.18统计临时监测任务不合格情况</w:t>
            </w:r>
          </w:p>
        </w:tc>
      </w:tr>
      <w:tr w14:paraId="2119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1CA57841">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.监测标准</w:t>
            </w:r>
          </w:p>
        </w:tc>
        <w:tc>
          <w:tcPr>
            <w:tcW w:w="3064" w:type="pct"/>
            <w:noWrap w:val="0"/>
            <w:vAlign w:val="top"/>
          </w:tcPr>
          <w:p w14:paraId="6D24A68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.1自定义采样方法和采样耗材</w:t>
            </w:r>
          </w:p>
        </w:tc>
      </w:tr>
      <w:tr w14:paraId="2F33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C7D13E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84ACAA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.2自定义合格标准和单位</w:t>
            </w:r>
          </w:p>
        </w:tc>
      </w:tr>
      <w:tr w14:paraId="6E40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AB37B8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BAEB77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.3自定义监测规范</w:t>
            </w:r>
          </w:p>
        </w:tc>
      </w:tr>
      <w:tr w14:paraId="0026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C5EB3CB">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772BE1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.4自定义项目分类</w:t>
            </w:r>
          </w:p>
        </w:tc>
      </w:tr>
      <w:tr w14:paraId="2F79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903708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274DC1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.5自定义菌种鉴定合格范围</w:t>
            </w:r>
          </w:p>
        </w:tc>
      </w:tr>
      <w:tr w14:paraId="3A5B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9594FD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75FEF2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.6自定义菌种鉴定异常范围</w:t>
            </w:r>
          </w:p>
        </w:tc>
      </w:tr>
      <w:tr w14:paraId="440D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32C52E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A05E10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.7自定义标准计算方式</w:t>
            </w:r>
          </w:p>
        </w:tc>
      </w:tr>
      <w:tr w14:paraId="215D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73D33B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813CBB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.8自定义采样点计算方式</w:t>
            </w:r>
          </w:p>
        </w:tc>
      </w:tr>
      <w:tr w14:paraId="56F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22281383">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41B8563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.9启用和停用评估标准</w:t>
            </w:r>
          </w:p>
        </w:tc>
      </w:tr>
      <w:tr w14:paraId="221D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18463BB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C774EA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.10新增检测项目</w:t>
            </w:r>
          </w:p>
        </w:tc>
      </w:tr>
      <w:tr w14:paraId="2D4B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65AEA09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0EEF17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.11新增采样方法和采样耗材</w:t>
            </w:r>
          </w:p>
        </w:tc>
      </w:tr>
      <w:tr w14:paraId="2105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5AF2A5F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0A17E1E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.12新增合格标准和单位</w:t>
            </w:r>
          </w:p>
        </w:tc>
      </w:tr>
      <w:tr w14:paraId="605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1E0C72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E2492F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.13新增监测规范</w:t>
            </w:r>
          </w:p>
        </w:tc>
      </w:tr>
      <w:tr w14:paraId="310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FA7AB3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518899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.14新增项目分类</w:t>
            </w:r>
          </w:p>
        </w:tc>
      </w:tr>
      <w:tr w14:paraId="473B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F49B1B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D523AEA">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.15新增菌种鉴定合格范围</w:t>
            </w:r>
          </w:p>
        </w:tc>
      </w:tr>
      <w:tr w14:paraId="6D25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00F348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29CD6A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.16新增菌种鉴定异常范围</w:t>
            </w:r>
          </w:p>
        </w:tc>
      </w:tr>
      <w:tr w14:paraId="7F65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34A7252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8C9DCA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.17新增标准计算方式</w:t>
            </w:r>
          </w:p>
        </w:tc>
      </w:tr>
      <w:tr w14:paraId="176C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A3D9F1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7B6C062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.18新增采样点计算方式</w:t>
            </w:r>
          </w:p>
        </w:tc>
      </w:tr>
      <w:tr w14:paraId="7488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5B1E74AF">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.紫外线灯时长管理</w:t>
            </w:r>
          </w:p>
        </w:tc>
        <w:tc>
          <w:tcPr>
            <w:tcW w:w="3064" w:type="pct"/>
            <w:noWrap w:val="0"/>
            <w:vAlign w:val="top"/>
          </w:tcPr>
          <w:p w14:paraId="5C9A652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.1自定义维护各科室紫外线灯基本信息</w:t>
            </w:r>
          </w:p>
        </w:tc>
      </w:tr>
      <w:tr w14:paraId="58ED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061A528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3F3BE42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.2登记单个紫外线灯使用时长</w:t>
            </w:r>
          </w:p>
        </w:tc>
      </w:tr>
      <w:tr w14:paraId="5788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64FF83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16CB068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.3批量登记紫外线灯使用时长</w:t>
            </w:r>
          </w:p>
        </w:tc>
      </w:tr>
      <w:tr w14:paraId="6848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48038DB">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55FC718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.4监管紫外线灯使用总时长</w:t>
            </w:r>
          </w:p>
        </w:tc>
      </w:tr>
      <w:tr w14:paraId="7886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4CC1C9D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6CD77CF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.5监管紫外线灯启用日期</w:t>
            </w:r>
          </w:p>
        </w:tc>
      </w:tr>
      <w:tr w14:paraId="7B27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center"/>
          </w:tcPr>
          <w:p w14:paraId="7B3BBA5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064" w:type="pct"/>
            <w:noWrap w:val="0"/>
            <w:vAlign w:val="top"/>
          </w:tcPr>
          <w:p w14:paraId="2BF9C04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.6自定义紫外线灯停用原因</w:t>
            </w:r>
          </w:p>
        </w:tc>
      </w:tr>
      <w:tr w14:paraId="7670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restart"/>
            <w:noWrap w:val="0"/>
            <w:vAlign w:val="center"/>
          </w:tcPr>
          <w:p w14:paraId="510C2440">
            <w:pPr>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.移动端消毒灭菌助手功能</w:t>
            </w:r>
          </w:p>
        </w:tc>
        <w:tc>
          <w:tcPr>
            <w:tcW w:w="3064" w:type="pct"/>
            <w:noWrap w:val="0"/>
            <w:vAlign w:val="top"/>
          </w:tcPr>
          <w:p w14:paraId="616E101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.1实时接收轮</w:t>
            </w:r>
            <w:r>
              <w:rPr>
                <w:rFonts w:hint="eastAsia" w:ascii="宋体" w:hAnsi="宋体" w:eastAsia="宋体" w:cs="宋体"/>
                <w:sz w:val="24"/>
                <w:szCs w:val="24"/>
                <w:highlight w:val="none"/>
                <w:lang w:eastAsia="zh-CN"/>
              </w:rPr>
              <w:t>检</w:t>
            </w:r>
            <w:r>
              <w:rPr>
                <w:rFonts w:hint="eastAsia" w:ascii="宋体" w:hAnsi="宋体" w:eastAsia="宋体" w:cs="宋体"/>
                <w:sz w:val="24"/>
                <w:szCs w:val="24"/>
                <w:highlight w:val="none"/>
              </w:rPr>
              <w:t>提醒</w:t>
            </w:r>
          </w:p>
        </w:tc>
      </w:tr>
      <w:tr w14:paraId="76A8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7DEC065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0549164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.2实时接收耗材提醒</w:t>
            </w:r>
          </w:p>
        </w:tc>
      </w:tr>
      <w:tr w14:paraId="2AE8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1A0AA6FD">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72CBA02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.3实时接收采样提醒</w:t>
            </w:r>
          </w:p>
        </w:tc>
      </w:tr>
      <w:tr w14:paraId="2928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166A73F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24B1E1B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.4实时接收检验提醒</w:t>
            </w:r>
          </w:p>
        </w:tc>
      </w:tr>
      <w:tr w14:paraId="723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4BBA39A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215946F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.5实时接收审核提醒</w:t>
            </w:r>
          </w:p>
        </w:tc>
      </w:tr>
      <w:tr w14:paraId="5F4A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7F622B6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34F4BA2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.6实时接收未完成提醒</w:t>
            </w:r>
          </w:p>
        </w:tc>
      </w:tr>
      <w:tr w14:paraId="4F11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2DC5B07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3D67801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.7实时接收复采提醒</w:t>
            </w:r>
          </w:p>
        </w:tc>
      </w:tr>
      <w:tr w14:paraId="514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59AD6BC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1444B57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.8实时接收不合格提醒</w:t>
            </w:r>
          </w:p>
        </w:tc>
      </w:tr>
      <w:tr w14:paraId="3B4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16E07CD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1BE83A7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.9实时接收整改提醒</w:t>
            </w:r>
          </w:p>
        </w:tc>
      </w:tr>
      <w:tr w14:paraId="1998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26A32F7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116B22E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.10实时接收复整改提醒</w:t>
            </w:r>
          </w:p>
        </w:tc>
      </w:tr>
      <w:tr w14:paraId="4968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7A99040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416CC0E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.11实时接收整改评价提醒</w:t>
            </w:r>
          </w:p>
        </w:tc>
      </w:tr>
      <w:tr w14:paraId="5EB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3CDAF5F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6A3048F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.12即时录入采样点信息</w:t>
            </w:r>
          </w:p>
        </w:tc>
      </w:tr>
      <w:tr w14:paraId="0289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3056570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0AA385B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.13即时录入检验结果</w:t>
            </w:r>
          </w:p>
        </w:tc>
      </w:tr>
      <w:tr w14:paraId="197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pct"/>
            <w:gridSpan w:val="3"/>
            <w:vMerge w:val="continue"/>
            <w:noWrap w:val="0"/>
            <w:vAlign w:val="top"/>
          </w:tcPr>
          <w:p w14:paraId="07907A3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064" w:type="pct"/>
            <w:noWrap w:val="0"/>
            <w:vAlign w:val="top"/>
          </w:tcPr>
          <w:p w14:paraId="0ABEF06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10</w:t>
            </w:r>
            <w:r>
              <w:rPr>
                <w:rFonts w:hint="eastAsia" w:ascii="宋体" w:hAnsi="宋体" w:eastAsia="宋体" w:cs="宋体"/>
                <w:sz w:val="24"/>
                <w:szCs w:val="24"/>
                <w:highlight w:val="none"/>
              </w:rPr>
              <w:t>.14即时作废轮检范围内的软式内镜</w:t>
            </w:r>
          </w:p>
        </w:tc>
      </w:tr>
    </w:tbl>
    <w:p w14:paraId="6B6935C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96D495E">
      <w:pPr>
        <w:pStyle w:val="77"/>
        <w:pageBreakBefore w:val="0"/>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临床药学系统</w:t>
      </w:r>
      <w:bookmarkStart w:id="28" w:name="_Toc20384570"/>
    </w:p>
    <w:bookmarkEnd w:id="28"/>
    <w:p w14:paraId="597AC584">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D36BE47">
      <w:pPr>
        <w:pStyle w:val="23"/>
        <w:pageBreakBefore w:val="0"/>
        <w:widowControl/>
        <w:kinsoku/>
        <w:wordWrap/>
        <w:overflowPunct/>
        <w:topLinePunct w:val="0"/>
        <w:autoSpaceDE/>
        <w:autoSpaceDN/>
        <w:bidi w:val="0"/>
        <w:adjustRightInd/>
        <w:snapToGrid/>
        <w:spacing w:before="240"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处方管理办法》、《医疗机构处方审核规范》、《医院处方点评管理规范（试行）》、《中成药临床应用指导原则》、《抗菌药物临床应用指导原则》、《关于持续做好抗菌药物临床应用管理工作的通知》、《卫生部抗菌药品专项整治活动方案》、《三级综合医院评审标准》、《医院中药饮片管理规范》、《关于加强医疗机构药事管理促进合理用药的意见》、《关于加快药学服务高质量发展的意见》等相关管理规范的要求，运用信息技术实现处方（医嘱）前置审核、处方（医嘱）点评、抗菌药物分级审核管理、抗菌药物使用统计分析、重点监控药品使用统计分析、患者用药指导、药学咨询等，全面辅助药师开展工作，提高工作质量和工作效率，切实加强医院临床合理用药管理，保障患者用药安全、有效、经济。”基于对合理用药管理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需对医院</w:t>
      </w:r>
      <w:r>
        <w:rPr>
          <w:rFonts w:hint="eastAsia" w:ascii="宋体" w:hAnsi="宋体" w:eastAsia="宋体" w:cs="宋体"/>
          <w:sz w:val="24"/>
          <w:szCs w:val="24"/>
          <w:highlight w:val="none"/>
          <w:lang w:val="en-US" w:eastAsia="zh-CN"/>
        </w:rPr>
        <w:t>前置审方系统、</w:t>
      </w:r>
      <w:r>
        <w:rPr>
          <w:rFonts w:hint="eastAsia" w:ascii="宋体" w:hAnsi="宋体" w:eastAsia="宋体" w:cs="宋体"/>
          <w:sz w:val="24"/>
          <w:szCs w:val="24"/>
          <w:highlight w:val="none"/>
        </w:rPr>
        <w:t>合理用药系统开展建设。</w:t>
      </w:r>
    </w:p>
    <w:p w14:paraId="372B2ED5">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技术参数要求： </w:t>
      </w:r>
    </w:p>
    <w:p w14:paraId="7A0F132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合理用药干预系统</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09"/>
        <w:gridCol w:w="6997"/>
      </w:tblGrid>
      <w:tr w14:paraId="6D80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EA5DE11">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功能</w:t>
            </w:r>
          </w:p>
        </w:tc>
        <w:tc>
          <w:tcPr>
            <w:tcW w:w="4064" w:type="pct"/>
            <w:shd w:val="clear" w:color="auto" w:fill="FFFFFF"/>
            <w:noWrap w:val="0"/>
            <w:tcMar>
              <w:top w:w="105" w:type="dxa"/>
              <w:left w:w="150" w:type="dxa"/>
              <w:bottom w:w="105" w:type="dxa"/>
              <w:right w:w="150" w:type="dxa"/>
            </w:tcMar>
            <w:vAlign w:val="top"/>
          </w:tcPr>
          <w:p w14:paraId="7F69A45B">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w:t>
            </w:r>
          </w:p>
        </w:tc>
      </w:tr>
      <w:tr w14:paraId="5516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90F47D9">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★处方/医嘱实时审查</w:t>
            </w:r>
          </w:p>
        </w:tc>
        <w:tc>
          <w:tcPr>
            <w:tcW w:w="4064" w:type="pct"/>
            <w:shd w:val="clear" w:color="auto" w:fill="FFFFFF"/>
            <w:noWrap w:val="0"/>
            <w:tcMar>
              <w:top w:w="105" w:type="dxa"/>
              <w:left w:w="150" w:type="dxa"/>
              <w:bottom w:w="105" w:type="dxa"/>
              <w:right w:w="150" w:type="dxa"/>
            </w:tcMar>
            <w:vAlign w:val="top"/>
          </w:tcPr>
          <w:p w14:paraId="68F25693">
            <w:pPr>
              <w:pStyle w:val="42"/>
              <w:pageBreakBefore w:val="0"/>
              <w:widowControl/>
              <w:numPr>
                <w:ilvl w:val="0"/>
                <w:numId w:val="15"/>
              </w:numPr>
              <w:kinsoku/>
              <w:wordWrap/>
              <w:overflowPunct/>
              <w:topLinePunct w:val="0"/>
              <w:autoSpaceDE/>
              <w:autoSpaceDN/>
              <w:bidi w:val="0"/>
              <w:adjustRightInd/>
              <w:snapToGrid/>
              <w:spacing w:line="360" w:lineRule="auto"/>
              <w:ind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支持在医生开方阶段对处方/医嘱的用药合理性进行实时审查，并给予医生提示，对于严重的用药问题可以直接在医生端进行拦截；</w:t>
            </w:r>
          </w:p>
          <w:p w14:paraId="5EF00D89">
            <w:pPr>
              <w:pStyle w:val="42"/>
              <w:pageBreakBefore w:val="0"/>
              <w:widowControl/>
              <w:numPr>
                <w:ilvl w:val="0"/>
                <w:numId w:val="15"/>
              </w:numPr>
              <w:kinsoku/>
              <w:wordWrap/>
              <w:overflowPunct/>
              <w:topLinePunct w:val="0"/>
              <w:autoSpaceDE/>
              <w:autoSpaceDN/>
              <w:bidi w:val="0"/>
              <w:adjustRightInd/>
              <w:snapToGrid/>
              <w:spacing w:line="360" w:lineRule="auto"/>
              <w:ind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支持对处方/医嘱中用法用量、相互作用、配伍禁忌、重复用药、禁忌症、适应症、特殊人群用药、妊娠期用药、哺乳期用药、过敏、给药途径等不合理用药情况进行自动审查。</w:t>
            </w:r>
          </w:p>
        </w:tc>
      </w:tr>
      <w:tr w14:paraId="25CA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37651EF7">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干预配置功能</w:t>
            </w:r>
          </w:p>
        </w:tc>
        <w:tc>
          <w:tcPr>
            <w:tcW w:w="4064" w:type="pct"/>
            <w:shd w:val="clear" w:color="auto" w:fill="FFFFFF"/>
            <w:noWrap w:val="0"/>
            <w:tcMar>
              <w:top w:w="105" w:type="dxa"/>
              <w:left w:w="150" w:type="dxa"/>
              <w:bottom w:w="105" w:type="dxa"/>
              <w:right w:w="150" w:type="dxa"/>
            </w:tcMar>
            <w:vAlign w:val="top"/>
          </w:tcPr>
          <w:p w14:paraId="582E7640">
            <w:pPr>
              <w:pageBreakBefore w:val="0"/>
              <w:widowControl/>
              <w:numPr>
                <w:ilvl w:val="0"/>
                <w:numId w:val="1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支持设置处方/医嘱用药问题提示的科室及提示信息的类型和等级；</w:t>
            </w:r>
          </w:p>
          <w:p w14:paraId="4B95C251">
            <w:pPr>
              <w:pageBreakBefore w:val="0"/>
              <w:widowControl/>
              <w:numPr>
                <w:ilvl w:val="0"/>
                <w:numId w:val="1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支持门诊按处方或按患者提示医生用药问题，按患者提示即合并患者当日所有有效处方进行审核；</w:t>
            </w:r>
          </w:p>
          <w:p w14:paraId="42382288">
            <w:pPr>
              <w:pageBreakBefore w:val="0"/>
              <w:widowControl/>
              <w:numPr>
                <w:ilvl w:val="0"/>
                <w:numId w:val="1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支持配置住院长期医嘱和临时医嘱之间是否开启重复用药审查；</w:t>
            </w:r>
          </w:p>
          <w:p w14:paraId="0434D610">
            <w:pPr>
              <w:pageBreakBefore w:val="0"/>
              <w:widowControl/>
              <w:numPr>
                <w:ilvl w:val="0"/>
                <w:numId w:val="1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支持配置门诊处方或住院医嘱特殊给药频率（如st、once）是否开启重复用药审查。</w:t>
            </w:r>
          </w:p>
        </w:tc>
      </w:tr>
      <w:tr w14:paraId="2ABF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86B3586">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处方/医嘱干预结果查询</w:t>
            </w:r>
          </w:p>
        </w:tc>
        <w:tc>
          <w:tcPr>
            <w:tcW w:w="4064" w:type="pct"/>
            <w:shd w:val="clear" w:color="auto" w:fill="FFFFFF"/>
            <w:noWrap w:val="0"/>
            <w:tcMar>
              <w:top w:w="105" w:type="dxa"/>
              <w:left w:w="150" w:type="dxa"/>
              <w:bottom w:w="105" w:type="dxa"/>
              <w:right w:w="150" w:type="dxa"/>
            </w:tcMar>
            <w:vAlign w:val="top"/>
          </w:tcPr>
          <w:p w14:paraId="718F58AD">
            <w:pPr>
              <w:pageBreakBefore w:val="0"/>
              <w:widowControl/>
              <w:numPr>
                <w:ilvl w:val="0"/>
                <w:numId w:val="1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支持处方/医嘱及干预结果的自动采集和保存，支持药师实时查看医生开具的处方/医嘱及发生的用药问题；</w:t>
            </w:r>
          </w:p>
          <w:p w14:paraId="2BFCFB26">
            <w:pPr>
              <w:pageBreakBefore w:val="0"/>
              <w:widowControl/>
              <w:numPr>
                <w:ilvl w:val="0"/>
                <w:numId w:val="1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支持药师对具体审查结果对应的知识库规则进行确认/待查操作，或对知识库进行修改完善；</w:t>
            </w:r>
          </w:p>
          <w:p w14:paraId="518252C5">
            <w:pPr>
              <w:pageBreakBefore w:val="0"/>
              <w:widowControl/>
              <w:numPr>
                <w:ilvl w:val="0"/>
                <w:numId w:val="1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支持医生登入系统，查看本人的处方和处方审核结果；</w:t>
            </w:r>
          </w:p>
          <w:p w14:paraId="30547712">
            <w:pPr>
              <w:pageBreakBefore w:val="0"/>
              <w:widowControl/>
              <w:numPr>
                <w:ilvl w:val="0"/>
                <w:numId w:val="1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支持科主任/医院管理人员登入系统，查看本科室或本院的全部问题处方/医嘱及审核结果</w:t>
            </w:r>
          </w:p>
        </w:tc>
      </w:tr>
      <w:tr w14:paraId="4F74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FFC9EAF">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干预效果分析</w:t>
            </w:r>
          </w:p>
          <w:p w14:paraId="276F9C92">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p>
        </w:tc>
        <w:tc>
          <w:tcPr>
            <w:tcW w:w="4064" w:type="pct"/>
            <w:shd w:val="clear" w:color="auto" w:fill="FFFFFF"/>
            <w:noWrap w:val="0"/>
            <w:tcMar>
              <w:top w:w="105" w:type="dxa"/>
              <w:left w:w="150" w:type="dxa"/>
              <w:bottom w:w="105" w:type="dxa"/>
              <w:right w:w="150" w:type="dxa"/>
            </w:tcMar>
            <w:vAlign w:val="top"/>
          </w:tcPr>
          <w:p w14:paraId="14FDC19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1、支持图表化展示实时干预效果</w:t>
            </w:r>
          </w:p>
          <w:p w14:paraId="5AB20BD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（1）实时统计当日处方数、干预处方数、拦截处方数、审查次数、干预率及拦截率；</w:t>
            </w:r>
          </w:p>
          <w:p w14:paraId="7815133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（2）实时统计当日住院患者数、干预患者数、拦截患者数、审查次数、干预率及拦截率；</w:t>
            </w:r>
          </w:p>
          <w:p w14:paraId="139AA99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（3）支持展示干预效果趋势图；</w:t>
            </w:r>
          </w:p>
          <w:p w14:paraId="758CF14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（4）支持展示警示信息发生数柱状图；</w:t>
            </w:r>
          </w:p>
          <w:p w14:paraId="0C7B62B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（5）支持展示门诊/住院干预量科室前十名或自定义排名数；</w:t>
            </w:r>
          </w:p>
          <w:p w14:paraId="5B734FD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（6）支持展示警示信息发生数药品前十名或自定义排名数。</w:t>
            </w:r>
          </w:p>
          <w:p w14:paraId="41CB03C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2、支持干预效果分析统计，包括：</w:t>
            </w:r>
          </w:p>
          <w:p w14:paraId="3E1510A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（1）支持按医院/科室/医生维度查看处方总数、审查次数、干预处方数、拦截处方数等指标；</w:t>
            </w:r>
          </w:p>
          <w:p w14:paraId="11A5F2D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（2）支持按医院/科室维度查看住院患者总数、审查次数、干预患者数、拦截患者数等指标；</w:t>
            </w:r>
          </w:p>
          <w:p w14:paraId="4973CD4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（3）支持按医院/科室/医生维度查看医生对门诊问题处方的处理情况，包括更换药物、修正错误、忽略错误及删除处方的处方数及占比；</w:t>
            </w:r>
          </w:p>
          <w:p w14:paraId="153C01D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（4）支持按医院/科室/医生查看门诊处方不同等级或类型警示信息的发生次数、发生处方数及占比；</w:t>
            </w:r>
          </w:p>
          <w:p w14:paraId="1862B7A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（5）支持按医院/科室查看住院患者不同等级或类型警示信息的发生次数、发生患者数及占比；</w:t>
            </w:r>
          </w:p>
          <w:p w14:paraId="3F04355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（6）支持按医院/科室/医生查看不同等级或类型警示信息的发生次数、发生患者数及占比；</w:t>
            </w:r>
          </w:p>
          <w:p w14:paraId="1A17186A">
            <w:pPr>
              <w:widowControl w:val="0"/>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（7）支持按药品展示不同类型或等级警示信息的发生次数、发生处方数、发生患者数及占比。</w:t>
            </w:r>
          </w:p>
        </w:tc>
      </w:tr>
      <w:tr w14:paraId="5B0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2BCCCD7">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系统提供的规则库</w:t>
            </w:r>
          </w:p>
        </w:tc>
        <w:tc>
          <w:tcPr>
            <w:tcW w:w="4064" w:type="pct"/>
            <w:shd w:val="clear" w:color="auto" w:fill="FFFFFF"/>
            <w:noWrap w:val="0"/>
            <w:tcMar>
              <w:top w:w="105" w:type="dxa"/>
              <w:left w:w="150" w:type="dxa"/>
              <w:bottom w:w="105" w:type="dxa"/>
              <w:right w:w="150" w:type="dxa"/>
            </w:tcMar>
            <w:vAlign w:val="top"/>
          </w:tcPr>
          <w:p w14:paraId="78B8A63D">
            <w:pPr>
              <w:pageBreakBefore w:val="0"/>
              <w:widowControl/>
              <w:numPr>
                <w:ilvl w:val="0"/>
                <w:numId w:val="18"/>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系统提供1套药品说明书规则集（不低于10万条）</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知识库、包含用药指南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参考文献、超说明书用药合理性，及来源于三甲医院临床应用规则集供用户进行参考、复制、引用操作。</w:t>
            </w:r>
          </w:p>
          <w:p w14:paraId="45D13D72">
            <w:pPr>
              <w:pageBreakBefore w:val="0"/>
              <w:widowControl/>
              <w:numPr>
                <w:ilvl w:val="0"/>
                <w:numId w:val="18"/>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规则集源于药品说明书标准维护，规则经过数百家医疗机构多年实践验证、累计优化；规则库覆盖用户全部药品及其它已上市药品的各项合理性审查内容；同时支持不同的问题审查结果，进行警示级别的区分；</w:t>
            </w:r>
          </w:p>
        </w:tc>
      </w:tr>
      <w:tr w14:paraId="3C59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04D587A8">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规则库的更新引导</w:t>
            </w:r>
          </w:p>
        </w:tc>
        <w:tc>
          <w:tcPr>
            <w:tcW w:w="4064" w:type="pct"/>
            <w:shd w:val="clear" w:color="auto" w:fill="FFFFFF"/>
            <w:noWrap w:val="0"/>
            <w:tcMar>
              <w:top w:w="105" w:type="dxa"/>
              <w:left w:w="150" w:type="dxa"/>
              <w:bottom w:w="105" w:type="dxa"/>
              <w:right w:w="150" w:type="dxa"/>
            </w:tcMar>
            <w:vAlign w:val="top"/>
          </w:tcPr>
          <w:p w14:paraId="757ECA50">
            <w:pPr>
              <w:pageBreakBefore w:val="0"/>
              <w:widowControl/>
              <w:numPr>
                <w:ilvl w:val="0"/>
                <w:numId w:val="19"/>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说明书规则集中的规则内容会根据说明书的修订进行新增、修改；</w:t>
            </w:r>
          </w:p>
          <w:p w14:paraId="1D63C250">
            <w:pPr>
              <w:pageBreakBefore w:val="0"/>
              <w:widowControl/>
              <w:numPr>
                <w:ilvl w:val="0"/>
                <w:numId w:val="19"/>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临床应用规则集会根据医院的规则使用进行新增、修改；当用户系统知识包更新后，系统可根据用户使用规则的引用情况对更新的内容做出更新提醒，</w:t>
            </w:r>
            <w:r>
              <w:rPr>
                <w:rFonts w:hint="eastAsia" w:ascii="宋体" w:hAnsi="宋体" w:eastAsia="宋体" w:cs="宋体"/>
                <w:color w:val="000000"/>
                <w:sz w:val="24"/>
                <w:szCs w:val="24"/>
                <w:highlight w:val="none"/>
                <w:lang w:val="en-US" w:eastAsia="zh-CN"/>
              </w:rPr>
              <w:t>系统按季更新，</w:t>
            </w:r>
            <w:r>
              <w:rPr>
                <w:rFonts w:hint="eastAsia" w:ascii="宋体" w:hAnsi="宋体" w:eastAsia="宋体" w:cs="宋体"/>
                <w:color w:val="000000"/>
                <w:sz w:val="24"/>
                <w:szCs w:val="24"/>
                <w:highlight w:val="none"/>
              </w:rPr>
              <w:t>用户</w:t>
            </w:r>
            <w:r>
              <w:rPr>
                <w:rFonts w:hint="eastAsia" w:ascii="宋体" w:hAnsi="宋体" w:eastAsia="宋体" w:cs="宋体"/>
                <w:color w:val="000000"/>
                <w:sz w:val="24"/>
                <w:szCs w:val="24"/>
                <w:highlight w:val="none"/>
                <w:lang w:val="en-US" w:eastAsia="zh-CN"/>
              </w:rPr>
              <w:t>亦</w:t>
            </w:r>
            <w:r>
              <w:rPr>
                <w:rFonts w:hint="eastAsia" w:ascii="宋体" w:hAnsi="宋体" w:eastAsia="宋体" w:cs="宋体"/>
                <w:color w:val="000000"/>
                <w:sz w:val="24"/>
                <w:szCs w:val="24"/>
                <w:highlight w:val="none"/>
              </w:rPr>
              <w:t>可根据自身业务需求对更新的规则进行全部更新、部分更新、或不更新操作。</w:t>
            </w:r>
          </w:p>
          <w:p w14:paraId="0B9D4DEA">
            <w:pPr>
              <w:pageBreakBefore w:val="0"/>
              <w:widowControl/>
              <w:numPr>
                <w:ilvl w:val="0"/>
                <w:numId w:val="19"/>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当用户系统知识包更新后，系统可根据用户药品比对情况对新增的规则内容做出新增提醒，用户可根据自身业务需求对新增的规则进行全部更新、部分更新、或不更新操作。</w:t>
            </w:r>
          </w:p>
        </w:tc>
      </w:tr>
      <w:tr w14:paraId="3326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63622C2D">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审查</w:t>
            </w:r>
            <w:r>
              <w:rPr>
                <w:rFonts w:hint="eastAsia" w:ascii="宋体" w:hAnsi="宋体" w:eastAsia="宋体" w:cs="宋体"/>
                <w:b/>
                <w:bCs/>
                <w:color w:val="000000"/>
                <w:sz w:val="24"/>
                <w:szCs w:val="24"/>
                <w:highlight w:val="none"/>
              </w:rPr>
              <w:t>功能</w:t>
            </w:r>
          </w:p>
        </w:tc>
        <w:tc>
          <w:tcPr>
            <w:tcW w:w="4064" w:type="pct"/>
            <w:shd w:val="clear" w:color="auto" w:fill="FFFFFF"/>
            <w:noWrap w:val="0"/>
            <w:tcMar>
              <w:top w:w="105" w:type="dxa"/>
              <w:left w:w="150" w:type="dxa"/>
              <w:bottom w:w="105" w:type="dxa"/>
              <w:right w:w="150" w:type="dxa"/>
            </w:tcMar>
            <w:vAlign w:val="top"/>
          </w:tcPr>
          <w:p w14:paraId="6498AF54">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w:t>
            </w:r>
          </w:p>
        </w:tc>
      </w:tr>
      <w:tr w14:paraId="6D66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FBAFF48">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审查问题的严重程度管理功能</w:t>
            </w:r>
          </w:p>
        </w:tc>
        <w:tc>
          <w:tcPr>
            <w:tcW w:w="4064" w:type="pct"/>
            <w:shd w:val="clear" w:color="auto" w:fill="FFFFFF"/>
            <w:noWrap w:val="0"/>
            <w:tcMar>
              <w:top w:w="105" w:type="dxa"/>
              <w:left w:w="150" w:type="dxa"/>
              <w:bottom w:w="105" w:type="dxa"/>
              <w:right w:w="150" w:type="dxa"/>
            </w:tcMar>
            <w:vAlign w:val="top"/>
          </w:tcPr>
          <w:p w14:paraId="66579881">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通过采用警示级别的设置，实现按严重程度对审查出的不合理问题进行区分：</w:t>
            </w:r>
          </w:p>
          <w:p w14:paraId="412DC636">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5级：绝对禁忌或致死性危害；</w:t>
            </w:r>
          </w:p>
          <w:p w14:paraId="7D2B58FB">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4级：相对禁忌或非致死性的严重危害；</w:t>
            </w:r>
          </w:p>
          <w:p w14:paraId="44D88160">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3级：轻度危害或提示类的信息。</w:t>
            </w:r>
          </w:p>
        </w:tc>
      </w:tr>
      <w:tr w14:paraId="6291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0C88D8EA">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审查问题的问题类型管理功能</w:t>
            </w:r>
          </w:p>
        </w:tc>
        <w:tc>
          <w:tcPr>
            <w:tcW w:w="4064" w:type="pct"/>
            <w:shd w:val="clear" w:color="auto" w:fill="FFFFFF"/>
            <w:noWrap w:val="0"/>
            <w:tcMar>
              <w:top w:w="105" w:type="dxa"/>
              <w:left w:w="150" w:type="dxa"/>
              <w:bottom w:w="105" w:type="dxa"/>
              <w:right w:w="150" w:type="dxa"/>
            </w:tcMar>
            <w:vAlign w:val="top"/>
          </w:tcPr>
          <w:p w14:paraId="4DAACDAE">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通过采用警示类型的设置，对审查出的不合理问题按照错误类型进行问题归类。支持审查的问题有“用药建议、用药提醒、管理规定、适宜性分析、规范性分析、超常性分析”等。支持自定义添加提示类型。</w:t>
            </w:r>
          </w:p>
        </w:tc>
      </w:tr>
      <w:tr w14:paraId="5235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07A4C429">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检验指标与用药的审查</w:t>
            </w:r>
          </w:p>
        </w:tc>
        <w:tc>
          <w:tcPr>
            <w:tcW w:w="4064" w:type="pct"/>
            <w:shd w:val="clear" w:color="auto" w:fill="FFFFFF"/>
            <w:noWrap w:val="0"/>
            <w:tcMar>
              <w:top w:w="105" w:type="dxa"/>
              <w:left w:w="150" w:type="dxa"/>
              <w:bottom w:w="105" w:type="dxa"/>
              <w:right w:w="150" w:type="dxa"/>
            </w:tcMar>
            <w:vAlign w:val="top"/>
          </w:tcPr>
          <w:p w14:paraId="433772BE">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将检验指标与相关药品进行关联，实现检验指标在该药品用法用量、禁忌症、相互作用审查中的应用；</w:t>
            </w:r>
          </w:p>
          <w:p w14:paraId="2D52AE1E">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已覆盖中性粒细胞、白细胞、红细胞、血小板、血红蛋白、白蛋白、血钾、血钙、血镁、血甘油三酯、尿素氮、胆红素、血磷、丙氨酸氨基转移酶、天门冬氨酸氨基转移酶、国际标准化比值等指标在用户药品中的应用</w:t>
            </w:r>
          </w:p>
        </w:tc>
      </w:tr>
      <w:tr w14:paraId="1448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474453FF">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适应症、禁忌症的审查</w:t>
            </w:r>
          </w:p>
        </w:tc>
        <w:tc>
          <w:tcPr>
            <w:tcW w:w="4064" w:type="pct"/>
            <w:shd w:val="clear" w:color="auto" w:fill="FFFFFF"/>
            <w:noWrap w:val="0"/>
            <w:tcMar>
              <w:top w:w="105" w:type="dxa"/>
              <w:left w:w="150" w:type="dxa"/>
              <w:bottom w:w="105" w:type="dxa"/>
              <w:right w:w="150" w:type="dxa"/>
            </w:tcMar>
            <w:vAlign w:val="top"/>
          </w:tcPr>
          <w:p w14:paraId="37D5D227">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系统支持结合患者诊断、检验指标、年龄等信息，实现对药品适应症、禁忌症的合理性审查；</w:t>
            </w:r>
          </w:p>
          <w:p w14:paraId="3658BEBB">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适应症：已覆盖除溶媒、肠内和肠外营养用药、疫苗、血浆制品和血浆代用品、止血药、造影剂以外的用户全部药品，及其他已上市药品；</w:t>
            </w:r>
          </w:p>
          <w:p w14:paraId="475796C5">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禁忌症：已覆盖所有存在禁忌症的用户全部药品，及其他已上市药品；</w:t>
            </w:r>
          </w:p>
        </w:tc>
      </w:tr>
      <w:tr w14:paraId="0E59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5E694EA">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给药途径的审查</w:t>
            </w:r>
          </w:p>
        </w:tc>
        <w:tc>
          <w:tcPr>
            <w:tcW w:w="4064" w:type="pct"/>
            <w:shd w:val="clear" w:color="auto" w:fill="FFFFFF"/>
            <w:noWrap w:val="0"/>
            <w:tcMar>
              <w:top w:w="105" w:type="dxa"/>
              <w:left w:w="150" w:type="dxa"/>
              <w:bottom w:w="105" w:type="dxa"/>
              <w:right w:w="150" w:type="dxa"/>
            </w:tcMar>
            <w:vAlign w:val="top"/>
          </w:tcPr>
          <w:p w14:paraId="786E2EEA">
            <w:pPr>
              <w:pageBreakBefore w:val="0"/>
              <w:widowControl/>
              <w:numPr>
                <w:ilvl w:val="0"/>
                <w:numId w:val="2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实现处方/医嘱药品的给药途径的合理性的审查；</w:t>
            </w:r>
          </w:p>
          <w:p w14:paraId="1C655581">
            <w:pPr>
              <w:pageBreakBefore w:val="0"/>
              <w:widowControl/>
              <w:numPr>
                <w:ilvl w:val="0"/>
                <w:numId w:val="2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对门急诊患者处方中使用的口服剂型药品（排除肠内营养制剂），审查其给药途径是否为鼻饲、造瘘管滴入，提醒用户可能存在给药途径不合理的问题。</w:t>
            </w:r>
          </w:p>
        </w:tc>
      </w:tr>
      <w:tr w14:paraId="3C6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0523C290">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用法用量的审查</w:t>
            </w:r>
          </w:p>
        </w:tc>
        <w:tc>
          <w:tcPr>
            <w:tcW w:w="4064" w:type="pct"/>
            <w:shd w:val="clear" w:color="auto" w:fill="FFFFFF"/>
            <w:noWrap w:val="0"/>
            <w:tcMar>
              <w:top w:w="105" w:type="dxa"/>
              <w:left w:w="150" w:type="dxa"/>
              <w:bottom w:w="105" w:type="dxa"/>
              <w:right w:w="150" w:type="dxa"/>
            </w:tcMar>
            <w:vAlign w:val="top"/>
          </w:tcPr>
          <w:p w14:paraId="0833FE9F">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系统支持根据患者年龄、性别、体重、体表面积、孕产、诊断、各项检验指标，结合药品的给药途径等信息对药品剂量进行合理性审查：</w:t>
            </w:r>
          </w:p>
          <w:p w14:paraId="3C0B4217">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支持药嘱每次剂量、每平米每次剂量、每公斤每次剂量的审查；</w:t>
            </w:r>
          </w:p>
          <w:p w14:paraId="61DA643F">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支持当前审查药嘱每天剂量、每平米每天剂量、每公斤每天剂量的审查；</w:t>
            </w:r>
          </w:p>
          <w:p w14:paraId="4ABE4579">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支持具体药品的累计日剂量、每平米累计日剂量、每公斤累计日剂量的审查；</w:t>
            </w:r>
          </w:p>
          <w:p w14:paraId="5B770FDF">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支持具体药品的累计剂量、每平米累计剂量、每公斤累计剂量的审查；</w:t>
            </w:r>
          </w:p>
          <w:p w14:paraId="739DC998">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当前药嘱相同成分的药品的成分累计剂量、成分每平米累计剂量、成分每公斤累计剂量的审查，避免同成分合并用药时判断为重复用药的假阳性；（如：复方制剂和单方制剂一起合用，但药品中各成分累计剂量符合最大用药剂量范围内，判定为合理的合并用药）</w:t>
            </w:r>
          </w:p>
          <w:p w14:paraId="7FB9C594">
            <w:pPr>
              <w:pageBreakBefore w:val="0"/>
              <w:widowControl/>
              <w:numPr>
                <w:ilvl w:val="0"/>
                <w:numId w:val="2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其中，支持长期医嘱和临时医嘱（st、once）的单次剂量的分别审查；</w:t>
            </w:r>
          </w:p>
          <w:p w14:paraId="788AD840">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系统支持根据患者年龄、性别、体重、体表面积、孕产、诊断、各项检验指标对药品给药频率、给药时机、进行合理性审查；</w:t>
            </w:r>
          </w:p>
          <w:p w14:paraId="41A736F6">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实现儿童剂量多维度审查，儿童剂量符合参考标准中年龄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体重</w:t>
            </w:r>
            <w:r>
              <w:rPr>
                <w:rFonts w:hint="eastAsia" w:ascii="宋体" w:hAnsi="宋体" w:eastAsia="宋体" w:cs="宋体"/>
                <w:color w:val="000000"/>
                <w:sz w:val="24"/>
                <w:szCs w:val="24"/>
                <w:highlight w:val="none"/>
                <w:lang w:val="en-US" w:eastAsia="zh-CN"/>
              </w:rPr>
              <w:t>和体表面积</w:t>
            </w:r>
            <w:r>
              <w:rPr>
                <w:rFonts w:hint="eastAsia" w:ascii="宋体" w:hAnsi="宋体" w:eastAsia="宋体" w:cs="宋体"/>
                <w:color w:val="000000"/>
                <w:sz w:val="24"/>
                <w:szCs w:val="24"/>
                <w:highlight w:val="none"/>
              </w:rPr>
              <w:t>任一条件，均判断为合理的剂量；</w:t>
            </w:r>
          </w:p>
          <w:p w14:paraId="447A28A8">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实现缓释片、控释片、肠溶片等对分剂量服用有特定要求的药品，其每次给药剂量是否为合理的可分剂量的审查；</w:t>
            </w:r>
          </w:p>
          <w:p w14:paraId="2483DFF8">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校正剂量（覆盖除肿瘤药品外的口服药品）的审查，通过对涉及体重、体表面积计算出的非整数剂量的校正，提高审查准确率（如某药品根据体重、体表面积计算出患者应使用0.98片，而医生实际开具1片，判断为合理的剂量）；</w:t>
            </w:r>
          </w:p>
          <w:p w14:paraId="61F1FB71">
            <w:pPr>
              <w:pageBreakBefore w:val="0"/>
              <w:widowControl/>
              <w:numPr>
                <w:ilvl w:val="0"/>
                <w:numId w:val="2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异常剂量（覆盖除溶媒、疫苗、血浆成分及血浆代用品、造影、氨基酸、脂肪乳外的成品输液型药品、小容量注射剂和口服药品）的审查：80岁以上老年患者和14岁以下儿童患者，每次或每天剂量不得超过说明书常规剂量上限的1倍；其他患者，每次或每天剂量不得超过说明书常规剂量上限的2倍；14岁以上患者每次或每天剂量不得低于说明书常规剂量下限的1/5。</w:t>
            </w:r>
          </w:p>
        </w:tc>
      </w:tr>
      <w:tr w14:paraId="575F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3ABE84A0">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用药疗程的审查</w:t>
            </w:r>
          </w:p>
        </w:tc>
        <w:tc>
          <w:tcPr>
            <w:tcW w:w="4064" w:type="pct"/>
            <w:shd w:val="clear" w:color="auto" w:fill="FFFFFF"/>
            <w:noWrap w:val="0"/>
            <w:tcMar>
              <w:top w:w="105" w:type="dxa"/>
              <w:left w:w="150" w:type="dxa"/>
              <w:bottom w:w="105" w:type="dxa"/>
              <w:right w:w="150" w:type="dxa"/>
            </w:tcMar>
            <w:vAlign w:val="top"/>
          </w:tcPr>
          <w:p w14:paraId="3939F574">
            <w:pPr>
              <w:pageBreakBefore w:val="0"/>
              <w:widowControl/>
              <w:numPr>
                <w:ilvl w:val="0"/>
                <w:numId w:val="2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在门诊药嘱用药时，支持特定药品的用药疗程的管控，限制医生仅能在规定疗程内进行开药；</w:t>
            </w:r>
          </w:p>
          <w:p w14:paraId="252D519A">
            <w:pPr>
              <w:pageBreakBefore w:val="0"/>
              <w:widowControl/>
              <w:numPr>
                <w:ilvl w:val="0"/>
                <w:numId w:val="2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在住院医嘱用药时，支持按在用药品配置药品累计使用最大天数的管控；</w:t>
            </w:r>
          </w:p>
          <w:p w14:paraId="6BC77E1F">
            <w:pPr>
              <w:pageBreakBefore w:val="0"/>
              <w:widowControl/>
              <w:numPr>
                <w:ilvl w:val="0"/>
                <w:numId w:val="2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触发审查时，超出用药天数的限制，给予医生提醒；</w:t>
            </w:r>
          </w:p>
        </w:tc>
      </w:tr>
      <w:tr w14:paraId="1E78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6ACF39E9">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相互作用的审查</w:t>
            </w:r>
          </w:p>
        </w:tc>
        <w:tc>
          <w:tcPr>
            <w:tcW w:w="4064" w:type="pct"/>
            <w:shd w:val="clear" w:color="auto" w:fill="FFFFFF"/>
            <w:noWrap w:val="0"/>
            <w:tcMar>
              <w:top w:w="105" w:type="dxa"/>
              <w:left w:w="150" w:type="dxa"/>
              <w:bottom w:w="105" w:type="dxa"/>
              <w:right w:w="150" w:type="dxa"/>
            </w:tcMar>
            <w:vAlign w:val="top"/>
          </w:tcPr>
          <w:p w14:paraId="47BF9EF6">
            <w:pPr>
              <w:pageBreakBefore w:val="0"/>
              <w:widowControl/>
              <w:numPr>
                <w:ilvl w:val="0"/>
                <w:numId w:val="2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结合病人的具体情况【如：诊断、检验值、合用药品（剂量、频率、给药途径）】等信息，实现可根据不同药品名称在实际用药中是否存在不良相互作用的精准审查；</w:t>
            </w:r>
          </w:p>
          <w:p w14:paraId="72F690D7">
            <w:pPr>
              <w:pageBreakBefore w:val="0"/>
              <w:widowControl/>
              <w:numPr>
                <w:ilvl w:val="0"/>
                <w:numId w:val="2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实现含有乙醇的药品与特定药物不良相互作用的审查，提示可能存在双硫仑样反应；</w:t>
            </w:r>
          </w:p>
          <w:p w14:paraId="5919FA33">
            <w:pPr>
              <w:pageBreakBefore w:val="0"/>
              <w:widowControl/>
              <w:numPr>
                <w:ilvl w:val="0"/>
                <w:numId w:val="2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含有2个或2个以上乌头碱的中成药（如：虎力散制剂、强力天麻杜仲制剂、祛风止痛制剂、尪痹制剂、复方夏天无片等）进行相互作用的审查，提示可能存在毒性反应；</w:t>
            </w:r>
          </w:p>
          <w:p w14:paraId="1CCDD808">
            <w:pPr>
              <w:pageBreakBefore w:val="0"/>
              <w:widowControl/>
              <w:numPr>
                <w:ilvl w:val="0"/>
                <w:numId w:val="2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实现治疗感冒的中成药与滋补性中成药的审查，可能存在不良相互作用。</w:t>
            </w:r>
          </w:p>
        </w:tc>
      </w:tr>
      <w:tr w14:paraId="7855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D62AD49">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重复用药的审查（重复开具、重复治疗）</w:t>
            </w:r>
          </w:p>
        </w:tc>
        <w:tc>
          <w:tcPr>
            <w:tcW w:w="4064" w:type="pct"/>
            <w:shd w:val="clear" w:color="auto" w:fill="FFFFFF"/>
            <w:noWrap w:val="0"/>
            <w:tcMar>
              <w:top w:w="105" w:type="dxa"/>
              <w:left w:w="150" w:type="dxa"/>
              <w:bottom w:w="105" w:type="dxa"/>
              <w:right w:w="150" w:type="dxa"/>
            </w:tcMar>
            <w:vAlign w:val="top"/>
          </w:tcPr>
          <w:p w14:paraId="48FCABB1">
            <w:pPr>
              <w:pageBreakBefore w:val="0"/>
              <w:widowControl/>
              <w:numPr>
                <w:ilvl w:val="0"/>
                <w:numId w:val="25"/>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可根据不同药品名称、或药品成分在实际用药中重复治疗的审查，重复治疗审查提示处方/医嘱中的两个或多个药品（带给药途径）同属某个药物治疗分类（即具有同一种治疗目的），可能存在重复用药的问题（已覆盖西药与西药、中成药与西药的重复用药）；</w:t>
            </w:r>
          </w:p>
          <w:p w14:paraId="5030FCDF">
            <w:pPr>
              <w:pageBreakBefore w:val="0"/>
              <w:widowControl/>
              <w:numPr>
                <w:ilvl w:val="0"/>
                <w:numId w:val="25"/>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实现病人用药处方/医嘱中的同一个全身给药的药品（排除溶媒等药品）重复开具的审查。</w:t>
            </w:r>
          </w:p>
        </w:tc>
      </w:tr>
      <w:tr w14:paraId="1B89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12234188">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药品成分剂量</w:t>
            </w:r>
            <w:r>
              <w:rPr>
                <w:rFonts w:hint="eastAsia" w:ascii="宋体" w:hAnsi="宋体" w:eastAsia="宋体" w:cs="宋体"/>
                <w:color w:val="000000"/>
                <w:sz w:val="24"/>
                <w:szCs w:val="24"/>
                <w:highlight w:val="none"/>
                <w:lang w:val="en-US" w:eastAsia="zh-CN"/>
              </w:rPr>
              <w:t>审查</w:t>
            </w:r>
          </w:p>
        </w:tc>
        <w:tc>
          <w:tcPr>
            <w:tcW w:w="4064" w:type="pct"/>
            <w:shd w:val="clear" w:color="auto" w:fill="FFFFFF"/>
            <w:noWrap w:val="0"/>
            <w:tcMar>
              <w:top w:w="105" w:type="dxa"/>
              <w:left w:w="150" w:type="dxa"/>
              <w:bottom w:w="105" w:type="dxa"/>
              <w:right w:w="150" w:type="dxa"/>
            </w:tcMar>
            <w:vAlign w:val="top"/>
          </w:tcPr>
          <w:p w14:paraId="5080FBD8">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肿瘤用药和心血管系统</w:t>
            </w:r>
            <w:r>
              <w:rPr>
                <w:rFonts w:hint="eastAsia" w:ascii="宋体" w:hAnsi="宋体" w:eastAsia="宋体" w:cs="宋体"/>
                <w:color w:val="000000"/>
                <w:sz w:val="24"/>
                <w:szCs w:val="24"/>
                <w:highlight w:val="none"/>
                <w:lang w:val="en-US" w:eastAsia="zh-CN"/>
              </w:rPr>
              <w:t>用药</w:t>
            </w:r>
            <w:r>
              <w:rPr>
                <w:rFonts w:hint="eastAsia" w:ascii="宋体" w:hAnsi="宋体" w:eastAsia="宋体" w:cs="宋体"/>
                <w:color w:val="000000"/>
                <w:sz w:val="24"/>
                <w:szCs w:val="24"/>
                <w:highlight w:val="none"/>
              </w:rPr>
              <w:t>复方制剂，按其成分进行剂量的合并计算，实现同药品成分累计剂量、累计日剂量的审查；</w:t>
            </w:r>
          </w:p>
        </w:tc>
      </w:tr>
      <w:tr w14:paraId="2207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4A8FFE5">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配伍的审查</w:t>
            </w:r>
          </w:p>
        </w:tc>
        <w:tc>
          <w:tcPr>
            <w:tcW w:w="4064" w:type="pct"/>
            <w:shd w:val="clear" w:color="auto" w:fill="FFFFFF"/>
            <w:noWrap w:val="0"/>
            <w:tcMar>
              <w:top w:w="105" w:type="dxa"/>
              <w:left w:w="150" w:type="dxa"/>
              <w:bottom w:w="105" w:type="dxa"/>
              <w:right w:w="150" w:type="dxa"/>
            </w:tcMar>
            <w:vAlign w:val="top"/>
          </w:tcPr>
          <w:p w14:paraId="776A0F1D">
            <w:pPr>
              <w:pageBreakBefore w:val="0"/>
              <w:widowControl/>
              <w:numPr>
                <w:ilvl w:val="0"/>
                <w:numId w:val="2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实现注射剂在开具时，实现配伍审查，提示同组药嘱中是否存在溶媒用量、溶媒选择、稀释（小容量注射剂）、配伍、及钾离子浓度不合理的问题；</w:t>
            </w:r>
          </w:p>
          <w:p w14:paraId="75601E6E">
            <w:pPr>
              <w:pageBreakBefore w:val="0"/>
              <w:widowControl/>
              <w:numPr>
                <w:ilvl w:val="0"/>
                <w:numId w:val="2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实现《400种中西药注射剂临床配伍应用检索表》、《459种中西药注射剂临床配伍应用检索表》的应用；</w:t>
            </w:r>
          </w:p>
          <w:p w14:paraId="138E3DAB">
            <w:pPr>
              <w:pageBreakBefore w:val="0"/>
              <w:widowControl/>
              <w:numPr>
                <w:ilvl w:val="0"/>
                <w:numId w:val="26"/>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对于必须先用注射用水稀释的注射剂，实现其同组药嘱中是否添加注射用水的审查。</w:t>
            </w:r>
          </w:p>
        </w:tc>
      </w:tr>
      <w:tr w14:paraId="1D34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0A5BE9F">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支持长期医嘱和临时医嘱的单次剂量的分别审查</w:t>
            </w:r>
          </w:p>
        </w:tc>
        <w:tc>
          <w:tcPr>
            <w:tcW w:w="4064" w:type="pct"/>
            <w:shd w:val="clear" w:color="auto" w:fill="FFFFFF"/>
            <w:noWrap w:val="0"/>
            <w:tcMar>
              <w:top w:w="105" w:type="dxa"/>
              <w:left w:w="150" w:type="dxa"/>
              <w:bottom w:w="105" w:type="dxa"/>
              <w:right w:w="150" w:type="dxa"/>
            </w:tcMar>
            <w:vAlign w:val="top"/>
          </w:tcPr>
          <w:p w14:paraId="6C2C255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、系统支持根据患者年龄、性别、体重、体表面积、孕产、诊断、各项检验指标对药品给药频率、给药时机进行合理性审查；</w:t>
            </w:r>
          </w:p>
          <w:p w14:paraId="33BB741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、实现儿童剂量多维度审查，儿童剂量符合参考标准中年龄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体重</w:t>
            </w:r>
            <w:r>
              <w:rPr>
                <w:rFonts w:hint="eastAsia" w:ascii="宋体" w:hAnsi="宋体" w:eastAsia="宋体" w:cs="宋体"/>
                <w:color w:val="000000"/>
                <w:sz w:val="24"/>
                <w:szCs w:val="24"/>
                <w:highlight w:val="none"/>
                <w:lang w:val="en-US" w:eastAsia="zh-CN"/>
              </w:rPr>
              <w:t>和体表面积</w:t>
            </w:r>
            <w:r>
              <w:rPr>
                <w:rFonts w:hint="eastAsia" w:ascii="宋体" w:hAnsi="宋体" w:eastAsia="宋体" w:cs="宋体"/>
                <w:sz w:val="24"/>
                <w:szCs w:val="24"/>
                <w:highlight w:val="none"/>
              </w:rPr>
              <w:t>任一条件，均判断为合理的剂量；</w:t>
            </w:r>
          </w:p>
          <w:p w14:paraId="56853BA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、实现缓释片、控释片、肠溶片等对分剂量服用有特定要求的药品，其每次给药剂量是否为合理的可分剂量的审查；</w:t>
            </w:r>
          </w:p>
          <w:p w14:paraId="7D178B99">
            <w:pPr>
              <w:widowControl w:val="0"/>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实现校正剂量（需覆盖除肿瘤药品外的口服药品）的审查，通过对涉及体重、体表面积计算出的非整数剂量的校正，提高审查准确率（如某药品根据体重、体表面积计算出患者应使用0.98片，而医生实际开具1片，判断为合理的剂量）；</w:t>
            </w:r>
          </w:p>
        </w:tc>
      </w:tr>
      <w:tr w14:paraId="2B93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9A80D4C">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特殊人群用药审查</w:t>
            </w:r>
          </w:p>
        </w:tc>
        <w:tc>
          <w:tcPr>
            <w:tcW w:w="4064" w:type="pct"/>
            <w:shd w:val="clear" w:color="auto" w:fill="FFFFFF"/>
            <w:noWrap w:val="0"/>
            <w:tcMar>
              <w:top w:w="105" w:type="dxa"/>
              <w:left w:w="150" w:type="dxa"/>
              <w:bottom w:w="105" w:type="dxa"/>
              <w:right w:w="150" w:type="dxa"/>
            </w:tcMar>
            <w:vAlign w:val="top"/>
          </w:tcPr>
          <w:p w14:paraId="78FB3F2B">
            <w:pPr>
              <w:pageBreakBefore w:val="0"/>
              <w:widowControl/>
              <w:numPr>
                <w:ilvl w:val="0"/>
                <w:numId w:val="2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实现用药处方/医嘱中是否存在特殊人群（妊娠期妇女、哺乳期妇女、老年人、儿童等）中的禁用及慎用的药品；</w:t>
            </w:r>
          </w:p>
          <w:p w14:paraId="4862F107">
            <w:pPr>
              <w:pageBreakBefore w:val="0"/>
              <w:widowControl/>
              <w:numPr>
                <w:ilvl w:val="0"/>
                <w:numId w:val="2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根据患者传入的相关数据计算得出患者CTP评分、诊断，审查肝</w:t>
            </w:r>
            <w:r>
              <w:rPr>
                <w:rFonts w:hint="eastAsia" w:ascii="宋体" w:hAnsi="宋体" w:eastAsia="宋体" w:cs="宋体"/>
                <w:color w:val="000000"/>
                <w:sz w:val="24"/>
                <w:szCs w:val="24"/>
                <w:highlight w:val="none"/>
                <w:lang w:val="en-US" w:eastAsia="zh-CN"/>
              </w:rPr>
              <w:t>功能不全患者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肾</w:t>
            </w:r>
            <w:r>
              <w:rPr>
                <w:rFonts w:hint="eastAsia" w:ascii="宋体" w:hAnsi="宋体" w:eastAsia="宋体" w:cs="宋体"/>
                <w:color w:val="000000"/>
                <w:sz w:val="24"/>
                <w:szCs w:val="24"/>
                <w:highlight w:val="none"/>
              </w:rPr>
              <w:t>功能不全患者是否存在禁用和慎用的药品；</w:t>
            </w:r>
          </w:p>
          <w:p w14:paraId="7FC57BAF">
            <w:pPr>
              <w:pageBreakBefore w:val="0"/>
              <w:widowControl/>
              <w:numPr>
                <w:ilvl w:val="0"/>
                <w:numId w:val="27"/>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通过结合病人的诊断、eGFR指标值（可选择公式：Cockcroft-Gault 公式和CKD-EPI 公式）、是否透析状态等指标，判断患者肾功能状态，审查肾功能不全患者是否存在禁用和慎用的药品。</w:t>
            </w:r>
          </w:p>
        </w:tc>
      </w:tr>
      <w:tr w14:paraId="4FB5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4952DB71">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过敏的审查</w:t>
            </w:r>
          </w:p>
        </w:tc>
        <w:tc>
          <w:tcPr>
            <w:tcW w:w="4064" w:type="pct"/>
            <w:shd w:val="clear" w:color="auto" w:fill="FFFFFF"/>
            <w:noWrap w:val="0"/>
            <w:tcMar>
              <w:top w:w="105" w:type="dxa"/>
              <w:left w:w="150" w:type="dxa"/>
              <w:bottom w:w="105" w:type="dxa"/>
              <w:right w:w="150" w:type="dxa"/>
            </w:tcMar>
            <w:vAlign w:val="top"/>
          </w:tcPr>
          <w:p w14:paraId="0D540D45">
            <w:pPr>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在获取病人既往过敏原或过敏类信息的基础上，提示病人用药处方中是否存在与病人既往过敏药品、食物相关的、可能导致类似过敏反应的药品</w:t>
            </w:r>
            <w:r>
              <w:rPr>
                <w:rFonts w:hint="eastAsia" w:ascii="宋体" w:hAnsi="宋体" w:eastAsia="宋体" w:cs="宋体"/>
                <w:color w:val="000000"/>
                <w:sz w:val="24"/>
                <w:szCs w:val="24"/>
                <w:highlight w:val="none"/>
                <w:lang w:eastAsia="zh-CN"/>
              </w:rPr>
              <w:t>。</w:t>
            </w:r>
          </w:p>
        </w:tc>
      </w:tr>
      <w:tr w14:paraId="173B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2504CEF4">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★不良反应提醒</w:t>
            </w:r>
          </w:p>
        </w:tc>
        <w:tc>
          <w:tcPr>
            <w:tcW w:w="4064" w:type="pct"/>
            <w:shd w:val="clear" w:color="auto" w:fill="FFFFFF"/>
            <w:noWrap w:val="0"/>
            <w:tcMar>
              <w:top w:w="105" w:type="dxa"/>
              <w:left w:w="150" w:type="dxa"/>
              <w:bottom w:w="105" w:type="dxa"/>
              <w:right w:w="150" w:type="dxa"/>
            </w:tcMar>
            <w:vAlign w:val="top"/>
          </w:tcPr>
          <w:p w14:paraId="021C552D">
            <w:pPr>
              <w:pageBreakBefore w:val="0"/>
              <w:widowControl/>
              <w:numPr>
                <w:ilvl w:val="0"/>
                <w:numId w:val="28"/>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根据国家药品监督管理局发布的不良反应信息通报，提醒医生在使用相关药品时需要注意的问题。</w:t>
            </w:r>
          </w:p>
          <w:p w14:paraId="7E4C5E1C">
            <w:pPr>
              <w:pageBreakBefore w:val="0"/>
              <w:widowControl/>
              <w:numPr>
                <w:ilvl w:val="0"/>
                <w:numId w:val="28"/>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用药前的检査及检验、警示弹框</w:t>
            </w:r>
            <w:r>
              <w:rPr>
                <w:rFonts w:hint="eastAsia" w:ascii="宋体" w:hAnsi="宋体" w:eastAsia="宋体" w:cs="宋体"/>
                <w:color w:val="000000"/>
                <w:sz w:val="24"/>
                <w:szCs w:val="24"/>
                <w:highlight w:val="none"/>
                <w:lang w:eastAsia="zh-CN"/>
              </w:rPr>
              <w:t>。</w:t>
            </w:r>
          </w:p>
        </w:tc>
      </w:tr>
      <w:tr w14:paraId="4A5C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80291EA">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其他提醒</w:t>
            </w:r>
          </w:p>
        </w:tc>
        <w:tc>
          <w:tcPr>
            <w:tcW w:w="4064" w:type="pct"/>
            <w:shd w:val="clear" w:color="auto" w:fill="FFFFFF"/>
            <w:noWrap w:val="0"/>
            <w:tcMar>
              <w:top w:w="105" w:type="dxa"/>
              <w:left w:w="150" w:type="dxa"/>
              <w:bottom w:w="105" w:type="dxa"/>
              <w:right w:w="150" w:type="dxa"/>
            </w:tcMar>
            <w:vAlign w:val="top"/>
          </w:tcPr>
          <w:p w14:paraId="4944F95C">
            <w:pPr>
              <w:pageBreakBefore w:val="0"/>
              <w:widowControl/>
              <w:numPr>
                <w:ilvl w:val="0"/>
                <w:numId w:val="29"/>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处方/医嘱中肿瘤注射药品需要避光输注、冲管的，提醒医生用药需要注意该问题；</w:t>
            </w:r>
          </w:p>
          <w:p w14:paraId="219D2FAC">
            <w:pPr>
              <w:pageBreakBefore w:val="0"/>
              <w:widowControl/>
              <w:numPr>
                <w:ilvl w:val="0"/>
                <w:numId w:val="29"/>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处方/医嘱中肿瘤注射药品有特殊的滴速、输注速度，告知医生其适宜的滴速、输注速度。</w:t>
            </w:r>
          </w:p>
          <w:p w14:paraId="52A3C27D">
            <w:pPr>
              <w:pageBreakBefore w:val="0"/>
              <w:widowControl/>
              <w:kinsoku/>
              <w:wordWrap/>
              <w:overflowPunct/>
              <w:topLinePunct w:val="0"/>
              <w:autoSpaceDE/>
              <w:autoSpaceDN/>
              <w:bidi w:val="0"/>
              <w:adjustRightInd/>
              <w:snapToGrid/>
              <w:spacing w:before="15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备注：在某类药品上直接编辑提示规则，不论医生对药品的使用正确与否，均给予提示。</w:t>
            </w:r>
          </w:p>
        </w:tc>
      </w:tr>
      <w:tr w14:paraId="5FA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5852E90B">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中药饮片的审查</w:t>
            </w:r>
          </w:p>
        </w:tc>
        <w:tc>
          <w:tcPr>
            <w:tcW w:w="4064" w:type="pct"/>
            <w:shd w:val="clear" w:color="auto" w:fill="FFFFFF"/>
            <w:noWrap w:val="0"/>
            <w:tcMar>
              <w:top w:w="105" w:type="dxa"/>
              <w:left w:w="150" w:type="dxa"/>
              <w:bottom w:w="105" w:type="dxa"/>
              <w:right w:w="150" w:type="dxa"/>
            </w:tcMar>
            <w:vAlign w:val="top"/>
          </w:tcPr>
          <w:p w14:paraId="1739AA74">
            <w:pPr>
              <w:pageBreakBefore w:val="0"/>
              <w:widowControl/>
              <w:numPr>
                <w:ilvl w:val="0"/>
                <w:numId w:val="3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实现饮片十八反、十九畏的配伍管控；</w:t>
            </w:r>
          </w:p>
          <w:p w14:paraId="06A8FB57">
            <w:pPr>
              <w:pageBreakBefore w:val="0"/>
              <w:widowControl/>
              <w:numPr>
                <w:ilvl w:val="0"/>
                <w:numId w:val="3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审查毒性饮片用药剂量是否超过药典推荐的剂量上限范围；</w:t>
            </w:r>
          </w:p>
          <w:p w14:paraId="66FC99BE">
            <w:pPr>
              <w:pageBreakBefore w:val="0"/>
              <w:widowControl/>
              <w:numPr>
                <w:ilvl w:val="0"/>
                <w:numId w:val="3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审查是否存在药典规定的孕期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儿童及老年等特殊人群禁止使用的饮片；</w:t>
            </w:r>
          </w:p>
          <w:p w14:paraId="6936CBAB">
            <w:pPr>
              <w:pageBreakBefore w:val="0"/>
              <w:widowControl/>
              <w:numPr>
                <w:ilvl w:val="0"/>
                <w:numId w:val="3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审查外用饮片与药典不匹配的给药途径。</w:t>
            </w:r>
          </w:p>
          <w:p w14:paraId="7407F9C5">
            <w:pPr>
              <w:pageBreakBefore w:val="0"/>
              <w:widowControl/>
              <w:numPr>
                <w:ilvl w:val="0"/>
                <w:numId w:val="30"/>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高值中药饮片使用合理性审查</w:t>
            </w:r>
            <w:r>
              <w:rPr>
                <w:rFonts w:hint="eastAsia" w:ascii="宋体" w:hAnsi="宋体" w:eastAsia="宋体" w:cs="宋体"/>
                <w:color w:val="000000"/>
                <w:sz w:val="24"/>
                <w:szCs w:val="24"/>
                <w:highlight w:val="none"/>
                <w:lang w:eastAsia="zh-CN"/>
              </w:rPr>
              <w:t>。</w:t>
            </w:r>
          </w:p>
        </w:tc>
      </w:tr>
      <w:tr w14:paraId="5773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center"/>
          </w:tcPr>
          <w:p w14:paraId="3550F091">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审查提示屏蔽功能</w:t>
            </w:r>
          </w:p>
        </w:tc>
        <w:tc>
          <w:tcPr>
            <w:tcW w:w="4064" w:type="pct"/>
            <w:shd w:val="clear" w:color="auto" w:fill="FFFFFF"/>
            <w:noWrap w:val="0"/>
            <w:tcMar>
              <w:top w:w="105" w:type="dxa"/>
              <w:left w:w="150" w:type="dxa"/>
              <w:bottom w:w="105" w:type="dxa"/>
              <w:right w:w="150" w:type="dxa"/>
            </w:tcMar>
            <w:vAlign w:val="top"/>
          </w:tcPr>
          <w:p w14:paraId="462C92BF">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0EB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7FC38198">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抗菌药物管理</w:t>
            </w:r>
          </w:p>
        </w:tc>
        <w:tc>
          <w:tcPr>
            <w:tcW w:w="4064" w:type="pct"/>
            <w:shd w:val="clear" w:color="auto" w:fill="FFFFFF"/>
            <w:noWrap w:val="0"/>
            <w:tcMar>
              <w:top w:w="105" w:type="dxa"/>
              <w:left w:w="150" w:type="dxa"/>
              <w:bottom w:w="105" w:type="dxa"/>
              <w:right w:w="150" w:type="dxa"/>
            </w:tcMar>
            <w:vAlign w:val="top"/>
          </w:tcPr>
          <w:p w14:paraId="6831469E">
            <w:pPr>
              <w:pageBreakBefore w:val="0"/>
              <w:widowControl/>
              <w:numPr>
                <w:ilvl w:val="0"/>
                <w:numId w:val="3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提供规则模板，可按《抗菌药物临床应用指导原则(20</w:t>
            </w:r>
            <w:r>
              <w:rPr>
                <w:rFonts w:hint="eastAsia" w:ascii="宋体" w:hAnsi="宋体" w:eastAsia="宋体" w:cs="宋体"/>
                <w:color w:val="000000"/>
                <w:sz w:val="24"/>
                <w:szCs w:val="24"/>
                <w:highlight w:val="none"/>
                <w:lang w:val="en-US"/>
              </w:rPr>
              <w:t>23</w:t>
            </w:r>
            <w:r>
              <w:rPr>
                <w:rFonts w:hint="eastAsia" w:ascii="宋体" w:hAnsi="宋体" w:eastAsia="宋体" w:cs="宋体"/>
                <w:color w:val="000000"/>
                <w:sz w:val="24"/>
                <w:szCs w:val="24"/>
                <w:highlight w:val="none"/>
              </w:rPr>
              <w:t>年版)》实现抗菌药物越权用药的管控；</w:t>
            </w:r>
          </w:p>
          <w:p w14:paraId="126B8AD3">
            <w:pPr>
              <w:pageBreakBefore w:val="0"/>
              <w:widowControl/>
              <w:numPr>
                <w:ilvl w:val="0"/>
                <w:numId w:val="3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实现处方/医嘱中是否存在作用机制相同药品重复应用的审查（同重复用药）。</w:t>
            </w:r>
          </w:p>
          <w:p w14:paraId="58BCCCB7">
            <w:pPr>
              <w:pageBreakBefore w:val="0"/>
              <w:widowControl/>
              <w:numPr>
                <w:ilvl w:val="0"/>
                <w:numId w:val="3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医生开具预防用抗菌药物时，需填写用药评估单，评估单区分非手术预防用药和手术预防用药。</w:t>
            </w:r>
          </w:p>
          <w:p w14:paraId="59AE3D84">
            <w:pPr>
              <w:pageBreakBefore w:val="0"/>
              <w:widowControl/>
              <w:numPr>
                <w:ilvl w:val="0"/>
                <w:numId w:val="3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医生开具预防性抗菌药物应根据手术切口类型进行用药分类。</w:t>
            </w:r>
          </w:p>
          <w:p w14:paraId="2CB2ABAC">
            <w:pPr>
              <w:pageBreakBefore w:val="0"/>
              <w:widowControl/>
              <w:numPr>
                <w:ilvl w:val="0"/>
                <w:numId w:val="31"/>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系统提供抗菌药物用药指征审查。医生开具抗菌药物必须有用药指征，否则系统将予以警示。</w:t>
            </w:r>
          </w:p>
        </w:tc>
      </w:tr>
      <w:tr w14:paraId="56B0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4B038831">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精、麻、毒、放、高危等药品的审查</w:t>
            </w:r>
          </w:p>
        </w:tc>
        <w:tc>
          <w:tcPr>
            <w:tcW w:w="4064" w:type="pct"/>
            <w:shd w:val="clear" w:color="auto" w:fill="FFFFFF"/>
            <w:noWrap w:val="0"/>
            <w:tcMar>
              <w:top w:w="105" w:type="dxa"/>
              <w:left w:w="150" w:type="dxa"/>
              <w:bottom w:w="105" w:type="dxa"/>
              <w:right w:w="150" w:type="dxa"/>
            </w:tcMar>
            <w:vAlign w:val="top"/>
          </w:tcPr>
          <w:p w14:paraId="0AD665D0">
            <w:pPr>
              <w:pageBreakBefore w:val="0"/>
              <w:widowControl/>
              <w:numPr>
                <w:ilvl w:val="0"/>
                <w:numId w:val="3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对已上市精、麻、毒、放、高危药品，维护精神药品、麻醉药品、毒性药品、放射性药品、高危药品的属性标志，用户可采用属性进行规则自定义，实现相关药品的管控；</w:t>
            </w:r>
          </w:p>
          <w:p w14:paraId="1984163C">
            <w:pPr>
              <w:pageBreakBefore w:val="0"/>
              <w:widowControl/>
              <w:numPr>
                <w:ilvl w:val="0"/>
                <w:numId w:val="3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提供一类、二类精神药品管控规则模板，可按《处方管理办法》实现用药疗程天数管控；</w:t>
            </w:r>
          </w:p>
          <w:p w14:paraId="7AEE274D">
            <w:pPr>
              <w:pageBreakBefore w:val="0"/>
              <w:widowControl/>
              <w:numPr>
                <w:ilvl w:val="0"/>
                <w:numId w:val="3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提供麻醉药品提供管控规则模板，可按《处方管理办法》实现用药疗程天数的管控；</w:t>
            </w:r>
          </w:p>
          <w:p w14:paraId="6B715BC7">
            <w:pPr>
              <w:pageBreakBefore w:val="0"/>
              <w:widowControl/>
              <w:numPr>
                <w:ilvl w:val="0"/>
                <w:numId w:val="32"/>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对于麻醉药品缓控释制剂（如芬太尼贴剂、硫酸吗啡控释片、盐酸羟考酮缓释片、盐酸羟考酮控释片等），实现不同品种药品重复使用的审查。</w:t>
            </w:r>
          </w:p>
        </w:tc>
      </w:tr>
      <w:tr w14:paraId="6E66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47FB2041">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自定义合理性审查规则</w:t>
            </w:r>
          </w:p>
        </w:tc>
        <w:tc>
          <w:tcPr>
            <w:tcW w:w="4064" w:type="pct"/>
            <w:shd w:val="clear" w:color="auto" w:fill="FFFFFF"/>
            <w:noWrap w:val="0"/>
            <w:tcMar>
              <w:top w:w="105" w:type="dxa"/>
              <w:left w:w="150" w:type="dxa"/>
              <w:bottom w:w="105" w:type="dxa"/>
              <w:right w:w="150" w:type="dxa"/>
            </w:tcMar>
            <w:vAlign w:val="top"/>
          </w:tcPr>
          <w:p w14:paraId="3AF9AB07">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规则审核后立即生效（不需要重启服务器）；</w:t>
            </w:r>
          </w:p>
          <w:p w14:paraId="471C6804">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提供至少1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0个判断条件，支持用户自定义编辑复杂规则判断，使药品的使用更加符合用户的实际用药情况；</w:t>
            </w:r>
          </w:p>
          <w:p w14:paraId="62A66FF5">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提供至少40个代表药品特点的属性（如单胺氧化酶抑制剂、磺胺结构类药品），支持用户在自定义规则中使用；</w:t>
            </w:r>
          </w:p>
          <w:p w14:paraId="661692D6">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支持用户自定义规则，可实现对q8h，q12h，q6h等特殊给药频率合理性的审查；</w:t>
            </w:r>
          </w:p>
          <w:p w14:paraId="0F17B5EC">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提供至少60个条件（如检验指标肌酐）的“为空”判断（即未获得病人的该类信息），支持用户在自定义规则中使用，避免审查时存在缺陷；</w:t>
            </w:r>
          </w:p>
          <w:p w14:paraId="5CC8451F">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提供中药颗粒目录，支持用户自定义规则，可以进行相应的管控；</w:t>
            </w:r>
          </w:p>
          <w:p w14:paraId="048C81B8">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在自定义药品规则时，采用病人特征字典表达病人疾病情况。系统提供至少2500个病人特征及其定义的规则，其规则可采用诊断、检验、手术等信息进行定义，已可基本满足已上市药品合理性审查（与西医诊断关联）时所需的病人特征；支持用户查看病人特征定义的规则，根据医院不同的管控需求，用户可对系统病人特征定义的规则进行修改或添加新的病人特征并自定义其规则。修改后，使用该病人特征的药品审查规则也会同时调整；并可快速查看该“病人特征”在药品适应症、禁忌症、用法用量、疗程、肝功能、肾功能、孕产等审查规则中的应用，可对规则的正确性进行校验；</w:t>
            </w:r>
          </w:p>
          <w:p w14:paraId="6B8B2461">
            <w:pPr>
              <w:pageBreakBefore w:val="0"/>
              <w:widowControl/>
              <w:numPr>
                <w:ilvl w:val="0"/>
                <w:numId w:val="33"/>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系统支持自定义规则审核后立即生效（不需要重启服务器）；可快速实现处方/医嘱的干预、查询、分析和统计。</w:t>
            </w:r>
          </w:p>
        </w:tc>
      </w:tr>
      <w:tr w14:paraId="28A1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top"/>
          </w:tcPr>
          <w:p w14:paraId="079C75F6">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自定义管理规则</w:t>
            </w:r>
          </w:p>
        </w:tc>
        <w:tc>
          <w:tcPr>
            <w:tcW w:w="4064" w:type="pct"/>
            <w:shd w:val="clear" w:color="auto" w:fill="FFFFFF"/>
            <w:noWrap w:val="0"/>
            <w:tcMar>
              <w:top w:w="105" w:type="dxa"/>
              <w:left w:w="150" w:type="dxa"/>
              <w:bottom w:w="105" w:type="dxa"/>
              <w:right w:w="150" w:type="dxa"/>
            </w:tcMar>
            <w:vAlign w:val="top"/>
          </w:tcPr>
          <w:p w14:paraId="182162A5">
            <w:pPr>
              <w:pageBreakBefore w:val="0"/>
              <w:widowControl/>
              <w:numPr>
                <w:ilvl w:val="0"/>
                <w:numId w:val="3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自定义管理规则，实现对整体用药的管控，包括门、急诊处方药品超多日用量、门诊输液审查（可限定科室、疾病）；药品品种（名称和品种数）、药品发药数量、处方金额、中药饮片帖数、中药饮片味数等（可限定患者病历号、处方时间、科室、来源（门诊、急诊或住院）等；</w:t>
            </w:r>
          </w:p>
          <w:p w14:paraId="2AF224C8">
            <w:pPr>
              <w:pageBreakBefore w:val="0"/>
              <w:widowControl/>
              <w:numPr>
                <w:ilvl w:val="0"/>
                <w:numId w:val="3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支持用户自定义单病种的用药审查，控制“指定疾病的药品”只能在指定疾病下才能使用；</w:t>
            </w:r>
          </w:p>
          <w:p w14:paraId="720A0C74">
            <w:pPr>
              <w:pageBreakBefore w:val="0"/>
              <w:widowControl/>
              <w:numPr>
                <w:ilvl w:val="0"/>
                <w:numId w:val="3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自定义医保结算管控规则，控制“指定疾病的医保药品”在未患该疾病患者使用医保结算的管控；例：肝移植患者使用医保结算来采购只限肾移植患者医保结算的药品时，系统支持非肾移植患者须自费使用的审查。</w:t>
            </w:r>
          </w:p>
          <w:p w14:paraId="5357A5B9">
            <w:pPr>
              <w:pageBreakBefore w:val="0"/>
              <w:widowControl/>
              <w:numPr>
                <w:ilvl w:val="0"/>
                <w:numId w:val="3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协定方专项管控</w:t>
            </w:r>
            <w:r>
              <w:rPr>
                <w:rFonts w:hint="eastAsia" w:ascii="宋体" w:hAnsi="宋体" w:eastAsia="宋体" w:cs="宋体"/>
                <w:color w:val="auto"/>
                <w:sz w:val="24"/>
                <w:szCs w:val="24"/>
                <w:highlight w:val="none"/>
                <w:lang w:val="en-US"/>
              </w:rPr>
              <w:t>:</w:t>
            </w:r>
            <w:r>
              <w:rPr>
                <w:rFonts w:hint="eastAsia" w:ascii="宋体" w:hAnsi="宋体" w:eastAsia="宋体" w:cs="宋体"/>
                <w:b w:val="0"/>
                <w:bCs w:val="0"/>
                <w:color w:val="auto"/>
                <w:sz w:val="24"/>
                <w:szCs w:val="24"/>
                <w:highlight w:val="none"/>
              </w:rPr>
              <w:t>系统提供医院中药协定方证型适宜性审查。</w:t>
            </w:r>
          </w:p>
          <w:p w14:paraId="11B1D966">
            <w:pPr>
              <w:pageBreakBefore w:val="0"/>
              <w:widowControl/>
              <w:numPr>
                <w:ilvl w:val="0"/>
                <w:numId w:val="34"/>
              </w:numPr>
              <w:kinsoku/>
              <w:wordWrap/>
              <w:overflowPunct/>
              <w:topLinePunct w:val="0"/>
              <w:autoSpaceDE/>
              <w:autoSpaceDN/>
              <w:bidi w:val="0"/>
              <w:adjustRightInd/>
              <w:snapToGrid/>
              <w:spacing w:before="100" w:beforeAutospacing="1" w:after="100" w:afterAutospacing="1"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质子泵抑制药专项管控</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、医</w:t>
            </w:r>
            <w:r>
              <w:rPr>
                <w:rFonts w:hint="eastAsia" w:ascii="宋体" w:hAnsi="宋体" w:eastAsia="宋体" w:cs="宋体"/>
                <w:b w:val="0"/>
                <w:color w:val="auto"/>
                <w:sz w:val="24"/>
                <w:szCs w:val="24"/>
                <w:highlight w:val="none"/>
              </w:rPr>
              <w:t>生开具质子泵抑制剂药品时，需填写用药评估单。提供评估单专项统计分析。</w:t>
            </w:r>
            <w:r>
              <w:rPr>
                <w:rFonts w:hint="eastAsia" w:ascii="宋体" w:hAnsi="宋体" w:eastAsia="宋体" w:cs="宋体"/>
                <w:b w:val="0"/>
                <w:color w:val="auto"/>
                <w:sz w:val="24"/>
                <w:szCs w:val="24"/>
                <w:highlight w:val="none"/>
                <w:lang w:val="en-US"/>
              </w:rPr>
              <w:t>2</w:t>
            </w:r>
            <w:r>
              <w:rPr>
                <w:rFonts w:hint="eastAsia" w:ascii="宋体" w:hAnsi="宋体" w:eastAsia="宋体" w:cs="宋体"/>
                <w:b w:val="0"/>
                <w:color w:val="auto"/>
                <w:sz w:val="24"/>
                <w:szCs w:val="24"/>
                <w:highlight w:val="none"/>
                <w:lang w:val="en-US" w:eastAsia="zh-CN"/>
              </w:rPr>
              <w:t>、系</w:t>
            </w:r>
            <w:r>
              <w:rPr>
                <w:rFonts w:hint="eastAsia" w:ascii="宋体" w:hAnsi="宋体" w:eastAsia="宋体" w:cs="宋体"/>
                <w:b w:val="0"/>
                <w:color w:val="auto"/>
                <w:sz w:val="24"/>
                <w:szCs w:val="24"/>
                <w:highlight w:val="none"/>
              </w:rPr>
              <w:t>统可评估患者病生状态，若存在应激性溃疡风险，提供质子泵抑制剂用药建议。</w:t>
            </w:r>
            <w:r>
              <w:rPr>
                <w:rFonts w:hint="eastAsia" w:ascii="宋体" w:hAnsi="宋体" w:eastAsia="宋体" w:cs="宋体"/>
                <w:b w:val="0"/>
                <w:color w:val="auto"/>
                <w:sz w:val="24"/>
                <w:szCs w:val="24"/>
                <w:highlight w:val="none"/>
                <w:lang w:val="en-US"/>
              </w:rPr>
              <w:t>3</w:t>
            </w:r>
            <w:r>
              <w:rPr>
                <w:rFonts w:hint="eastAsia" w:ascii="宋体" w:hAnsi="宋体" w:eastAsia="宋体" w:cs="宋体"/>
                <w:b w:val="0"/>
                <w:color w:val="auto"/>
                <w:sz w:val="24"/>
                <w:szCs w:val="24"/>
                <w:highlight w:val="none"/>
                <w:lang w:val="en-US" w:eastAsia="zh-CN"/>
              </w:rPr>
              <w:t>、围术期</w:t>
            </w:r>
            <w:r>
              <w:rPr>
                <w:rFonts w:hint="eastAsia" w:ascii="宋体" w:hAnsi="宋体" w:eastAsia="宋体" w:cs="宋体"/>
                <w:b w:val="0"/>
                <w:color w:val="auto"/>
                <w:sz w:val="24"/>
                <w:szCs w:val="24"/>
                <w:highlight w:val="none"/>
              </w:rPr>
              <w:t>不合理使用质子泵抑制剂时，系统可警示医生。</w:t>
            </w:r>
            <w:r>
              <w:rPr>
                <w:rFonts w:hint="eastAsia" w:ascii="宋体" w:hAnsi="宋体" w:eastAsia="宋体" w:cs="宋体"/>
                <w:b w:val="0"/>
                <w:color w:val="auto"/>
                <w:sz w:val="24"/>
                <w:szCs w:val="24"/>
                <w:highlight w:val="none"/>
                <w:lang w:val="en-US"/>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用药时长管控</w:t>
            </w:r>
            <w:r>
              <w:rPr>
                <w:rFonts w:hint="eastAsia" w:ascii="宋体" w:hAnsi="宋体" w:eastAsia="宋体" w:cs="宋体"/>
                <w:b w:val="0"/>
                <w:color w:val="auto"/>
                <w:sz w:val="24"/>
                <w:szCs w:val="24"/>
                <w:highlight w:val="none"/>
                <w:lang w:eastAsia="zh-CN"/>
              </w:rPr>
              <w:t>。</w:t>
            </w:r>
          </w:p>
        </w:tc>
      </w:tr>
      <w:tr w14:paraId="3E27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935" w:type="pct"/>
            <w:shd w:val="clear" w:color="auto" w:fill="FFFFFF"/>
            <w:noWrap w:val="0"/>
            <w:tcMar>
              <w:top w:w="105" w:type="dxa"/>
              <w:left w:w="150" w:type="dxa"/>
              <w:bottom w:w="105" w:type="dxa"/>
              <w:right w:w="150" w:type="dxa"/>
            </w:tcMar>
            <w:vAlign w:val="center"/>
          </w:tcPr>
          <w:p w14:paraId="0D13A777">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审查规则自定义功能（医院专家知识库）</w:t>
            </w:r>
          </w:p>
        </w:tc>
        <w:tc>
          <w:tcPr>
            <w:tcW w:w="4064" w:type="pct"/>
            <w:shd w:val="clear" w:color="auto" w:fill="FFFFFF"/>
            <w:noWrap w:val="0"/>
            <w:tcMar>
              <w:top w:w="105" w:type="dxa"/>
              <w:left w:w="150" w:type="dxa"/>
              <w:bottom w:w="105" w:type="dxa"/>
              <w:right w:w="150" w:type="dxa"/>
            </w:tcMar>
            <w:vAlign w:val="center"/>
          </w:tcPr>
          <w:p w14:paraId="531E3A7E">
            <w:pPr>
              <w:pStyle w:val="42"/>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1.</w:t>
            </w:r>
            <w:r>
              <w:rPr>
                <w:rFonts w:hint="eastAsia" w:ascii="宋体" w:hAnsi="宋体" w:eastAsia="宋体" w:cs="宋体"/>
                <w:bCs/>
                <w:color w:val="auto"/>
                <w:sz w:val="24"/>
                <w:szCs w:val="24"/>
                <w:highlight w:val="none"/>
              </w:rPr>
              <w:t>系统可以提供多种自定义方式：</w:t>
            </w:r>
          </w:p>
          <w:p w14:paraId="421476A9">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（1）基于系统审查数据自定义方式，节省药师工作量；</w:t>
            </w:r>
          </w:p>
          <w:p w14:paraId="168429A5">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（2）可完全由用户新建审查规则包括审查要素和审查逻辑。</w:t>
            </w:r>
          </w:p>
          <w:p w14:paraId="16ABC701">
            <w:pPr>
              <w:pStyle w:val="42"/>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2.</w:t>
            </w:r>
            <w:r>
              <w:rPr>
                <w:rFonts w:hint="eastAsia" w:ascii="宋体" w:hAnsi="宋体" w:eastAsia="宋体" w:cs="宋体"/>
                <w:bCs/>
                <w:color w:val="auto"/>
                <w:sz w:val="24"/>
                <w:szCs w:val="24"/>
                <w:highlight w:val="none"/>
              </w:rPr>
              <w:t>用户可自定义药品警示、拦截规则，被拦截的问题处方必须返回修改，否则不可进行下一步操作。用户可设置已执行的长期医嘱是否拦截。</w:t>
            </w:r>
          </w:p>
          <w:p w14:paraId="405EEC1F">
            <w:pPr>
              <w:pStyle w:val="42"/>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3.</w:t>
            </w:r>
            <w:r>
              <w:rPr>
                <w:rFonts w:hint="eastAsia" w:ascii="宋体" w:hAnsi="宋体" w:eastAsia="宋体" w:cs="宋体"/>
                <w:bCs/>
                <w:color w:val="auto"/>
                <w:sz w:val="24"/>
                <w:szCs w:val="24"/>
                <w:highlight w:val="none"/>
              </w:rPr>
              <w:t>其中部分审查项目可支持以下功能：</w:t>
            </w:r>
          </w:p>
          <w:p w14:paraId="27578CD2">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剂量：可显示某个药品在本院近一个月医嘱用量统计，查看不同科室的剂量使用情况。用户只需维护药品一种给药单位的剂量审查规则，系统可自动将规则匹配到该药品其余给药单位。</w:t>
            </w:r>
          </w:p>
          <w:p w14:paraId="6D3ABD46">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14:paraId="0EB804E3">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体外注射剂配伍：可设置小剂量胰岛素不参与体外配伍审查，具体剂量标准可由用户自行设置。</w:t>
            </w:r>
          </w:p>
          <w:p w14:paraId="581D36F0">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可设置应激性溃疡风险的预警规则；设置可预防使用质子泵抑制剂的手术、质子泵抑制剂药品及术后质子泵抑制剂用药疗程；</w:t>
            </w:r>
          </w:p>
          <w:p w14:paraId="4EF3D059">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用户可维护医院协定方及对应证型；</w:t>
            </w:r>
          </w:p>
          <w:p w14:paraId="511ED2A3">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用户可设置抗肿瘤药物过敏反应预防药品品种。</w:t>
            </w:r>
          </w:p>
          <w:p w14:paraId="42AF657D">
            <w:pPr>
              <w:pStyle w:val="42"/>
              <w:numPr>
                <w:ilvl w:val="0"/>
                <w:numId w:val="35"/>
              </w:numPr>
              <w:spacing w:line="360" w:lineRule="auto"/>
              <w:ind w:left="0"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用户可设置质子泵抑制药、抗菌药物用药评估单模板。</w:t>
            </w:r>
          </w:p>
          <w:p w14:paraId="70083B59">
            <w:pPr>
              <w:pStyle w:val="42"/>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4.</w:t>
            </w:r>
            <w:r>
              <w:rPr>
                <w:rFonts w:hint="eastAsia" w:ascii="宋体" w:hAnsi="宋体" w:eastAsia="宋体" w:cs="宋体"/>
                <w:bCs/>
                <w:color w:val="auto"/>
                <w:sz w:val="24"/>
                <w:szCs w:val="24"/>
                <w:highlight w:val="none"/>
              </w:rPr>
              <w:t>规则复制功能：系统支持将其它药品已有的自定义规则分模块复制到被选择的药品上。</w:t>
            </w:r>
          </w:p>
          <w:p w14:paraId="0461ED34">
            <w:pPr>
              <w:pStyle w:val="42"/>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5.</w:t>
            </w:r>
            <w:r>
              <w:rPr>
                <w:rFonts w:hint="eastAsia" w:ascii="宋体" w:hAnsi="宋体" w:eastAsia="宋体" w:cs="宋体"/>
                <w:bCs/>
                <w:color w:val="auto"/>
                <w:sz w:val="24"/>
                <w:szCs w:val="24"/>
                <w:highlight w:val="none"/>
              </w:rPr>
              <w:t>豁免对象：可根据药品、医生、科室等条件设置特定对象不参与某些模块审查，并可按照模块查看对各种豁免情况的统计。</w:t>
            </w:r>
          </w:p>
          <w:p w14:paraId="592CCFFE">
            <w:pPr>
              <w:pStyle w:val="42"/>
              <w:numPr>
                <w:ilvl w:val="0"/>
                <w:numId w:val="0"/>
              </w:numPr>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rPr>
              <w:t>6.</w:t>
            </w:r>
            <w:r>
              <w:rPr>
                <w:rFonts w:hint="eastAsia" w:ascii="宋体" w:hAnsi="宋体" w:eastAsia="宋体" w:cs="宋体"/>
                <w:bCs/>
                <w:color w:val="auto"/>
                <w:sz w:val="24"/>
                <w:szCs w:val="24"/>
                <w:highlight w:val="none"/>
              </w:rPr>
              <w:t xml:space="preserve">自定义规则查询：可查询药品、科室以及各模块的自定义规则。 </w:t>
            </w:r>
          </w:p>
        </w:tc>
      </w:tr>
    </w:tbl>
    <w:p w14:paraId="12BB954C">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.前置审方系统</w:t>
      </w:r>
    </w:p>
    <w:tbl>
      <w:tblPr>
        <w:tblStyle w:val="27"/>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4"/>
        <w:gridCol w:w="40"/>
        <w:gridCol w:w="1394"/>
        <w:gridCol w:w="6298"/>
      </w:tblGrid>
      <w:tr w14:paraId="492F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208BDE6">
            <w:pPr>
              <w:pageBreakBefore w:val="0"/>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snapToGrid w:val="0"/>
                <w:color w:val="000000"/>
                <w:sz w:val="24"/>
                <w:szCs w:val="24"/>
                <w:highlight w:val="none"/>
                <w:lang w:bidi="ar"/>
              </w:rPr>
              <w:t>模块名称</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6FC52577">
            <w:pPr>
              <w:pageBreakBefore w:val="0"/>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snapToGrid w:val="0"/>
                <w:color w:val="000000"/>
                <w:sz w:val="24"/>
                <w:szCs w:val="24"/>
                <w:highlight w:val="none"/>
                <w:lang w:bidi="ar"/>
              </w:rPr>
              <w:t>主要功能</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70E4D4E">
            <w:pPr>
              <w:pageBreakBefore w:val="0"/>
              <w:kinsoku/>
              <w:wordWrap/>
              <w:overflowPunct/>
              <w:topLinePunct w:val="0"/>
              <w:autoSpaceDE/>
              <w:autoSpaceDN/>
              <w:bidi w:val="0"/>
              <w:adjustRightInd/>
              <w:snapToGrid/>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snapToGrid w:val="0"/>
                <w:color w:val="000000"/>
                <w:sz w:val="24"/>
                <w:szCs w:val="24"/>
                <w:highlight w:val="none"/>
                <w:lang w:bidi="ar"/>
              </w:rPr>
              <w:t>描述</w:t>
            </w:r>
          </w:p>
        </w:tc>
      </w:tr>
      <w:tr w14:paraId="6180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354" w:type="dxa"/>
            <w:vMerge w:val="restart"/>
            <w:tcBorders>
              <w:top w:val="single" w:color="000000" w:sz="4" w:space="0"/>
              <w:left w:val="single" w:color="000000" w:sz="4" w:space="0"/>
              <w:right w:val="single" w:color="000000" w:sz="4" w:space="0"/>
            </w:tcBorders>
            <w:noWrap w:val="0"/>
            <w:vAlign w:val="center"/>
          </w:tcPr>
          <w:p w14:paraId="68CBD6E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★审方流程</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0CD27C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门诊审方</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0EB0C8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系统提供审方药师门诊审方工作平台，支持审方药师在患者缴费前完成门诊处方的实时审查</w:t>
            </w:r>
          </w:p>
        </w:tc>
      </w:tr>
      <w:tr w14:paraId="090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354" w:type="dxa"/>
            <w:vMerge w:val="continue"/>
            <w:tcBorders>
              <w:left w:val="single" w:color="000000" w:sz="4" w:space="0"/>
              <w:right w:val="single" w:color="000000" w:sz="4" w:space="0"/>
            </w:tcBorders>
            <w:noWrap w:val="0"/>
            <w:vAlign w:val="center"/>
          </w:tcPr>
          <w:p w14:paraId="2AB58C7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11C6B4E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住院审方</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CF82FD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系统提供审方药师住院审方工作平台，支持审方药师在医嘱调剂前完成住院医嘱的实时审查</w:t>
            </w:r>
          </w:p>
        </w:tc>
      </w:tr>
      <w:tr w14:paraId="6AF5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tcBorders>
              <w:left w:val="single" w:color="000000" w:sz="4" w:space="0"/>
              <w:right w:val="single" w:color="000000" w:sz="4" w:space="0"/>
            </w:tcBorders>
            <w:noWrap w:val="0"/>
            <w:vAlign w:val="center"/>
          </w:tcPr>
          <w:p w14:paraId="78D2E89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61335B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系统机审与药师人工审方</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6CF839B">
            <w:pPr>
              <w:pageBreakBefore w:val="0"/>
              <w:numPr>
                <w:ilvl w:val="0"/>
                <w:numId w:val="36"/>
              </w:numPr>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系统按照预设的合理用药规则对处方/医嘱进行自动审查，包括过敏、禁忌症、适应症、特殊人群、配伍、相互作用、重复用药、给药途径、给药时机、给药剂量、给药频率、疗程审查等；再交由药师可选取全部或部分处方/医嘱进行人工审核；审方药师可将审核不合理的处方/医嘱打回到医生端，由医生进行双签或修改，直到处方/医嘱审核通过，进入调剂环节，实现审方药师的实时审方。</w:t>
            </w:r>
          </w:p>
          <w:p w14:paraId="0949859F">
            <w:pPr>
              <w:pageBreakBefore w:val="0"/>
              <w:numPr>
                <w:ilvl w:val="0"/>
                <w:numId w:val="36"/>
              </w:numPr>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sz w:val="24"/>
                <w:szCs w:val="24"/>
                <w:highlight w:val="none"/>
                <w:lang w:val="en-US" w:eastAsia="zh-CN"/>
              </w:rPr>
              <w:t>系统支持关联处方、医嘱的审方关联点；在审方关联点中，可以设置药理分类和检验、检查、生命体征、特殊检查、影像检查等之间的关系。维护好的内容会在审方页面进行展示。</w:t>
            </w:r>
          </w:p>
          <w:p w14:paraId="38FD0809">
            <w:pPr>
              <w:pageBreakBefore w:val="0"/>
              <w:numPr>
                <w:ilvl w:val="0"/>
                <w:numId w:val="36"/>
              </w:numPr>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sz w:val="24"/>
                <w:szCs w:val="24"/>
                <w:highlight w:val="none"/>
              </w:rPr>
              <w:t>重点监控药品、精麻药品等，必须经过人工审核才允许执行，不受超时时间限制；</w:t>
            </w:r>
          </w:p>
        </w:tc>
      </w:tr>
      <w:tr w14:paraId="3BF7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54" w:type="dxa"/>
            <w:vMerge w:val="continue"/>
            <w:tcBorders>
              <w:left w:val="single" w:color="000000" w:sz="4" w:space="0"/>
              <w:right w:val="single" w:color="000000" w:sz="4" w:space="0"/>
            </w:tcBorders>
            <w:noWrap w:val="0"/>
            <w:vAlign w:val="center"/>
          </w:tcPr>
          <w:p w14:paraId="210FBAB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41E7419A">
            <w:pPr>
              <w:pStyle w:val="7"/>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审方页面展示</w:t>
            </w:r>
          </w:p>
          <w:p w14:paraId="3D257F8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9678CBA">
            <w:pPr>
              <w:widowControl w:val="0"/>
              <w:ind w:firstLine="480" w:firstLineChars="200"/>
              <w:rPr>
                <w:rFonts w:hint="eastAsia" w:ascii="宋体" w:hAnsi="宋体" w:eastAsia="宋体" w:cs="宋体"/>
                <w:kern w:val="2"/>
                <w:sz w:val="24"/>
                <w:szCs w:val="24"/>
                <w:highlight w:val="none"/>
                <w:lang w:bidi="ar"/>
              </w:rPr>
            </w:pPr>
            <w:r>
              <w:rPr>
                <w:rFonts w:hint="eastAsia" w:ascii="宋体" w:hAnsi="宋体" w:eastAsia="宋体" w:cs="宋体"/>
                <w:sz w:val="24"/>
                <w:szCs w:val="24"/>
                <w:highlight w:val="none"/>
              </w:rPr>
              <w:t>审方页面展示要求支持展示患者信息、待审（或已审）处方/医嘱信息及系统自动审查结果，支持一体化展示住院患者信息汇总，包括诊断、检查检验信息、手术信息、生命体征趋势图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会诊信息、细菌培养等指标，支持在药师审核任务时，展示干预阶段医生预先填写的特别用药理由。</w:t>
            </w:r>
          </w:p>
        </w:tc>
      </w:tr>
      <w:tr w14:paraId="1910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54" w:type="dxa"/>
            <w:vMerge w:val="restart"/>
            <w:tcBorders>
              <w:top w:val="single" w:color="000000" w:sz="4" w:space="0"/>
              <w:left w:val="single" w:color="000000" w:sz="4" w:space="0"/>
              <w:right w:val="single" w:color="000000" w:sz="4" w:space="0"/>
            </w:tcBorders>
            <w:noWrap w:val="0"/>
            <w:vAlign w:val="center"/>
          </w:tcPr>
          <w:p w14:paraId="11E9386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★处方/医嘱审核界面</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5AF4F88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待审任务审核判断</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3E3984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审方药师在审核处方/医嘱时，对系统根据处方/医嘱跑出的警示信息内容进行确认。并支持人工输入其他意见和用药建议；对于人工输入内容，支持药师提前自定义审核意见模板并共享，便于药师在审核时进行选择及快速回复；</w:t>
            </w:r>
          </w:p>
        </w:tc>
      </w:tr>
      <w:tr w14:paraId="27B95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354" w:type="dxa"/>
            <w:vMerge w:val="continue"/>
            <w:tcBorders>
              <w:left w:val="single" w:color="000000" w:sz="4" w:space="0"/>
              <w:right w:val="single" w:color="000000" w:sz="4" w:space="0"/>
            </w:tcBorders>
            <w:noWrap w:val="0"/>
            <w:vAlign w:val="center"/>
          </w:tcPr>
          <w:p w14:paraId="334C17D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0BB2DA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病人基本信息查看</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918310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展示病人的基本信息给审核提供参考。包括患者姓名、年龄、身高、体重、诊断、过敏史等等</w:t>
            </w:r>
          </w:p>
        </w:tc>
      </w:tr>
      <w:tr w14:paraId="5437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354" w:type="dxa"/>
            <w:vMerge w:val="continue"/>
            <w:tcBorders>
              <w:left w:val="single" w:color="000000" w:sz="4" w:space="0"/>
              <w:right w:val="single" w:color="000000" w:sz="4" w:space="0"/>
            </w:tcBorders>
            <w:noWrap w:val="0"/>
            <w:vAlign w:val="center"/>
          </w:tcPr>
          <w:p w14:paraId="70DE19C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09794C8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审核详情内容排序</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AFE893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支持用户自定义设置处方/医嘱明细页面展示的字段，并可设置字段排序，方便药师关注信息的优先展示</w:t>
            </w:r>
          </w:p>
        </w:tc>
      </w:tr>
      <w:tr w14:paraId="6D94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jc w:val="center"/>
        </w:trPr>
        <w:tc>
          <w:tcPr>
            <w:tcW w:w="1354" w:type="dxa"/>
            <w:vMerge w:val="continue"/>
            <w:tcBorders>
              <w:left w:val="single" w:color="000000" w:sz="4" w:space="0"/>
              <w:right w:val="single" w:color="000000" w:sz="4" w:space="0"/>
            </w:tcBorders>
            <w:noWrap w:val="0"/>
            <w:vAlign w:val="center"/>
          </w:tcPr>
          <w:p w14:paraId="27CD67D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2D60178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审核警示信息查看</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86E14B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可查看审核处方/医嘱相关系统审查到的所有警示信息，供审核药师参考</w:t>
            </w:r>
          </w:p>
        </w:tc>
      </w:tr>
      <w:tr w14:paraId="6D35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354" w:type="dxa"/>
            <w:vMerge w:val="continue"/>
            <w:tcBorders>
              <w:left w:val="single" w:color="000000" w:sz="4" w:space="0"/>
              <w:right w:val="single" w:color="000000" w:sz="4" w:space="0"/>
            </w:tcBorders>
            <w:noWrap w:val="0"/>
            <w:vAlign w:val="center"/>
          </w:tcPr>
          <w:p w14:paraId="242C576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1A6589CB">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审核通过任务操作</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6BCA86D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可批量通过所有待审核任务，也可按组按处方一一审核任务</w:t>
            </w:r>
          </w:p>
        </w:tc>
      </w:tr>
      <w:tr w14:paraId="5887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354" w:type="dxa"/>
            <w:vMerge w:val="continue"/>
            <w:tcBorders>
              <w:left w:val="single" w:color="000000" w:sz="4" w:space="0"/>
              <w:right w:val="single" w:color="000000" w:sz="4" w:space="0"/>
            </w:tcBorders>
            <w:noWrap w:val="0"/>
            <w:vAlign w:val="center"/>
          </w:tcPr>
          <w:p w14:paraId="7764ADB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1480F0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审核未通过处方/医嘱操作</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3D9F75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可按处方/医嘱问题的严重程度选择让医生‘修改处方/医嘱’和‘双签名’两种操作，并记录处方/医嘱未通过理由和医生是否选择双签处方的记录</w:t>
            </w:r>
          </w:p>
        </w:tc>
      </w:tr>
      <w:tr w14:paraId="2106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54" w:type="dxa"/>
            <w:vMerge w:val="continue"/>
            <w:tcBorders>
              <w:left w:val="single" w:color="000000" w:sz="4" w:space="0"/>
              <w:right w:val="single" w:color="000000" w:sz="4" w:space="0"/>
            </w:tcBorders>
            <w:noWrap w:val="0"/>
            <w:vAlign w:val="center"/>
          </w:tcPr>
          <w:p w14:paraId="1AD7326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top"/>
          </w:tcPr>
          <w:p w14:paraId="5E73AE9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打回医生处理提醒</w:t>
            </w:r>
          </w:p>
        </w:tc>
        <w:tc>
          <w:tcPr>
            <w:tcW w:w="6298" w:type="dxa"/>
            <w:tcBorders>
              <w:top w:val="single" w:color="000000" w:sz="4" w:space="0"/>
              <w:left w:val="single" w:color="000000" w:sz="4" w:space="0"/>
              <w:bottom w:val="single" w:color="000000" w:sz="4" w:space="0"/>
              <w:right w:val="single" w:color="000000" w:sz="4" w:space="0"/>
            </w:tcBorders>
            <w:noWrap w:val="0"/>
            <w:vAlign w:val="top"/>
          </w:tcPr>
          <w:p w14:paraId="631CF20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支持处方/医嘱打回后，当医生超过一定时间未处理时提示给药师并展示医生姓名工号等，且可以对医生超时未处理的时间进行设置，便于沟通联系</w:t>
            </w:r>
          </w:p>
        </w:tc>
      </w:tr>
      <w:tr w14:paraId="0137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354" w:type="dxa"/>
            <w:vMerge w:val="continue"/>
            <w:tcBorders>
              <w:left w:val="single" w:color="000000" w:sz="4" w:space="0"/>
              <w:right w:val="single" w:color="000000" w:sz="4" w:space="0"/>
            </w:tcBorders>
            <w:noWrap w:val="0"/>
            <w:vAlign w:val="center"/>
          </w:tcPr>
          <w:p w14:paraId="2F20710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768E1C6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处方医嘱标记操作</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AB40A1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可对有问题的处方/医嘱进行收藏或添加备注，方便药师事后回顾</w:t>
            </w:r>
          </w:p>
        </w:tc>
      </w:tr>
      <w:tr w14:paraId="403C5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354" w:type="dxa"/>
            <w:vMerge w:val="continue"/>
            <w:tcBorders>
              <w:left w:val="single" w:color="000000" w:sz="4" w:space="0"/>
              <w:right w:val="single" w:color="000000" w:sz="4" w:space="0"/>
            </w:tcBorders>
            <w:noWrap w:val="0"/>
            <w:vAlign w:val="center"/>
          </w:tcPr>
          <w:p w14:paraId="1401E6D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46AD80E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剩余审核任务了解</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05D8D9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支持实时展示给审方药师，待审核处方/医嘱任务总量和分配给该药师的待审处方/医嘱任务数量</w:t>
            </w:r>
          </w:p>
        </w:tc>
      </w:tr>
      <w:tr w14:paraId="0B45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354" w:type="dxa"/>
            <w:vMerge w:val="continue"/>
            <w:tcBorders>
              <w:left w:val="single" w:color="000000" w:sz="4" w:space="0"/>
              <w:right w:val="single" w:color="000000" w:sz="4" w:space="0"/>
            </w:tcBorders>
            <w:noWrap w:val="0"/>
            <w:vAlign w:val="center"/>
          </w:tcPr>
          <w:p w14:paraId="7D1E566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A7C225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待审筛选查看操作</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0207A1C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可按科室查看药师自己审核任务的处方/医嘱列表，优先审核紧急的处方/医嘱</w:t>
            </w:r>
          </w:p>
        </w:tc>
      </w:tr>
      <w:tr w14:paraId="159D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354" w:type="dxa"/>
            <w:vMerge w:val="continue"/>
            <w:tcBorders>
              <w:left w:val="single" w:color="000000" w:sz="4" w:space="0"/>
              <w:right w:val="single" w:color="000000" w:sz="4" w:space="0"/>
            </w:tcBorders>
            <w:noWrap w:val="0"/>
            <w:vAlign w:val="center"/>
          </w:tcPr>
          <w:p w14:paraId="207C1F8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13CE4C0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已审医嘱查看</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D2DA17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支持按条件筛选查看进入审方系统的全部处方或医嘱，包括人工审核通过及打回的处方/医嘱、系统自动通过、超时通过的处方/医嘱。支持导出所有审核过处方/医嘱所包含的药品信息、警示信息等</w:t>
            </w:r>
          </w:p>
        </w:tc>
      </w:tr>
      <w:tr w14:paraId="408F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1354" w:type="dxa"/>
            <w:vMerge w:val="continue"/>
            <w:tcBorders>
              <w:left w:val="single" w:color="000000" w:sz="4" w:space="0"/>
              <w:bottom w:val="single" w:color="000000" w:sz="4" w:space="0"/>
              <w:right w:val="single" w:color="000000" w:sz="4" w:space="0"/>
            </w:tcBorders>
            <w:noWrap w:val="0"/>
            <w:vAlign w:val="center"/>
          </w:tcPr>
          <w:p w14:paraId="4D8C6E4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A0C651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医生修改重新审核</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39E877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支持修改关键字段重新触发任务审核。支持医生对强制要求修改的不合理处方/医嘱，不变动开药，仅补充或修改诊断即可重新审核处方</w:t>
            </w:r>
          </w:p>
        </w:tc>
      </w:tr>
      <w:tr w14:paraId="4EAD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5655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★审方页面沟通工具</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494ED97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审核打回处方医嘱实时发送</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F38C12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可将有问题的处方/医嘱打回理由，包括系统审核问题和人工输入的审核意见发送至开方医生</w:t>
            </w:r>
          </w:p>
        </w:tc>
      </w:tr>
      <w:tr w14:paraId="264B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4712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0EA7823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需人工审提醒医生</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0C533026">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当处方进入审核药师进行人工审核时，可告知医生端进入待审提醒</w:t>
            </w:r>
          </w:p>
        </w:tc>
      </w:tr>
      <w:tr w14:paraId="520B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1DF5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00384D6">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质量评价功能</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9F6597E">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系统提供多种筛选方案设置功能，进行待评价任务筛选。评价人可对每个任务输入审核意见并打分。系统可自动生成任务评分表，并可导出到Excel。</w:t>
            </w:r>
          </w:p>
          <w:p w14:paraId="6D8C99FE">
            <w:pPr>
              <w:numPr>
                <w:ilvl w:val="0"/>
                <w:numId w:val="0"/>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评价人可评估历史审核任务并设置问题推荐处置方案，供审方药师审核同一问题时参考。</w:t>
            </w:r>
          </w:p>
        </w:tc>
      </w:tr>
      <w:tr w14:paraId="0627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49C1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720063A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审核打回医生处理</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5EF612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实时通知医生及时处理审核未通过的处方/医嘱，可坚持使用或就打回原因和用药情况进行页面沟通，沟通信息全流程记录到相应处方/医嘱信息以便回顾</w:t>
            </w:r>
          </w:p>
        </w:tc>
      </w:tr>
      <w:tr w14:paraId="2BD0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jc w:val="center"/>
        </w:trPr>
        <w:tc>
          <w:tcPr>
            <w:tcW w:w="1354" w:type="dxa"/>
            <w:vMerge w:val="restart"/>
            <w:tcBorders>
              <w:top w:val="single" w:color="000000" w:sz="4" w:space="0"/>
              <w:left w:val="single" w:color="000000" w:sz="4" w:space="0"/>
              <w:right w:val="single" w:color="000000" w:sz="4" w:space="0"/>
            </w:tcBorders>
            <w:noWrap w:val="0"/>
            <w:vAlign w:val="center"/>
          </w:tcPr>
          <w:p w14:paraId="7F05C605">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审核设置</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48B9CA6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审核时间设置</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AF3D27D">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可根据医院实际上下班时间，由管理者设定审核时间，只有在该时间范围内的处方/医嘱才会审核</w:t>
            </w:r>
          </w:p>
          <w:p w14:paraId="1D4CEF1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可根据医院实际人力及工作量等情况，设定审方超时时间，超出该时间药师未审核完成则直接超时通过并记录可审核药师在线情况</w:t>
            </w:r>
          </w:p>
        </w:tc>
      </w:tr>
      <w:tr w14:paraId="3DB9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354" w:type="dxa"/>
            <w:vMerge w:val="continue"/>
            <w:tcBorders>
              <w:left w:val="single" w:color="000000" w:sz="4" w:space="0"/>
              <w:right w:val="single" w:color="000000" w:sz="4" w:space="0"/>
            </w:tcBorders>
            <w:noWrap w:val="0"/>
            <w:vAlign w:val="center"/>
          </w:tcPr>
          <w:p w14:paraId="0FE824BE">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3067B50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收藏处方/医嘱</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89FF68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可预先设置收藏分类，对收藏的问题处方/医嘱进行分类回顾分析</w:t>
            </w:r>
          </w:p>
        </w:tc>
      </w:tr>
      <w:tr w14:paraId="3AA2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1354" w:type="dxa"/>
            <w:vMerge w:val="continue"/>
            <w:tcBorders>
              <w:left w:val="single" w:color="000000" w:sz="4" w:space="0"/>
              <w:right w:val="single" w:color="000000" w:sz="4" w:space="0"/>
            </w:tcBorders>
            <w:noWrap w:val="0"/>
            <w:vAlign w:val="center"/>
          </w:tcPr>
          <w:p w14:paraId="2C080EE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21EA1EE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人工审核范围设置</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B1FBF72">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支持筛选需要审方药师人工审查的处方/医嘱：可按照科室病区、医嘱类型等条件设置一个或多个审方方案，用于待审核处方/医嘱的过滤，确定待人工审核处方/医嘱任务。对于不符合方案设置的处方/医嘱，支持处方/医嘱自动通过审核</w:t>
            </w:r>
          </w:p>
        </w:tc>
      </w:tr>
      <w:tr w14:paraId="69A8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354" w:type="dxa"/>
            <w:vMerge w:val="continue"/>
            <w:tcBorders>
              <w:left w:val="single" w:color="000000" w:sz="4" w:space="0"/>
              <w:bottom w:val="single" w:color="000000" w:sz="4" w:space="0"/>
              <w:right w:val="single" w:color="000000" w:sz="4" w:space="0"/>
            </w:tcBorders>
            <w:noWrap w:val="0"/>
            <w:vAlign w:val="center"/>
          </w:tcPr>
          <w:p w14:paraId="71CCA0C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283FC360">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需人工审等级设置</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2B9E853">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可根据系统审核警示信息等级和警示信息类型进行针对性处方/医嘱的审核</w:t>
            </w:r>
          </w:p>
        </w:tc>
      </w:tr>
      <w:tr w14:paraId="45FB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354" w:type="dxa"/>
            <w:vMerge w:val="restart"/>
            <w:tcBorders>
              <w:top w:val="single" w:color="000000" w:sz="4" w:space="0"/>
              <w:left w:val="single" w:color="000000" w:sz="4" w:space="0"/>
              <w:right w:val="single" w:color="000000" w:sz="4" w:space="0"/>
            </w:tcBorders>
            <w:noWrap w:val="0"/>
            <w:vAlign w:val="center"/>
          </w:tcPr>
          <w:p w14:paraId="42E1FDC1">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审方管理</w:t>
            </w: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54FA8722">
            <w:pPr>
              <w:pStyle w:val="7"/>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审查结果查看</w:t>
            </w:r>
          </w:p>
          <w:p w14:paraId="6560C148">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6CB9405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审查结果查看具备查看进入审方系统的全部处方或医嘱，支持处方/医嘱审核历史的查看和导出，包括审方药师审核意见及医生处理结果，支持按日期、科室、审方药师、审核状态、警示类型筛选查看处方/医嘱。</w:t>
            </w:r>
          </w:p>
          <w:p w14:paraId="025514DE">
            <w:pPr>
              <w:rPr>
                <w:rFonts w:hint="eastAsia" w:ascii="宋体" w:hAnsi="宋体" w:eastAsia="宋体" w:cs="宋体"/>
                <w:kern w:val="2"/>
                <w:sz w:val="24"/>
                <w:szCs w:val="24"/>
                <w:highlight w:val="none"/>
                <w:lang w:bidi="ar"/>
              </w:rPr>
            </w:pPr>
          </w:p>
        </w:tc>
      </w:tr>
      <w:tr w14:paraId="0133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354" w:type="dxa"/>
            <w:vMerge w:val="continue"/>
            <w:tcBorders>
              <w:left w:val="single" w:color="000000" w:sz="4" w:space="0"/>
              <w:right w:val="single" w:color="000000" w:sz="4" w:space="0"/>
            </w:tcBorders>
            <w:noWrap w:val="0"/>
            <w:vAlign w:val="center"/>
          </w:tcPr>
          <w:p w14:paraId="500A100C">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632B7DF7">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审核工作量统计表</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F10DFD6">
            <w:pPr>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bidi="ar"/>
              </w:rPr>
              <w:t>统计各审方药师审核的处方数/医嘱组数、审核通过、审核打回的处方数/医嘱组数等，便于审方负责人查看各审方药师工作情况，可用于审方药师绩效考核</w:t>
            </w:r>
            <w:r>
              <w:rPr>
                <w:rFonts w:hint="eastAsia" w:ascii="宋体" w:hAnsi="宋体" w:eastAsia="宋体" w:cs="宋体"/>
                <w:kern w:val="2"/>
                <w:sz w:val="24"/>
                <w:szCs w:val="24"/>
                <w:highlight w:val="none"/>
                <w:lang w:eastAsia="zh-CN" w:bidi="ar"/>
              </w:rPr>
              <w:t>。</w:t>
            </w:r>
          </w:p>
        </w:tc>
      </w:tr>
      <w:tr w14:paraId="44B6D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354" w:type="dxa"/>
            <w:vMerge w:val="continue"/>
            <w:tcBorders>
              <w:left w:val="single" w:color="000000" w:sz="4" w:space="0"/>
              <w:bottom w:val="single" w:color="000000" w:sz="4" w:space="0"/>
              <w:right w:val="single" w:color="000000" w:sz="4" w:space="0"/>
            </w:tcBorders>
            <w:noWrap w:val="0"/>
            <w:vAlign w:val="center"/>
          </w:tcPr>
          <w:p w14:paraId="7AEC8A69">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p>
        </w:tc>
        <w:tc>
          <w:tcPr>
            <w:tcW w:w="1434" w:type="dxa"/>
            <w:gridSpan w:val="2"/>
            <w:tcBorders>
              <w:top w:val="single" w:color="000000" w:sz="4" w:space="0"/>
              <w:left w:val="single" w:color="000000" w:sz="4" w:space="0"/>
              <w:bottom w:val="single" w:color="000000" w:sz="4" w:space="0"/>
              <w:right w:val="single" w:color="000000" w:sz="4" w:space="0"/>
            </w:tcBorders>
            <w:noWrap w:val="0"/>
            <w:vAlign w:val="center"/>
          </w:tcPr>
          <w:p w14:paraId="1ABA2FA4">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审核工作概况统计</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F1AAF4F">
            <w:pPr>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从机构、科室、医生等角度统计处方/医嘱数量及审查概况，便于审方药师掌握本院审方整体情况，针对性安排回顾性分析和管理措施；</w:t>
            </w:r>
          </w:p>
        </w:tc>
      </w:tr>
      <w:tr w14:paraId="40D83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394" w:type="dxa"/>
            <w:gridSpan w:val="2"/>
            <w:vMerge w:val="restart"/>
            <w:tcBorders>
              <w:top w:val="single" w:color="000000" w:sz="4" w:space="0"/>
              <w:left w:val="single" w:color="000000" w:sz="4" w:space="0"/>
              <w:right w:val="single" w:color="000000" w:sz="4" w:space="0"/>
            </w:tcBorders>
            <w:noWrap w:val="0"/>
            <w:vAlign w:val="center"/>
          </w:tcPr>
          <w:p w14:paraId="3E6ED77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★统计分析</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CB6FC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审方</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DC352BD">
            <w:pPr>
              <w:numPr>
                <w:ilvl w:val="0"/>
                <w:numId w:val="0"/>
              </w:numPr>
              <w:ind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1.</w:t>
            </w:r>
            <w:r>
              <w:rPr>
                <w:rFonts w:hint="eastAsia" w:ascii="宋体" w:hAnsi="宋体" w:eastAsia="宋体" w:cs="宋体"/>
                <w:bCs/>
                <w:color w:val="auto"/>
                <w:sz w:val="24"/>
                <w:szCs w:val="24"/>
                <w:highlight w:val="none"/>
              </w:rPr>
              <w:t>可以分别统计门诊、住院任务的审核率、干预率、合格率等重要指标，并可提供统计图。可按照科室、医生、药品、药师、药物类进行干预情况分类统计。</w:t>
            </w:r>
          </w:p>
          <w:p w14:paraId="03251B9C">
            <w:pPr>
              <w:numPr>
                <w:ilvl w:val="0"/>
                <w:numId w:val="0"/>
              </w:numPr>
              <w:ind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2.</w:t>
            </w:r>
            <w:r>
              <w:rPr>
                <w:rFonts w:hint="eastAsia" w:ascii="宋体" w:hAnsi="宋体" w:eastAsia="宋体" w:cs="宋体"/>
                <w:bCs/>
                <w:color w:val="auto"/>
                <w:sz w:val="24"/>
                <w:szCs w:val="24"/>
                <w:highlight w:val="none"/>
              </w:rPr>
              <w:t>可以统计每个药师的监测时长、审核工作量、干预工作量和干预有效率，并可提供统计图。</w:t>
            </w:r>
          </w:p>
          <w:p w14:paraId="187859B3">
            <w:pPr>
              <w:numPr>
                <w:ilvl w:val="0"/>
                <w:numId w:val="0"/>
              </w:numPr>
              <w:ind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3.</w:t>
            </w:r>
            <w:r>
              <w:rPr>
                <w:rFonts w:hint="eastAsia" w:ascii="宋体" w:hAnsi="宋体" w:eastAsia="宋体" w:cs="宋体"/>
                <w:bCs/>
                <w:color w:val="auto"/>
                <w:sz w:val="24"/>
                <w:szCs w:val="24"/>
                <w:highlight w:val="none"/>
              </w:rPr>
              <w:t>可以提供不合理问题统计分析，支持按时间、问题类型、警示等级等条件进行统计，并可生成统计图。可以查看在人工审方时药师主动添加的问题的发生次数、发生率。</w:t>
            </w:r>
          </w:p>
          <w:p w14:paraId="2915BDD6">
            <w:pPr>
              <w:numPr>
                <w:ilvl w:val="0"/>
                <w:numId w:val="0"/>
              </w:numPr>
              <w:ind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4.</w:t>
            </w:r>
            <w:r>
              <w:rPr>
                <w:rFonts w:hint="eastAsia" w:ascii="宋体" w:hAnsi="宋体" w:eastAsia="宋体" w:cs="宋体"/>
                <w:bCs/>
                <w:color w:val="auto"/>
                <w:sz w:val="24"/>
                <w:szCs w:val="24"/>
                <w:highlight w:val="none"/>
              </w:rPr>
              <w:t>可以分科室、医生、药品、问题类型提供干预效果追踪，并以统计图的方式体现干预效果。</w:t>
            </w:r>
          </w:p>
          <w:p w14:paraId="27F4A4C4">
            <w:pPr>
              <w:numPr>
                <w:ilvl w:val="0"/>
                <w:numId w:val="0"/>
              </w:numPr>
              <w:ind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rPr>
              <w:t>5.</w:t>
            </w:r>
            <w:r>
              <w:rPr>
                <w:rFonts w:hint="eastAsia" w:ascii="宋体" w:hAnsi="宋体" w:eastAsia="宋体" w:cs="宋体"/>
                <w:bCs/>
                <w:color w:val="auto"/>
                <w:sz w:val="24"/>
                <w:szCs w:val="24"/>
                <w:highlight w:val="none"/>
              </w:rPr>
              <w:t>可按不同的处方（医嘱）通过状态进行统计，并可生成统计图。</w:t>
            </w:r>
          </w:p>
          <w:p w14:paraId="72F01E25">
            <w:pPr>
              <w:numPr>
                <w:ilvl w:val="0"/>
                <w:numId w:val="0"/>
              </w:numPr>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医生端可通过用药自查，查看自身任务的审核干预相关统计数据。</w:t>
            </w:r>
          </w:p>
        </w:tc>
      </w:tr>
      <w:tr w14:paraId="630A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394" w:type="dxa"/>
            <w:gridSpan w:val="2"/>
            <w:vMerge w:val="continue"/>
            <w:tcBorders>
              <w:left w:val="single" w:color="000000" w:sz="4" w:space="0"/>
              <w:bottom w:val="single" w:color="000000" w:sz="4" w:space="0"/>
              <w:right w:val="single" w:color="000000" w:sz="4" w:space="0"/>
            </w:tcBorders>
            <w:noWrap w:val="0"/>
            <w:vAlign w:val="center"/>
          </w:tcPr>
          <w:p w14:paraId="61EF6E52">
            <w:pPr>
              <w:jc w:val="center"/>
              <w:rPr>
                <w:rFonts w:hint="eastAsia" w:ascii="宋体" w:hAnsi="宋体" w:eastAsia="宋体" w:cs="宋体"/>
                <w:color w:val="auto"/>
                <w:sz w:val="24"/>
                <w:szCs w:val="24"/>
                <w:highlight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94B7AB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处方点评</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BD59442">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系统应提供对医院合理用药指标及药品使用情况的统计分析，并能自定义显示和导出。同时提供关键字检索功能，便于快速查询指标。</w:t>
            </w:r>
          </w:p>
          <w:p w14:paraId="094669CB">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合理用药指标及趋势分析，包括：抗菌药物使用率、平均用药品种数、注射剂使用率（单独增加门诊处方的注射液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p>
          <w:p w14:paraId="198F00DC">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2.自定义合理用药指标</w:t>
            </w:r>
          </w:p>
          <w:p w14:paraId="70101E21">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系统应提供自定义合理用药指标功能，可自行设置指标分子、分母进行统计。自定义要素包含药品、治疗金额、药品金额、处方数、病人数、药品品种数、使用量DDDs、人天数、用药医嘱条目数。</w:t>
            </w:r>
          </w:p>
          <w:p w14:paraId="6CFD1ADA">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3.药品使用强度统计</w:t>
            </w:r>
          </w:p>
          <w:p w14:paraId="275AACF4">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4.药品金额、数量、DDDs统计</w:t>
            </w:r>
          </w:p>
          <w:p w14:paraId="4D9B78F6">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5.药品使用人次统计</w:t>
            </w:r>
          </w:p>
          <w:p w14:paraId="0B3FFF02">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6.注射剂/大容量注射液统计</w:t>
            </w:r>
          </w:p>
          <w:p w14:paraId="2E264480">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7.药品品种/费用构成统计</w:t>
            </w:r>
          </w:p>
          <w:p w14:paraId="2AB54FF2">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8.门（急）诊大处方分析</w:t>
            </w:r>
          </w:p>
          <w:p w14:paraId="2334C5D7">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9.抗菌药物使用清单及统计</w:t>
            </w:r>
          </w:p>
          <w:p w14:paraId="423C807F">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10.基本药物使用清单及统计</w:t>
            </w:r>
          </w:p>
          <w:p w14:paraId="7A797C66">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11.麻精药品管理处方登记表</w:t>
            </w:r>
          </w:p>
          <w:p w14:paraId="7C40AA56">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12.国家三级公立医院绩效考核</w:t>
            </w:r>
          </w:p>
          <w:p w14:paraId="1E2B0CFB">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13.全国抗菌药物临床应用管理</w:t>
            </w:r>
          </w:p>
          <w:p w14:paraId="3D5069E0">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14.国家卫生计生委抗菌药物临床应用管理数据上报</w:t>
            </w:r>
          </w:p>
          <w:p w14:paraId="458C2C6C">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15.全国合理用药监测系统</w:t>
            </w:r>
          </w:p>
          <w:p w14:paraId="062620D1">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16.抗肿瘤药物临床应用情况调查表</w:t>
            </w:r>
          </w:p>
          <w:p w14:paraId="0EEDA2BC">
            <w:pPr>
              <w:pStyle w:val="5"/>
              <w:pageBreakBefore w:val="0"/>
              <w:widowControl w:val="0"/>
              <w:numPr>
                <w:ilvl w:val="3"/>
                <w:numId w:val="0"/>
              </w:numPr>
              <w:kinsoku/>
              <w:wordWrap/>
              <w:overflowPunct/>
              <w:topLinePunct w:val="0"/>
              <w:autoSpaceDE/>
              <w:autoSpaceDN/>
              <w:bidi w:val="0"/>
              <w:adjustRightInd/>
              <w:snapToGrid/>
              <w:spacing w:before="0" w:after="0" w:line="240" w:lineRule="auto"/>
              <w:ind w:left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17.住院患者静脉输液使用情况抽样</w:t>
            </w:r>
          </w:p>
        </w:tc>
      </w:tr>
      <w:tr w14:paraId="4166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4EAC44C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★大屏展示功能</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DB343FA">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系统应支持将重要审方指标通过图表在用户大屏上展示。</w:t>
            </w:r>
          </w:p>
        </w:tc>
      </w:tr>
      <w:tr w14:paraId="7CF0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5B7AA7B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电子药历</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F8735E1">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系统应提供工作药历、教学药历填写模块，并提供自定义药历内容、药历审阅和工作量统计。</w:t>
            </w:r>
          </w:p>
        </w:tc>
      </w:tr>
      <w:tr w14:paraId="43110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7400512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其它</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9BF0C9B">
            <w:pPr>
              <w:pStyle w:val="42"/>
              <w:numPr>
                <w:ilvl w:val="0"/>
                <w:numId w:val="0"/>
              </w:numPr>
              <w:spacing w:line="360" w:lineRule="auto"/>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1.自维护功能</w:t>
            </w:r>
          </w:p>
          <w:p w14:paraId="0137143D">
            <w:pP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系统应对医院药品属性、给药途径、给药频次、感染疾病类型、检验申请/结果/收费项目类型、手术分类、科室类型、医生抗菌药物权限、围术期用药等基础数据进行程序自动维护。</w:t>
            </w:r>
          </w:p>
          <w:p w14:paraId="45EFC385">
            <w:pPr>
              <w:numPr>
                <w:ilvl w:val="0"/>
                <w:numId w:val="0"/>
              </w:numPr>
              <w:ind w:leftChars="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2.权限管理</w:t>
            </w:r>
          </w:p>
          <w:p w14:paraId="7DA00475">
            <w:pPr>
              <w:pStyle w:val="6"/>
              <w:numPr>
                <w:ilvl w:val="0"/>
                <w:numId w:val="37"/>
              </w:numPr>
              <w:ind w:left="0" w:firstLine="0"/>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系统应对各项功能设置严格的权限管理，包括处方点评权限、报表的统计权限、打印/导出权限等。</w:t>
            </w:r>
          </w:p>
          <w:p w14:paraId="5D3434E6">
            <w:pPr>
              <w:pStyle w:val="6"/>
              <w:numPr>
                <w:ilvl w:val="0"/>
                <w:numId w:val="37"/>
              </w:numPr>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
              </w:rPr>
              <w:t>系统应提供用户操作日志、版本更新内容查询功能。</w:t>
            </w:r>
          </w:p>
        </w:tc>
      </w:tr>
      <w:tr w14:paraId="3D0E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F30B38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医嘱点评</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9A72BB5">
            <w:pPr>
              <w:pStyle w:val="6"/>
              <w:numPr>
                <w:ilvl w:val="0"/>
                <w:numId w:val="0"/>
              </w:numPr>
              <w:ind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疼痛，肠外营养，血液制品，不良反应，基本药物，重点监控，抗菌药物，糖皮质激素，肿瘤，碳青酶烯类和替加环素，ppi等专项点评。</w:t>
            </w:r>
            <w:r>
              <w:rPr>
                <w:rFonts w:hint="eastAsia" w:ascii="宋体" w:hAnsi="宋体" w:eastAsia="宋体" w:cs="宋体"/>
                <w:b w:val="0"/>
                <w:bCs w:val="0"/>
                <w:color w:val="auto"/>
                <w:sz w:val="24"/>
                <w:szCs w:val="24"/>
                <w:highlight w:val="none"/>
              </w:rPr>
              <w:t>系统应提供对医院合理用药指标及药品使用情况的统计分析，并能自定义显示和导出。同时提供关键字检索功能，便于快速查询指标。</w:t>
            </w:r>
          </w:p>
          <w:p w14:paraId="12F3F96E">
            <w:pPr>
              <w:rPr>
                <w:rFonts w:hint="eastAsia" w:ascii="宋体" w:hAnsi="宋体" w:eastAsia="宋体" w:cs="宋体"/>
                <w:b w:val="0"/>
                <w:bCs w:val="0"/>
                <w:color w:val="auto"/>
                <w:sz w:val="24"/>
                <w:szCs w:val="24"/>
                <w:highlight w:val="none"/>
                <w:lang w:val="en-US" w:eastAsia="zh-CN"/>
              </w:rPr>
            </w:pPr>
          </w:p>
        </w:tc>
      </w:tr>
      <w:tr w14:paraId="19024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1E1CA6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开具处方及医嘱</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200AA60">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链接HIS</w:t>
            </w:r>
            <w:r>
              <w:rPr>
                <w:rFonts w:hint="eastAsia" w:ascii="宋体" w:hAnsi="宋体" w:eastAsia="宋体" w:cs="宋体"/>
                <w:b w:val="0"/>
                <w:bCs w:val="0"/>
                <w:color w:val="auto"/>
                <w:sz w:val="24"/>
                <w:szCs w:val="24"/>
                <w:highlight w:val="none"/>
              </w:rPr>
              <w:t>支持在医生开方阶段对处方/医嘱</w:t>
            </w:r>
            <w:r>
              <w:rPr>
                <w:rFonts w:hint="eastAsia" w:ascii="宋体" w:hAnsi="宋体" w:eastAsia="宋体" w:cs="宋体"/>
                <w:b w:val="0"/>
                <w:bCs w:val="0"/>
                <w:color w:val="auto"/>
                <w:sz w:val="24"/>
                <w:szCs w:val="24"/>
                <w:highlight w:val="none"/>
                <w:lang w:val="en-US" w:eastAsia="zh-CN"/>
              </w:rPr>
              <w:t>给予</w:t>
            </w:r>
            <w:r>
              <w:rPr>
                <w:rFonts w:hint="eastAsia" w:ascii="宋体" w:hAnsi="宋体" w:eastAsia="宋体" w:cs="宋体"/>
                <w:b w:val="0"/>
                <w:bCs w:val="0"/>
                <w:color w:val="auto"/>
                <w:sz w:val="24"/>
                <w:szCs w:val="24"/>
                <w:highlight w:val="none"/>
              </w:rPr>
              <w:t>用法用量、相互作用、配伍禁忌、重复用药、禁忌症、适应症、特殊人群用药、妊娠期用药、哺乳期用药、过敏、给药途径</w:t>
            </w:r>
            <w:r>
              <w:rPr>
                <w:rFonts w:hint="eastAsia" w:ascii="宋体" w:hAnsi="宋体" w:eastAsia="宋体" w:cs="宋体"/>
                <w:b w:val="0"/>
                <w:bCs w:val="0"/>
                <w:color w:val="auto"/>
                <w:sz w:val="24"/>
                <w:szCs w:val="24"/>
                <w:highlight w:val="none"/>
                <w:lang w:val="en-US" w:eastAsia="zh-CN"/>
              </w:rPr>
              <w:t>的弹窗提醒</w:t>
            </w:r>
          </w:p>
        </w:tc>
      </w:tr>
      <w:tr w14:paraId="3D8E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49142C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特殊药品报表</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FDE658B">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门诊及住院麻醉精神药品月使用总量及明细</w:t>
            </w:r>
          </w:p>
        </w:tc>
      </w:tr>
      <w:tr w14:paraId="00F1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254579D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带量药品报量</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719006E">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带量药品使用</w:t>
            </w:r>
            <w:r>
              <w:rPr>
                <w:rFonts w:hint="eastAsia" w:ascii="宋体" w:hAnsi="宋体" w:eastAsia="宋体" w:cs="宋体"/>
                <w:b w:val="0"/>
                <w:bCs/>
                <w:color w:val="auto"/>
                <w:kern w:val="2"/>
                <w:sz w:val="24"/>
                <w:szCs w:val="24"/>
                <w:highlight w:val="none"/>
                <w:lang w:val="en-US" w:eastAsia="zh-CN" w:bidi="ar-SA"/>
              </w:rPr>
              <w:t>清单及统计</w:t>
            </w:r>
          </w:p>
        </w:tc>
      </w:tr>
      <w:tr w14:paraId="140D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1CCC2CB">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自定义报表</w:t>
            </w:r>
          </w:p>
          <w:p w14:paraId="5EA06B92">
            <w:pPr>
              <w:jc w:val="center"/>
              <w:rPr>
                <w:rFonts w:hint="eastAsia" w:ascii="宋体" w:hAnsi="宋体" w:eastAsia="宋体" w:cs="宋体"/>
                <w:b w:val="0"/>
                <w:bCs w:val="0"/>
                <w:color w:val="auto"/>
                <w:sz w:val="24"/>
                <w:szCs w:val="24"/>
                <w:highlight w:val="none"/>
                <w:lang w:val="en-US" w:eastAsia="zh-CN"/>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423BDA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1、支持用户选择按机构、按药品、按问题类型、按手术新增自定义报表，覆盖医院用药数据统计的所需维度；</w:t>
            </w:r>
          </w:p>
          <w:p w14:paraId="70B3A55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系统提供出院、实际、含在院三个统计维度，支持用户设定自定义报表的数据统计维度。出院维度：根据出院患者的出院科室统计用药数据；实际维度：根据出院患者的药嘱开具科室统计用药数据；含在院：根据业务发生日期的收费数据统计相关的用药数据；</w:t>
            </w:r>
          </w:p>
          <w:p w14:paraId="4692A4B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系统提供全院、门急诊、住院三个维度，支持用户设定自定义报表的统计数据来源，覆盖医院用药数据统计的来源选择；门急诊维度：统计数据来源为门诊或急诊的患者用药数据；住院维度：统计来源是出院患者的用药数据；</w:t>
            </w:r>
          </w:p>
          <w:p w14:paraId="436366C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4、系统提供月、季、年三个报表自动生成周期，支持用户设定自定义报表的自动生成周期，还支持手动选择时间范围生成报表数据，满足医院用药数据统计的时间范围选择；</w:t>
            </w:r>
          </w:p>
          <w:p w14:paraId="50CFB4C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5、支持用户预览、修改、删除、复制、移动自定义报表，并支持对自定义报表分类管理；</w:t>
            </w:r>
          </w:p>
          <w:p w14:paraId="4AA8F4B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6、系统提供标准出厂指标，用户可直接选择出厂指标组合成新的自定义报表，同时系统支持用户自定义常用维度的统计指标、计算指标、手工指标；</w:t>
            </w:r>
          </w:p>
          <w:p w14:paraId="40A2072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统计指标：支持用户个性化设定药品属性、药品分类、问题类型条件，用于筛选并统计满足条件的处方数、处方人次、出院人次、用药人次、问题发生数、处方金额、药品金额、品规数、累计品规数、品种数、累计品种数、医嘱条目数、使用量（DDDS）；</w:t>
            </w:r>
          </w:p>
          <w:p w14:paraId="66A8448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（2）计算指标：支持用户选择多个相同数据来源的指标进行运算，实现个性化配置所需的计算指标；</w:t>
            </w:r>
          </w:p>
          <w:p w14:paraId="71DF6A1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（3）手工指标：支持用户增加手工指标，用于展示无法统计或计算的相关内容，提供手工指标页面输入结果数据功能；</w:t>
            </w:r>
          </w:p>
          <w:p w14:paraId="25D538F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7、支持编辑调整自定义报表的格式，可设置表头、表尾、单元格合并及指标排序。</w:t>
            </w:r>
          </w:p>
          <w:p w14:paraId="3C7FA163">
            <w:pPr>
              <w:rPr>
                <w:rFonts w:hint="eastAsia" w:ascii="宋体" w:hAnsi="宋体" w:eastAsia="宋体" w:cs="宋体"/>
                <w:b w:val="0"/>
                <w:bCs w:val="0"/>
                <w:color w:val="auto"/>
                <w:sz w:val="24"/>
                <w:szCs w:val="24"/>
                <w:highlight w:val="none"/>
                <w:lang w:val="en-US" w:eastAsia="zh-CN"/>
              </w:rPr>
            </w:pPr>
          </w:p>
        </w:tc>
      </w:tr>
      <w:tr w14:paraId="2996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21B2D2AC">
            <w:pPr>
              <w:pStyle w:val="9"/>
              <w:numPr>
                <w:ilvl w:val="0"/>
                <w:numId w:val="0"/>
              </w:numPr>
              <w:ind w:left="56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其他功能</w:t>
            </w:r>
          </w:p>
          <w:p w14:paraId="6DE955D4">
            <w:pPr>
              <w:jc w:val="center"/>
              <w:rPr>
                <w:rFonts w:hint="eastAsia" w:ascii="宋体" w:hAnsi="宋体" w:eastAsia="宋体" w:cs="宋体"/>
                <w:b w:val="0"/>
                <w:bCs w:val="0"/>
                <w:color w:val="auto"/>
                <w:sz w:val="24"/>
                <w:szCs w:val="24"/>
                <w:highlight w:val="none"/>
                <w:lang w:val="en-US" w:eastAsia="zh-CN"/>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D0A1C7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1、支持报表按机构》科室（住院数据按出院科室统计）》医生（或医疗组）的下钻展示，并支持按条件筛选报表统计结果；</w:t>
            </w:r>
          </w:p>
          <w:p w14:paraId="2A78CA4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2、支持按月、季度、年自动生成周期性报表，同时支持用户手动生成非周期性报表数据；</w:t>
            </w:r>
          </w:p>
          <w:p w14:paraId="1197977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3、支持在线调整报表的显示内容，包括显示哪些指标及指标显示顺序；</w:t>
            </w:r>
          </w:p>
          <w:p w14:paraId="2718F8B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4、支持具体指标统计结果的点击排序；</w:t>
            </w:r>
          </w:p>
          <w:p w14:paraId="1218B10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5、支持数据有变化时，提醒用户重新生成报表；</w:t>
            </w:r>
          </w:p>
          <w:p w14:paraId="2FB5CE3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6、支持报表导出，导出格式为excel、WPS格式；</w:t>
            </w:r>
          </w:p>
          <w:p w14:paraId="07C7A987">
            <w:pPr>
              <w:widowControl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t>7、支持配置报表查看、报表生成、报表管理、报表填写的用户权限。</w:t>
            </w:r>
          </w:p>
        </w:tc>
      </w:tr>
      <w:tr w14:paraId="4F9C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3CCD75C">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处方/医嘱分析</w:t>
            </w:r>
          </w:p>
          <w:p w14:paraId="3652962D">
            <w:pPr>
              <w:jc w:val="center"/>
              <w:rPr>
                <w:rFonts w:hint="eastAsia" w:ascii="宋体" w:hAnsi="宋体" w:eastAsia="宋体" w:cs="宋体"/>
                <w:b w:val="0"/>
                <w:bCs w:val="0"/>
                <w:color w:val="auto"/>
                <w:sz w:val="24"/>
                <w:szCs w:val="24"/>
                <w:highlight w:val="none"/>
                <w:lang w:val="en-US" w:eastAsia="zh-CN"/>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A19DAB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1、支持处方/医嘱每天自动导入合理用药管理系统，并支持全处方/出院医嘱的自动分析；</w:t>
            </w:r>
          </w:p>
          <w:p w14:paraId="56AA012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2、支持门诊按单张处方和按患者当天所有处方合并审查，出院按患者进行合并分析；</w:t>
            </w:r>
          </w:p>
          <w:p w14:paraId="6947AE6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3、支持对处方/医嘱中存在的用法用量、相互作用、配伍禁忌、重复用药、禁忌症、适应症、特殊人群用药、妊娠期用药、哺乳期用药、过敏、给药途径等不合理用药情况进行自动分析。</w:t>
            </w:r>
          </w:p>
          <w:p w14:paraId="3BDBDCCA">
            <w:pPr>
              <w:widowControl w:val="0"/>
              <w:ind w:firstLine="480" w:firstLineChars="200"/>
              <w:rPr>
                <w:rFonts w:hint="eastAsia" w:ascii="宋体" w:hAnsi="宋体" w:eastAsia="宋体" w:cs="宋体"/>
                <w:sz w:val="24"/>
                <w:szCs w:val="24"/>
                <w:highlight w:val="none"/>
              </w:rPr>
            </w:pPr>
          </w:p>
        </w:tc>
      </w:tr>
      <w:tr w14:paraId="3560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7D79DC3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t>处方/医嘱系统审查结果的查询</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11DFBA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1、支持药师查看所有处方/医嘱，并可查看系统警示信息及个性化用药规则的分析结果；</w:t>
            </w:r>
          </w:p>
          <w:p w14:paraId="429024C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2、支持科主任/医院管理人员登入系统，查看本科室/本院的处方/医嘱及分析结果；</w:t>
            </w:r>
          </w:p>
          <w:p w14:paraId="6055ED5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3、支持医生登入系统，查看本人的处方和处方分析结果；</w:t>
            </w:r>
          </w:p>
          <w:p w14:paraId="3AE4955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4、支持从门诊处方、门诊患者、出院患者维度查看所有处方/医嘱及分析结果；</w:t>
            </w:r>
          </w:p>
          <w:p w14:paraId="26F5F65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5、对于门诊处方，提供日期、处方号、患者号、患者姓名、科室、医生、诊断、警示类型、警示等级、药品名称等检索条件，支持根据选择条件筛选并展示相关处方数据及其审查结果；</w:t>
            </w:r>
          </w:p>
          <w:p w14:paraId="3D43FFF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6、对于门诊患者，提供日期、患者号、患者姓名、科室、医生、警示类型、警示等级等检索条件，支持根据选择条件筛选并展示相关门诊患者数据及其审查结果；</w:t>
            </w:r>
          </w:p>
          <w:p w14:paraId="6450B28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7、对于出院患者，提供日期、住院号、患者号、患者姓名、病案号、科室、诊断、警示类型、警示等级、药品名称等检索条件，筛选出出院患者信息及审查结果；</w:t>
            </w:r>
          </w:p>
          <w:p w14:paraId="129C62F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8、支持药师结合医院的实际用药情况，对系统审查产生的警示信息进行确认、待查操作。</w:t>
            </w:r>
          </w:p>
        </w:tc>
      </w:tr>
      <w:tr w14:paraId="18D0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298C4BF2">
            <w:pPr>
              <w:pStyle w:val="7"/>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处方/医嘱点评</w:t>
            </w:r>
          </w:p>
          <w:p w14:paraId="7B6F6CD7">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6635D4F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1、支持全处方点评和全医嘱点评；</w:t>
            </w:r>
          </w:p>
          <w:p w14:paraId="2837405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2、支持特定条件下处方/医嘱的抽样点评；</w:t>
            </w:r>
          </w:p>
          <w:p w14:paraId="48742B9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3、支持通过自定义模板的方式保留抽取条件和分配方案，对处方/医嘱进行抽样点评；</w:t>
            </w:r>
          </w:p>
          <w:p w14:paraId="3C4DA1A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4、支持对特定药品进行专项点评，如抗菌药物专项、基药专项等；</w:t>
            </w:r>
          </w:p>
          <w:p w14:paraId="5AE632D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5、支持多维度的抽样筛选条件组合抽取，满足用户不同的抽样要求；</w:t>
            </w:r>
          </w:p>
        </w:tc>
      </w:tr>
      <w:tr w14:paraId="62A7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7ADDF299">
            <w:pPr>
              <w:pStyle w:val="8"/>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处方/医嘱人工点评</w:t>
            </w:r>
          </w:p>
          <w:p w14:paraId="70E7ABC7">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D72730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1、支持处方/医嘱点评项目的任务进行分配，将抽取的处方/医嘱分配给多个药师进行人工点评；</w:t>
            </w:r>
          </w:p>
          <w:p w14:paraId="02C5F3E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2、支持复核点评流程，所有点评药师完成点评后项目进入复核阶段，复评药师可查看点评药师的点评结果并对点评结果进行复核点评并保存复核结果；</w:t>
            </w:r>
          </w:p>
          <w:p w14:paraId="62B1E7E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3、支持点评药师查看并点评被分配的点评项目及具体点评任务，点评任务列表页面提供时间、患者姓名、是否合理、机评结果、警示类型、警示等级、点评状态、审阅状态、科室、选择药品筛选条件；</w:t>
            </w:r>
          </w:p>
          <w:p w14:paraId="62C37F4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4、支持点评药师在点评处方/医嘱时，对系统点评产生的警示信息内容进行忽略或恢复，并支持人工添加点评意见，填写人工点评意见时支持选择问题代码及药品名称；</w:t>
            </w:r>
          </w:p>
          <w:p w14:paraId="73CCB3D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5、提供处方/医嘱明细页警示等级按钮，点击对应等级即可显示或隐藏对应等级的警示信息；</w:t>
            </w:r>
          </w:p>
          <w:p w14:paraId="634C3B6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6、支持人工点评意见标记展示，点评药师人工添加的人评意见展示“人评”标记</w:t>
            </w:r>
          </w:p>
          <w:p w14:paraId="4626619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7、支持机评警示信息、点评意见、复核意见和最终点评意见单独存储；</w:t>
            </w:r>
          </w:p>
          <w:p w14:paraId="5BFA2A2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8、支持处方/医嘱点评详情页面外链跳转功能；</w:t>
            </w:r>
          </w:p>
          <w:p w14:paraId="3AD3269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9、点评任务列表页支持处方/医嘱的批量点评，包括批量确认机评结果和批量忽略机评结果；</w:t>
            </w:r>
          </w:p>
          <w:p w14:paraId="1D3E655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10、点评项目列表页面支持配置显示样本开始时间、样本结束时间、项目创建时间、项目结束时间、项目入库时间、项目推送时间。</w:t>
            </w:r>
          </w:p>
        </w:tc>
      </w:tr>
      <w:tr w14:paraId="27F7A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ECC66DF">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处方/医嘱界面展示</w:t>
            </w:r>
          </w:p>
          <w:p w14:paraId="6B42B6EA">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64CBE9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1、支持处方/医嘱明细页面一体化展示患者信息、处方/医嘱信息、检查检验信息、手术信息、电子病历信息及系统自动分析结果；</w:t>
            </w:r>
          </w:p>
          <w:p w14:paraId="2843E2C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2、对于门诊处方，支持查看患者当日所有处方；</w:t>
            </w:r>
          </w:p>
          <w:p w14:paraId="6DEFB79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3、对于住院医嘱，支持按医嘱类型、药品属性、药品名称、科室、医生进行医嘱明细信息筛选；</w:t>
            </w:r>
          </w:p>
          <w:p w14:paraId="635FDDA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4、支持点击警示信息后，左侧药品区域只展示存在该警示信息的问题药品；</w:t>
            </w:r>
          </w:p>
          <w:p w14:paraId="719C046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5、支持点击药品后，右侧警示信息栏只显示该药品相关的警示信息；</w:t>
            </w:r>
          </w:p>
          <w:p w14:paraId="6C03744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6、支持在药师点评详情页面，展示干预阶段或审方阶段医生双签名确认时填写的理由；</w:t>
            </w:r>
          </w:p>
          <w:p w14:paraId="0AADA68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7、支持用户自定义设置患者信息显示的字段；</w:t>
            </w:r>
          </w:p>
          <w:p w14:paraId="482F692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8、支持用户自定义设置药品明细页面展示的字段，并可设置字段排序，方便药师关注信息的优先展示。</w:t>
            </w:r>
          </w:p>
          <w:p w14:paraId="35D0DDAA">
            <w:pPr>
              <w:widowControl w:val="0"/>
              <w:ind w:firstLine="480" w:firstLineChars="200"/>
              <w:rPr>
                <w:rFonts w:hint="eastAsia" w:ascii="宋体" w:hAnsi="宋体" w:eastAsia="宋体" w:cs="宋体"/>
                <w:sz w:val="24"/>
                <w:szCs w:val="24"/>
                <w:highlight w:val="none"/>
              </w:rPr>
            </w:pPr>
          </w:p>
        </w:tc>
      </w:tr>
      <w:tr w14:paraId="5467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4929CA5F">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问题代码设置功能</w:t>
            </w:r>
          </w:p>
          <w:p w14:paraId="30314D6D">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A85747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1、系统支持用户自定义问题代码与警示类型的对应关系，同时支持按对应关系自动生成问题代码；</w:t>
            </w:r>
          </w:p>
          <w:p w14:paraId="215ACC3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2、支持问题代码在的点评界面展示和项目报表中导出。</w:t>
            </w:r>
          </w:p>
        </w:tc>
      </w:tr>
      <w:tr w14:paraId="6FD6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4D350E48">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项目报表生成及导出</w:t>
            </w:r>
          </w:p>
          <w:p w14:paraId="68ED36F4">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1172E5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处方点评项目结束后，支持按机构、按科室、按医生、按科室-医生生成项目报表，包括点评处方数、处方人次数、用药品种数、抗菌药物品种数、基药品种数、抗菌药物总金额、基药使用人次数、基药使用人次百分率、抗菌药物金额百分率、抗菌药物品种数百分率、不合理处方数等指标等统计指标，满足处方点评的要求；</w:t>
            </w:r>
          </w:p>
          <w:p w14:paraId="137B536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医嘱项目结束后，支持按机构、按科室、按医疗组、按科室-主管医生生成项目报表，包括出院患者人次数、用药品种数、抗菌药物品种数、基药品种数、抗菌药物使用百分率(%)、合理医嘱百分率(%)、抗菌药物总金额、抗菌药物金额百分率、抗菌药物品种数百分率、不合理医嘱数等统计指标；满足医院医嘱点评的要求；</w:t>
            </w:r>
          </w:p>
          <w:p w14:paraId="7EBCE3D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3、支持项目报表、处方/医嘱样本数据导出成excel文件；</w:t>
            </w:r>
          </w:p>
          <w:p w14:paraId="50AF55D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4、支持用户自定义设置样本导出方案，提供可选择的处方或医嘱点评样本导出字段（系统提供80+待选字段），满足用户的个性化导出要求。</w:t>
            </w:r>
          </w:p>
          <w:p w14:paraId="038926A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5、门诊处方项目导出时支持导出全部药品、抽取药品、抗菌药物、问题药品的数据。</w:t>
            </w:r>
          </w:p>
          <w:p w14:paraId="047C326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6、住院医嘱项目导出时支持导出全部药品、抽取药品、抗菌药物、问题药品、出院带药、抽取医生的数据。</w:t>
            </w:r>
          </w:p>
          <w:p w14:paraId="386F103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7、支持将结束后项目中的数据进行汇总统计，支持按日期、机构、样本类型、处方来源、科室范围进行样本统计；</w:t>
            </w:r>
          </w:p>
          <w:p w14:paraId="7FEE707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8、支持自定义配置用户项目报表查看和导出的权限；</w:t>
            </w:r>
          </w:p>
          <w:p w14:paraId="5D84592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9、提供点评统计功能（非必要不提供，可增值销售）</w:t>
            </w:r>
          </w:p>
          <w:p w14:paraId="7D7096E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（1）样本统计</w:t>
            </w:r>
          </w:p>
          <w:p w14:paraId="2F88229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①门诊处方：处方总数、抽取数、抽取率、点评数、点评率、合理数、不合理数、合理率、处方总人次数、点评人次数、点评率（人次）、合理人次数、不合理人次数、合理率（人次）的数据统计；</w:t>
            </w:r>
          </w:p>
          <w:p w14:paraId="139B5CF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②住院医嘱：医嘱总数、抽取数、抽取率、点评数、点评率、合理数、不合理数、合理率的数据统计；</w:t>
            </w:r>
          </w:p>
          <w:p w14:paraId="633718C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（2）药师统计：点评药师、分配数、合理数、不合理数、合理率、点评数、点评合理数、点评不合理数、点评合理率、完成率、点评项目及数量的数据统计；</w:t>
            </w:r>
          </w:p>
          <w:p w14:paraId="02B8577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（3）医生统计</w:t>
            </w:r>
          </w:p>
          <w:p w14:paraId="6B6201E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①门诊处方：处方数、被选中处方数、合理处方数、不合理处方数、合理率、不合理原因、问题代码的数据统计；</w:t>
            </w:r>
          </w:p>
          <w:p w14:paraId="6A81FCA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②医嘱医生统计支持主管医生医嘱数、被选中医嘱数、合理医嘱数、不合理医嘱数、合理率、不合理原因、问题代码的数据统计；</w:t>
            </w:r>
          </w:p>
          <w:p w14:paraId="0C7C0DB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药品统计：西药、中成药、中药饮片、质子泵抑制剂、注射剂、抗菌药物、特殊级、限制级、非限制级、国家基本药物等标准属性的处方数/出院患者人次数、使用率、点评数、点评率、合理处方/医嘱数、不合理处方/医嘱数、合理率的数据统计；</w:t>
            </w:r>
          </w:p>
          <w:p w14:paraId="5A19640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（5）专项统计：按模板统计抽取数、点评数、合理数、不合理数、合理率的数据。</w:t>
            </w:r>
          </w:p>
        </w:tc>
      </w:tr>
      <w:tr w14:paraId="6E3EC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53BF2376">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点评结果查看</w:t>
            </w:r>
          </w:p>
          <w:p w14:paraId="7656B799">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CF5044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1、支持科主任/医院管理人员登入系统，查看管理科室/管理机构的处方/医嘱及点评结果；</w:t>
            </w:r>
          </w:p>
          <w:p w14:paraId="7146EB5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2、支持医生登入系统查看本人的不合理处方或医嘱，在点评项目未结束时可对药师的点评结果进行申述，填入申述理由，并支持上传附件。</w:t>
            </w:r>
          </w:p>
        </w:tc>
      </w:tr>
      <w:tr w14:paraId="48C0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4E85AF12">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常用上报报表</w:t>
            </w:r>
          </w:p>
          <w:p w14:paraId="11FA11A0">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F3DCA1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1、公立医院绩效考核指标统计表；</w:t>
            </w:r>
          </w:p>
          <w:p w14:paraId="1F483B8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2、药事管理专业医疗质量控制指标（2020版）；</w:t>
            </w:r>
          </w:p>
          <w:p w14:paraId="3CC775E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3、抗菌药物临床应用管理评价指标（</w:t>
            </w:r>
            <w:r>
              <w:rPr>
                <w:rFonts w:hint="eastAsia" w:ascii="宋体" w:hAnsi="宋体" w:eastAsia="宋体" w:cs="宋体"/>
                <w:sz w:val="24"/>
                <w:szCs w:val="24"/>
                <w:highlight w:val="none"/>
                <w:lang w:val="en-US"/>
              </w:rPr>
              <w:t>2023</w:t>
            </w:r>
            <w:r>
              <w:rPr>
                <w:rFonts w:hint="eastAsia" w:ascii="宋体" w:hAnsi="宋体" w:eastAsia="宋体" w:cs="宋体"/>
                <w:sz w:val="24"/>
                <w:szCs w:val="24"/>
                <w:highlight w:val="none"/>
              </w:rPr>
              <w:t>版）。</w:t>
            </w:r>
          </w:p>
        </w:tc>
      </w:tr>
      <w:tr w14:paraId="4FA1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7B4AA716">
            <w:pPr>
              <w:pStyle w:val="8"/>
              <w:numPr>
                <w:ilvl w:val="6"/>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家卫生计生委抗菌药物临床应用管理数据上报报表</w:t>
            </w:r>
          </w:p>
          <w:p w14:paraId="0AE9ACEB">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50EC55B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涵盖国家卫生计生委抗菌药物临床应用管理数据上报要求的报表。</w:t>
            </w:r>
          </w:p>
          <w:p w14:paraId="650E384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1、医疗机构一般情况调查；</w:t>
            </w:r>
          </w:p>
          <w:p w14:paraId="02E84B7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2、临床科室指标持续改进情况；</w:t>
            </w:r>
          </w:p>
          <w:p w14:paraId="53B108A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3、住院患者抗菌药物使用量排名前10种品种；</w:t>
            </w:r>
          </w:p>
          <w:p w14:paraId="52E3857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4、抗菌药物分级管理目录；</w:t>
            </w:r>
          </w:p>
          <w:p w14:paraId="5D0AB43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5、临床微生物标本送检率；</w:t>
            </w:r>
          </w:p>
          <w:p w14:paraId="5436689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6、医疗机构药品经费使用情况调查表；</w:t>
            </w:r>
          </w:p>
          <w:p w14:paraId="360E980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7、医疗机构抗菌药物品种、规格和使用量统计调查表；</w:t>
            </w:r>
          </w:p>
          <w:p w14:paraId="42CF5CE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8、医疗机构抗菌药物临床应用指标数据上报表；</w:t>
            </w:r>
          </w:p>
          <w:p w14:paraId="6D905F2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9、医疗机构I类切口手术用药情况调查表。</w:t>
            </w:r>
          </w:p>
        </w:tc>
      </w:tr>
      <w:tr w14:paraId="0AA4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F43489C">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抗菌药物专项</w:t>
            </w:r>
          </w:p>
          <w:p w14:paraId="24839805">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FDB9E91">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提供门诊及住院抗菌药物使用情况的统计，包括抗菌药物处方数、人次数、抗菌药物总金额、使用强度等指标。</w:t>
            </w:r>
          </w:p>
          <w:p w14:paraId="4064C4D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1、门诊抗菌药物使用情况汇总（按机构/科室/医生维度）；</w:t>
            </w:r>
          </w:p>
          <w:p w14:paraId="0B98372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2、住院抗菌药物使用情况汇总（按机构/科室/病区/医疗组）；</w:t>
            </w:r>
          </w:p>
          <w:p w14:paraId="6E9D1D6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3、住院抗菌药物送检情况分析（按机构/科室/病区/医疗组）；</w:t>
            </w:r>
          </w:p>
          <w:p w14:paraId="693EE76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4、门诊抗菌药物使用分析；</w:t>
            </w:r>
          </w:p>
          <w:p w14:paraId="5E01B6D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5、住院抗菌药物使用分析。</w:t>
            </w:r>
          </w:p>
        </w:tc>
      </w:tr>
      <w:tr w14:paraId="3C5C7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66C72CA3">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基本药物专项</w:t>
            </w:r>
          </w:p>
          <w:p w14:paraId="3F69CECD">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5C5659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提供基药及省基药的使用情况统计，包括基本药物处方数、总金额、人次数等指标。</w:t>
            </w:r>
          </w:p>
          <w:p w14:paraId="12B903D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1、门诊基本药物使用情况汇总（按机构/科室/医生维度）；</w:t>
            </w:r>
          </w:p>
          <w:p w14:paraId="5780408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2、门诊省基本药物使用情况汇总（按机构/科室/医生维度）；</w:t>
            </w:r>
          </w:p>
          <w:p w14:paraId="4A3A0E7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3、住院基本药物使用情况汇总（按机构/科室/病区/医疗组）；</w:t>
            </w:r>
          </w:p>
          <w:p w14:paraId="2F66705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4、住院省基本药物使用情况汇总（按机构/科室/病区/医疗组）。</w:t>
            </w:r>
          </w:p>
        </w:tc>
      </w:tr>
      <w:tr w14:paraId="7FEC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8AC4BC5">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输液药物专项</w:t>
            </w:r>
          </w:p>
          <w:p w14:paraId="52C93316">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0C2380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提供门诊及住院静脉输液药品、抗菌药物静脉输液药品的使用情况统计，包括输液药物总金额、静脉输液使用量（瓶/袋）、抗菌药物输液处方数等指标。</w:t>
            </w:r>
          </w:p>
          <w:p w14:paraId="44980EC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1、门诊输液药物使用情况汇总（按机构/科室/医生维度）；</w:t>
            </w:r>
          </w:p>
          <w:p w14:paraId="49FEE72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2、门诊抗菌药物输液情况汇总（按机构/科室/医生维度）；</w:t>
            </w:r>
          </w:p>
          <w:p w14:paraId="245092B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3、住院输液药物使用情况汇总（按机构/科室/病区/医疗组）；</w:t>
            </w:r>
          </w:p>
          <w:p w14:paraId="1CA2BE9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4、住院抗菌药物输液情况汇总（按机构/科室/病区/医疗组）。</w:t>
            </w:r>
          </w:p>
        </w:tc>
      </w:tr>
      <w:tr w14:paraId="168E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F2E01B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药品使用分析专项</w:t>
            </w: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85E35A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提供药品使用情况统计，包括处方总数、处方总金额、平均处方金额、出院患者总人次、出院患者用药总金额等指标。</w:t>
            </w:r>
          </w:p>
          <w:p w14:paraId="610D28F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1、全院药品使用分析；</w:t>
            </w:r>
          </w:p>
          <w:p w14:paraId="16D399A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2、门诊药品用量分析（按机构/科室/医生维度）；</w:t>
            </w:r>
          </w:p>
          <w:p w14:paraId="3841A4D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3、住院药品用量分析（按机构/科室/病区/医疗组）；</w:t>
            </w:r>
          </w:p>
          <w:p w14:paraId="2C72F5DB">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4、门诊药品金额分析（按机构/科室/医生维度）；</w:t>
            </w:r>
          </w:p>
          <w:p w14:paraId="5010343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5、住院药品金额分析（按机构/科室/病区/医疗组）。</w:t>
            </w:r>
          </w:p>
        </w:tc>
      </w:tr>
      <w:tr w14:paraId="3CBC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51088879">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质子泵抑制剂用药专项</w:t>
            </w:r>
          </w:p>
          <w:p w14:paraId="573AA9FB">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1F7489C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提供门诊及住院质子泵抑制剂的使用情况统计，包括质子泵抑制剂处方数、人次数、总金额等指标。</w:t>
            </w:r>
          </w:p>
          <w:p w14:paraId="1B5231E2">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1、门诊质子泵抑制剂使用情况汇总（按机构/科室/医生维度）；</w:t>
            </w:r>
          </w:p>
          <w:p w14:paraId="40CFB21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2、住院质子泵抑制剂使用情况汇总（按机构/科室/病区/医疗组）。</w:t>
            </w:r>
          </w:p>
        </w:tc>
      </w:tr>
      <w:tr w14:paraId="6168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10460CA1">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中药使用专项</w:t>
            </w:r>
          </w:p>
          <w:p w14:paraId="64D65CCB">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256FF3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提供中药饮片使用情况相关统计，包括处方数、药品金额、帖数、中药注射剂处方数等指标。</w:t>
            </w:r>
          </w:p>
          <w:p w14:paraId="2583B0E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1、门诊中药使用情况汇总（按机构/科室/医生维度）；</w:t>
            </w:r>
          </w:p>
          <w:p w14:paraId="0A33733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2、住院中药使用情况汇总（按机构/科室/病区/医疗组）。</w:t>
            </w:r>
          </w:p>
        </w:tc>
      </w:tr>
      <w:tr w14:paraId="5F66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F272D8E">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重点监控药品</w:t>
            </w:r>
          </w:p>
          <w:p w14:paraId="02E5904C">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0484F00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提供国家级、省级重点监控药品相关统计，包括药品总金额、处方数、处方人次等指标。</w:t>
            </w:r>
          </w:p>
          <w:p w14:paraId="6D9DB10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1、门诊国家重点监控药品使用情况汇总（按机构/科室/医生维度）；</w:t>
            </w:r>
          </w:p>
          <w:p w14:paraId="551E050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2、门诊省重点监控药品使用情况汇总（按机构/科室/医生维度）；</w:t>
            </w:r>
          </w:p>
          <w:p w14:paraId="6E1F2F8D">
            <w:pPr>
              <w:widowControl w:val="0"/>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门诊</w:t>
            </w:r>
            <w:r>
              <w:rPr>
                <w:rFonts w:hint="eastAsia" w:ascii="宋体" w:hAnsi="宋体" w:eastAsia="宋体" w:cs="宋体"/>
                <w:sz w:val="24"/>
                <w:szCs w:val="24"/>
                <w:highlight w:val="none"/>
                <w:lang w:val="en-US" w:eastAsia="zh-CN"/>
              </w:rPr>
              <w:t>医院</w:t>
            </w:r>
            <w:r>
              <w:rPr>
                <w:rFonts w:hint="eastAsia" w:ascii="宋体" w:hAnsi="宋体" w:eastAsia="宋体" w:cs="宋体"/>
                <w:sz w:val="24"/>
                <w:szCs w:val="24"/>
                <w:highlight w:val="none"/>
              </w:rPr>
              <w:t>重点监控药品使用情况汇总（按机构/科室/医生维度）；</w:t>
            </w:r>
          </w:p>
          <w:p w14:paraId="1C0CE7E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、住院国家重点监控药品使用情况汇总（按机构/科室/病区/医疗组）；</w:t>
            </w:r>
          </w:p>
          <w:p w14:paraId="6743C1B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、住院省重点监控药品使用情况汇总（按机构/科室/病区/医疗组）。</w:t>
            </w:r>
          </w:p>
          <w:p w14:paraId="1A44211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住院</w:t>
            </w:r>
            <w:r>
              <w:rPr>
                <w:rFonts w:hint="eastAsia" w:ascii="宋体" w:hAnsi="宋体" w:eastAsia="宋体" w:cs="宋体"/>
                <w:sz w:val="24"/>
                <w:szCs w:val="24"/>
                <w:highlight w:val="none"/>
                <w:lang w:val="en-US" w:eastAsia="zh-CN"/>
              </w:rPr>
              <w:t>医院</w:t>
            </w:r>
            <w:r>
              <w:rPr>
                <w:rFonts w:hint="eastAsia" w:ascii="宋体" w:hAnsi="宋体" w:eastAsia="宋体" w:cs="宋体"/>
                <w:sz w:val="24"/>
                <w:szCs w:val="24"/>
                <w:highlight w:val="none"/>
              </w:rPr>
              <w:t>重点监控药品使用情况汇总（按机构/科室/病区/医疗组）。</w:t>
            </w:r>
          </w:p>
        </w:tc>
      </w:tr>
      <w:tr w14:paraId="1D17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A71515B">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手术用药专项</w:t>
            </w:r>
          </w:p>
          <w:p w14:paraId="2EC213DE">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4CC453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提供I类切口手术预防使用抗菌药物情况的相关统计</w:t>
            </w:r>
          </w:p>
          <w:p w14:paraId="052A60C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1、一类切口围手术期抗菌药物使用情况表（按机构/科室/病区/医疗组）；</w:t>
            </w:r>
          </w:p>
          <w:p w14:paraId="5EA8E43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2、一类切口手术汇总表。</w:t>
            </w:r>
          </w:p>
        </w:tc>
      </w:tr>
      <w:tr w14:paraId="41EB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25E827AD">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药品适宜性分析报表</w:t>
            </w:r>
          </w:p>
          <w:p w14:paraId="6635207D">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35924C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提供药品适宜性分析，系统默认提供四级、五级、六级、七级不同类型的警示信息统计分析。</w:t>
            </w:r>
          </w:p>
          <w:p w14:paraId="5BEF4E1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1、门诊用药适宜性分析（按机构/科室/医生维度）；</w:t>
            </w:r>
          </w:p>
          <w:p w14:paraId="0B32FDA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2、门诊用药适宜性一览表；</w:t>
            </w:r>
          </w:p>
          <w:p w14:paraId="3FC4E96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3、住院用药适宜性分析（按机构/科室/病区/医疗组）；</w:t>
            </w:r>
          </w:p>
          <w:p w14:paraId="5B8C3B4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4、住院用药适宜性一览表；</w:t>
            </w:r>
          </w:p>
          <w:p w14:paraId="14C64C9D">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5、门诊药品用药问题统计；</w:t>
            </w:r>
          </w:p>
          <w:p w14:paraId="788D1FA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6、住院药品用药问题统计。</w:t>
            </w:r>
          </w:p>
        </w:tc>
      </w:tr>
      <w:tr w14:paraId="3C4EC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6B259D3E">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药品使用排名专项</w:t>
            </w:r>
          </w:p>
          <w:p w14:paraId="2F10C8BB">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29CB9D6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提供全院药品使用及医生用药情况排名。</w:t>
            </w:r>
          </w:p>
          <w:p w14:paraId="4FDCBDD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1、全院药品使用排名；</w:t>
            </w:r>
          </w:p>
          <w:p w14:paraId="1E3D4603">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2、全院医生用药排名。</w:t>
            </w:r>
          </w:p>
        </w:tc>
      </w:tr>
      <w:tr w14:paraId="11BD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69536C68">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药费增长趋势专项</w:t>
            </w:r>
          </w:p>
          <w:p w14:paraId="71A67759">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B1AC4E9">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提供门诊及住院费用增长情况的同比分析指标。</w:t>
            </w:r>
          </w:p>
          <w:p w14:paraId="2908D85F">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1、门诊药费增长分析表；</w:t>
            </w:r>
          </w:p>
          <w:p w14:paraId="793909FA">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2、住院药费增长分析表。</w:t>
            </w:r>
          </w:p>
        </w:tc>
      </w:tr>
      <w:tr w14:paraId="74CD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308790C9">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抗肿瘤药物专项</w:t>
            </w:r>
          </w:p>
          <w:p w14:paraId="48EAC3BB">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6E6F68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提供门诊及住院抗肿瘤药物使用情况的统计指标，包括抗肿瘤药物总金额、抗肿瘤药物处方数、出院患者抗肿瘤药物使用人次数等统计指标。</w:t>
            </w:r>
          </w:p>
          <w:p w14:paraId="1B02CF8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1、门诊抗肿瘤药物临床使用情况汇总（按机构/科室/医生维度）；</w:t>
            </w:r>
          </w:p>
          <w:p w14:paraId="68229A8E">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2、住院抗肿瘤药物临床使用情况汇总（按机构/科室/病区/医疗组）。</w:t>
            </w:r>
          </w:p>
        </w:tc>
      </w:tr>
      <w:tr w14:paraId="52A53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6CFCF5E9">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清单报表</w:t>
            </w:r>
          </w:p>
          <w:p w14:paraId="0D7459C0">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558FEFC">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按照国家卫生计生委办公厅关于进一步加强抗菌药物临床应用管理遏制细菌耐药的通知，提供碳青霉烯、替加环素及含酶抑制剂使用情况清单报表。</w:t>
            </w:r>
          </w:p>
          <w:p w14:paraId="0EAE84D5">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1、碳青霉烯类抗菌药物及替加环素使用情况信息表；</w:t>
            </w:r>
          </w:p>
          <w:p w14:paraId="7D2C19F0">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2、含酶抑制剂复合制剂使用情况表。</w:t>
            </w:r>
          </w:p>
        </w:tc>
      </w:tr>
      <w:tr w14:paraId="1C2F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4E1AC2DD">
            <w:pPr>
              <w:pStyle w:val="7"/>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医药信息查询</w:t>
            </w:r>
          </w:p>
          <w:p w14:paraId="2A51AE55">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7BC0E9A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系统通过用药知识体系，在临床诊疗过程中随时提供药品资料查询服务。系统支持查找的资料包括药品说明书、临床用药须知、新编药物学、临床检验指标、医药学计算公式、医药法规等。</w:t>
            </w:r>
          </w:p>
        </w:tc>
      </w:tr>
      <w:tr w14:paraId="404A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265968C8">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系统药品知识库</w:t>
            </w:r>
          </w:p>
          <w:p w14:paraId="37EA6676">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399E53F7">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统提供根据说明书定义的药品规则、三甲医院分享的规则供用户选择使用，可以根据医院的实际用药情况，自定义药品规则，设置药品使用的患者性别、年龄、体重、过敏药物、孕产状态、检验、诊断、配伍禁忌、药品相互作用、给药途径、给药时机、给药剂量、给药频次等。</w:t>
            </w:r>
          </w:p>
          <w:p w14:paraId="3279B7F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需提供1套初始化的说明书规则集，以及不少于3套供引用、参考的三甲医院临床应用规则集，包括三甲综合医院规则集、三甲儿童医院规则集和三甲中医院规则集等，知识库规则内容可视；说明书规则集基于药品说明书标准进行维护，需提供经过数百家医疗机构多年实践结果累积优化的一套规则集，需覆盖用户药品及其他已上市药品的合理性审查；并按不同的审查问题，进行警示级别的区分。</w:t>
            </w:r>
          </w:p>
        </w:tc>
      </w:tr>
      <w:tr w14:paraId="377EC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8" w:type="dxa"/>
            <w:gridSpan w:val="3"/>
            <w:tcBorders>
              <w:top w:val="single" w:color="000000" w:sz="4" w:space="0"/>
              <w:left w:val="single" w:color="000000" w:sz="4" w:space="0"/>
              <w:bottom w:val="single" w:color="000000" w:sz="4" w:space="0"/>
              <w:right w:val="single" w:color="000000" w:sz="4" w:space="0"/>
            </w:tcBorders>
            <w:noWrap w:val="0"/>
            <w:vAlign w:val="center"/>
          </w:tcPr>
          <w:p w14:paraId="03D7250F">
            <w:pPr>
              <w:pStyle w:val="8"/>
              <w:numPr>
                <w:ilvl w:val="0"/>
                <w:numId w:val="0"/>
              </w:numPr>
              <w:ind w:left="482" w:leftChars="0"/>
              <w:rPr>
                <w:rFonts w:hint="eastAsia" w:ascii="宋体" w:hAnsi="宋体" w:eastAsia="宋体" w:cs="宋体"/>
                <w:sz w:val="24"/>
                <w:szCs w:val="24"/>
                <w:highlight w:val="none"/>
              </w:rPr>
            </w:pPr>
            <w:r>
              <w:rPr>
                <w:rFonts w:hint="eastAsia" w:ascii="宋体" w:hAnsi="宋体" w:eastAsia="宋体" w:cs="宋体"/>
                <w:sz w:val="24"/>
                <w:szCs w:val="24"/>
                <w:highlight w:val="none"/>
              </w:rPr>
              <w:t>更新引导功能</w:t>
            </w:r>
          </w:p>
          <w:p w14:paraId="074EFCD8">
            <w:pPr>
              <w:jc w:val="center"/>
              <w:rPr>
                <w:rFonts w:hint="eastAsia" w:ascii="宋体" w:hAnsi="宋体" w:eastAsia="宋体" w:cs="宋体"/>
                <w:sz w:val="24"/>
                <w:szCs w:val="24"/>
                <w:highlight w:val="none"/>
              </w:rPr>
            </w:pPr>
          </w:p>
        </w:tc>
        <w:tc>
          <w:tcPr>
            <w:tcW w:w="6298" w:type="dxa"/>
            <w:tcBorders>
              <w:top w:val="single" w:color="000000" w:sz="4" w:space="0"/>
              <w:left w:val="single" w:color="000000" w:sz="4" w:space="0"/>
              <w:bottom w:val="single" w:color="000000" w:sz="4" w:space="0"/>
              <w:right w:val="single" w:color="000000" w:sz="4" w:space="0"/>
            </w:tcBorders>
            <w:noWrap w:val="0"/>
            <w:vAlign w:val="center"/>
          </w:tcPr>
          <w:p w14:paraId="4A9AC758">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1、说明书规则集中的规则内容会根据说明书的修订进行新增、修改。</w:t>
            </w:r>
          </w:p>
          <w:p w14:paraId="2EDD9044">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2、当用户系统知识包更新后，系统可根据用户使用规则的引用情况对更新的内容做出更新提醒，用户可根据自身业务需求对更新的规则进行全部更新、部分更新、或不更新操作；</w:t>
            </w:r>
          </w:p>
          <w:p w14:paraId="47A10E26">
            <w:pPr>
              <w:widowControl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3、当用户系统知识包更新后，系统可根据用户药品比对情况对新增的规则内容做出新增提醒，用户可根据自身业务需求对新增的规则进行全部更新、部分更新、或不更新操作。</w:t>
            </w:r>
          </w:p>
        </w:tc>
      </w:tr>
    </w:tbl>
    <w:p w14:paraId="7D76132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tbl>
      <w:tblPr>
        <w:tblStyle w:val="27"/>
        <w:tblW w:w="4866" w:type="pct"/>
        <w:tblInd w:w="114" w:type="dxa"/>
        <w:tblLayout w:type="autofit"/>
        <w:tblCellMar>
          <w:top w:w="0" w:type="dxa"/>
          <w:left w:w="108" w:type="dxa"/>
          <w:bottom w:w="0" w:type="dxa"/>
          <w:right w:w="108" w:type="dxa"/>
        </w:tblCellMar>
      </w:tblPr>
      <w:tblGrid>
        <w:gridCol w:w="2465"/>
        <w:gridCol w:w="5829"/>
      </w:tblGrid>
      <w:tr w14:paraId="3CF1473F">
        <w:tblPrEx>
          <w:tblCellMar>
            <w:top w:w="0" w:type="dxa"/>
            <w:left w:w="108" w:type="dxa"/>
            <w:bottom w:w="0" w:type="dxa"/>
            <w:right w:w="108" w:type="dxa"/>
          </w:tblCellMar>
        </w:tblPrEx>
        <w:trPr>
          <w:trHeight w:val="415" w:hRule="atLeast"/>
        </w:trPr>
        <w:tc>
          <w:tcPr>
            <w:tcW w:w="1486" w:type="pct"/>
            <w:tcBorders>
              <w:top w:val="single" w:color="B2A494" w:sz="4" w:space="0"/>
              <w:left w:val="single" w:color="B2A494" w:sz="4" w:space="0"/>
              <w:bottom w:val="single" w:color="B2A494" w:sz="4" w:space="0"/>
              <w:right w:val="single" w:color="B2A494" w:sz="4" w:space="0"/>
            </w:tcBorders>
            <w:shd w:val="clear" w:color="auto" w:fill="B2A494"/>
            <w:noWrap/>
            <w:vAlign w:val="center"/>
          </w:tcPr>
          <w:p w14:paraId="4BD0BBBA">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模块</w:t>
            </w:r>
          </w:p>
        </w:tc>
        <w:tc>
          <w:tcPr>
            <w:tcW w:w="3513" w:type="pct"/>
            <w:tcBorders>
              <w:top w:val="single" w:color="B2A494" w:sz="4" w:space="0"/>
              <w:left w:val="single" w:color="B2A494" w:sz="4" w:space="0"/>
              <w:bottom w:val="single" w:color="B2A494" w:sz="4" w:space="0"/>
              <w:right w:val="single" w:color="B2A494" w:sz="4" w:space="0"/>
            </w:tcBorders>
            <w:shd w:val="clear" w:color="auto" w:fill="B2A494"/>
            <w:noWrap w:val="0"/>
            <w:vAlign w:val="center"/>
          </w:tcPr>
          <w:p w14:paraId="71DC8B5A">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描述</w:t>
            </w:r>
          </w:p>
        </w:tc>
      </w:tr>
      <w:tr w14:paraId="55E7EEB7">
        <w:tblPrEx>
          <w:tblCellMar>
            <w:top w:w="0" w:type="dxa"/>
            <w:left w:w="108" w:type="dxa"/>
            <w:bottom w:w="0" w:type="dxa"/>
            <w:right w:w="108" w:type="dxa"/>
          </w:tblCellMar>
        </w:tblPrEx>
        <w:trPr>
          <w:trHeight w:val="17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1228DE97">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★患者管理</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708A9C6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提供医护人员记录和跟踪患者的基本信息，如姓名、性别、年龄、联系方式、病史</w:t>
            </w:r>
            <w:r>
              <w:rPr>
                <w:rFonts w:hint="eastAsia" w:ascii="宋体" w:hAnsi="宋体" w:eastAsia="宋体" w:cs="宋体"/>
                <w:sz w:val="24"/>
                <w:szCs w:val="24"/>
                <w:highlight w:val="none"/>
                <w:lang w:val="en"/>
              </w:rPr>
              <w:t>卡号、开方日期</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
              </w:rPr>
              <w:t>查找患者</w:t>
            </w:r>
            <w:r>
              <w:rPr>
                <w:rFonts w:hint="eastAsia" w:ascii="宋体" w:hAnsi="宋体" w:eastAsia="宋体" w:cs="宋体"/>
                <w:sz w:val="24"/>
                <w:szCs w:val="24"/>
                <w:highlight w:val="none"/>
              </w:rPr>
              <w:t>；</w:t>
            </w:r>
          </w:p>
          <w:p w14:paraId="2D0D3F85">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提供医护人员根据患者情况进行添加、编辑和删除患者信息；</w:t>
            </w:r>
          </w:p>
          <w:p w14:paraId="2BD9F04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提供住院患者、门诊患者、新入患者区别展示；</w:t>
            </w:r>
          </w:p>
          <w:p w14:paraId="1E8A479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提供根据关键词、治疗区、就诊科室、患者姓名等方式搜索患者</w:t>
            </w:r>
          </w:p>
          <w:p w14:paraId="4AFAA52D">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展示患者治疗项目安排情况；</w:t>
            </w:r>
          </w:p>
          <w:p w14:paraId="6A5C5E8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提供打印患者治疗导引单；</w:t>
            </w:r>
          </w:p>
          <w:p w14:paraId="3117C2F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提供自动同步治疗项目收费患者治疗信息；</w:t>
            </w:r>
          </w:p>
        </w:tc>
      </w:tr>
      <w:tr w14:paraId="3F32C312">
        <w:tblPrEx>
          <w:tblCellMar>
            <w:top w:w="0" w:type="dxa"/>
            <w:left w:w="108" w:type="dxa"/>
            <w:bottom w:w="0" w:type="dxa"/>
            <w:right w:w="108" w:type="dxa"/>
          </w:tblCellMar>
        </w:tblPrEx>
        <w:trPr>
          <w:trHeight w:val="104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3A965E7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★治疗登记</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6703AF5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提供接收患者符合纳入治疗系统的治疗项目，完成治疗计划拆分功能；</w:t>
            </w:r>
          </w:p>
          <w:p w14:paraId="2317B3E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提供日历格式日，周，月不同维度预约；</w:t>
            </w:r>
          </w:p>
          <w:p w14:paraId="2DAB733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提供根据治疗项目执行频率自动生成治疗计划；</w:t>
            </w:r>
          </w:p>
          <w:p w14:paraId="7B5285F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提供根据不同治疗计划查看预约情况，如按项目，按时间；</w:t>
            </w:r>
          </w:p>
          <w:p w14:paraId="645544C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提供治疗导引单打印功能；</w:t>
            </w:r>
          </w:p>
        </w:tc>
      </w:tr>
      <w:tr w14:paraId="098548AB">
        <w:tblPrEx>
          <w:tblCellMar>
            <w:top w:w="0" w:type="dxa"/>
            <w:left w:w="108" w:type="dxa"/>
            <w:bottom w:w="0" w:type="dxa"/>
            <w:right w:w="108" w:type="dxa"/>
          </w:tblCellMar>
        </w:tblPrEx>
        <w:trPr>
          <w:trHeight w:val="98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0E09672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★护士登记</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3061651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提供针对已预约治疗项目的登记并分配治疗医师；</w:t>
            </w:r>
          </w:p>
          <w:p w14:paraId="694F815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提供查看当日已登记，未登记患者情况；</w:t>
            </w:r>
          </w:p>
        </w:tc>
      </w:tr>
      <w:tr w14:paraId="5D5F7A94">
        <w:tblPrEx>
          <w:tblCellMar>
            <w:top w:w="0" w:type="dxa"/>
            <w:left w:w="108" w:type="dxa"/>
            <w:bottom w:w="0" w:type="dxa"/>
            <w:right w:w="108" w:type="dxa"/>
          </w:tblCellMar>
        </w:tblPrEx>
        <w:trPr>
          <w:trHeight w:val="126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55EFB29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★治疗执行</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1A030177">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提供当日及历史已治疗，未治疗，预约总数情况查看；</w:t>
            </w:r>
          </w:p>
          <w:p w14:paraId="71DD37F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提供本人/本科治疗患者情况查看；</w:t>
            </w:r>
          </w:p>
          <w:p w14:paraId="511FCEE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提供已治疗/未治疗患者情况查看；</w:t>
            </w:r>
          </w:p>
          <w:p w14:paraId="2BC3EDE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提供已治疗患者执行登记功能；</w:t>
            </w:r>
          </w:p>
          <w:p w14:paraId="191CC48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rPr>
              <w:t>具备单项目确费、多项目批量确费、取消门诊项目功能</w:t>
            </w:r>
            <w:r>
              <w:rPr>
                <w:rFonts w:hint="eastAsia" w:ascii="宋体" w:hAnsi="宋体" w:eastAsia="宋体" w:cs="宋体"/>
                <w:sz w:val="24"/>
                <w:szCs w:val="24"/>
                <w:highlight w:val="none"/>
                <w:lang w:val="en" w:eastAsia="zh-CN"/>
              </w:rPr>
              <w:t>；</w:t>
            </w:r>
          </w:p>
          <w:p w14:paraId="73812F1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rPr>
              <w:t>支持项目费用状态同步至医院信息系统</w:t>
            </w:r>
            <w:r>
              <w:rPr>
                <w:rFonts w:hint="eastAsia" w:ascii="宋体" w:hAnsi="宋体" w:eastAsia="宋体" w:cs="宋体"/>
                <w:sz w:val="24"/>
                <w:szCs w:val="24"/>
                <w:highlight w:val="none"/>
                <w:lang w:val="en" w:eastAsia="zh-CN"/>
              </w:rPr>
              <w:t>；</w:t>
            </w:r>
          </w:p>
        </w:tc>
      </w:tr>
      <w:tr w14:paraId="69490FA6">
        <w:tblPrEx>
          <w:tblCellMar>
            <w:top w:w="0" w:type="dxa"/>
            <w:left w:w="108" w:type="dxa"/>
            <w:bottom w:w="0" w:type="dxa"/>
            <w:right w:w="108" w:type="dxa"/>
          </w:tblCellMar>
        </w:tblPrEx>
        <w:trPr>
          <w:trHeight w:val="126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56C2F00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★治疗评估</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2001B0C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提供根据医院实际情况定制化评估量表；</w:t>
            </w:r>
          </w:p>
          <w:p w14:paraId="7EC56ED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提供评定量表自动计算分值及生成可打印报告；</w:t>
            </w:r>
          </w:p>
          <w:p w14:paraId="1FD5437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提供治疗区权限隔离，不同治疗区评估各自治疗区报告功能；</w:t>
            </w:r>
          </w:p>
          <w:p w14:paraId="17BE4C1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提供评估过程查看患者整个住院病历，支持查看患者的治疗记录情况；</w:t>
            </w:r>
          </w:p>
          <w:p w14:paraId="59947B1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提供评估报告完成时间质控功能；</w:t>
            </w:r>
          </w:p>
          <w:p w14:paraId="3207B18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提供评定报告 CA 数字签名；</w:t>
            </w:r>
          </w:p>
          <w:p w14:paraId="0207ED55">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提供治疗评估书写，评估单的录入、编辑和删除功能；</w:t>
            </w:r>
          </w:p>
          <w:p w14:paraId="18E4C5A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提供半自动化评估功能，且能根据评估结果提供治疗方案提醒；</w:t>
            </w:r>
          </w:p>
        </w:tc>
      </w:tr>
      <w:tr w14:paraId="3BFA0D47">
        <w:tblPrEx>
          <w:tblCellMar>
            <w:top w:w="0" w:type="dxa"/>
            <w:left w:w="108" w:type="dxa"/>
            <w:bottom w:w="0" w:type="dxa"/>
            <w:right w:w="108" w:type="dxa"/>
          </w:tblCellMar>
        </w:tblPrEx>
        <w:trPr>
          <w:trHeight w:val="126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0E64ED5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★治疗记录</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7F54074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提供治疗记录信息录入，修改，编辑等功能；</w:t>
            </w:r>
          </w:p>
          <w:p w14:paraId="7EDA7E6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提供治疗记录结构化存储功能；</w:t>
            </w:r>
          </w:p>
          <w:p w14:paraId="7D9E6AC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提供治疗记录归档功能；</w:t>
            </w:r>
          </w:p>
          <w:p w14:paraId="25265C5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提供治疗记录打印功能；</w:t>
            </w:r>
          </w:p>
          <w:p w14:paraId="75B77D4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患者预约完成后，到指定日期后到治疗科室进行治疗，治疗师选择患者的预约记录后，可根据实际情况在系统内录入具体的治疗情况，同时也可批量录入保存治疗记录。</w:t>
            </w:r>
          </w:p>
          <w:p w14:paraId="16BBA13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系统支持对已治疗的治疗记录进行修改撤销，也可为相应的治疗记录上传治疗图片，可浏览治疗记录各个操作节点的时间及操作人员信息。</w:t>
            </w:r>
          </w:p>
          <w:p w14:paraId="05F9B7E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r>
      <w:tr w14:paraId="6889F0D3">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6EA2065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★治疗统计</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1B3EE4E5">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提供治疗医师工作量统计功能；</w:t>
            </w:r>
          </w:p>
          <w:p w14:paraId="3700F3E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提供治疗明细查看统计功能；</w:t>
            </w:r>
          </w:p>
          <w:p w14:paraId="7D2747F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提供按照日历安排形式查看并导出治疗情况功能；</w:t>
            </w:r>
          </w:p>
          <w:p w14:paraId="6D43D20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提供患者报表、治疗项目报表、治疗区报表、治疗师工作量报表等多维度报表功能；</w:t>
            </w:r>
          </w:p>
          <w:p w14:paraId="3D7D06D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提供依据管理的需要可形成日报、周报、月报等报表功能；</w:t>
            </w:r>
          </w:p>
          <w:p w14:paraId="6B432EA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提供支持按照科级、院级等多种颗粒度统计分析患者治疗情况；</w:t>
            </w:r>
          </w:p>
          <w:p w14:paraId="520025A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提供根据患者治疗数据生成柱状图，线形图等多种图表展示功能</w:t>
            </w:r>
          </w:p>
        </w:tc>
      </w:tr>
      <w:tr w14:paraId="7651439B">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338E1AE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项目维护</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5F65A3A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提供针对治疗类别进行增加，修改，删除维护功能；</w:t>
            </w:r>
          </w:p>
          <w:p w14:paraId="76946B9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提供治疗项目进行增加，修改，删除维护功能；</w:t>
            </w:r>
          </w:p>
          <w:p w14:paraId="2F8F5A1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提供治疗项目名称，执行间隔，国标码，注意事项，项目单价，收费编码等属性的维护与修改功能；</w:t>
            </w:r>
          </w:p>
        </w:tc>
      </w:tr>
      <w:tr w14:paraId="6112384C">
        <w:tblPrEx>
          <w:tblCellMar>
            <w:top w:w="0" w:type="dxa"/>
            <w:left w:w="108" w:type="dxa"/>
            <w:bottom w:w="0" w:type="dxa"/>
            <w:right w:w="108" w:type="dxa"/>
          </w:tblCellMar>
        </w:tblPrEx>
        <w:trPr>
          <w:trHeight w:val="104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6A4ABF8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★排班管理</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4FF4AB18">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提供根据治疗区、治疗师、治疗设备等多个维护进行排班，且在某一种模式下，可同时安排治疗区、治疗师、设备等信息；</w:t>
            </w:r>
          </w:p>
          <w:p w14:paraId="2EFE18C3">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提供每日排班、每周排班，批量排班；</w:t>
            </w:r>
          </w:p>
          <w:p w14:paraId="45D4801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提供排班信息日总览，周总览，月总览；</w:t>
            </w:r>
          </w:p>
          <w:p w14:paraId="199C12D5">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提供快速定位指定治疗师，指定日期，推荐日期排班信息；</w:t>
            </w:r>
          </w:p>
          <w:p w14:paraId="167F0FA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提供根据治疗项目，及治疗日期维护多种排班方案，如身体功能评估排班，认知障碍评估排班，节假日排班，工作日排班；</w:t>
            </w:r>
          </w:p>
        </w:tc>
      </w:tr>
      <w:tr w14:paraId="62FDC2AD">
        <w:tblPrEx>
          <w:tblCellMar>
            <w:top w:w="0" w:type="dxa"/>
            <w:left w:w="108" w:type="dxa"/>
            <w:bottom w:w="0" w:type="dxa"/>
            <w:right w:w="108" w:type="dxa"/>
          </w:tblCellMar>
        </w:tblPrEx>
        <w:trPr>
          <w:trHeight w:val="108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462AEE1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模板管理</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765AE3A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提供业务模板管理、模板（如评估量表，肩脱位Rowe评分，治疗导引单，治疗记录单等）制作；</w:t>
            </w:r>
          </w:p>
        </w:tc>
      </w:tr>
      <w:tr w14:paraId="0FCB5845">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60F8981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系统管理</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62666FD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提供用户管理、院区管理、科室管理、角色权限管理、菜单管理；</w:t>
            </w:r>
          </w:p>
        </w:tc>
      </w:tr>
      <w:tr w14:paraId="40CC0FE6">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4C0DBF5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★治疗文书类</w:t>
            </w: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5DC01D3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具备治疗师添加文书功能，自主选择文书模板记录患者信息；</w:t>
            </w:r>
          </w:p>
          <w:p w14:paraId="5840B1C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具备治疗文书管理功能，包含新增、删除、预览；</w:t>
            </w:r>
          </w:p>
          <w:p w14:paraId="4D5EB99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具备历史治疗文书查询、打印功能；</w:t>
            </w:r>
          </w:p>
          <w:p w14:paraId="26642EBD">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具备医院自定义治疗文书模板功能</w:t>
            </w:r>
            <w:r>
              <w:rPr>
                <w:rFonts w:hint="eastAsia" w:ascii="宋体" w:hAnsi="宋体" w:eastAsia="宋体" w:cs="宋体"/>
                <w:sz w:val="24"/>
                <w:szCs w:val="24"/>
                <w:highlight w:val="none"/>
                <w:lang w:val="en" w:eastAsia="zh-CN"/>
              </w:rPr>
              <w:t>；</w:t>
            </w:r>
          </w:p>
          <w:p w14:paraId="792F629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rPr>
              <w:t>具备自定义维护治疗文书记录项功能，如主诉、既往史、现病史信息</w:t>
            </w:r>
            <w:r>
              <w:rPr>
                <w:rFonts w:hint="eastAsia" w:ascii="宋体" w:hAnsi="宋体" w:eastAsia="宋体" w:cs="宋体"/>
                <w:sz w:val="24"/>
                <w:szCs w:val="24"/>
                <w:highlight w:val="none"/>
                <w:lang w:val="en" w:eastAsia="zh-CN"/>
              </w:rPr>
              <w:t>；</w:t>
            </w:r>
          </w:p>
          <w:p w14:paraId="4F4F545A">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rPr>
              <w:t>具备模板自主添加/删除文本、下拉框、单选框、多选框、时间范围控件功能</w:t>
            </w:r>
            <w:r>
              <w:rPr>
                <w:rFonts w:hint="eastAsia" w:ascii="宋体" w:hAnsi="宋体" w:eastAsia="宋体" w:cs="宋体"/>
                <w:sz w:val="24"/>
                <w:szCs w:val="24"/>
                <w:highlight w:val="none"/>
                <w:lang w:val="en" w:eastAsia="zh-CN"/>
              </w:rPr>
              <w:t>；</w:t>
            </w:r>
          </w:p>
          <w:p w14:paraId="0188B00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rPr>
              <w:t>具备禁用/启用、编辑量表文书功能</w:t>
            </w:r>
            <w:r>
              <w:rPr>
                <w:rFonts w:hint="eastAsia" w:ascii="宋体" w:hAnsi="宋体" w:eastAsia="宋体" w:cs="宋体"/>
                <w:sz w:val="24"/>
                <w:szCs w:val="24"/>
                <w:highlight w:val="none"/>
                <w:lang w:val="en" w:eastAsia="zh-CN"/>
              </w:rPr>
              <w:t>；</w:t>
            </w:r>
          </w:p>
        </w:tc>
      </w:tr>
      <w:tr w14:paraId="57F43407">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72C4A069">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治疗申请</w:t>
            </w:r>
          </w:p>
          <w:p w14:paraId="6859357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5F712B4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系统支持治疗申请单独立申请，也支持医嘱录入直接录入医嘱审核申请。申请成功后，门诊患者缴费后可到相应治疗科室进行治疗，住院患者可直接前往治疗科室进行治疗。</w:t>
            </w:r>
          </w:p>
          <w:p w14:paraId="1C31C7C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p>
        </w:tc>
      </w:tr>
      <w:tr w14:paraId="12AE41AD">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26CC518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治疗分配</w:t>
            </w:r>
          </w:p>
          <w:p w14:paraId="0AEB3A7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51F8588A">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治疗分配为可选流程，可指定需分配的治疗医师，若启用此流程，则治疗申请只有分配到指定人员才可进行治疗预约或治疗。系统实时展示可分配治疗师名下的申请单数，便于进行及时调整，平衡分配。</w:t>
            </w:r>
          </w:p>
          <w:p w14:paraId="023C100F">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p>
        </w:tc>
      </w:tr>
      <w:tr w14:paraId="6EC1D050">
        <w:tblPrEx>
          <w:tblCellMar>
            <w:top w:w="0" w:type="dxa"/>
            <w:left w:w="108" w:type="dxa"/>
            <w:bottom w:w="0" w:type="dxa"/>
            <w:right w:w="108" w:type="dxa"/>
          </w:tblCellMar>
        </w:tblPrEx>
        <w:trPr>
          <w:trHeight w:val="600" w:hRule="atLeast"/>
        </w:trPr>
        <w:tc>
          <w:tcPr>
            <w:tcW w:w="1486" w:type="pct"/>
            <w:tcBorders>
              <w:top w:val="single" w:color="B2A494" w:sz="4" w:space="0"/>
              <w:left w:val="single" w:color="B2A494" w:sz="4" w:space="0"/>
              <w:bottom w:val="single" w:color="B2A494" w:sz="4" w:space="0"/>
              <w:right w:val="single" w:color="B2A494" w:sz="4" w:space="0"/>
            </w:tcBorders>
            <w:shd w:val="clear" w:color="auto" w:fill="E9E7E1"/>
            <w:noWrap/>
            <w:vAlign w:val="center"/>
          </w:tcPr>
          <w:p w14:paraId="212C8B4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治疗预约</w:t>
            </w:r>
          </w:p>
          <w:p w14:paraId="73EF495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tc>
        <w:tc>
          <w:tcPr>
            <w:tcW w:w="3513" w:type="pct"/>
            <w:tcBorders>
              <w:top w:val="single" w:color="B2A494" w:sz="4" w:space="0"/>
              <w:left w:val="single" w:color="B2A494" w:sz="4" w:space="0"/>
              <w:bottom w:val="single" w:color="B2A494" w:sz="4" w:space="0"/>
              <w:right w:val="single" w:color="B2A494" w:sz="4" w:space="0"/>
            </w:tcBorders>
            <w:shd w:val="clear" w:color="auto" w:fill="FEFEFE"/>
            <w:noWrap w:val="0"/>
            <w:vAlign w:val="center"/>
          </w:tcPr>
          <w:p w14:paraId="1AAB1F9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r>
              <w:rPr>
                <w:rFonts w:hint="eastAsia" w:ascii="宋体" w:hAnsi="宋体" w:eastAsia="宋体" w:cs="宋体"/>
                <w:sz w:val="24"/>
                <w:szCs w:val="24"/>
                <w:highlight w:val="none"/>
                <w:lang w:val="en"/>
              </w:rPr>
              <w:t>系统内治疗申请分为两种类型，一种是直接执行，另一种是治疗预约。直接执行无需预约，直接进行治疗记录的保存完成治疗即可。需要进行预约的治疗申请，由治疗师选择相应日期及治疗师的的治疗排班进行预约治疗。系统支持为多个申请进行批量预约，也支持为已预约的记录取消预约，可打印预约凭证。</w:t>
            </w:r>
          </w:p>
          <w:p w14:paraId="3C6F6A3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
              </w:rPr>
            </w:pPr>
          </w:p>
        </w:tc>
      </w:tr>
    </w:tbl>
    <w:p w14:paraId="395296EA">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DC11C8D">
      <w:pPr>
        <w:pStyle w:val="77"/>
        <w:pageBreakBefore w:val="0"/>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危急值管理</w:t>
      </w:r>
    </w:p>
    <w:p w14:paraId="2E0D1B75">
      <w:pPr>
        <w:pStyle w:val="15"/>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危急值管理平台打通了各个医技系统与HIS间的信息通道，使危急值信息能够及时准确的在系统间传输。临床医护人员能及时准确的接收到来自医技科室的患者危急值信息，临床人员采取及时、有效措施，确保医疗质量与安全，减少医疗隐患与纠纷。</w:t>
      </w:r>
    </w:p>
    <w:p w14:paraId="1097FFA5">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临床提醒</w:t>
      </w:r>
    </w:p>
    <w:p w14:paraId="44242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危急值平台接收到医技系统的危急值报告后在HIS消息提醒用户。</w:t>
      </w:r>
    </w:p>
    <w:p w14:paraId="2F7D2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按患者就诊类型，就诊科室、发生时间配置消息接收用户，在HIS系统界面弹出危急值消息提醒，在未处理情况下每隔一段时间就会再次弹出，直到处理完成，确保危急值处理率；支持危急值的分时段提醒功能，白天10点到17点半只对开单医生提醒，当白天危急值未及时处理时夜间对整个科室提醒，同时白天开单的夜间出结果后保证能及时完成危急值的处理。</w:t>
      </w:r>
    </w:p>
    <w:p w14:paraId="10C3632F">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临床接收</w:t>
      </w:r>
    </w:p>
    <w:p w14:paraId="63F0D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临床人员看到危急值提醒后，可以查看到患者的基本信息与危急值报告信息，需要先进行危急值接收，后台自动反馈回医技系统。</w:t>
      </w:r>
    </w:p>
    <w:p w14:paraId="0824C4A1">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临床处理</w:t>
      </w:r>
    </w:p>
    <w:p w14:paraId="10000A22">
      <w:pPr>
        <w:pStyle w:val="78"/>
        <w:pageBreakBefore w:val="0"/>
        <w:numPr>
          <w:ilvl w:val="0"/>
          <w:numId w:val="0"/>
        </w:numPr>
        <w:kinsoku/>
        <w:wordWrap/>
        <w:overflowPunct/>
        <w:topLinePunct w:val="0"/>
        <w:autoSpaceDE/>
        <w:autoSpaceDN/>
        <w:bidi w:val="0"/>
        <w:adjustRightInd/>
        <w:snapToGrid/>
        <w:spacing w:line="360" w:lineRule="auto"/>
        <w:ind w:left="800" w:leftChars="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r>
        <w:rPr>
          <w:rFonts w:hint="eastAsia" w:ascii="宋体" w:hAnsi="宋体" w:eastAsia="宋体" w:cs="宋体"/>
          <w:sz w:val="24"/>
          <w:szCs w:val="24"/>
          <w:highlight w:val="none"/>
        </w:rPr>
        <w:t>急值确认</w:t>
      </w:r>
    </w:p>
    <w:p w14:paraId="71776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检验/检查科室人员发现危急值时，在出具检验/检查结果报告前，应当双人核对并签字确认；夜间或紧急情况下可单人双次核对。对于需要立即重复检验、检查的项目，应当及时复检并核对。</w:t>
      </w:r>
    </w:p>
    <w:p w14:paraId="2D533FE0">
      <w:pPr>
        <w:pStyle w:val="78"/>
        <w:pageBreakBefore w:val="0"/>
        <w:numPr>
          <w:ilvl w:val="0"/>
          <w:numId w:val="0"/>
        </w:numPr>
        <w:kinsoku/>
        <w:wordWrap/>
        <w:overflowPunct/>
        <w:topLinePunct w:val="0"/>
        <w:autoSpaceDE/>
        <w:autoSpaceDN/>
        <w:bidi w:val="0"/>
        <w:adjustRightInd/>
        <w:snapToGrid/>
        <w:spacing w:line="360" w:lineRule="auto"/>
        <w:ind w:left="559" w:leftChars="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危急值报告</w:t>
      </w:r>
    </w:p>
    <w:p w14:paraId="11E72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检验/检查科室人员发现危急值，经审核确认检査/检验过程各环节无异常后，应立即将危急值结果通知临床科室相关人员，门(急)诊危急值除通知医师外，一并通知患者。</w:t>
      </w:r>
    </w:p>
    <w:p w14:paraId="01A0026A">
      <w:pPr>
        <w:pStyle w:val="78"/>
        <w:pageBreakBefore w:val="0"/>
        <w:numPr>
          <w:ilvl w:val="0"/>
          <w:numId w:val="0"/>
        </w:numPr>
        <w:kinsoku/>
        <w:wordWrap/>
        <w:overflowPunct/>
        <w:topLinePunct w:val="0"/>
        <w:autoSpaceDE/>
        <w:autoSpaceDN/>
        <w:bidi w:val="0"/>
        <w:adjustRightInd/>
        <w:snapToGrid/>
        <w:spacing w:line="360" w:lineRule="auto"/>
        <w:ind w:left="559" w:leftChars="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危急值处置</w:t>
      </w:r>
    </w:p>
    <w:p w14:paraId="74FE5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临床医护人员接到危急值报告后，须将报告结果与患者的临床病情比对分析，若情况不符，应重新留取标本送检、复查。临床医师接获床旁检测项目危急值后，应立即确认，必要时应采血送实验室复查；相关医师接获危急值报告后，须在 10 分钟内采取相应处置措施。门(急)诊医护人员应安排所报告危急值患者优先就诊。临床科室医师应关注危急值处置的效果，对连续报告同一危急值的患者应给予重点关注。</w:t>
      </w:r>
    </w:p>
    <w:p w14:paraId="2C19F033">
      <w:pPr>
        <w:pStyle w:val="78"/>
        <w:pageBreakBefore w:val="0"/>
        <w:numPr>
          <w:ilvl w:val="0"/>
          <w:numId w:val="0"/>
        </w:numPr>
        <w:kinsoku/>
        <w:wordWrap/>
        <w:overflowPunct/>
        <w:topLinePunct w:val="0"/>
        <w:autoSpaceDE/>
        <w:autoSpaceDN/>
        <w:bidi w:val="0"/>
        <w:adjustRightInd/>
        <w:snapToGrid/>
        <w:spacing w:line="360" w:lineRule="auto"/>
        <w:ind w:left="559" w:leftChars="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1.3.4</w:t>
      </w:r>
      <w:r>
        <w:rPr>
          <w:rFonts w:hint="eastAsia" w:ascii="宋体" w:hAnsi="宋体" w:eastAsia="宋体" w:cs="宋体"/>
          <w:sz w:val="24"/>
          <w:szCs w:val="24"/>
          <w:highlight w:val="none"/>
        </w:rPr>
        <w:t>危急值记录</w:t>
      </w:r>
    </w:p>
    <w:p w14:paraId="6E6BB1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制定临床危急值信息记录规范，确保危急值信息报告全流程的人员、时间(准确到时、分)、内容等关键要素可追溯。一般按照“谁报告/接收，谁记录”的原则，做好危急值报告记录，记录至少应包括科室、患者姓名、住院号(门诊号)、报告时间、危急值项目及数值、报告科室及报告人姓名、接收科室及接收人姓名等基本信息。</w:t>
      </w:r>
    </w:p>
    <w:p w14:paraId="3CDB1AAF">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rPr>
      </w:pPr>
      <w:r>
        <w:rPr>
          <w:rFonts w:hint="eastAsia" w:ascii="宋体" w:hAnsi="宋体" w:eastAsia="宋体" w:cs="宋体"/>
          <w:sz w:val="24"/>
          <w:szCs w:val="24"/>
          <w:highlight w:val="none"/>
        </w:rPr>
        <w:t>查询统计</w:t>
      </w:r>
    </w:p>
    <w:p w14:paraId="7A908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为医院医务管理部门提供危急值报告记录查询、危急值完成比例报表、危急值分布报表</w:t>
      </w:r>
      <w:r>
        <w:rPr>
          <w:rFonts w:hint="eastAsia" w:ascii="宋体" w:hAnsi="宋体" w:eastAsia="宋体" w:cs="宋体"/>
          <w:sz w:val="24"/>
          <w:szCs w:val="24"/>
          <w:highlight w:val="none"/>
          <w:lang w:eastAsia="zh-CN"/>
        </w:rPr>
        <w:t>。</w:t>
      </w:r>
    </w:p>
    <w:p w14:paraId="1AC9C9FD">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危急值查询：按日期、科室、类型等查询危急值记录、跟踪患者危急值记录</w:t>
      </w:r>
    </w:p>
    <w:p w14:paraId="42A85384">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危急值完成比例：以图表的形式展示医院危急值完成情况</w:t>
      </w:r>
    </w:p>
    <w:p w14:paraId="35CF3AF3">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危急值分布：统计医院危急值的科室+类型分布情况以及类型+科室分布情况</w:t>
      </w:r>
    </w:p>
    <w:p w14:paraId="5DC0BDDD">
      <w:pPr>
        <w:pStyle w:val="15"/>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p w14:paraId="0E79D70E">
      <w:pPr>
        <w:rPr>
          <w:rFonts w:hint="eastAsia" w:ascii="宋体" w:hAnsi="宋体" w:eastAsia="宋体" w:cs="宋体"/>
          <w:sz w:val="24"/>
          <w:szCs w:val="24"/>
          <w:highlight w:val="none"/>
        </w:rPr>
      </w:pPr>
    </w:p>
    <w:p w14:paraId="7695C971">
      <w:pPr>
        <w:pStyle w:val="78"/>
        <w:pageBreakBefore w:val="0"/>
        <w:kinsoku/>
        <w:wordWrap/>
        <w:overflowPunct/>
        <w:topLinePunct w:val="0"/>
        <w:autoSpaceDE/>
        <w:autoSpaceDN/>
        <w:bidi w:val="0"/>
        <w:adjustRightInd/>
        <w:snapToGrid/>
        <w:spacing w:line="360" w:lineRule="auto"/>
        <w:ind w:left="1134" w:hanging="5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闭环处理</w:t>
      </w:r>
    </w:p>
    <w:p w14:paraId="08270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危急值在检验检查心电等三方业务系统内有独立维护功能，例如LIS结果异常，可在LIS查看检验结果界面勾选危急值发送，发送方式可直接与HIS及电子病历系统对接，也可通过院内集成平台消息推送对接，HIS及电子病历系统接收到危急值后，必须进行处理及回复，即完成危急值闭环管理流程</w:t>
      </w:r>
    </w:p>
    <w:p w14:paraId="3E0AD9BD">
      <w:pPr>
        <w:rPr>
          <w:rFonts w:hint="eastAsia" w:ascii="宋体" w:hAnsi="宋体" w:eastAsia="宋体" w:cs="宋体"/>
          <w:sz w:val="24"/>
          <w:szCs w:val="24"/>
          <w:highlight w:val="none"/>
        </w:rPr>
      </w:pPr>
    </w:p>
    <w:p w14:paraId="67577F85">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D2B68DA">
      <w:pPr>
        <w:pStyle w:val="15"/>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p w14:paraId="68AF0461">
      <w:pPr>
        <w:pStyle w:val="77"/>
        <w:pageBreakBefore w:val="0"/>
        <w:kinsoku/>
        <w:wordWrap/>
        <w:overflowPunct/>
        <w:topLinePunct w:val="0"/>
        <w:autoSpaceDE/>
        <w:autoSpaceDN/>
        <w:bidi w:val="0"/>
        <w:adjustRightInd/>
        <w:snapToGrid/>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移动护理系统</w:t>
      </w:r>
    </w:p>
    <w:p w14:paraId="0A4164D2">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★移动护士工作站</w:t>
      </w:r>
    </w:p>
    <w:p w14:paraId="0F15FB8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29" w:name="_Toc96088725"/>
      <w:bookmarkStart w:id="30" w:name="_Toc98149324"/>
      <w:bookmarkStart w:id="31" w:name="_Toc109140240"/>
      <w:r>
        <w:rPr>
          <w:rFonts w:hint="eastAsia" w:ascii="宋体" w:hAnsi="宋体" w:eastAsia="宋体" w:cs="宋体"/>
          <w:sz w:val="24"/>
          <w:szCs w:val="24"/>
          <w:highlight w:val="none"/>
        </w:rPr>
        <w:t>用户登录</w:t>
      </w:r>
      <w:bookmarkEnd w:id="29"/>
      <w:bookmarkEnd w:id="30"/>
      <w:bookmarkEnd w:id="31"/>
    </w:p>
    <w:p w14:paraId="1688F8E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登录方式：</w:t>
      </w:r>
    </w:p>
    <w:p w14:paraId="71ED51B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支持用户通过输入工号密码登录；</w:t>
      </w:r>
    </w:p>
    <w:p w14:paraId="1114DCD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支持用户设置手势密码登录；</w:t>
      </w:r>
    </w:p>
    <w:p w14:paraId="29848AF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提供用户登录记录功能，用户可以在记录中选择账户输入密码完成快速登录。</w:t>
      </w:r>
    </w:p>
    <w:p w14:paraId="05E375F1">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校验核对功能：</w:t>
      </w:r>
    </w:p>
    <w:p w14:paraId="33ECFBD5">
      <w:pPr>
        <w:pStyle w:val="42"/>
        <w:pageBreakBefore w:val="0"/>
        <w:numPr>
          <w:ilvl w:val="0"/>
          <w:numId w:val="40"/>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用户登录时自动校验PDA本地与服务器时间；</w:t>
      </w:r>
    </w:p>
    <w:p w14:paraId="020E35E5">
      <w:pPr>
        <w:pStyle w:val="42"/>
        <w:pageBreakBefore w:val="0"/>
        <w:numPr>
          <w:ilvl w:val="0"/>
          <w:numId w:val="40"/>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提供屏幕锁定功能，用户一段时间不操作，自动退出到登录界面，要求重新登录验证，时间可具体设定；</w:t>
      </w:r>
    </w:p>
    <w:p w14:paraId="52306297">
      <w:pPr>
        <w:pStyle w:val="42"/>
        <w:pageBreakBefore w:val="0"/>
        <w:numPr>
          <w:ilvl w:val="0"/>
          <w:numId w:val="40"/>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启动应用时校验本地应用版本与服务器最新版本是否一致，若不一致则自动更新。</w:t>
      </w:r>
    </w:p>
    <w:p w14:paraId="1DE6224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0E5936D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用户可在PDA端进行账号密码、手势密码的设置与修改；</w:t>
      </w:r>
    </w:p>
    <w:p w14:paraId="7A277DB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提供科室列表，满足用户根据工作需要随时切换科室；</w:t>
      </w:r>
    </w:p>
    <w:p w14:paraId="59E3E43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PDA端具备测服务连接状态的功能，并提供手动切换备用服务地址功能；</w:t>
      </w:r>
    </w:p>
    <w:p w14:paraId="41EF6B1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提供一键退出登录功能；</w:t>
      </w:r>
    </w:p>
    <w:p w14:paraId="7C3EE69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kern w:val="2"/>
          <w:sz w:val="24"/>
          <w:szCs w:val="24"/>
          <w:highlight w:val="none"/>
          <w:lang w:val="en-US" w:eastAsia="zh-CN" w:bidi="ar-SA"/>
        </w:rPr>
        <w:t>支持对用户的菜单权限进行统一的分配和管理，可针对不同的角色设置不同的菜单权限</w:t>
      </w:r>
    </w:p>
    <w:p w14:paraId="7B8CB82D">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32" w:name="_Toc96088726"/>
      <w:bookmarkStart w:id="33" w:name="_Toc109140241"/>
      <w:bookmarkStart w:id="34" w:name="_Toc98149325"/>
      <w:r>
        <w:rPr>
          <w:rFonts w:hint="eastAsia" w:ascii="宋体" w:hAnsi="宋体" w:eastAsia="宋体" w:cs="宋体"/>
          <w:sz w:val="24"/>
          <w:szCs w:val="24"/>
          <w:highlight w:val="none"/>
        </w:rPr>
        <w:t>系统菜单</w:t>
      </w:r>
      <w:bookmarkEnd w:id="32"/>
      <w:bookmarkEnd w:id="33"/>
      <w:bookmarkEnd w:id="34"/>
    </w:p>
    <w:p w14:paraId="3838E761">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工作辅助功能：</w:t>
      </w:r>
    </w:p>
    <w:p w14:paraId="7F64DFD0">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系统提供秒表计时功能，解决用户测量脉搏等计时需要</w:t>
      </w:r>
    </w:p>
    <w:p w14:paraId="7635A73E">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用户可在设置中调节PDA语音播报的语速，以满足不用用户使用习惯。</w:t>
      </w:r>
    </w:p>
    <w:p w14:paraId="74126EA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bCs w:val="0"/>
          <w:kern w:val="2"/>
          <w:sz w:val="24"/>
          <w:szCs w:val="24"/>
          <w:highlight w:val="none"/>
          <w:lang w:val="en-US" w:eastAsia="zh-CN" w:bidi="ar-SA"/>
        </w:rPr>
        <w:t>用户登录后，可通过个人中心做一些通用设置，并查看登录信息、应用信息，如登录人、登录科室、系统版本号、设备型号等。</w:t>
      </w:r>
    </w:p>
    <w:p w14:paraId="5570C059">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交互功能</w:t>
      </w:r>
    </w:p>
    <w:p w14:paraId="330DCC72">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的技术能力符合HL7交互规范，并支持最新交互标准HL7FHIR含15个场景测试通过证书：预约、手术、用药医嘱、术语、患者、就诊、检查申请、检查报告、院内检验报告、院外检验报告、电子病历生成和读取、电子病历共享交换、临床辅助诊疗、审计、处方流转）。</w:t>
      </w:r>
    </w:p>
    <w:p w14:paraId="76222C47">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实施工具：</w:t>
      </w:r>
    </w:p>
    <w:p w14:paraId="10C23838">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系统自动生成接口调用日志与运行异常的日志，对数据异常或程序异常进行快速定位异常问题。</w:t>
      </w:r>
    </w:p>
    <w:p w14:paraId="51A5B737">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应用具备系统配置信息查询功能，用户可在此界面搜索与测试所需配置是否更改，以及更改后是否生效。 </w:t>
      </w:r>
    </w:p>
    <w:p w14:paraId="7E2D58D6">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提供系统连接状态自动检测功能。</w:t>
      </w:r>
    </w:p>
    <w:p w14:paraId="2741BF3C">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提供设备型号、编号查看功能。</w:t>
      </w:r>
    </w:p>
    <w:p w14:paraId="07F7F5A1">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设置界面提供‘条码测试’功能，用户可通过此功能测试设备扫码功能是否正常、是否具备扫码的环境、所扫条码是否设置了独有的规则以及对特定规则条码的解析是否生效。</w:t>
      </w:r>
    </w:p>
    <w:p w14:paraId="7A46506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35" w:name="_Toc96088727"/>
      <w:bookmarkStart w:id="36" w:name="_Toc109140242"/>
      <w:bookmarkStart w:id="37" w:name="_Toc98149326"/>
      <w:r>
        <w:rPr>
          <w:rFonts w:hint="eastAsia" w:ascii="宋体" w:hAnsi="宋体" w:eastAsia="宋体" w:cs="宋体"/>
          <w:sz w:val="24"/>
          <w:szCs w:val="24"/>
          <w:highlight w:val="none"/>
        </w:rPr>
        <w:t>病人管理</w:t>
      </w:r>
      <w:bookmarkEnd w:id="35"/>
      <w:bookmarkEnd w:id="36"/>
      <w:bookmarkEnd w:id="37"/>
    </w:p>
    <w:p w14:paraId="6D76A7E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用户信息浏览：</w:t>
      </w:r>
    </w:p>
    <w:p w14:paraId="1A8C959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提供患者简卡列表，用户可一览当前病区所有患者的基本信息，包含姓名、床号、性别、年龄、病历号、管床医师、入院时间、诊断结果、护理级别信息。</w:t>
      </w:r>
    </w:p>
    <w:p w14:paraId="7671024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以图标的形式在患者简卡上显示患者特性，如：高温、呕吐/窒息高危、烫伤风险高危、跌倒/坠床高危、压疮高危状态，使用户能够通过图标明了患者状态。</w:t>
      </w:r>
    </w:p>
    <w:p w14:paraId="621B6A4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为保证院方医疗及患者信息安全性，生产厂家需提供信息管理相关证明材料：ISO/IEC 27701 隐私信息管理体系认证、ISO38505 数据治理体系认证证书、ISO22301 业务连续性管理体系</w:t>
      </w:r>
    </w:p>
    <w:p w14:paraId="234A627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患者详细信息查询，包括基本信息：姓名、性别、住院号、年龄、联系方式、费别；住院信息：病区、床号、入住科室、主治医生、入科时间、护理等级、责任护士；诊疗信息：诊断、过敏、病情、饮食类型；手术信息：手术名称、手术时间、手术部位；费用信息：预交金额、累计费用、费用余额。</w:t>
      </w:r>
    </w:p>
    <w:p w14:paraId="47B10449">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检索与分类：</w:t>
      </w:r>
    </w:p>
    <w:p w14:paraId="7B65AC7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用户可在患者列表通过患者姓名、床位号、病历号进行检索快速定位患者，查看其详细信息</w:t>
      </w:r>
      <w:r>
        <w:rPr>
          <w:rFonts w:hint="eastAsia" w:ascii="宋体" w:hAnsi="宋体" w:eastAsia="宋体" w:cs="宋体"/>
          <w:sz w:val="24"/>
          <w:szCs w:val="24"/>
          <w:highlight w:val="none"/>
        </w:rPr>
        <w:t>与</w:t>
      </w:r>
      <w:r>
        <w:rPr>
          <w:rFonts w:hint="eastAsia" w:ascii="宋体" w:hAnsi="宋体" w:eastAsia="宋体" w:cs="宋体"/>
          <w:color w:val="000000"/>
          <w:sz w:val="24"/>
          <w:szCs w:val="24"/>
          <w:highlight w:val="none"/>
        </w:rPr>
        <w:t>护理特性。</w:t>
      </w:r>
    </w:p>
    <w:p w14:paraId="1580C30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支持快速选择主管护士、主管医生、以及床位的操作</w:t>
      </w:r>
      <w:r>
        <w:rPr>
          <w:rFonts w:hint="eastAsia" w:ascii="宋体" w:hAnsi="宋体" w:eastAsia="宋体" w:cs="宋体"/>
          <w:sz w:val="24"/>
          <w:szCs w:val="24"/>
          <w:highlight w:val="none"/>
          <w:lang w:eastAsia="zh-CN"/>
        </w:rPr>
        <w:t>。</w:t>
      </w:r>
    </w:p>
    <w:p w14:paraId="17EA7D6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支持查询病人的费用情况、待扣金额、每日清单等，支持查询病人待扣项目信息</w:t>
      </w:r>
    </w:p>
    <w:p w14:paraId="784514D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支持查询患者的余额情况，支持输入特定金额过滤出余额低于输入值的病人列表</w:t>
      </w:r>
    </w:p>
    <w:p w14:paraId="04CF535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用户可查看全科室患者或自己所负责组内患者。</w:t>
      </w:r>
    </w:p>
    <w:p w14:paraId="328E4C5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用户可设置与取消重点关注的患者，查看关注的患者。</w:t>
      </w:r>
    </w:p>
    <w:p w14:paraId="59219BB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用户可通过患者特性与常用筛选项来分类筛选患者，来满足不同场景下对各类患者的统计查看与操作，筛选项可按照实际需要选择配置，常用配置项有：新入院、压疮、发烧、手术、测血糖、测血压。</w:t>
      </w:r>
    </w:p>
    <w:p w14:paraId="13D1671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扫描患者腕带，定位与核对患者信息，</w:t>
      </w:r>
      <w:r>
        <w:rPr>
          <w:rFonts w:hint="eastAsia" w:ascii="宋体" w:hAnsi="宋体" w:eastAsia="宋体" w:cs="宋体"/>
          <w:sz w:val="24"/>
          <w:szCs w:val="24"/>
          <w:highlight w:val="none"/>
        </w:rPr>
        <w:t>确定患者后可进行护理文书填写、医嘱执行确认、患者临床报告查看</w:t>
      </w:r>
      <w:r>
        <w:rPr>
          <w:rFonts w:hint="eastAsia" w:ascii="宋体" w:hAnsi="宋体" w:eastAsia="宋体" w:cs="宋体"/>
          <w:color w:val="000000"/>
          <w:sz w:val="24"/>
          <w:szCs w:val="24"/>
          <w:highlight w:val="none"/>
        </w:rPr>
        <w:t>。</w:t>
      </w:r>
    </w:p>
    <w:p w14:paraId="52A06B9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扫描患者腕带提供患者基本信息语音播报功能，如：姓名、性别、年龄、床号、病历号。</w:t>
      </w:r>
    </w:p>
    <w:p w14:paraId="769DCE7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38" w:name="_Toc96088728"/>
      <w:bookmarkStart w:id="39" w:name="_Toc109140243"/>
      <w:bookmarkStart w:id="40" w:name="_Toc98149327"/>
      <w:r>
        <w:rPr>
          <w:rFonts w:hint="eastAsia" w:ascii="宋体" w:hAnsi="宋体" w:eastAsia="宋体" w:cs="宋体"/>
          <w:sz w:val="24"/>
          <w:szCs w:val="24"/>
          <w:highlight w:val="none"/>
        </w:rPr>
        <w:t>输液医嘱</w:t>
      </w:r>
      <w:bookmarkEnd w:id="38"/>
      <w:r>
        <w:rPr>
          <w:rFonts w:hint="eastAsia" w:ascii="宋体" w:hAnsi="宋体" w:eastAsia="宋体" w:cs="宋体"/>
          <w:sz w:val="24"/>
          <w:szCs w:val="24"/>
          <w:highlight w:val="none"/>
        </w:rPr>
        <w:t>执行</w:t>
      </w:r>
      <w:bookmarkEnd w:id="39"/>
      <w:bookmarkEnd w:id="40"/>
    </w:p>
    <w:p w14:paraId="04CDCA25">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输液医嘱流程：</w:t>
      </w:r>
    </w:p>
    <w:p w14:paraId="7E6D0E38">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护士站摆药：护士使用PDA端‘摆药核对’功能，对患者输液用药成组药品条码进行扫描，核对并执行摆药操作。</w:t>
      </w:r>
    </w:p>
    <w:p w14:paraId="010B5F93">
      <w:pPr>
        <w:pStyle w:val="42"/>
        <w:pageBreakBefore w:val="0"/>
        <w:numPr>
          <w:ilvl w:val="0"/>
          <w:numId w:val="4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输液医嘱配药：护士使用PDA端‘医嘱配药’功能，对患者输液用药成组药品条码进行扫描，核对并执行配药操作。</w:t>
      </w:r>
    </w:p>
    <w:p w14:paraId="43698477">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输液配药核对：护士使用PDA端‘配药核对’功能，对患者输液用药成组药品条码进行核对扫描。</w:t>
      </w:r>
    </w:p>
    <w:p w14:paraId="0F414831">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输液医嘱执行：护士在输液医嘱执行前先扫描患者腕带，再扫描输液瓶签上条码，完成用药人与药品的核对，如若一致，执行医嘱，如若不一致，给出患者和药品信息，并提示二者不一致。</w:t>
      </w:r>
    </w:p>
    <w:p w14:paraId="1B975148">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医嘱执行巡视：对执行用药患者的查看以及一般操作，包括：暂停、继续，并提供巡视界面录入滴速、入量、巡视时间和巡视人。</w:t>
      </w:r>
    </w:p>
    <w:p w14:paraId="11E37A84">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医嘱执行结束：护士首先扫描患者腕带，在扫描输液瓶签上条码，核对用药人和药品，然后结束医嘱。</w:t>
      </w:r>
    </w:p>
    <w:p w14:paraId="37F1438F">
      <w:pPr>
        <w:pStyle w:val="42"/>
        <w:pageBreakBefore w:val="0"/>
        <w:numPr>
          <w:ilvl w:val="0"/>
          <w:numId w:val="4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执行结果写回：将医嘱执行结果写回至HIS系统中。</w:t>
      </w:r>
    </w:p>
    <w:p w14:paraId="6AF1610C">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44A71DF9">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提供成组医嘱简卡，包含：执行状态、用药途径、频次、长期/短期医嘱、医嘱名称、用量、单位、开嘱医生、计划执行时间、实际执行时间、执行人。</w:t>
      </w:r>
    </w:p>
    <w:p w14:paraId="0BE4A3F9">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护理人员可在输液医嘱执行的各个流程中看到前面环节的记录，包括摆药人、摆药时间、配药人、配药时间、配药核对人、配药核对时间、执行人、执行时间、暂停人、暂停时间、结束人、结束时间。</w:t>
      </w:r>
    </w:p>
    <w:p w14:paraId="4D57A929">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护理人员在执行高危药品时，输液医嘱简卡上出现‘高危’标志，点击可看到护理系统提供的高危药品说明，同时在执行医嘱时进行双人核对。</w:t>
      </w:r>
    </w:p>
    <w:p w14:paraId="4CFD2CEE">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执行输液医嘱时，系统会自动判断当前时间与计划执行时间间隔，若相隔时间长度超出了护理规定时间，则给出输液医嘱‘超时’或‘未到’计划执行时间提示。</w:t>
      </w:r>
    </w:p>
    <w:p w14:paraId="55567B70">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护理人员扫描输液医嘱瓶签时会自动判断当前医嘱是否已经处于待执行状态，否则会给出医嘱待处理状态提示，如：医嘱未摆药、医嘱未配药。</w:t>
      </w:r>
    </w:p>
    <w:p w14:paraId="6DD62547">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医嘱执行前系统会验证当前医嘱计划是否已停止，停止时间是否在执行时间之前，若是，则给出对应医嘱已停的提示。</w:t>
      </w:r>
    </w:p>
    <w:p w14:paraId="076D7448">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医嘱执行前系统会验证当前医嘱是否已经作废，若是给出医嘱已作废提示。</w:t>
      </w:r>
    </w:p>
    <w:p w14:paraId="0A01DD91">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25DA9C44">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多通道与单通道：护理人员扫输液医嘱瓶签执行前会自动验证是否还有未结束输液医嘱并给出提示，护理人员根据实际场景确定是单通道执行还是多通道执行，若为单通道，在执行当前医嘱的同时会自动结束上一袋医嘱。</w:t>
      </w:r>
    </w:p>
    <w:p w14:paraId="627515D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41" w:name="_Toc96088729"/>
      <w:bookmarkStart w:id="42" w:name="_Toc109140244"/>
      <w:bookmarkStart w:id="43" w:name="_Toc98149328"/>
      <w:r>
        <w:rPr>
          <w:rFonts w:hint="eastAsia" w:ascii="宋体" w:hAnsi="宋体" w:eastAsia="宋体" w:cs="宋体"/>
          <w:sz w:val="24"/>
          <w:szCs w:val="24"/>
          <w:highlight w:val="none"/>
        </w:rPr>
        <w:t>静配中心医嘱</w:t>
      </w:r>
      <w:bookmarkEnd w:id="41"/>
      <w:r>
        <w:rPr>
          <w:rFonts w:hint="eastAsia" w:ascii="宋体" w:hAnsi="宋体" w:eastAsia="宋体" w:cs="宋体"/>
          <w:sz w:val="24"/>
          <w:szCs w:val="24"/>
          <w:highlight w:val="none"/>
        </w:rPr>
        <w:t>执行</w:t>
      </w:r>
      <w:bookmarkEnd w:id="42"/>
      <w:bookmarkEnd w:id="43"/>
    </w:p>
    <w:p w14:paraId="675A151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静配中心医嘱执行流程：</w:t>
      </w:r>
    </w:p>
    <w:p w14:paraId="5066024F">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病区收药：静配中心配药模式中，护理系统和静配系统对接，护理人员按静配中心配送批次，点击‘药品接收’功能批量接收药品，并记录接收批次，批次实际药品总数、接收人、接收时间。</w:t>
      </w:r>
    </w:p>
    <w:p w14:paraId="7FB14635">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输液用药执行：护士在输液医嘱执行前先扫描患者腕带，再扫描输液瓶签上条码，完成用药人与药品的核对，如若一致，执行医嘱，如若不一致，给出患者和药品信息，并提示二者不一致。</w:t>
      </w:r>
    </w:p>
    <w:p w14:paraId="2EBFCADF">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医嘱执行巡视：对执行用药患者的查看以及一般操作，包括：暂停、继续，并提供巡视界面录入滴速、入量、巡视时间和巡视人。</w:t>
      </w:r>
    </w:p>
    <w:p w14:paraId="2B68DFA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医嘱执行结束：护士首先扫描患者腕带，在扫描输液瓶签上条码，核对用药人和药品，然后结束医嘱。</w:t>
      </w:r>
    </w:p>
    <w:p w14:paraId="4057BDD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执行结果写回：将医嘱执行结果写回至HIS系统中。</w:t>
      </w:r>
    </w:p>
    <w:p w14:paraId="7D77E8AF">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08D3D6BD">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提供成组医嘱简卡，包含：执行状态、用药途径、频次、长期/短期医嘱、医嘱名称、用量、单位、开嘱医生、计划执行时间、实际执行时间、执行人。</w:t>
      </w:r>
    </w:p>
    <w:p w14:paraId="7D6F4CA5">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护理人员可在输液医嘱执行的各个流程中看到前面环节的记录，包括接收人、接收时间、执行人、执行时间、暂停人、暂停时间、结束人、结束时间。</w:t>
      </w:r>
    </w:p>
    <w:p w14:paraId="546A2E5D">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护理人员在执行高危药品时，输液医嘱简卡上出现‘高危’标志，点击可看到高危药品说明，同时在执行医嘱时双人核对流程。</w:t>
      </w:r>
    </w:p>
    <w:p w14:paraId="5A284DE4">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执行输液医嘱时，系统会自动判断当前时间与计划执行时间间隔，若相隔时间长度超出了护理规定时间，则给出输液医嘱‘超时’或‘未到’计划执行时间提示。</w:t>
      </w:r>
    </w:p>
    <w:p w14:paraId="54241358">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护理人员扫描输液医嘱瓶签时会自动判断当前医嘱是否已经处于待执行状态，否则会给出医嘱待处理状态提示，如：医嘱未接收。</w:t>
      </w:r>
    </w:p>
    <w:p w14:paraId="14BE0B0F">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医嘱执行前系统会验证当前医嘱是否已停止，停止时间是否在执行时间之前，若是，则给出对应医嘱已停的提示。</w:t>
      </w:r>
    </w:p>
    <w:p w14:paraId="7FD0594C">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医嘱执行前系统会验证当前医嘱是否已经作废，若是给出医嘱已作废提示。</w:t>
      </w:r>
    </w:p>
    <w:p w14:paraId="3CFD57FE">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40B575A5">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多通道与单通道：护理人员扫输液医嘱瓶签执行前会自动验证是否还有未结束输液医嘱并给出提示，护理人员根据实际场景确定是单通道执行还是多通道执行，若为单通道，在执行当前医嘱的同时会自动结束上一袋医嘱。</w:t>
      </w:r>
    </w:p>
    <w:p w14:paraId="650BDEF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44" w:name="_Toc96088730"/>
      <w:bookmarkStart w:id="45" w:name="_Toc98149329"/>
      <w:bookmarkStart w:id="46" w:name="_Toc109140245"/>
      <w:r>
        <w:rPr>
          <w:rFonts w:hint="eastAsia" w:ascii="宋体" w:hAnsi="宋体" w:eastAsia="宋体" w:cs="宋体"/>
          <w:sz w:val="24"/>
          <w:szCs w:val="24"/>
          <w:highlight w:val="none"/>
        </w:rPr>
        <w:t>针剂医嘱</w:t>
      </w:r>
      <w:bookmarkEnd w:id="44"/>
      <w:r>
        <w:rPr>
          <w:rFonts w:hint="eastAsia" w:ascii="宋体" w:hAnsi="宋体" w:eastAsia="宋体" w:cs="宋体"/>
          <w:sz w:val="24"/>
          <w:szCs w:val="24"/>
          <w:highlight w:val="none"/>
        </w:rPr>
        <w:t>执行</w:t>
      </w:r>
      <w:bookmarkEnd w:id="45"/>
      <w:bookmarkEnd w:id="46"/>
    </w:p>
    <w:p w14:paraId="5C97EBD6">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针剂用药医嘱流程：</w:t>
      </w:r>
    </w:p>
    <w:p w14:paraId="2388E768">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针剂医嘱执行：护士在针剂医嘱执行前先扫描患者腕带，再扫描针剂签上条码，完成用药人与药品的核对，如若一致，执行医嘱，如若不一致，给出患者和药品信息，并提示二者不一致。</w:t>
      </w:r>
    </w:p>
    <w:p w14:paraId="7296065F">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执行结果写回：将医嘱执行结果写回至HIS系统中。</w:t>
      </w:r>
    </w:p>
    <w:p w14:paraId="62FA3997">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420E70CD">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提供成组医嘱简卡，包含：执行状态、用药途径、频次、长期/短期医嘱、医嘱名称、用量、单位、开嘱医生、计划执行时间、实际执行时间、执行人。</w:t>
      </w:r>
    </w:p>
    <w:p w14:paraId="0C0D0339">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护理人员可在针剂医嘱执行的各个流程中看到前面环节的记录，包括接收人、接收时间、执行人、执行时间。</w:t>
      </w:r>
    </w:p>
    <w:p w14:paraId="39278791">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护理人员在执行高危药品时，输液医嘱简卡上出现‘高危’标志，点击可看到高危药品说明，同时在执行医嘱时双人核对流程。</w:t>
      </w:r>
    </w:p>
    <w:p w14:paraId="275E6A68">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执行针剂医嘱时，系统会自动判断当前时间与计划执行时间间隔，若相隔时间长度超出了护理规定时间，则给出针剂医嘱‘超时’或‘未到’计划执行时间提示。</w:t>
      </w:r>
    </w:p>
    <w:p w14:paraId="5496F2CE">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护理人员扫描针剂医嘱瓶签时会自动判断当前医嘱是否已经处于待执行状态，否则会给出医嘱待处理状态提示，如：医嘱未摆药、医嘱未配药。</w:t>
      </w:r>
    </w:p>
    <w:p w14:paraId="665F4AA5">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医嘱执行前系统会验证当前医嘱是否已停止，停止时间是否在执行时间之前，若是，则给出对应医嘱已停的提示。</w:t>
      </w:r>
    </w:p>
    <w:p w14:paraId="53F7422D">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医嘱执行前系统会验证当前医嘱是否已经作废，若是给出医嘱已作废提示。</w:t>
      </w:r>
    </w:p>
    <w:p w14:paraId="29D0149C">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47" w:name="_Toc96088731"/>
      <w:bookmarkStart w:id="48" w:name="_Toc98149330"/>
      <w:bookmarkStart w:id="49" w:name="_Toc109140246"/>
      <w:r>
        <w:rPr>
          <w:rFonts w:hint="eastAsia" w:ascii="宋体" w:hAnsi="宋体" w:eastAsia="宋体" w:cs="宋体"/>
          <w:sz w:val="24"/>
          <w:szCs w:val="24"/>
          <w:highlight w:val="none"/>
        </w:rPr>
        <w:t>口服药</w:t>
      </w:r>
      <w:bookmarkEnd w:id="47"/>
      <w:r>
        <w:rPr>
          <w:rFonts w:hint="eastAsia" w:ascii="宋体" w:hAnsi="宋体" w:eastAsia="宋体" w:cs="宋体"/>
          <w:sz w:val="24"/>
          <w:szCs w:val="24"/>
          <w:highlight w:val="none"/>
        </w:rPr>
        <w:t>医嘱执行</w:t>
      </w:r>
      <w:bookmarkEnd w:id="48"/>
      <w:bookmarkEnd w:id="49"/>
    </w:p>
    <w:p w14:paraId="40E204E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口服药医嘱流程：</w:t>
      </w:r>
    </w:p>
    <w:p w14:paraId="3D519756">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病区收药：在药房自动包药机包装口服药的模式中，护理系统和自动包药机系统对接，护理人员按配送批次，点击‘药品接收’功能批量接收药品，并记录接收批次，批次实际药品总数、接收人、接收时间。</w:t>
      </w:r>
    </w:p>
    <w:p w14:paraId="71B35A9D">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口服药医嘱执行：护士在口服药医嘱执行前先扫描患者腕带，再扫描针剂签上条码，完成用药人与药品的核对，如若一致，执行医嘱，如若不一致，给出患者和药品信息，并提示二者不一致。</w:t>
      </w:r>
    </w:p>
    <w:p w14:paraId="7055A569">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执行结果写回：将医嘱执行结果写回至第三方系统中。</w:t>
      </w:r>
    </w:p>
    <w:p w14:paraId="67044B0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6D73D724">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提供成组医嘱简卡，包含：执行状态、用药途径、频次、长期/短期医嘱、医嘱名称、用量、单位、开嘱医生、计划执行时间、实际执行时间、执行人。</w:t>
      </w:r>
    </w:p>
    <w:p w14:paraId="64640744">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护理人员可在口服药医嘱执行的各个流程中看到前面环节的记录，包括接收人、接收时间、执行人、执行时间。</w:t>
      </w:r>
    </w:p>
    <w:p w14:paraId="5B162225">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执行口服药医嘱时，系统会自动判断当前时间与计划执行时间间隔，若相隔时间长度超出了护理规定时间，则给出针剂医嘱‘超时’或‘未到’计划执行时间提示。</w:t>
      </w:r>
    </w:p>
    <w:p w14:paraId="60EA90F3">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护理人员扫描口服药医嘱瓶签时会自动判断当前医嘱是否已经处于待执行状态，否则会给出医嘱待处理状态提示，如：医嘱未接收。</w:t>
      </w:r>
    </w:p>
    <w:p w14:paraId="73815DD2">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医嘱执行前系统会验证当前医嘱是否已停止，停止时间是否在执行时间之前，若是，则给出对应医嘱已停的提示。</w:t>
      </w:r>
    </w:p>
    <w:p w14:paraId="36A8AE3E">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医嘱执行前系统会验证当前医嘱是否已经作废，若是给出医嘱已作废提示。</w:t>
      </w:r>
    </w:p>
    <w:p w14:paraId="39B5140C">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后期包药机对接：支持与包药机系统对接，在系统中扫描病人腕带和包药机口服药包条码进行发药，并记录相关执行人、执行时间等信息。</w:t>
      </w:r>
    </w:p>
    <w:p w14:paraId="297B2EC1">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50" w:name="_Toc109140247"/>
      <w:bookmarkStart w:id="51" w:name="_Toc96088732"/>
      <w:bookmarkStart w:id="52" w:name="_Toc98149331"/>
      <w:r>
        <w:rPr>
          <w:rFonts w:hint="eastAsia" w:ascii="宋体" w:hAnsi="宋体" w:eastAsia="宋体" w:cs="宋体"/>
          <w:sz w:val="24"/>
          <w:szCs w:val="24"/>
          <w:highlight w:val="none"/>
        </w:rPr>
        <w:t>护理医嘱执行</w:t>
      </w:r>
      <w:bookmarkEnd w:id="50"/>
      <w:bookmarkEnd w:id="51"/>
      <w:bookmarkEnd w:id="52"/>
    </w:p>
    <w:p w14:paraId="180DE1AD">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护理医嘱执行流程：</w:t>
      </w:r>
    </w:p>
    <w:p w14:paraId="14945DF7">
      <w:pPr>
        <w:pStyle w:val="42"/>
        <w:pageBreakBefore w:val="0"/>
        <w:numPr>
          <w:ilvl w:val="0"/>
          <w:numId w:val="45"/>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护理医嘱执行：护理人员扫描患者腕带，列出该患者需要执行的护理医嘱（小治疗），护理人员选择条目后进行护理医嘱执行。</w:t>
      </w:r>
    </w:p>
    <w:p w14:paraId="162F059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护理医嘱执行结果回写：将护理医嘱执行结果回写致第三方系统中。</w:t>
      </w:r>
    </w:p>
    <w:p w14:paraId="15D9DFCD">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1E42BD4E">
      <w:pPr>
        <w:pStyle w:val="42"/>
        <w:pageBreakBefore w:val="0"/>
        <w:numPr>
          <w:ilvl w:val="0"/>
          <w:numId w:val="46"/>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提供成组医嘱简卡，包含：用药途径、频次、长期/短期医嘱、医嘱名称、用量、单位、开嘱医生、开立时间、最大执行次数、当前执行次数。</w:t>
      </w:r>
    </w:p>
    <w:p w14:paraId="359F398D">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护理人员可在护理医嘱执行界面中看到护理医嘱历次执行记录，包含：执行护士、执行时间。</w:t>
      </w:r>
    </w:p>
    <w:p w14:paraId="0471CEA2">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护理医嘱在执行时，系统会自动验证该医嘱是否超过最大执行次数，若超过，则给出对应提示不允许再次执行。</w:t>
      </w:r>
    </w:p>
    <w:p w14:paraId="769DA150">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53" w:name="_Toc96088733"/>
      <w:bookmarkStart w:id="54" w:name="_Toc109140248"/>
      <w:bookmarkStart w:id="55" w:name="_Toc98149332"/>
      <w:r>
        <w:rPr>
          <w:rFonts w:hint="eastAsia" w:ascii="宋体" w:hAnsi="宋体" w:eastAsia="宋体" w:cs="宋体"/>
          <w:sz w:val="24"/>
          <w:szCs w:val="24"/>
          <w:highlight w:val="none"/>
        </w:rPr>
        <w:t>皮试医嘱</w:t>
      </w:r>
      <w:bookmarkEnd w:id="53"/>
      <w:r>
        <w:rPr>
          <w:rFonts w:hint="eastAsia" w:ascii="宋体" w:hAnsi="宋体" w:eastAsia="宋体" w:cs="宋体"/>
          <w:sz w:val="24"/>
          <w:szCs w:val="24"/>
          <w:highlight w:val="none"/>
        </w:rPr>
        <w:t>执行</w:t>
      </w:r>
      <w:bookmarkEnd w:id="54"/>
      <w:bookmarkEnd w:id="55"/>
    </w:p>
    <w:p w14:paraId="6322F2D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皮试医嘱执行流程：</w:t>
      </w:r>
    </w:p>
    <w:p w14:paraId="189CDC78">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皮试医嘱核对：护士在皮试医嘱执行前先扫描患者腕带，再扫描标签上条码，完成用药人与药品的核对，如若一致，执行医嘱，如若不一致，给出患者和药品信息，并提示二者不一致。</w:t>
      </w:r>
    </w:p>
    <w:p w14:paraId="63FCF166">
      <w:pPr>
        <w:pStyle w:val="42"/>
        <w:pageBreakBefore w:val="0"/>
        <w:numPr>
          <w:ilvl w:val="0"/>
          <w:numId w:val="47"/>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皮试医嘱执行：护士在皮试医嘱执行界面设置皮试时长并开始皮试。</w:t>
      </w:r>
    </w:p>
    <w:p w14:paraId="6DA6703A">
      <w:pPr>
        <w:pStyle w:val="42"/>
        <w:pageBreakBefore w:val="0"/>
        <w:numPr>
          <w:ilvl w:val="0"/>
          <w:numId w:val="47"/>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皮试结果录入：皮试定时任务结束后，PDA语音播报提醒护士，护士扫描患者腕带，再扫描标签上条码，完成用药人与药品核对，若核对一致录入皮试结果，并执行双人核对，若核对不一致给出相应提示。</w:t>
      </w:r>
    </w:p>
    <w:p w14:paraId="6479CB00">
      <w:pPr>
        <w:pStyle w:val="42"/>
        <w:pageBreakBefore w:val="0"/>
        <w:numPr>
          <w:ilvl w:val="0"/>
          <w:numId w:val="47"/>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皮试医嘱执行结果回写：将皮试医嘱执行结果回写致HIS系统中。</w:t>
      </w:r>
    </w:p>
    <w:p w14:paraId="6883A191">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医嘱显示与执行提示：</w:t>
      </w:r>
    </w:p>
    <w:p w14:paraId="265C3D7C">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提供成组医嘱简卡，包含：用药途径、频次、长期/短期医嘱、医嘱名称、用量、单位、开嘱医生、皮试开始时间、皮试倒计时。</w:t>
      </w:r>
    </w:p>
    <w:p w14:paraId="2D91510E">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护理人员可在‘皮试’功能中看到当前科室所有患者皮试记录，包括皮试时间、执行护士、皮试结果、核对护士。</w:t>
      </w:r>
    </w:p>
    <w:p w14:paraId="4438AC56">
      <w:pPr>
        <w:pStyle w:val="42"/>
        <w:pageBreakBefore w:val="0"/>
        <w:numPr>
          <w:ilvl w:val="0"/>
          <w:numId w:val="48"/>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护理人员可在‘皮试’功能中直接扫码非当前科室患者皮试医嘱，执行非当前科室皮试功能。</w:t>
      </w:r>
    </w:p>
    <w:p w14:paraId="3B7F50A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56" w:name="_Toc98149333"/>
      <w:bookmarkStart w:id="57" w:name="_Toc109140249"/>
      <w:bookmarkStart w:id="58" w:name="_Toc96088734"/>
      <w:r>
        <w:rPr>
          <w:rFonts w:hint="eastAsia" w:ascii="宋体" w:hAnsi="宋体" w:eastAsia="宋体" w:cs="宋体"/>
          <w:sz w:val="24"/>
          <w:szCs w:val="24"/>
          <w:highlight w:val="none"/>
        </w:rPr>
        <w:t>医嘱查询</w:t>
      </w:r>
      <w:bookmarkEnd w:id="56"/>
      <w:bookmarkEnd w:id="57"/>
      <w:bookmarkEnd w:id="58"/>
    </w:p>
    <w:p w14:paraId="17886637">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全科医嘱查看：</w:t>
      </w:r>
    </w:p>
    <w:p w14:paraId="2E0086A9">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医嘱查看：护理人员可在‘医嘱查看’功能下查看当前科室所有患者原始医嘱，该医嘱以所属患者进行分类，同时可以通过医嘱用药途径、医嘱频次以及开立时间进行详细筛选。</w:t>
      </w:r>
    </w:p>
    <w:p w14:paraId="29C0ABF7">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单患者医嘱查看：</w:t>
      </w:r>
    </w:p>
    <w:p w14:paraId="646696DD">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护理人员可在执行医嘱的同时查看该患者所有原始医嘱，例如该统能可替代传统的患者床尾执行单。</w:t>
      </w:r>
    </w:p>
    <w:p w14:paraId="5F606BD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单患者原始医嘱按照用药途径分类为：输液医嘱、注射医嘱、口服药医嘱、护理/处置、今日变更（今日新开、今日停止、临时医嘱）</w:t>
      </w:r>
    </w:p>
    <w:p w14:paraId="403C421F">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点击单条原始医嘱可看到该医嘱的执行记录。</w:t>
      </w:r>
    </w:p>
    <w:p w14:paraId="28FC4D3D">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全科医嘱计划查看：</w:t>
      </w:r>
    </w:p>
    <w:p w14:paraId="79DBB259">
      <w:pPr>
        <w:pStyle w:val="42"/>
        <w:pageBreakBefore w:val="0"/>
        <w:numPr>
          <w:ilvl w:val="0"/>
          <w:numId w:val="4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执行查看：护理人员可在‘执行查看’功能下查看当前科室所有患者医嘱计划，该计划以所属患者进行分类，同时可以通过执行状态（待执行、待配药、待摆药、已执行）和计划执行时间进行详细筛选。</w:t>
      </w:r>
    </w:p>
    <w:p w14:paraId="4AE281E6">
      <w:pPr>
        <w:pStyle w:val="42"/>
        <w:pageBreakBefore w:val="0"/>
        <w:numPr>
          <w:ilvl w:val="0"/>
          <w:numId w:val="4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护理人员通过扫码或点击成组计划，可以实现计划作废功能，作废计划时，系统会给出可供录入的界面和常见作废原因供护士录入或选择。</w:t>
      </w:r>
    </w:p>
    <w:p w14:paraId="04B6102A">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59" w:name="_Toc96088735"/>
      <w:bookmarkStart w:id="60" w:name="_Toc109140250"/>
      <w:bookmarkStart w:id="61" w:name="_Toc98149334"/>
      <w:r>
        <w:rPr>
          <w:rFonts w:hint="eastAsia" w:ascii="宋体" w:hAnsi="宋体" w:eastAsia="宋体" w:cs="宋体"/>
          <w:sz w:val="24"/>
          <w:szCs w:val="24"/>
          <w:highlight w:val="none"/>
        </w:rPr>
        <w:t>检验医嘱</w:t>
      </w:r>
      <w:bookmarkEnd w:id="59"/>
      <w:r>
        <w:rPr>
          <w:rFonts w:hint="eastAsia" w:ascii="宋体" w:hAnsi="宋体" w:eastAsia="宋体" w:cs="宋体"/>
          <w:sz w:val="24"/>
          <w:szCs w:val="24"/>
          <w:highlight w:val="none"/>
        </w:rPr>
        <w:t>执行</w:t>
      </w:r>
      <w:bookmarkEnd w:id="60"/>
      <w:bookmarkEnd w:id="61"/>
    </w:p>
    <w:p w14:paraId="0CEB1435">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采集流程：</w:t>
      </w:r>
    </w:p>
    <w:p w14:paraId="12C304D6">
      <w:pPr>
        <w:pStyle w:val="42"/>
        <w:pageBreakBefore w:val="0"/>
        <w:numPr>
          <w:ilvl w:val="0"/>
          <w:numId w:val="50"/>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样本采集：护理人员于床旁扫描患者腕带，再扫描检验条码，当两者匹配后继续采集，记录采集人、采集时间，若不匹配进行提醒。</w:t>
      </w:r>
    </w:p>
    <w:p w14:paraId="7B42F2B3">
      <w:pPr>
        <w:pStyle w:val="42"/>
        <w:pageBreakBefore w:val="0"/>
        <w:numPr>
          <w:ilvl w:val="0"/>
          <w:numId w:val="50"/>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样本送检：护理人员完成采集后扫描样本条码进行送检。</w:t>
      </w:r>
    </w:p>
    <w:p w14:paraId="1C99379C">
      <w:pPr>
        <w:pStyle w:val="42"/>
        <w:pageBreakBefore w:val="0"/>
        <w:numPr>
          <w:ilvl w:val="0"/>
          <w:numId w:val="50"/>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采集信息回写：将标本采集信息写回至LIS系统中。</w:t>
      </w:r>
    </w:p>
    <w:p w14:paraId="6900D956">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样本显示与提示：</w:t>
      </w:r>
    </w:p>
    <w:p w14:paraId="4550F0B7">
      <w:pPr>
        <w:pStyle w:val="42"/>
        <w:pageBreakBefore w:val="0"/>
        <w:numPr>
          <w:ilvl w:val="0"/>
          <w:numId w:val="5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提供成组医嘱简卡，包含：样本状态（未采样、已采样、超时）、样本名称、申请时间、采样时间、采集人。</w:t>
      </w:r>
    </w:p>
    <w:p w14:paraId="2358A68F">
      <w:pPr>
        <w:pStyle w:val="42"/>
        <w:pageBreakBefore w:val="0"/>
        <w:numPr>
          <w:ilvl w:val="0"/>
          <w:numId w:val="5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特殊样本采集：采集时界面会提供特殊样本说明。</w:t>
      </w:r>
    </w:p>
    <w:p w14:paraId="5AD68059">
      <w:pPr>
        <w:pStyle w:val="42"/>
        <w:pageBreakBefore w:val="0"/>
        <w:numPr>
          <w:ilvl w:val="0"/>
          <w:numId w:val="5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支持医院设置特殊化验项目在特定时间采集，采集时会自动对比当前是否满足化验时间，若不满足给出提示。</w:t>
      </w:r>
    </w:p>
    <w:p w14:paraId="7CDC6312">
      <w:pPr>
        <w:pStyle w:val="42"/>
        <w:pageBreakBefore w:val="0"/>
        <w:numPr>
          <w:ilvl w:val="0"/>
          <w:numId w:val="5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护理人员使用‘标本送检’功能进行送检操作时，系统会自动对比当前送检数量与应当送检数量是否一致，若不一致，给出是否损毁或遗失的提示。</w:t>
      </w:r>
    </w:p>
    <w:p w14:paraId="2181F27D">
      <w:pPr>
        <w:pStyle w:val="42"/>
        <w:pageBreakBefore w:val="0"/>
        <w:numPr>
          <w:ilvl w:val="0"/>
          <w:numId w:val="5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对于血流变等需要同一条码多管采集的样本，扫描样本标签后系统会给出已采数量和未采数量的提示 </w:t>
      </w:r>
    </w:p>
    <w:p w14:paraId="477E7258">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移动护理系统为特殊样本如交叉配血，提供双人核对功能。</w:t>
      </w:r>
    </w:p>
    <w:p w14:paraId="64C7DD85">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系统为特殊样本采集提供录入体征功能，如：24小时尿量、腹透液总量、吸氧浓度、体温。</w:t>
      </w:r>
    </w:p>
    <w:p w14:paraId="0FAD8698">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提供快速采样功能：扫码即执行，并可以不间断连续扫码。</w:t>
      </w:r>
    </w:p>
    <w:p w14:paraId="6E2AFFF7">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支持查阅患者的检验报告，护士不用在电脑前，也可随时了解患者的检验报告结果。</w:t>
      </w:r>
    </w:p>
    <w:p w14:paraId="32A19980">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62" w:name="_Toc98149335"/>
      <w:bookmarkStart w:id="63" w:name="_Toc109140251"/>
      <w:r>
        <w:rPr>
          <w:rFonts w:hint="eastAsia" w:ascii="宋体" w:hAnsi="宋体" w:eastAsia="宋体" w:cs="宋体"/>
          <w:sz w:val="24"/>
          <w:szCs w:val="24"/>
          <w:highlight w:val="none"/>
          <w:lang w:val="en-US" w:eastAsia="zh-CN"/>
        </w:rPr>
        <w:t>检查</w:t>
      </w:r>
      <w:r>
        <w:rPr>
          <w:rFonts w:hint="eastAsia" w:ascii="宋体" w:hAnsi="宋体" w:eastAsia="宋体" w:cs="宋体"/>
          <w:sz w:val="24"/>
          <w:szCs w:val="24"/>
          <w:highlight w:val="none"/>
        </w:rPr>
        <w:t>医嘱执行</w:t>
      </w:r>
      <w:bookmarkEnd w:id="62"/>
      <w:bookmarkEnd w:id="63"/>
    </w:p>
    <w:p w14:paraId="6FBD30CB">
      <w:pPr>
        <w:pStyle w:val="80"/>
        <w:pageBreakBefore w:val="0"/>
        <w:kinsoku/>
        <w:wordWrap/>
        <w:overflowPunct/>
        <w:topLinePunct w:val="0"/>
        <w:autoSpaceDE/>
        <w:autoSpaceDN/>
        <w:bidi w:val="0"/>
        <w:adjustRightInd/>
        <w:snapToGrid/>
        <w:spacing w:line="360" w:lineRule="auto"/>
        <w:rPr>
          <w:rFonts w:hint="eastAsia" w:ascii="宋体" w:hAnsi="宋体" w:eastAsia="宋体" w:cs="宋体"/>
          <w:b/>
          <w:bCs/>
          <w:iCs w:val="0"/>
          <w:kern w:val="2"/>
          <w:sz w:val="24"/>
          <w:szCs w:val="24"/>
          <w:highlight w:val="none"/>
          <w:lang w:val="en-US" w:eastAsia="zh-CN" w:bidi="ar-SA"/>
        </w:rPr>
      </w:pPr>
      <w:r>
        <w:rPr>
          <w:rFonts w:hint="eastAsia" w:ascii="宋体" w:hAnsi="宋体" w:eastAsia="宋体" w:cs="宋体"/>
          <w:b/>
          <w:bCs/>
          <w:sz w:val="24"/>
          <w:szCs w:val="24"/>
          <w:highlight w:val="none"/>
          <w:lang w:val="en-US"/>
        </w:rPr>
        <w:t xml:space="preserve"> </w:t>
      </w:r>
      <w:r>
        <w:rPr>
          <w:rFonts w:hint="eastAsia" w:ascii="宋体" w:hAnsi="宋体" w:eastAsia="宋体" w:cs="宋体"/>
          <w:b/>
          <w:bCs/>
          <w:sz w:val="24"/>
          <w:szCs w:val="24"/>
          <w:highlight w:val="none"/>
          <w:lang w:val="en-US" w:eastAsia="zh-CN"/>
        </w:rPr>
        <w:t>医技预约</w:t>
      </w:r>
      <w:r>
        <w:rPr>
          <w:rFonts w:hint="eastAsia" w:ascii="宋体" w:hAnsi="宋体" w:eastAsia="宋体" w:cs="宋体"/>
          <w:b/>
          <w:bCs/>
          <w:sz w:val="24"/>
          <w:szCs w:val="24"/>
          <w:highlight w:val="none"/>
        </w:rPr>
        <w:t>：</w:t>
      </w:r>
    </w:p>
    <w:p w14:paraId="6C832961">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iCs w:val="0"/>
          <w:kern w:val="2"/>
          <w:sz w:val="24"/>
          <w:szCs w:val="24"/>
          <w:highlight w:val="none"/>
          <w:lang w:val="en-US" w:eastAsia="zh-CN" w:bidi="ar-SA"/>
        </w:rPr>
        <w:t>支持根据时间段检索科室病人医技项目的情况；根据新开、未检查、已检查等状态查询项目，跟踪医技预约的单子是否打印、病人是否根据医技预约的单子做检查，确保患者及时准确的进行检查。</w:t>
      </w:r>
    </w:p>
    <w:p w14:paraId="357AC11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rPr>
        <w:t xml:space="preserve"> </w:t>
      </w:r>
      <w:r>
        <w:rPr>
          <w:rFonts w:hint="eastAsia" w:ascii="宋体" w:hAnsi="宋体" w:eastAsia="宋体" w:cs="宋体"/>
          <w:b/>
          <w:bCs/>
          <w:sz w:val="24"/>
          <w:szCs w:val="24"/>
          <w:highlight w:val="none"/>
          <w:lang w:val="en-US" w:eastAsia="zh-CN"/>
        </w:rPr>
        <w:t>检查交接</w:t>
      </w:r>
      <w:r>
        <w:rPr>
          <w:rFonts w:hint="eastAsia" w:ascii="宋体" w:hAnsi="宋体" w:eastAsia="宋体" w:cs="宋体"/>
          <w:b/>
          <w:bCs/>
          <w:sz w:val="24"/>
          <w:szCs w:val="24"/>
          <w:highlight w:val="none"/>
        </w:rPr>
        <w:t>：</w:t>
      </w:r>
    </w:p>
    <w:p w14:paraId="2179F673">
      <w:pPr>
        <w:pStyle w:val="42"/>
        <w:pageBreakBefore w:val="0"/>
        <w:numPr>
          <w:ilvl w:val="0"/>
          <w:numId w:val="52"/>
        </w:numPr>
        <w:kinsoku/>
        <w:wordWrap/>
        <w:overflowPunct/>
        <w:topLinePunct w:val="0"/>
        <w:autoSpaceDE/>
        <w:autoSpaceDN/>
        <w:bidi w:val="0"/>
        <w:adjustRightInd/>
        <w:snapToGrid/>
        <w:spacing w:line="360" w:lineRule="auto"/>
        <w:ind w:firstLineChars="0"/>
        <w:rPr>
          <w:rFonts w:hint="eastAsia" w:ascii="宋体" w:hAnsi="宋体" w:eastAsia="宋体" w:cs="宋体"/>
          <w:b w:val="0"/>
          <w:bCs w:val="0"/>
          <w:iCs w:val="0"/>
          <w:kern w:val="2"/>
          <w:sz w:val="24"/>
          <w:szCs w:val="24"/>
          <w:highlight w:val="none"/>
          <w:lang w:val="en-US" w:eastAsia="zh-CN" w:bidi="ar-SA"/>
        </w:rPr>
      </w:pPr>
      <w:r>
        <w:rPr>
          <w:rFonts w:hint="eastAsia" w:ascii="宋体" w:hAnsi="宋体" w:eastAsia="宋体" w:cs="宋体"/>
          <w:b w:val="0"/>
          <w:bCs w:val="0"/>
          <w:iCs w:val="0"/>
          <w:kern w:val="2"/>
          <w:sz w:val="24"/>
          <w:szCs w:val="24"/>
          <w:highlight w:val="none"/>
          <w:lang w:val="en-US" w:eastAsia="zh-CN" w:bidi="ar-SA"/>
        </w:rPr>
        <w:t>支持护士根据患者检查项目，登记病人的检查动向，实现对病人检查流程中闭环跟踪管理。</w:t>
      </w:r>
    </w:p>
    <w:p w14:paraId="04F0C972">
      <w:pPr>
        <w:pStyle w:val="80"/>
        <w:pageBreakBefore w:val="0"/>
        <w:numPr>
          <w:ilvl w:val="3"/>
          <w:numId w:val="0"/>
        </w:numPr>
        <w:kinsoku/>
        <w:wordWrap/>
        <w:overflowPunct/>
        <w:topLinePunct w:val="0"/>
        <w:autoSpaceDE/>
        <w:autoSpaceDN/>
        <w:bidi w:val="0"/>
        <w:adjustRightInd/>
        <w:snapToGrid/>
        <w:spacing w:line="360" w:lineRule="auto"/>
        <w:ind w:left="708" w:leftChars="0"/>
        <w:rPr>
          <w:rFonts w:hint="eastAsia" w:ascii="宋体" w:hAnsi="宋体" w:eastAsia="宋体" w:cs="宋体"/>
          <w:b w:val="0"/>
          <w:bCs w:val="0"/>
          <w:iCs w:val="0"/>
          <w:kern w:val="2"/>
          <w:sz w:val="24"/>
          <w:szCs w:val="24"/>
          <w:highlight w:val="none"/>
          <w:lang w:val="en-US" w:eastAsia="zh-CN" w:bidi="ar-SA"/>
        </w:rPr>
      </w:pPr>
    </w:p>
    <w:p w14:paraId="1E54A489">
      <w:pPr>
        <w:rPr>
          <w:rFonts w:hint="eastAsia" w:ascii="宋体" w:hAnsi="宋体" w:eastAsia="宋体" w:cs="宋体"/>
          <w:sz w:val="24"/>
          <w:szCs w:val="24"/>
          <w:highlight w:val="none"/>
        </w:rPr>
      </w:pPr>
    </w:p>
    <w:p w14:paraId="7016788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输血医嘱执行</w:t>
      </w:r>
    </w:p>
    <w:p w14:paraId="451703D6">
      <w:pPr>
        <w:rPr>
          <w:rFonts w:hint="eastAsia" w:ascii="宋体" w:hAnsi="宋体" w:eastAsia="宋体" w:cs="宋体"/>
          <w:sz w:val="24"/>
          <w:szCs w:val="24"/>
          <w:highlight w:val="none"/>
        </w:rPr>
      </w:pPr>
    </w:p>
    <w:p w14:paraId="5D9D0C6A">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输血流程：</w:t>
      </w:r>
    </w:p>
    <w:p w14:paraId="49EF45BC">
      <w:pPr>
        <w:pStyle w:val="42"/>
        <w:pageBreakBefore w:val="0"/>
        <w:numPr>
          <w:ilvl w:val="0"/>
          <w:numId w:val="5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血袋接收：护理系统与医院输血系统对接，护理人按配送批次，于护士站先扫描血袋，再进行双人核对并完成接收，并记录接收人、接收时间、血袋信息。</w:t>
      </w:r>
    </w:p>
    <w:p w14:paraId="428A64AB">
      <w:pPr>
        <w:pStyle w:val="42"/>
        <w:pageBreakBefore w:val="0"/>
        <w:numPr>
          <w:ilvl w:val="0"/>
          <w:numId w:val="5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血执行：护理人员在执行输血前先扫描患者腕带，再扫描血袋信息，完成输血人于血袋的核对，若不一致，系统给出相应提示，若信息一致，系统提供体征录入界面，护理人员录入体征信息后进行双人核对工作并开始输血。</w:t>
      </w:r>
    </w:p>
    <w:p w14:paraId="62B90DDB">
      <w:pPr>
        <w:pStyle w:val="42"/>
        <w:pageBreakBefore w:val="0"/>
        <w:numPr>
          <w:ilvl w:val="0"/>
          <w:numId w:val="5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血巡视：输血巡视过程为护理人员提供患者体征录入功能，包括：病人状态、穿刺部位、滴速、体温、呼吸、心率、脉搏、血压，护理人员录入体征后执行巡视，系统记录巡视人、巡视时间、血袋信息以及体征信息。</w:t>
      </w:r>
    </w:p>
    <w:p w14:paraId="05C36BDB">
      <w:pPr>
        <w:pStyle w:val="42"/>
        <w:pageBreakBefore w:val="0"/>
        <w:numPr>
          <w:ilvl w:val="0"/>
          <w:numId w:val="5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输血结束/异常停止：护理人员在执行输血结束/异常停止时，同样需要进行输血人与血袋信息的扫码核对，核对无误后录入结束所需体征信息并结束输血。</w:t>
      </w:r>
    </w:p>
    <w:p w14:paraId="50DCB943">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血袋回收：护理人员完成输血工作后进行血袋回收，扫描血袋条码，记录回收人、回收时间、血袋信息。</w:t>
      </w:r>
    </w:p>
    <w:p w14:paraId="6DAD2E2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输血信息显示与提示：</w:t>
      </w:r>
    </w:p>
    <w:p w14:paraId="1396D607">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系统提供输血人基本信息，包括：床号、姓名、年龄、住院号、血型、RH、执行进度。</w:t>
      </w:r>
    </w:p>
    <w:p w14:paraId="30E4E4FC">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提供血袋信息简卡，包括血袋号、血袋名称、血袋容量、发血人、发血时间、接收人、接收时间、输血人、输血时间、结束人、结束时间。</w:t>
      </w:r>
    </w:p>
    <w:p w14:paraId="270C688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可查看血袋输血执行记录，包括输血开始、输血巡视、输血结束期间所录入的体征信息。</w:t>
      </w:r>
    </w:p>
    <w:p w14:paraId="0B214046">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提供输血开始或结束后，在规定时间内进行巡视的提醒功能。</w:t>
      </w:r>
    </w:p>
    <w:p w14:paraId="79EF7DC6">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70FA83AC">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根据医院输血系统实际情况，提供单条码（血袋码）或双条码（成分码和献血码）两种扫码模式；</w:t>
      </w:r>
    </w:p>
    <w:p w14:paraId="5A0F3B27">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64" w:name="_Toc109140252"/>
      <w:bookmarkStart w:id="65" w:name="_Toc96088737"/>
      <w:bookmarkStart w:id="66" w:name="_Toc98149336"/>
      <w:r>
        <w:rPr>
          <w:rFonts w:hint="eastAsia" w:ascii="宋体" w:hAnsi="宋体" w:eastAsia="宋体" w:cs="宋体"/>
          <w:sz w:val="24"/>
          <w:szCs w:val="24"/>
          <w:highlight w:val="none"/>
        </w:rPr>
        <w:t>等级护理巡视</w:t>
      </w:r>
      <w:bookmarkEnd w:id="64"/>
      <w:bookmarkEnd w:id="65"/>
      <w:bookmarkEnd w:id="66"/>
    </w:p>
    <w:p w14:paraId="206FF431">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巡视流程：</w:t>
      </w:r>
    </w:p>
    <w:p w14:paraId="582F362A">
      <w:pPr>
        <w:pStyle w:val="42"/>
        <w:pageBreakBefore w:val="0"/>
        <w:numPr>
          <w:ilvl w:val="0"/>
          <w:numId w:val="5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护理人员扫描患者腕带或床头卡，记录患者状态、记录巡视人、巡视时间。</w:t>
      </w:r>
    </w:p>
    <w:p w14:paraId="73696BB7">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4428626F">
      <w:pPr>
        <w:pStyle w:val="42"/>
        <w:pageBreakBefore w:val="0"/>
        <w:numPr>
          <w:ilvl w:val="0"/>
          <w:numId w:val="5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提供巡视录入界面，包含患者状态、巡视备注、吸氧巡视、翻身巡视选择。</w:t>
      </w:r>
    </w:p>
    <w:p w14:paraId="794E0B4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等级巡视中提供患者巡视记录，并以时间轴的形式展示。</w:t>
      </w:r>
    </w:p>
    <w:p w14:paraId="56B6F782">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当无线网络信号较差时，支持PDA将巡视数据缓存至本地，离线完成业务。</w:t>
      </w:r>
    </w:p>
    <w:p w14:paraId="33D45DC7">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67" w:name="_Toc96088738"/>
      <w:bookmarkStart w:id="68" w:name="_Toc98149337"/>
      <w:bookmarkStart w:id="69" w:name="_Toc109140253"/>
      <w:r>
        <w:rPr>
          <w:rFonts w:hint="eastAsia" w:ascii="宋体" w:hAnsi="宋体" w:eastAsia="宋体" w:cs="宋体"/>
          <w:sz w:val="24"/>
          <w:szCs w:val="24"/>
          <w:highlight w:val="none"/>
        </w:rPr>
        <w:t>体征管理</w:t>
      </w:r>
      <w:bookmarkEnd w:id="67"/>
      <w:bookmarkEnd w:id="68"/>
      <w:bookmarkEnd w:id="69"/>
    </w:p>
    <w:p w14:paraId="24C525A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体征信息录入：患者体征信息的床旁实时采集，采集体征信息包括:体温、脉搏、呼吸、心率、出入液量、血氧饱和度、血压、血糖、身高、疼痛、各种引流管、体重、排便次数等。对病人体征信息进行脱纸的电子化记录，数据与住院电子病历系统实时互通。减少了护士重复手录病人体征数据的麻烦，确保护理工作的时效性和规范性</w:t>
      </w:r>
      <w:r>
        <w:rPr>
          <w:rFonts w:hint="eastAsia" w:ascii="宋体" w:hAnsi="宋体" w:eastAsia="宋体" w:cs="宋体"/>
          <w:sz w:val="24"/>
          <w:szCs w:val="24"/>
          <w:highlight w:val="none"/>
          <w:lang w:eastAsia="zh-CN"/>
        </w:rPr>
        <w:t>。</w:t>
      </w:r>
    </w:p>
    <w:p w14:paraId="7BF6784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数据校验：进行录入数据校验，超过录入设定值系统进行提醒。</w:t>
      </w:r>
    </w:p>
    <w:p w14:paraId="57A6657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快速切换患者：在体征录入界面护理人员可通过扫描患者腕带实现患者的快速切换。</w:t>
      </w:r>
    </w:p>
    <w:p w14:paraId="41520A6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录入项默认：护理人员可在体征模板里勾选录入项，形成默认的常用体征录入模板，再次录入或者切换患者后继续延用之前模板。</w:t>
      </w:r>
    </w:p>
    <w:p w14:paraId="2EA7998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体征专用键盘：系统为不同的体征输入项设置了专用键盘，例如体温，为33.0到42.9之间数额限定值的键盘。</w:t>
      </w:r>
    </w:p>
    <w:p w14:paraId="781C153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记录查看：护理人员可在录入后看到当前患者体征录入记录，包含录入时间，录入护士，录入具体项目，并提供记录修改功能。</w:t>
      </w:r>
    </w:p>
    <w:p w14:paraId="54F7764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离线上传：当无线网络信号较差时，支持PDA将体征数据缓存至本地，离线完成业务。</w:t>
      </w:r>
    </w:p>
    <w:p w14:paraId="5A3C93A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批量录入：筛选待测病人，按时间节点测量生命体征，如2、6、10点测量生命体征。</w:t>
      </w:r>
      <w:r>
        <w:rPr>
          <w:rFonts w:hint="eastAsia" w:ascii="宋体" w:hAnsi="宋体" w:eastAsia="宋体" w:cs="宋体"/>
          <w:sz w:val="24"/>
          <w:szCs w:val="24"/>
          <w:highlight w:val="none"/>
          <w:lang w:val="en-US" w:eastAsia="zh-CN"/>
        </w:rPr>
        <w:t>支</w:t>
      </w:r>
      <w:r>
        <w:rPr>
          <w:rFonts w:hint="eastAsia" w:ascii="宋体" w:hAnsi="宋体" w:eastAsia="宋体" w:cs="宋体"/>
          <w:sz w:val="24"/>
          <w:szCs w:val="24"/>
          <w:highlight w:val="none"/>
        </w:rPr>
        <w:t>持对接住院电子病历系统，一次性批量统一录入登陆科室的病人体温、脉搏、呼吸等体征信息，数据与住院电子病历系统实时互通，提高护理工作效率</w:t>
      </w:r>
      <w:r>
        <w:rPr>
          <w:rFonts w:hint="eastAsia" w:ascii="宋体" w:hAnsi="宋体" w:eastAsia="宋体" w:cs="宋体"/>
          <w:sz w:val="24"/>
          <w:szCs w:val="24"/>
          <w:highlight w:val="none"/>
          <w:lang w:eastAsia="zh-CN"/>
        </w:rPr>
        <w:t>。</w:t>
      </w:r>
    </w:p>
    <w:p w14:paraId="37BAC29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体征查询：支持对接住院电子病历系统，查询病人某一天所录入的体征记录。选择体征记录，可以修改某个时间点的体征信息，数据与住院电子病历实时互通。</w:t>
      </w:r>
    </w:p>
    <w:p w14:paraId="5AA1DE4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70" w:name="_Toc96088739"/>
      <w:bookmarkStart w:id="71" w:name="_Toc109140254"/>
      <w:bookmarkStart w:id="72" w:name="_Toc98149338"/>
      <w:r>
        <w:rPr>
          <w:rFonts w:hint="eastAsia" w:ascii="宋体" w:hAnsi="宋体" w:eastAsia="宋体" w:cs="宋体"/>
          <w:sz w:val="24"/>
          <w:szCs w:val="24"/>
          <w:highlight w:val="none"/>
        </w:rPr>
        <w:t>临床报告</w:t>
      </w:r>
      <w:bookmarkEnd w:id="70"/>
      <w:bookmarkEnd w:id="71"/>
      <w:bookmarkEnd w:id="72"/>
    </w:p>
    <w:p w14:paraId="35631115">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检验报告：</w:t>
      </w:r>
    </w:p>
    <w:p w14:paraId="2317EA72">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提供显示不同住院次检验报告单和报告单明细；</w:t>
      </w:r>
    </w:p>
    <w:p w14:paraId="4943C79C">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按日期查询检验记录，显示检验项目名称、样品名称、样品编号、检验结果、单位、参考范围；</w:t>
      </w:r>
    </w:p>
    <w:p w14:paraId="491DFA0B">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检验结果可显示异常值提醒。</w:t>
      </w:r>
    </w:p>
    <w:p w14:paraId="631B74A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检查报告：</w:t>
      </w:r>
    </w:p>
    <w:p w14:paraId="0F45E83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提供检查报告查询功能，包含报告名称、报告类别、报告时间及检查项目和报告具体内容；</w:t>
      </w:r>
    </w:p>
    <w:p w14:paraId="5095B74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提供查看检查图像功能，需检查系统提供网页浏览。</w:t>
      </w:r>
    </w:p>
    <w:p w14:paraId="49AA08B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病历浏览：</w:t>
      </w:r>
    </w:p>
    <w:p w14:paraId="48BCA539">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提供患者病历浏览功能</w:t>
      </w:r>
      <w:r>
        <w:rPr>
          <w:rFonts w:hint="eastAsia" w:ascii="宋体" w:hAnsi="宋体" w:eastAsia="宋体" w:cs="宋体"/>
          <w:color w:val="000000"/>
          <w:sz w:val="24"/>
          <w:szCs w:val="24"/>
          <w:highlight w:val="none"/>
          <w:lang w:val="en-US"/>
        </w:rPr>
        <w:t>(</w:t>
      </w:r>
      <w:r>
        <w:rPr>
          <w:rFonts w:hint="eastAsia" w:ascii="宋体" w:hAnsi="宋体" w:eastAsia="宋体" w:cs="宋体"/>
          <w:color w:val="000000"/>
          <w:sz w:val="24"/>
          <w:szCs w:val="24"/>
          <w:highlight w:val="none"/>
        </w:rPr>
        <w:t>统一浏览病人的护理记录、知情同意书、长期医嘱单、临时医嘱单等在院病历信息，支持放大、缩小查看。</w:t>
      </w:r>
      <w:r>
        <w:rPr>
          <w:rFonts w:hint="eastAsia" w:ascii="宋体" w:hAnsi="宋体" w:eastAsia="宋体" w:cs="宋体"/>
          <w:color w:val="000000"/>
          <w:sz w:val="24"/>
          <w:szCs w:val="24"/>
          <w:highlight w:val="none"/>
          <w:lang w:val="en-US"/>
        </w:rPr>
        <w:t>)</w:t>
      </w:r>
      <w:r>
        <w:rPr>
          <w:rFonts w:hint="eastAsia" w:ascii="宋体" w:hAnsi="宋体" w:eastAsia="宋体" w:cs="宋体"/>
          <w:color w:val="000000"/>
          <w:sz w:val="24"/>
          <w:szCs w:val="24"/>
          <w:highlight w:val="none"/>
        </w:rPr>
        <w:t>。</w:t>
      </w:r>
    </w:p>
    <w:p w14:paraId="156AC83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体温单浏览：</w:t>
      </w:r>
    </w:p>
    <w:p w14:paraId="374A8B8C">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提供患者入院后体温单浏览功能。</w:t>
      </w:r>
      <w:r>
        <w:rPr>
          <w:rFonts w:hint="eastAsia" w:ascii="宋体" w:hAnsi="宋体" w:eastAsia="宋体" w:cs="宋体"/>
          <w:sz w:val="24"/>
          <w:szCs w:val="24"/>
          <w:highlight w:val="none"/>
          <w:lang w:val="en-US" w:eastAsia="zh-CN"/>
        </w:rPr>
        <w:t>支持调阅住院电子病历系统中生成的患者体温单信息，按周查阅体温单。</w:t>
      </w:r>
    </w:p>
    <w:p w14:paraId="121DF7CC">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交接班查看：</w:t>
      </w:r>
    </w:p>
    <w:p w14:paraId="59C9F9D3">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支持PDA端按天查看患者交班信息。</w:t>
      </w:r>
    </w:p>
    <w:p w14:paraId="0E625E4D">
      <w:pPr>
        <w:pStyle w:val="42"/>
        <w:pageBreakBefore w:val="0"/>
        <w:numPr>
          <w:ilvl w:val="0"/>
          <w:numId w:val="55"/>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提供日期、班次、项目等筛选项筛选详细信息功能。</w:t>
      </w:r>
    </w:p>
    <w:p w14:paraId="3119BAB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73" w:name="_Toc109140255"/>
      <w:bookmarkStart w:id="74" w:name="_Toc96088740"/>
      <w:bookmarkStart w:id="75" w:name="_Toc98149339"/>
      <w:r>
        <w:rPr>
          <w:rFonts w:hint="eastAsia" w:ascii="宋体" w:hAnsi="宋体" w:eastAsia="宋体" w:cs="宋体"/>
          <w:sz w:val="24"/>
          <w:szCs w:val="24"/>
          <w:highlight w:val="none"/>
        </w:rPr>
        <w:t>护理记录</w:t>
      </w:r>
      <w:bookmarkEnd w:id="73"/>
      <w:bookmarkEnd w:id="74"/>
      <w:bookmarkEnd w:id="75"/>
    </w:p>
    <w:p w14:paraId="724DA7DE">
      <w:pPr>
        <w:pStyle w:val="42"/>
        <w:pageBreakBefore w:val="0"/>
        <w:numPr>
          <w:ilvl w:val="0"/>
          <w:numId w:val="56"/>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提供数据完全结构化的 《一般护理记录单》 、《内科护理记录单》 、《外科护理记录单》 、《精神科护理记录单》 、《胃肠科护理记录单》 、《产科护理记录单》 、《儿科护理记录单》 、《血糖记录单》结构化护理记录单的录入、编辑、修改、预览和打印功能；</w:t>
      </w:r>
    </w:p>
    <w:p w14:paraId="7481C0DB">
      <w:pPr>
        <w:pStyle w:val="42"/>
        <w:pageBreakBefore w:val="0"/>
        <w:numPr>
          <w:ilvl w:val="0"/>
          <w:numId w:val="56"/>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记录查看：提供护理记录数据按照日期筛选查看功能；</w:t>
      </w:r>
    </w:p>
    <w:p w14:paraId="54CEC2CD">
      <w:pPr>
        <w:pStyle w:val="42"/>
        <w:pageBreakBefore w:val="0"/>
        <w:numPr>
          <w:ilvl w:val="0"/>
          <w:numId w:val="56"/>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数据共享：提供护理记录中体征数据回写到体温单功能；</w:t>
      </w:r>
    </w:p>
    <w:p w14:paraId="47C701BA">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数据校验提醒：提供护理记录录入时体征项目时的预警值提醒、漏填写项目验证功能；</w:t>
      </w:r>
    </w:p>
    <w:p w14:paraId="7D0069A3">
      <w:pPr>
        <w:pStyle w:val="42"/>
        <w:pageBreakBefore w:val="0"/>
        <w:numPr>
          <w:ilvl w:val="0"/>
          <w:numId w:val="56"/>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护理记录单默认功能：护理人员可将常用护理记录单设为默认，再次填写时不必重新选择。</w:t>
      </w:r>
    </w:p>
    <w:p w14:paraId="62F6955E">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项目显示默认值：提供护理记录新建时项目显示默认值功能；</w:t>
      </w:r>
    </w:p>
    <w:p w14:paraId="3E961DD5">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评估评分项目回写：提供护理记录中的评分项目可以直接调用评估单进行书写，并可将评分结果、评分选项回写到护理记录单的功能。</w:t>
      </w:r>
    </w:p>
    <w:p w14:paraId="44F5E46B">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自定义项目：提供护理记录自定义项目输入功能； </w:t>
      </w:r>
    </w:p>
    <w:p w14:paraId="305526B6">
      <w:pPr>
        <w:pStyle w:val="42"/>
        <w:pageBreakBefore w:val="0"/>
        <w:numPr>
          <w:ilvl w:val="0"/>
          <w:numId w:val="57"/>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离线上传：当无线网络信号较差时，支持PDA将护理记录单数据缓存至本地，离线完成业务。</w:t>
      </w:r>
    </w:p>
    <w:p w14:paraId="0B30CF2A">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76" w:name="_Toc109140256"/>
      <w:bookmarkStart w:id="77" w:name="_Toc96088741"/>
      <w:bookmarkStart w:id="78" w:name="_Toc98149340"/>
      <w:r>
        <w:rPr>
          <w:rFonts w:hint="eastAsia" w:ascii="宋体" w:hAnsi="宋体" w:eastAsia="宋体" w:cs="宋体"/>
          <w:sz w:val="24"/>
          <w:szCs w:val="24"/>
          <w:highlight w:val="none"/>
        </w:rPr>
        <w:t>护理评估</w:t>
      </w:r>
      <w:bookmarkEnd w:id="76"/>
      <w:bookmarkEnd w:id="77"/>
      <w:bookmarkEnd w:id="78"/>
    </w:p>
    <w:p w14:paraId="0D1D5F03">
      <w:pPr>
        <w:pStyle w:val="42"/>
        <w:pageBreakBefore w:val="0"/>
        <w:numPr>
          <w:ilvl w:val="0"/>
          <w:numId w:val="58"/>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待评估提醒功能：提供在患者入院当日或患者风险评分发生高危时，按入院当日日评分、每周2次评分、每日一次评分的规则，在今日需评分的情况下对护士进行提醒；可按照单据进行判断，列如入院第一天填写一次，如果出现高危（跌倒：成人45分以上高危，小孩14分以上高危；压疮：12分以上高危）患者，则一天一次，中低危每周两次，中间间隔三天未填写提醒。</w:t>
      </w:r>
    </w:p>
    <w:p w14:paraId="02B03C6B">
      <w:pPr>
        <w:pStyle w:val="42"/>
        <w:pageBreakBefore w:val="0"/>
        <w:numPr>
          <w:ilvl w:val="0"/>
          <w:numId w:val="58"/>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评估：提供《入院评估单》、《儿科入院评估单》、《妇科入院评估单》、《Braden评分》、《BradenQ评分》、《Morse跌倒评估》、《ADL评估》、《HDFS评估量表》、《营养风险筛查表》、《STAMP儿童营养风险筛查表》、《烫伤风险评估记录》、《新生儿皮肤风险记录表》、《自理能力评估》、《NIPS疼痛评估》的录入、编辑和删除功能；</w:t>
      </w:r>
    </w:p>
    <w:p w14:paraId="3C15EE86">
      <w:pPr>
        <w:pStyle w:val="42"/>
        <w:pageBreakBefore w:val="0"/>
        <w:numPr>
          <w:ilvl w:val="0"/>
          <w:numId w:val="58"/>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自动计算：提供护理评估结果自动计算功能，根据评估内容自动计算评分总分，；可根据评分总分，自动计算显示所处的风险等级；</w:t>
      </w:r>
    </w:p>
    <w:p w14:paraId="1DAB2715">
      <w:pPr>
        <w:pStyle w:val="42"/>
        <w:pageBreakBefore w:val="0"/>
        <w:numPr>
          <w:ilvl w:val="0"/>
          <w:numId w:val="58"/>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漏填提醒：当护士漏填某一些项目时，可以进行提醒，并以颜色标识漏填写的项目；</w:t>
      </w:r>
    </w:p>
    <w:p w14:paraId="02C6452E">
      <w:pPr>
        <w:pStyle w:val="42"/>
        <w:pageBreakBefore w:val="0"/>
        <w:numPr>
          <w:ilvl w:val="0"/>
          <w:numId w:val="58"/>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离线上传：当无线网络信号较差时，支持PDA将评估单单数据缓存至本地，离线完成业务。</w:t>
      </w:r>
    </w:p>
    <w:p w14:paraId="188E5ADF">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内容联动：提供评估项目联动显示录入功能，根据选中的项目不同，显示不同的内容进行录入，也可以根据分数自动关联风险等级、措施选项。</w:t>
      </w:r>
    </w:p>
    <w:p w14:paraId="1B52203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79" w:name="_Toc109140257"/>
      <w:bookmarkStart w:id="80" w:name="_Toc96088745"/>
      <w:bookmarkStart w:id="81" w:name="_Toc98149341"/>
      <w:r>
        <w:rPr>
          <w:rFonts w:hint="eastAsia" w:ascii="宋体" w:hAnsi="宋体" w:eastAsia="宋体" w:cs="宋体"/>
          <w:sz w:val="24"/>
          <w:szCs w:val="24"/>
          <w:highlight w:val="none"/>
        </w:rPr>
        <w:t>跨科处置</w:t>
      </w:r>
      <w:bookmarkEnd w:id="79"/>
      <w:bookmarkEnd w:id="80"/>
      <w:bookmarkEnd w:id="81"/>
    </w:p>
    <w:p w14:paraId="3C3B97C2">
      <w:pPr>
        <w:pStyle w:val="42"/>
        <w:pageBreakBefore w:val="0"/>
        <w:numPr>
          <w:ilvl w:val="0"/>
          <w:numId w:val="5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当患者去手术室、放疗室时，护理人员可在‘跨科执行’功能里执行医嘱、采样、录入护理文书、查看检验检查报告、体温单、病历。</w:t>
      </w:r>
    </w:p>
    <w:p w14:paraId="3AE767F4">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82" w:name="_Toc98149342"/>
      <w:bookmarkStart w:id="83" w:name="_Toc96088746"/>
      <w:bookmarkStart w:id="84" w:name="_Toc109140258"/>
      <w:r>
        <w:rPr>
          <w:rFonts w:hint="eastAsia" w:ascii="宋体" w:hAnsi="宋体" w:eastAsia="宋体" w:cs="宋体"/>
          <w:sz w:val="24"/>
          <w:szCs w:val="24"/>
          <w:highlight w:val="none"/>
        </w:rPr>
        <w:t>知情同意书</w:t>
      </w:r>
      <w:bookmarkEnd w:id="82"/>
      <w:bookmarkEnd w:id="83"/>
      <w:bookmarkEnd w:id="84"/>
    </w:p>
    <w:p w14:paraId="1A31F975">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知情同意书内容：</w:t>
      </w:r>
    </w:p>
    <w:p w14:paraId="760AC245">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入院告知书：根据医院相关规定，提供患者入院告知书</w:t>
      </w:r>
    </w:p>
    <w:p w14:paraId="1E742AD1">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压疮告知书：根据压疮评分，提供患者压疮告知书</w:t>
      </w:r>
    </w:p>
    <w:p w14:paraId="3BE745FD">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坠床跌倒告知书：根据跌倒评分，提供患者坠床跌倒告知书</w:t>
      </w:r>
    </w:p>
    <w:p w14:paraId="38EA4063">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疼痛告知书：根据疼痛评分，提供患者疼痛告知书</w:t>
      </w:r>
    </w:p>
    <w:p w14:paraId="554A768B">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辅助功能：</w:t>
      </w:r>
    </w:p>
    <w:p w14:paraId="59FD1674">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提供患者手写签名功能；</w:t>
      </w:r>
    </w:p>
    <w:p w14:paraId="0A0F6FA4">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提供患者指纹签名功能（设备支持）；</w:t>
      </w:r>
    </w:p>
    <w:p w14:paraId="5044DA4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85" w:name="_Toc96088747"/>
      <w:bookmarkStart w:id="86" w:name="_Toc109140259"/>
      <w:bookmarkStart w:id="87" w:name="_Toc98149343"/>
      <w:r>
        <w:rPr>
          <w:rFonts w:hint="eastAsia" w:ascii="宋体" w:hAnsi="宋体" w:eastAsia="宋体" w:cs="宋体"/>
          <w:sz w:val="24"/>
          <w:szCs w:val="24"/>
          <w:highlight w:val="none"/>
        </w:rPr>
        <w:t>消息</w:t>
      </w:r>
      <w:bookmarkEnd w:id="85"/>
      <w:r>
        <w:rPr>
          <w:rFonts w:hint="eastAsia" w:ascii="宋体" w:hAnsi="宋体" w:eastAsia="宋体" w:cs="宋体"/>
          <w:sz w:val="24"/>
          <w:szCs w:val="24"/>
          <w:highlight w:val="none"/>
        </w:rPr>
        <w:t>通知</w:t>
      </w:r>
      <w:bookmarkEnd w:id="86"/>
      <w:bookmarkEnd w:id="87"/>
    </w:p>
    <w:p w14:paraId="752714F3">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根据预设好的规则进行消息提醒，例如：医嘱摆药，当患者医嘱执行时间临近时，系统提醒护士进行摆药操作。</w:t>
      </w:r>
    </w:p>
    <w:p w14:paraId="23697016">
      <w:pPr>
        <w:pStyle w:val="42"/>
        <w:pageBreakBefore w:val="0"/>
        <w:numPr>
          <w:ilvl w:val="0"/>
          <w:numId w:val="60"/>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提示医嘱状态变更，如：新开、停止、作废；</w:t>
      </w:r>
    </w:p>
    <w:p w14:paraId="61FA6E0C">
      <w:pPr>
        <w:pStyle w:val="42"/>
        <w:pageBreakBefore w:val="0"/>
        <w:numPr>
          <w:ilvl w:val="0"/>
          <w:numId w:val="4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提示血袋信息变更，如：血库送出的血袋在规定时间内未执行；</w:t>
      </w:r>
    </w:p>
    <w:p w14:paraId="26BE4AA3">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88" w:name="_Toc96088748"/>
      <w:bookmarkStart w:id="89" w:name="_Toc109140260"/>
      <w:bookmarkStart w:id="90" w:name="_Toc98149344"/>
      <w:r>
        <w:rPr>
          <w:rFonts w:hint="eastAsia" w:ascii="宋体" w:hAnsi="宋体" w:eastAsia="宋体" w:cs="宋体"/>
          <w:sz w:val="24"/>
          <w:szCs w:val="24"/>
          <w:highlight w:val="none"/>
        </w:rPr>
        <w:t>工作提醒</w:t>
      </w:r>
      <w:bookmarkEnd w:id="88"/>
      <w:bookmarkEnd w:id="89"/>
      <w:bookmarkEnd w:id="90"/>
    </w:p>
    <w:p w14:paraId="0BC1A2F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提供科室工作提醒和护理部工作提醒功能，科室工作提醒显示本科患者的工作提醒情况，护理部工作提醒显示全院所有科室工作提醒的情况；</w:t>
      </w:r>
    </w:p>
    <w:p w14:paraId="1B7FEA0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提供体征待测（体温、大便、血压、血糖、体温单满7天）、病人药物过敏、阳性、用药数量、手术、样本采集、入院24小时评估、高龄患者等智能提醒</w:t>
      </w:r>
    </w:p>
    <w:p w14:paraId="46AECE8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提供工作提醒项目直接引导护士进行对应操作的功能；</w:t>
      </w:r>
    </w:p>
    <w:p w14:paraId="69898B9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待评估提醒功能：提供在患者入院当日或患者风险评分发生高危时，按入院当日日评分、每周2次评分、每日一次评分的规则，在今日需评分的情况下对护士进行提醒；可按照单据进行判断，列如入院第一天填写一次，如果出现高危（跌倒：成人45分以上高危，小孩14分以上高危；压疮：12分以上高危）患者，则一天一次，中低危每周两次，中间间隔三天未填写提醒。</w:t>
      </w:r>
    </w:p>
    <w:p w14:paraId="4D09F717">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91" w:name="_Toc98149345"/>
      <w:bookmarkStart w:id="92" w:name="_Toc109140261"/>
      <w:bookmarkStart w:id="93" w:name="_Toc96088749"/>
      <w:r>
        <w:rPr>
          <w:rFonts w:hint="eastAsia" w:ascii="宋体" w:hAnsi="宋体" w:eastAsia="宋体" w:cs="宋体"/>
          <w:sz w:val="24"/>
          <w:szCs w:val="24"/>
          <w:highlight w:val="none"/>
        </w:rPr>
        <w:t>随笔</w:t>
      </w:r>
      <w:bookmarkEnd w:id="91"/>
      <w:bookmarkEnd w:id="92"/>
      <w:bookmarkEnd w:id="93"/>
    </w:p>
    <w:p w14:paraId="530BEC56">
      <w:pPr>
        <w:pStyle w:val="42"/>
        <w:pageBreakBefore w:val="0"/>
        <w:numPr>
          <w:ilvl w:val="0"/>
          <w:numId w:val="61"/>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护理人员可以在床旁通过扫描患者腕带书写该患者情况或随笔信息，待去护士站时将信息整理到PC端。以患者为分类，提供随笔记录历史，方便护理人员随时查看与修改。</w:t>
      </w:r>
    </w:p>
    <w:p w14:paraId="6E35BF6C">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94" w:name="_Toc98149346"/>
      <w:bookmarkStart w:id="95" w:name="_Toc109140262"/>
      <w:bookmarkStart w:id="96" w:name="_Toc96088750"/>
      <w:r>
        <w:rPr>
          <w:rFonts w:hint="eastAsia" w:ascii="宋体" w:hAnsi="宋体" w:eastAsia="宋体" w:cs="宋体"/>
          <w:sz w:val="24"/>
          <w:szCs w:val="24"/>
          <w:highlight w:val="none"/>
        </w:rPr>
        <w:t>待测体征</w:t>
      </w:r>
      <w:bookmarkEnd w:id="94"/>
      <w:bookmarkEnd w:id="95"/>
      <w:bookmarkEnd w:id="96"/>
    </w:p>
    <w:p w14:paraId="4098CC5A">
      <w:pPr>
        <w:pStyle w:val="42"/>
        <w:pageBreakBefore w:val="0"/>
        <w:numPr>
          <w:ilvl w:val="0"/>
          <w:numId w:val="62"/>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患者分类：筛选待测患者、关注患者、全部患者。</w:t>
      </w:r>
    </w:p>
    <w:p w14:paraId="0A19647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批量录入：筛选待测病人，按时间节点测量生命体征，如2、6、10点测量生命体征。</w:t>
      </w:r>
    </w:p>
    <w:p w14:paraId="65C9312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体征专用键盘：系统为不同的体征输入项设置了专用键盘，例如体温，为33.0到42.9之间数额限定值的键盘。</w:t>
      </w:r>
    </w:p>
    <w:p w14:paraId="350DF7C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97" w:name="_Toc98149347"/>
      <w:bookmarkStart w:id="98" w:name="_Toc109140263"/>
      <w:bookmarkStart w:id="99" w:name="_Toc96088744"/>
      <w:r>
        <w:rPr>
          <w:rFonts w:hint="eastAsia" w:ascii="宋体" w:hAnsi="宋体" w:eastAsia="宋体" w:cs="宋体"/>
          <w:sz w:val="24"/>
          <w:szCs w:val="24"/>
          <w:highlight w:val="none"/>
        </w:rPr>
        <w:t>病人流转</w:t>
      </w:r>
      <w:bookmarkEnd w:id="97"/>
      <w:bookmarkEnd w:id="98"/>
      <w:bookmarkEnd w:id="99"/>
    </w:p>
    <w:p w14:paraId="09D4E9EA">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流转核对：护理人员扫描患者腕带，核对并记录患者流转信息，如出入院、外出检查、进出手术室、回病房。</w:t>
      </w:r>
    </w:p>
    <w:p w14:paraId="6E38D3C9">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患者流转交接单：提供程序结构化《转科交接单》、《危重患者交接单》、《血透交接单》、《急诊患者交接单》、《普通患者交接单》、《新生儿交接单》、《手术交接单》的编辑功能；</w:t>
      </w:r>
    </w:p>
    <w:p w14:paraId="4CECA166">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流程权限控制：交接单内部可实现区域编辑权限控制，送出病区护士只可填写送出需填写的内容，接收病区护士只可以填写接收病区部分的内容；</w:t>
      </w:r>
    </w:p>
    <w:p w14:paraId="04CAE52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流转记录查询：</w:t>
      </w:r>
    </w:p>
    <w:p w14:paraId="7734E413">
      <w:pPr>
        <w:pStyle w:val="42"/>
        <w:pageBreakBefore w:val="0"/>
        <w:numPr>
          <w:ilvl w:val="0"/>
          <w:numId w:val="64"/>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提供患者流转记录查询功能，以时间轴的形式记录，包括：患者流转信息，患者流转时间，记录护士。</w:t>
      </w:r>
    </w:p>
    <w:p w14:paraId="561F2C9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00" w:name="_Toc98149349"/>
      <w:bookmarkStart w:id="101" w:name="_Toc109140265"/>
      <w:bookmarkStart w:id="102" w:name="_Toc96088743"/>
      <w:r>
        <w:rPr>
          <w:rFonts w:hint="eastAsia" w:ascii="宋体" w:hAnsi="宋体" w:eastAsia="宋体" w:cs="宋体"/>
          <w:sz w:val="24"/>
          <w:szCs w:val="24"/>
          <w:highlight w:val="none"/>
        </w:rPr>
        <w:t>CA管理</w:t>
      </w:r>
      <w:bookmarkEnd w:id="100"/>
      <w:bookmarkEnd w:id="101"/>
      <w:bookmarkEnd w:id="102"/>
    </w:p>
    <w:p w14:paraId="4C97F1EF">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护理系统与CA系统对接，院方系统与CA系统维护护理人员用户列表，护理人员可在PDA端获取账户列表，点击列表获取或注册证书进行登录。</w:t>
      </w:r>
    </w:p>
    <w:p w14:paraId="15B363FB">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护理系统与CA系统对接，护理人员在PDA完成体征录入、护理记录、评估单录入时，进行CA电子签名。</w:t>
      </w:r>
    </w:p>
    <w:p w14:paraId="7415397A">
      <w:pPr>
        <w:rPr>
          <w:rFonts w:hint="eastAsia" w:ascii="宋体" w:hAnsi="宋体" w:eastAsia="宋体" w:cs="宋体"/>
          <w:sz w:val="24"/>
          <w:szCs w:val="24"/>
          <w:highlight w:val="none"/>
        </w:rPr>
      </w:pPr>
      <w:bookmarkStart w:id="103" w:name="_Toc117840762"/>
      <w:bookmarkStart w:id="104" w:name="_Toc177920628"/>
      <w:bookmarkStart w:id="105" w:name="_Toc179135100"/>
    </w:p>
    <w:p w14:paraId="2B783C7A">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手术管理</w:t>
      </w:r>
    </w:p>
    <w:p w14:paraId="0955157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出入院手术</w:t>
      </w:r>
    </w:p>
    <w:bookmarkEnd w:id="103"/>
    <w:bookmarkEnd w:id="104"/>
    <w:bookmarkEnd w:id="105"/>
    <w:p w14:paraId="61DE96B6">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支持查看当日出入转、术前、术后患者列表，可记录护士协助病人出入转、手术的执行工作量。</w:t>
      </w:r>
    </w:p>
    <w:p w14:paraId="7BACC894">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手术排台查询</w:t>
      </w:r>
    </w:p>
    <w:p w14:paraId="4C69669B">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提供手术排台查询功能，可查看当前登录科室患者的手术排台情况，方便护士做相关的术前或术后准备工作。</w:t>
      </w:r>
    </w:p>
    <w:p w14:paraId="77DE1A4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手术动向</w:t>
      </w:r>
    </w:p>
    <w:p w14:paraId="69BED645">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支持护士根据病人手术项目，登记病人术前术后的动向，实现对病人手术流程的闭环跟踪管理。      </w:t>
      </w:r>
    </w:p>
    <w:p w14:paraId="10B6A9F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手术交接表</w:t>
      </w:r>
    </w:p>
    <w:p w14:paraId="7513497D">
      <w:pPr>
        <w:pStyle w:val="42"/>
        <w:pageBreakBefore w:val="0"/>
        <w:numPr>
          <w:ilvl w:val="0"/>
          <w:numId w:val="6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支持对接住院电子病历系统接口，实现手术交接表信息移动录入，实时与住院电子病历系统表单同步。</w:t>
      </w:r>
    </w:p>
    <w:p w14:paraId="512B7812">
      <w:pPr>
        <w:pStyle w:val="42"/>
        <w:pageBreakBefore w:val="0"/>
        <w:numPr>
          <w:ilvl w:val="0"/>
          <w:numId w:val="0"/>
        </w:numPr>
        <w:kinsoku/>
        <w:wordWrap/>
        <w:overflowPunct/>
        <w:topLinePunct w:val="0"/>
        <w:autoSpaceDE/>
        <w:autoSpaceDN/>
        <w:bidi w:val="0"/>
        <w:adjustRightInd/>
        <w:snapToGrid/>
        <w:spacing w:line="360" w:lineRule="auto"/>
        <w:ind w:left="420" w:leftChars="0"/>
        <w:rPr>
          <w:rFonts w:hint="eastAsia" w:ascii="宋体" w:hAnsi="宋体" w:eastAsia="宋体" w:cs="宋体"/>
          <w:sz w:val="24"/>
          <w:szCs w:val="24"/>
          <w:highlight w:val="none"/>
        </w:rPr>
      </w:pPr>
    </w:p>
    <w:p w14:paraId="1D5EE6D0">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sz w:val="24"/>
          <w:szCs w:val="24"/>
          <w:highlight w:val="none"/>
        </w:rPr>
      </w:pPr>
      <w:bookmarkStart w:id="106" w:name="_Toc98149350"/>
      <w:bookmarkStart w:id="107" w:name="_Toc109140266"/>
      <w:r>
        <w:rPr>
          <w:rFonts w:hint="eastAsia" w:ascii="宋体" w:hAnsi="宋体" w:eastAsia="宋体" w:cs="宋体"/>
          <w:sz w:val="24"/>
          <w:szCs w:val="24"/>
          <w:highlight w:val="none"/>
        </w:rPr>
        <w:t>★护理电子病历</w:t>
      </w:r>
      <w:bookmarkEnd w:id="106"/>
      <w:bookmarkEnd w:id="107"/>
    </w:p>
    <w:p w14:paraId="006E2211">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08" w:name="_Toc98149351"/>
      <w:bookmarkStart w:id="109" w:name="_Toc109140267"/>
      <w:r>
        <w:rPr>
          <w:rFonts w:hint="eastAsia" w:ascii="宋体" w:hAnsi="宋体" w:eastAsia="宋体" w:cs="宋体"/>
          <w:sz w:val="24"/>
          <w:szCs w:val="24"/>
          <w:highlight w:val="none"/>
        </w:rPr>
        <w:t>患者总览</w:t>
      </w:r>
      <w:bookmarkEnd w:id="108"/>
      <w:bookmarkEnd w:id="109"/>
    </w:p>
    <w:p w14:paraId="5774AD0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列表：提供以卡片或列表方式显示患者总览功能，患者卡片可显示患者床号、姓名、性别年龄、住院号、入院日期和患者状态特性（新入院、手术、高烧、病危、跌倒、压疮），护理级别颜色标记；提供患者列表导出EXCEL功能；提供转出患者、出院未签收患者、召回患者、跨科患者的列表功能；</w:t>
      </w:r>
    </w:p>
    <w:p w14:paraId="30F18D2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床位总览：提供病区床位总数、在院占床数的使用情况查看功能；</w:t>
      </w:r>
    </w:p>
    <w:p w14:paraId="654D52C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护理等级颜色提醒：提供在患者列表中通过颜色提示患者护理级别的功能；</w:t>
      </w:r>
    </w:p>
    <w:p w14:paraId="791C104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患者状态特性：提供在患者列表中通过关键词提示患者状态特性（新入院、手术、高烧、病危、跌倒、压疮）的功能，特性可依据医院或科室的不同，灵活配置能满足不同医院及不同科室的要求；</w:t>
      </w:r>
    </w:p>
    <w:p w14:paraId="4BB2406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快捷检索：提供可按患者护理等级和状态特性显示患者列表功能；提供通过病人ID、姓名、床号、病案号快速检索患者功能；</w:t>
      </w:r>
    </w:p>
    <w:p w14:paraId="2BC5868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护理分组：提供按科室分组查看指定分组下对应床号的患者列表功能；</w:t>
      </w:r>
    </w:p>
    <w:p w14:paraId="46040B3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提供患者概况信息浏览功能，患者概况信息包括：床号、姓名、性别、年龄、ID号、入院时间、住院天数、诊断、管床医生、护理级别、主诉、过敏史、医保类别、费用合计、联系电话、出生日期；</w:t>
      </w:r>
    </w:p>
    <w:p w14:paraId="0DF7239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腕带、床头卡打印：提供成人腕带、婴儿腕带和床头卡打印功能；</w:t>
      </w:r>
    </w:p>
    <w:p w14:paraId="4FB890AF">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10" w:name="_Toc98149352"/>
      <w:bookmarkStart w:id="111" w:name="_Toc109140268"/>
      <w:r>
        <w:rPr>
          <w:rFonts w:hint="eastAsia" w:ascii="宋体" w:hAnsi="宋体" w:eastAsia="宋体" w:cs="宋体"/>
          <w:sz w:val="24"/>
          <w:szCs w:val="24"/>
          <w:highlight w:val="none"/>
        </w:rPr>
        <w:t>体征管理</w:t>
      </w:r>
      <w:bookmarkEnd w:id="110"/>
      <w:bookmarkEnd w:id="111"/>
    </w:p>
    <w:p w14:paraId="2150E28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体温单：提供按医院规定的体温单格式输出体温单曲线图功能。</w:t>
      </w:r>
    </w:p>
    <w:p w14:paraId="005191B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婴儿体温单：提供按医院规定的婴儿体温单格式输出婴儿体温单曲线图功能，婴儿体温单项目可在任意时间点录入，并自动划归到对应的时段功能；婴儿体温单支持出生体重、出生时间、出生天数、特有项目</w:t>
      </w:r>
    </w:p>
    <w:p w14:paraId="64437F0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征录入：提供体温单项目数据录入、修改和删除功能，可删除单个项目，也可以按时间点删除整个时间点的体征项目数据；提供已录入体征数据浏览功能，可按照已体征报告时间样式显示报告时间对应所有体征数据的列表模式显示；</w:t>
      </w:r>
    </w:p>
    <w:p w14:paraId="31CCF83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数据校验：提供录入异常数据提醒功能；</w:t>
      </w:r>
    </w:p>
    <w:p w14:paraId="6FCE20E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快速内容录入：提供体征项目可以通过右键录入特殊内容和下拉选项快速录入功能；</w:t>
      </w:r>
    </w:p>
    <w:p w14:paraId="16AC94A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征数据批量录入：批量录入项目列表可设置全院通用，也可以按某一个病区，单独设置这个病区的录入项目列表；待测体征提醒：根据患者的病情情况（新入院、发热、高烧、术后、跌倒、压疮），自动计算各时间点需要测量的患者列表，选择某一时间点，依据生命体征待测规则显示需测量的患者列表，在待测时间点提醒护士进行体征测量功能；可显示入院周数/日数及满页提醒标记：</w:t>
      </w:r>
    </w:p>
    <w:p w14:paraId="50355C7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体温单打印：提供体温单快速翻页浏览功能；提供体温单当前页打印、选定范围打印、奇数页打印、偶数页打印和全部打印功能；</w:t>
      </w:r>
    </w:p>
    <w:p w14:paraId="0AECB61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放大镜功能：提供使用放大镜查看体温单功能，方便查看局部细节；</w:t>
      </w:r>
    </w:p>
    <w:p w14:paraId="372DA71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未打印提醒：提供当前页体温单是否已打印的提醒功能；</w:t>
      </w:r>
    </w:p>
    <w:p w14:paraId="25D38B6F">
      <w:pPr>
        <w:pageBreakBefore w:val="0"/>
        <w:kinsoku/>
        <w:wordWrap/>
        <w:overflowPunct/>
        <w:topLinePunct w:val="0"/>
        <w:autoSpaceDE/>
        <w:autoSpaceDN/>
        <w:bidi w:val="0"/>
        <w:adjustRightInd/>
        <w:snapToGrid/>
        <w:spacing w:line="360" w:lineRule="auto"/>
        <w:rPr>
          <w:rFonts w:hint="eastAsia" w:ascii="宋体" w:hAnsi="宋体" w:eastAsia="宋体" w:cs="宋体"/>
          <w:color w:val="000000"/>
          <w:sz w:val="24"/>
          <w:szCs w:val="24"/>
          <w:highlight w:val="none"/>
        </w:rPr>
      </w:pPr>
    </w:p>
    <w:p w14:paraId="67C4C1D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12" w:name="_Toc98149353"/>
      <w:bookmarkStart w:id="113" w:name="_Toc109140269"/>
      <w:r>
        <w:rPr>
          <w:rFonts w:hint="eastAsia" w:ascii="宋体" w:hAnsi="宋体" w:eastAsia="宋体" w:cs="宋体"/>
          <w:sz w:val="24"/>
          <w:szCs w:val="24"/>
          <w:highlight w:val="none"/>
        </w:rPr>
        <w:t>护理记录</w:t>
      </w:r>
      <w:bookmarkEnd w:id="112"/>
      <w:bookmarkEnd w:id="113"/>
    </w:p>
    <w:p w14:paraId="4819F15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提供数据完全结构化的 《一般护理记录单》 、《内科护理记录单》 、《外科护理记录单》 、《精神科护理记录单》 、《胃肠科护理记录单》 、《产科护理记录单》 、《儿科护理记录单》 、《血糖记录单》 结构化护理记录单的录入、编辑、修改、预览和打印功能；</w:t>
      </w:r>
    </w:p>
    <w:p w14:paraId="29C0F83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入量管理：提供自动计算出入量功能，按总量计算、按名称分类计算、固定时间间隔进行24小时总结、任意时间点总结、分类总结；提供将出入量总结的值写回到体温单功能；入量可引用医嘱、医嘱执行的名称、频次、剂量、单位、类别、途径，可单写回也可以整组写回；</w:t>
      </w:r>
    </w:p>
    <w:p w14:paraId="1F683BF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修改历史：提供护理记录哪些项目修改的记录，可显示修改时间、修改人、修改类型、修改前项目值、修改后项目值； </w:t>
      </w:r>
    </w:p>
    <w:p w14:paraId="17A3CF1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页码管理：提供护理记录新页标记，设置新页的页码，并且按新页的页码打印功能；</w:t>
      </w:r>
    </w:p>
    <w:p w14:paraId="71359EB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临床数据支持库：提供护理记录知识库、医生病历内容、检验检查结果、生命体征、病情观察、医嘱及医嘱执行数据、护理计划、健康宣教的快捷录入功能；</w:t>
      </w:r>
    </w:p>
    <w:p w14:paraId="37AF208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特殊符号：提供护理文档常用的特殊符号集写回护理记录的功能，如：℃，℉，‰，㎡，mmol等；</w:t>
      </w:r>
    </w:p>
    <w:p w14:paraId="3AEFB4E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打印管理：提供护理记录当前页打印、选定范围打印、奇数页打印、偶数页打印和全部打印功能；提供护理记录未打印提醒功能；提供每页记录时间范围显示及按日期快速检索功能；提供病情横版打印样式，可提高纸张使用率、节约耗材；</w:t>
      </w:r>
    </w:p>
    <w:p w14:paraId="79DA7CF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记录查看：提供护理记录数据按照日期筛选查看功能；</w:t>
      </w:r>
    </w:p>
    <w:p w14:paraId="23CA46A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数据共享：提供护理记录中体征数据回写到体温单功能；</w:t>
      </w:r>
    </w:p>
    <w:p w14:paraId="12BECC2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满页提醒：提供护理记录保存时满页提醒功能；</w:t>
      </w:r>
    </w:p>
    <w:p w14:paraId="41CF167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数据校验提醒：提供护理记录录入时体征项目时的预警值提醒、漏填写项目验证功能；</w:t>
      </w:r>
    </w:p>
    <w:p w14:paraId="51F7DE6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项目显示默认值：提供护理记录新建时项目显示默认值功能；</w:t>
      </w:r>
    </w:p>
    <w:p w14:paraId="63CAAB1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签名管理：提供护理记录多种签名模式（双签名、护士长签名、护士长批量签名等）；</w:t>
      </w:r>
    </w:p>
    <w:p w14:paraId="29A98B2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评估评分项目回写：</w:t>
      </w:r>
      <w:r>
        <w:rPr>
          <w:rFonts w:hint="eastAsia" w:ascii="宋体" w:hAnsi="宋体" w:eastAsia="宋体" w:cs="宋体"/>
          <w:sz w:val="24"/>
          <w:szCs w:val="24"/>
          <w:highlight w:val="none"/>
        </w:rPr>
        <w:t>提供护理记录中的评分项目可以直接调用评估单进行书写，并可将评分结果、评分选项回写到护理记录单的功能。</w:t>
      </w:r>
    </w:p>
    <w:p w14:paraId="3C113BC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记录整体录入：提供护理记录整体录入方式； </w:t>
      </w:r>
    </w:p>
    <w:p w14:paraId="434C4F0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自定义项目：提供护理记录自定义项目输入功能； </w:t>
      </w:r>
    </w:p>
    <w:p w14:paraId="2777048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智能化瞳孔图：瞳孔数据图形化显示，独立瞳孔数据录入界面，可录入右眼、左眼的瞳孔大小、对光条件、是否摘除，自动生成瞳孔图，并显示在界面上，同时支持瞳孔直接输出到记录打印；较传统瞳孔表格化录入，更加便捷、直观、节省纸张；</w:t>
      </w:r>
    </w:p>
    <w:p w14:paraId="495F1E9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打印特色：横版病情样式、双排打印、打印未打印标记、</w:t>
      </w:r>
    </w:p>
    <w:p w14:paraId="23B91C4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单据权限管理：提供特殊科室专用单据权限配置功能，其他科室可以查看已录入记录，不可添加本科室无权限的单据；</w:t>
      </w:r>
    </w:p>
    <w:p w14:paraId="0F5FE1B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抢救补记：对患者进行抢救时未及时录入护理记录，在抢救结束后，对之前的数据进行补录，补录数据带有抢救补记的标记，可显示在抢救时间的位置。</w:t>
      </w:r>
    </w:p>
    <w:p w14:paraId="3433727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系统评估模板：可以定制结构化录入模板，护士只需简单点选就可以生成相应的内容，插入到病情中；</w:t>
      </w:r>
    </w:p>
    <w:p w14:paraId="709139B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全结构化设计：以数据元为基础的的全结构化设计，数据元可以在整个系统进行使用，基于数据元的各功能模块间的数据共享；非模板录入模式，所有数据均为结构化数据，支持系统间无障碍的互联互通、交互；所有单据都是基于机构化配置生成，满足不同医院不同科室要求； </w:t>
      </w:r>
    </w:p>
    <w:p w14:paraId="3B0D8E8A">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14" w:name="_Toc109140270"/>
      <w:bookmarkStart w:id="115" w:name="_Toc98149354"/>
      <w:r>
        <w:rPr>
          <w:rFonts w:hint="eastAsia" w:ascii="宋体" w:hAnsi="宋体" w:eastAsia="宋体" w:cs="宋体"/>
          <w:sz w:val="24"/>
          <w:szCs w:val="24"/>
          <w:highlight w:val="none"/>
        </w:rPr>
        <w:t>护理评估</w:t>
      </w:r>
      <w:bookmarkEnd w:id="114"/>
      <w:bookmarkEnd w:id="115"/>
    </w:p>
    <w:p w14:paraId="3BD4F1F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患者评估：提供《入院评估单》 、《儿科入院评估单》 、《妇科入院评估单》 、《Braden评分》 、《BradenQ评分》 、《Morse跌倒评估》 、《ADL评估》、 《HDFS评估量表》 、《营养风险筛查表》 、《STAMP儿童营养风险筛查表》 、《烫伤风险评估记录》 、《新生儿皮肤风险记录表》 、《自理能力评估》 、《NIPS疼痛评估》的录入、编辑和删除功能；</w:t>
      </w:r>
    </w:p>
    <w:p w14:paraId="7A9DBCF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评估打印：提供交接单打印浏览、打印功能，可实打印当前页、选定范围打印、奇数页打印、偶数页打印和全部打印功能；</w:t>
      </w:r>
    </w:p>
    <w:p w14:paraId="2C30CBB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评分趋势：提供评分的历史趋势图展示功能；</w:t>
      </w:r>
    </w:p>
    <w:p w14:paraId="3B8C798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分值自动计算：提供护理评估结果自动计算功能，根据评估内容自动计算评分分值，；可根据评分分值，自动计算显示所处的风险等级；</w:t>
      </w:r>
    </w:p>
    <w:p w14:paraId="1697537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漏填提醒：当护士漏填某一些项目时，可以进行提醒，并以颜色标识漏填写的项目；</w:t>
      </w:r>
    </w:p>
    <w:p w14:paraId="0B196FE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高危评分预警：高危患者自动预警提醒护士，智能引导护士进行患者的护理计划、健康宣教。提供将评估高危患者预警在患者总览列表中显示；</w:t>
      </w:r>
    </w:p>
    <w:p w14:paraId="16BBDFF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措施提醒：针对压疮评分、跌倒评分的不同风险等级，可以实现低危、中危、高危的措施提醒功能；</w:t>
      </w:r>
    </w:p>
    <w:p w14:paraId="42C9811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评估结果写回护理记录：评估结果、分数可以自动写回护理记录病情观察中。</w:t>
      </w:r>
    </w:p>
    <w:p w14:paraId="2B3785E1">
      <w:pPr>
        <w:pageBreakBefore w:val="0"/>
        <w:kinsoku/>
        <w:wordWrap/>
        <w:overflowPunct/>
        <w:topLinePunct w:val="0"/>
        <w:autoSpaceDE/>
        <w:autoSpaceDN/>
        <w:bidi w:val="0"/>
        <w:adjustRightInd/>
        <w:snapToGrid/>
        <w:spacing w:line="360" w:lineRule="auto"/>
        <w:rPr>
          <w:rFonts w:hint="eastAsia" w:ascii="宋体" w:hAnsi="宋体" w:eastAsia="宋体" w:cs="宋体"/>
          <w:color w:val="000000"/>
          <w:sz w:val="24"/>
          <w:szCs w:val="24"/>
          <w:highlight w:val="none"/>
        </w:rPr>
      </w:pPr>
    </w:p>
    <w:p w14:paraId="0D6FEF9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内容联动：提供评估项目联动显示录入功能，根据选中的项目不同，显示不同的内容进行录入，也可以根据分数自动关联风险等级、措施选项；</w:t>
      </w:r>
    </w:p>
    <w:p w14:paraId="028F89C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疼痛评分：支持VAS（视觉模拟法）、VRS（住宿疼痛程度分级法）、C-PAINAD（晚年老年痴呆症疼痛评估量表）、NRS（数字评分法）、疼痛行为量表（FLACC）、疼痛评估量表（NIS）、面部表情法（WONG_BACKER）、重症监护疼痛观察工具（COPT）多种评分方法，支持图形化面部表情选择品评估工具，支持VAS滑块选择评估工具：</w:t>
      </w:r>
    </w:p>
    <w:p w14:paraId="486D5F1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临床数据支持库：提供护理记录知识库、医生病历内容、检验检查结果、生命体征、病情观察、医嘱及医嘱执行数据、护理计划、健康宣教的快捷录入功能；</w:t>
      </w:r>
    </w:p>
    <w:p w14:paraId="741F55A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系统评估模板：可以定制结构化录入模板，护士只需简单的点选就可以生成相应的内容； </w:t>
      </w:r>
    </w:p>
    <w:p w14:paraId="45D2BB7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人体部位图：提供压力性损伤人体图、失禁性皮炎人体部位图，护士可以在人体图上直接选择部位，并可以对选择的多个部分进行标记。</w:t>
      </w:r>
    </w:p>
    <w:p w14:paraId="735F23A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打印：直接打印，打印模板，多记录打印，横版竖版。</w:t>
      </w:r>
    </w:p>
    <w:p w14:paraId="3EDE0A0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估设计器：以数据元为基础的可视化设计器，提供组容器、文本、录入框、选项器、日期、图片、表格、手写签名显示、手写板签名器、疼痛图形化评分面板、鱼骨图控件，可配置满足临床要求。支持分数汇总计算、分数公式计算、BMI指数计算，支持隐藏、可用的联动效果配置，支持数据元单独临床数据提取功能，支持标题显示样式、系统评估生成内容配置；</w:t>
      </w:r>
    </w:p>
    <w:p w14:paraId="0DAD912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16" w:name="_Toc98149355"/>
      <w:bookmarkStart w:id="117" w:name="_Toc109140271"/>
      <w:r>
        <w:rPr>
          <w:rFonts w:hint="eastAsia" w:ascii="宋体" w:hAnsi="宋体" w:eastAsia="宋体" w:cs="宋体"/>
          <w:sz w:val="24"/>
          <w:szCs w:val="24"/>
          <w:highlight w:val="none"/>
        </w:rPr>
        <w:t>患者流转</w:t>
      </w:r>
      <w:bookmarkEnd w:id="116"/>
      <w:bookmarkEnd w:id="117"/>
    </w:p>
    <w:p w14:paraId="473D07A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患者流转交接单：提供程序结构化《转科交接单》 、《危重患者交接单》 、《血透交接单》 、《急诊患者交接单》 、《普通患者交接单》 、《新生儿交接单》 、《手术交接单》的新增、编辑和删除功能；</w:t>
      </w:r>
    </w:p>
    <w:p w14:paraId="1ED72B1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告知书打印：提供交接单打印浏览、打印功能；</w:t>
      </w:r>
    </w:p>
    <w:p w14:paraId="3D091A2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护士签名：交接单可以增加多个护士签名；</w:t>
      </w:r>
    </w:p>
    <w:p w14:paraId="695AE66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流程权限控制：交接单内部可实现区域编辑权限控制，送出病区护士只可填写送出需填写的内容，接收病区护士只可以填写接收病区部分的内容；</w:t>
      </w:r>
    </w:p>
    <w:p w14:paraId="1225A9D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18" w:name="_Toc98149356"/>
      <w:bookmarkStart w:id="119" w:name="_Toc109140272"/>
      <w:r>
        <w:rPr>
          <w:rFonts w:hint="eastAsia" w:ascii="宋体" w:hAnsi="宋体" w:eastAsia="宋体" w:cs="宋体"/>
          <w:sz w:val="24"/>
          <w:szCs w:val="24"/>
          <w:highlight w:val="none"/>
        </w:rPr>
        <w:t>护理计划</w:t>
      </w:r>
      <w:bookmarkEnd w:id="118"/>
      <w:bookmarkEnd w:id="119"/>
    </w:p>
    <w:p w14:paraId="78468E7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护理计划知识库：提供全院（公共）护理计划模板及科室专科护理计划模板维护功能，科室可将计划模板关联到本病区进行使用；系统可提供500多种计划项目及1万5千多种计划内容、关联因素及护理措施；</w:t>
      </w:r>
    </w:p>
    <w:p w14:paraId="5E9690E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护理计划录入：</w:t>
      </w:r>
      <w:r>
        <w:rPr>
          <w:rFonts w:hint="eastAsia" w:ascii="宋体" w:hAnsi="宋体" w:eastAsia="宋体" w:cs="宋体"/>
          <w:color w:val="000000"/>
          <w:sz w:val="24"/>
          <w:szCs w:val="24"/>
          <w:highlight w:val="none"/>
        </w:rPr>
        <w:t>提供护理计划的项目选择、相关因素、预期目标、项目措施的录入、编辑、删除功能；</w:t>
      </w:r>
    </w:p>
    <w:p w14:paraId="6AE2A17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计划审核、评价：提供护理计划审核及评价功能；</w:t>
      </w:r>
    </w:p>
    <w:p w14:paraId="6A4118A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护理计划打印：提供护理计划写回护理记录的功能；</w:t>
      </w:r>
    </w:p>
    <w:p w14:paraId="678D790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高危评分自动关联护理计划：高危评分系统将自动检测、预警提醒，并自动引导护士进行护理计划；</w:t>
      </w:r>
    </w:p>
    <w:p w14:paraId="23B1713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提供护理计划措施回写到护理记录病情中的功能：</w:t>
      </w:r>
    </w:p>
    <w:p w14:paraId="03EBA3B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20" w:name="_Toc109140273"/>
      <w:bookmarkStart w:id="121" w:name="_Toc98149357"/>
      <w:r>
        <w:rPr>
          <w:rFonts w:hint="eastAsia" w:ascii="宋体" w:hAnsi="宋体" w:eastAsia="宋体" w:cs="宋体"/>
          <w:sz w:val="24"/>
          <w:szCs w:val="24"/>
          <w:highlight w:val="none"/>
        </w:rPr>
        <w:t>健康宣教</w:t>
      </w:r>
      <w:bookmarkEnd w:id="120"/>
      <w:bookmarkEnd w:id="121"/>
    </w:p>
    <w:p w14:paraId="4CDB3AD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健康宣教知识库：提供全院（公共）健康宣教模板及科室专科健康宣教模板维护功能，科室可将健康宣教关联到本病区进行使用；系统可提供500多种健康宣教项目及2万种宣教内容；</w:t>
      </w:r>
    </w:p>
    <w:p w14:paraId="4602EA5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患者评估录入：可以对宣教对象进行多次评估，评估项目包含文化程度、宗教、心理状态、阅读能力、书写能力、理解能力、语言表达、学习意向、喜欢的学习方法；评估记录提供审核功能；</w:t>
      </w:r>
    </w:p>
    <w:p w14:paraId="7AC849F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健康宣教录入：</w:t>
      </w:r>
      <w:r>
        <w:rPr>
          <w:rFonts w:hint="eastAsia" w:ascii="宋体" w:hAnsi="宋体" w:eastAsia="宋体" w:cs="宋体"/>
          <w:color w:val="000000"/>
          <w:sz w:val="24"/>
          <w:szCs w:val="24"/>
          <w:highlight w:val="none"/>
        </w:rPr>
        <w:t>提供</w:t>
      </w:r>
      <w:r>
        <w:rPr>
          <w:rFonts w:hint="eastAsia" w:ascii="宋体" w:hAnsi="宋体" w:eastAsia="宋体" w:cs="宋体"/>
          <w:sz w:val="24"/>
          <w:szCs w:val="24"/>
          <w:highlight w:val="none"/>
        </w:rPr>
        <w:t>健康宣教项目</w:t>
      </w:r>
      <w:r>
        <w:rPr>
          <w:rFonts w:hint="eastAsia" w:ascii="宋体" w:hAnsi="宋体" w:eastAsia="宋体" w:cs="宋体"/>
          <w:color w:val="000000"/>
          <w:sz w:val="24"/>
          <w:szCs w:val="24"/>
          <w:highlight w:val="none"/>
        </w:rPr>
        <w:t>的选择、宣教对象、宣教时间、评价效果、评价时间、评价人、宣教备注的录入、编辑、删除功能；</w:t>
      </w:r>
    </w:p>
    <w:p w14:paraId="4C52E9C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快速再次宣教：对已宣教的患者，提供再次宣教快速录入功能；</w:t>
      </w:r>
    </w:p>
    <w:p w14:paraId="1532C15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强化宣教标记：评价效果为强化宣教的，将以红色背景标记显示；</w:t>
      </w:r>
    </w:p>
    <w:p w14:paraId="5C44F75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健康宣教打印：提供患者评估与健康宣教记录的组合打印预览、打印的功能；</w:t>
      </w:r>
    </w:p>
    <w:p w14:paraId="0A870FA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单条宣教打印：提供宣教评估内容和备注进行单独打印预览、打印的功能；</w:t>
      </w:r>
    </w:p>
    <w:p w14:paraId="39DD83D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临床数据支持库：提供护理记录知识库、医生病历内容、检验检查结果、生命体征、病情观察、医嘱及医嘱执行数据、护理计划、健康宣教的快捷录入功能；</w:t>
      </w:r>
    </w:p>
    <w:p w14:paraId="54E11E05">
      <w:pPr>
        <w:pStyle w:val="42"/>
        <w:pageBreakBefore w:val="0"/>
        <w:numPr>
          <w:ilvl w:val="0"/>
          <w:numId w:val="0"/>
        </w:numPr>
        <w:kinsoku/>
        <w:wordWrap/>
        <w:overflowPunct/>
        <w:topLinePunct w:val="0"/>
        <w:autoSpaceDE/>
        <w:autoSpaceDN/>
        <w:bidi w:val="0"/>
        <w:adjustRightInd/>
        <w:snapToGrid/>
        <w:spacing w:line="360" w:lineRule="auto"/>
        <w:ind w:left="420" w:leftChars="0"/>
        <w:rPr>
          <w:rFonts w:hint="eastAsia" w:ascii="宋体" w:hAnsi="宋体" w:eastAsia="宋体" w:cs="宋体"/>
          <w:color w:val="000000"/>
          <w:sz w:val="24"/>
          <w:szCs w:val="24"/>
          <w:highlight w:val="none"/>
        </w:rPr>
      </w:pPr>
    </w:p>
    <w:p w14:paraId="136C868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护理决策支持</w:t>
      </w:r>
    </w:p>
    <w:p w14:paraId="7627A35B">
      <w:pPr>
        <w:rPr>
          <w:rFonts w:hint="eastAsia" w:ascii="宋体" w:hAnsi="宋体" w:eastAsia="宋体" w:cs="宋体"/>
          <w:sz w:val="24"/>
          <w:szCs w:val="24"/>
          <w:highlight w:val="none"/>
          <w:lang w:val="en-US" w:eastAsia="zh-CN"/>
        </w:rPr>
      </w:pPr>
    </w:p>
    <w:p w14:paraId="756183B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任务清单：</w:t>
      </w:r>
      <w:r>
        <w:rPr>
          <w:rFonts w:hint="eastAsia" w:ascii="宋体" w:hAnsi="宋体" w:eastAsia="宋体" w:cs="宋体"/>
          <w:color w:val="000000"/>
          <w:sz w:val="24"/>
          <w:szCs w:val="24"/>
          <w:highlight w:val="none"/>
        </w:rPr>
        <w:t>根据大数据分析方式，将医嘱分解成护士日常工作列表，按工作项目汇总信息，护士可以根据医嘱类别、医嘱频次等多条件过滤查询当日需要执行的工作清单，明确执行任务。页面提供快捷操作，可直接针对某个项目进入相应的执行界面，方便护士快速执行相关任务。</w:t>
      </w:r>
    </w:p>
    <w:p w14:paraId="37FED4A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高温智能联动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支持对接护理决策系统，护士录入体温信息时，当患者温度过高，系统调用护理决策系统接口，提供护理措施供护士选择，同时生成相应的护理计划或护理记录。</w:t>
      </w:r>
    </w:p>
    <w:p w14:paraId="7D0934E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压疮智能联动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支持对接护理决策系统，护士进行压疮评分时，当患者评分结果达到压疮高危风险，系统调用护理决策系统接口，提供护理措施供护士选择，同时生成相应的护理计划或护理记录。</w:t>
      </w:r>
    </w:p>
    <w:p w14:paraId="2F628E0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跌倒智能联动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支持对接护理决策系统，护士进行跌倒评分时，当患者评分结果达到跌倒高危风险，系统调用护理决策系统接口，提供护理措施供护士选择，同时生成相应的护理计划或护理记录。</w:t>
      </w:r>
    </w:p>
    <w:p w14:paraId="056CC88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ADL智能联动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支持对接护理决策系统，护士进行ADL评分时，当患者评分结果达到高危风险，系统调用护理决策系统接口，提供护理措施供护士选择，同时生成相应的护理计划或护理记录。</w:t>
      </w:r>
    </w:p>
    <w:p w14:paraId="278E357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事务提醒</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支持根据病人的护理等级、危重状态、发烧及手术等具体情况，结合医院规定，由系统自动动态计算病人需要测量体征的时间点，列出待测量体征的病人列表，可供体征录入、批量体征录入处直接获取并引用。</w:t>
      </w:r>
    </w:p>
    <w:p w14:paraId="43C0097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体征录入事务病人引用：支持查询根据事务提醒程序自动生成的待测病人体征列表，并选择引用至录入界面，针对某一时间点的待测病人进行体征录入。</w:t>
      </w:r>
    </w:p>
    <w:p w14:paraId="016C976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批量录入体征事务病人引用：支持查询根据事务提醒程序自动生成的待测病人体征列表，并选择引用至录入界面，针对某一时间点的待测病人进行批量录入体征。</w:t>
      </w:r>
    </w:p>
    <w:p w14:paraId="2353C4C0">
      <w:pPr>
        <w:pStyle w:val="42"/>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000000"/>
          <w:sz w:val="24"/>
          <w:szCs w:val="24"/>
          <w:highlight w:val="none"/>
          <w:lang w:val="en-US" w:eastAsia="zh-CN"/>
        </w:rPr>
      </w:pPr>
    </w:p>
    <w:p w14:paraId="3AFC8B90">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22" w:name="_Toc98149358"/>
      <w:bookmarkStart w:id="123" w:name="_Toc109140274"/>
      <w:r>
        <w:rPr>
          <w:rFonts w:hint="eastAsia" w:ascii="宋体" w:hAnsi="宋体" w:eastAsia="宋体" w:cs="宋体"/>
          <w:sz w:val="24"/>
          <w:szCs w:val="24"/>
          <w:highlight w:val="none"/>
        </w:rPr>
        <w:t>交接班报告</w:t>
      </w:r>
      <w:bookmarkEnd w:id="122"/>
      <w:bookmarkEnd w:id="123"/>
    </w:p>
    <w:p w14:paraId="1D974EC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提供交班内容手工新增、编辑和删除功能；</w:t>
      </w:r>
    </w:p>
    <w:p w14:paraId="44B34FE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提供引用知识库和临床数据对交班内容进行编辑的功能；</w:t>
      </w:r>
    </w:p>
    <w:p w14:paraId="7DFE164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提供交接班记录自动生成护士签名功能；</w:t>
      </w:r>
    </w:p>
    <w:p w14:paraId="00101A1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提供查看既往交接班内容的功能；</w:t>
      </w:r>
    </w:p>
    <w:p w14:paraId="228AB73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提供交接班报告打印预览和打印功能；</w:t>
      </w:r>
    </w:p>
    <w:p w14:paraId="08BBFA5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提供SBAR新模式交接班； </w:t>
      </w:r>
    </w:p>
    <w:p w14:paraId="40A2B60F">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24" w:name="_Toc109140275"/>
      <w:bookmarkStart w:id="125" w:name="_Toc98149359"/>
      <w:r>
        <w:rPr>
          <w:rFonts w:hint="eastAsia" w:ascii="宋体" w:hAnsi="宋体" w:eastAsia="宋体" w:cs="宋体"/>
          <w:sz w:val="24"/>
          <w:szCs w:val="24"/>
          <w:highlight w:val="none"/>
        </w:rPr>
        <w:t>临床报告</w:t>
      </w:r>
      <w:bookmarkEnd w:id="124"/>
      <w:bookmarkEnd w:id="125"/>
    </w:p>
    <w:p w14:paraId="64CC4B9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检验报告：</w:t>
      </w:r>
    </w:p>
    <w:p w14:paraId="302D6A3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提供显示不同住院次检验报告单和报告单明细；</w:t>
      </w:r>
    </w:p>
    <w:p w14:paraId="4B5C092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按日期查询检验记录，显示检验项目名称、样品名称、样品编号、检验结果、单位、参考范围；</w:t>
      </w:r>
    </w:p>
    <w:p w14:paraId="0B1B048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检验结果可显示异常值预警；</w:t>
      </w:r>
    </w:p>
    <w:p w14:paraId="25BD119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同时提供快捷周期查询功能，快速查询1周、2周、1个月的检验报告；</w:t>
      </w:r>
    </w:p>
    <w:p w14:paraId="0FFA389B">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检查报告：</w:t>
      </w:r>
    </w:p>
    <w:p w14:paraId="209DA01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提供检查报告查询功能，包含报告名称、报告类别、报告时间及检查项目和报告具体内容；</w:t>
      </w:r>
    </w:p>
    <w:p w14:paraId="3C50F9C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按日期查询检查报告，同时提供快捷周期查询功能，快速查询1周、2周、1个月的检查报告；</w:t>
      </w:r>
    </w:p>
    <w:p w14:paraId="1204CA0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可查看检查的图片资料，重点检查可显示阳性标记；</w:t>
      </w:r>
    </w:p>
    <w:p w14:paraId="0414DC9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26" w:name="_Toc109140276"/>
      <w:bookmarkStart w:id="127" w:name="_Toc98149360"/>
      <w:r>
        <w:rPr>
          <w:rFonts w:hint="eastAsia" w:ascii="宋体" w:hAnsi="宋体" w:eastAsia="宋体" w:cs="宋体"/>
          <w:sz w:val="24"/>
          <w:szCs w:val="24"/>
          <w:highlight w:val="none"/>
        </w:rPr>
        <w:t>护理知识库</w:t>
      </w:r>
      <w:bookmarkEnd w:id="126"/>
      <w:bookmarkEnd w:id="127"/>
    </w:p>
    <w:p w14:paraId="7DF13CE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知识库维护：提供临床在线知识库维护功能，护士长可以维护本科室的知识库，可按本科室使用情况进行分类维护；</w:t>
      </w:r>
    </w:p>
    <w:p w14:paraId="46FE306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知识库引用：提供临床模块（护理记录、评估评分、交接班）对临床在线知识库内引用功能，模块可以直接调用知识库，并将知识库内容快速插入到模块中；</w:t>
      </w:r>
    </w:p>
    <w:p w14:paraId="54183CFF">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28" w:name="_Toc109140277"/>
      <w:bookmarkStart w:id="129" w:name="_Toc98149361"/>
      <w:r>
        <w:rPr>
          <w:rFonts w:hint="eastAsia" w:ascii="宋体" w:hAnsi="宋体" w:eastAsia="宋体" w:cs="宋体"/>
          <w:sz w:val="24"/>
          <w:szCs w:val="24"/>
          <w:highlight w:val="none"/>
        </w:rPr>
        <w:t>护士分组管理</w:t>
      </w:r>
      <w:bookmarkEnd w:id="128"/>
      <w:bookmarkEnd w:id="129"/>
    </w:p>
    <w:p w14:paraId="55B9192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护理组维护：提供护理组别新增、修改和删除功能；</w:t>
      </w:r>
    </w:p>
    <w:p w14:paraId="5AF64DC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组内床位：提供床位关联护理组别功能；</w:t>
      </w:r>
    </w:p>
    <w:p w14:paraId="36ABD69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组内护士：提供护士关联护理组别功能；</w:t>
      </w:r>
    </w:p>
    <w:p w14:paraId="643E4A8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30" w:name="_Toc109140278"/>
      <w:bookmarkStart w:id="131" w:name="_Toc98149362"/>
      <w:r>
        <w:rPr>
          <w:rFonts w:hint="eastAsia" w:ascii="宋体" w:hAnsi="宋体" w:eastAsia="宋体" w:cs="宋体"/>
          <w:sz w:val="24"/>
          <w:szCs w:val="24"/>
          <w:highlight w:val="none"/>
        </w:rPr>
        <w:t>工作提醒</w:t>
      </w:r>
      <w:bookmarkEnd w:id="130"/>
      <w:bookmarkEnd w:id="131"/>
    </w:p>
    <w:p w14:paraId="5CF7E35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提供科室工作提醒和护理部工作提醒功能，科室工作提醒显示本科患者的工作提醒情况，护理部工作提醒显示全院所有科室工作提醒的情况；</w:t>
      </w:r>
    </w:p>
    <w:p w14:paraId="21209CB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提供体征待测（体温、大便、血压、血糖、体温单满7天）、病人药物过敏、阳性、用药数量、手术、样本采集、入院24小时评估、高龄患者等智能提醒</w:t>
      </w:r>
    </w:p>
    <w:p w14:paraId="7A440A4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提供工作提醒项目直接引导护士进行对应操作的功能；</w:t>
      </w:r>
    </w:p>
    <w:p w14:paraId="7D56756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提供刷新和导出护理提醒数据功能；</w:t>
      </w:r>
    </w:p>
    <w:p w14:paraId="78DFF5A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今日需评分提醒：提供在患者入院当日或患者风险评分发生高危时，按入院当日日评分、每周2次评分、每日一次评分的规则，在今日需评分的情况下对护士进行提醒；可按照单据进行判断，列如入院第一天填写一次，如果出现高危（跌倒：成人45分以上高危，小孩14分以上高危；压疮：12分以上高危）患者，则一天一次，中低危每周两次，中间间隔三天未填写提醒。</w:t>
      </w:r>
    </w:p>
    <w:p w14:paraId="58E6D42F">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32" w:name="_Toc109140279"/>
      <w:bookmarkStart w:id="133" w:name="_Toc98149363"/>
      <w:bookmarkStart w:id="134" w:name="_Toc501368671"/>
      <w:r>
        <w:rPr>
          <w:rFonts w:hint="eastAsia" w:ascii="宋体" w:hAnsi="宋体" w:eastAsia="宋体" w:cs="宋体"/>
          <w:sz w:val="24"/>
          <w:szCs w:val="24"/>
          <w:highlight w:val="none"/>
        </w:rPr>
        <w:t>项目配置</w:t>
      </w:r>
      <w:bookmarkEnd w:id="132"/>
      <w:bookmarkEnd w:id="133"/>
    </w:p>
    <w:p w14:paraId="4A00D58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提供用户账号管理功能，支持系统密码强度校验、密码有限期管理、密码输入阀值的控制；</w:t>
      </w:r>
    </w:p>
    <w:p w14:paraId="15C77D1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提供用户权限管理功能，系统操作人员权限分配管理；</w:t>
      </w:r>
    </w:p>
    <w:p w14:paraId="0A75B26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提供整体录入待测体征规则配置功能；</w:t>
      </w:r>
    </w:p>
    <w:p w14:paraId="4317AD6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提供护理记录知识库维护功能；</w:t>
      </w:r>
    </w:p>
    <w:p w14:paraId="4F64338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提供护理记录模板信息配置；</w:t>
      </w:r>
    </w:p>
    <w:p w14:paraId="42801E9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提供健康教育模板维护功能；</w:t>
      </w:r>
    </w:p>
    <w:p w14:paraId="5947383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提供交接班配置管理</w:t>
      </w:r>
    </w:p>
    <w:p w14:paraId="04A9EB1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提供护理总览监控配置、自定义查询配置、护理文档提醒配置</w:t>
      </w:r>
    </w:p>
    <w:p w14:paraId="3DAA1F4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提供可视化模板设计器、按模板分类维护模板、数据元sql维护、评估模板配置、评估单科室对照</w:t>
      </w:r>
    </w:p>
    <w:p w14:paraId="2882061E">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提供护理计划模板维护</w:t>
      </w:r>
    </w:p>
    <w:p w14:paraId="62608B87">
      <w:pPr>
        <w:pStyle w:val="42"/>
        <w:pageBreakBefore w:val="0"/>
        <w:numPr>
          <w:ilvl w:val="0"/>
          <w:numId w:val="43"/>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提供腕带、床头卡、输液贴模板维护</w:t>
      </w:r>
    </w:p>
    <w:bookmarkEnd w:id="134"/>
    <w:p w14:paraId="10B030B7">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35" w:name="_Toc109140280"/>
      <w:bookmarkStart w:id="136" w:name="_Toc98149364"/>
      <w:r>
        <w:rPr>
          <w:rFonts w:hint="eastAsia" w:ascii="宋体" w:hAnsi="宋体" w:eastAsia="宋体" w:cs="宋体"/>
          <w:sz w:val="24"/>
          <w:szCs w:val="24"/>
          <w:highlight w:val="none"/>
        </w:rPr>
        <w:t>医嘱管理</w:t>
      </w:r>
      <w:bookmarkEnd w:id="135"/>
      <w:bookmarkEnd w:id="136"/>
    </w:p>
    <w:p w14:paraId="5BD7DDB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医嘱查看：提供长期医嘱、临时医嘱的医嘱查看功能，可显示医嘱名称、开始时间、状态、分类、剂量、用法、频次医嘱信息，可按长期、临时进行分类显示；</w:t>
      </w:r>
    </w:p>
    <w:p w14:paraId="2D8D6FA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提供按照给定的医嘱有效期和医嘱频次拆分医嘱，按照长、临，频次，途径等进行每日医嘱拆分工作，支持护士手动拆分及系统自动拆分模式；</w:t>
      </w:r>
    </w:p>
    <w:p w14:paraId="10DFC8E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医嘱标签打印：提供按照长期、临时、今日新开、用药途径等方式显示今日已拆分的医嘱执行记录，并可对拆分的医嘱进行标签打印；</w:t>
      </w:r>
    </w:p>
    <w:p w14:paraId="4F08150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将所有医嘱的展示操作状态查询等统一在一个界面上进行，能够以动态甘特图的方式展示医嘱整体的执行进度，方便每班护士查看本班次执行进度，也能提供患者全天医嘱的执行情况。</w:t>
      </w:r>
    </w:p>
    <w:p w14:paraId="6B717FC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根据医嘱途径自动将医嘱进行分类分组显示：泵入、静脉、口服、吸入、肌肉注射、皮下注射、检验、检查，输血等。</w:t>
      </w:r>
    </w:p>
    <w:p w14:paraId="10999AD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提供显示医嘱已执行列表，待执行列表，正在执行列表，并能够根据状态进行进一步的过滤。</w:t>
      </w:r>
    </w:p>
    <w:p w14:paraId="47021A45">
      <w:pPr>
        <w:pStyle w:val="78"/>
        <w:pageBreakBefore w:val="0"/>
        <w:kinsoku/>
        <w:wordWrap/>
        <w:overflowPunct/>
        <w:topLinePunct w:val="0"/>
        <w:autoSpaceDE/>
        <w:autoSpaceDN/>
        <w:bidi w:val="0"/>
        <w:adjustRightInd/>
        <w:snapToGrid/>
        <w:spacing w:line="360" w:lineRule="auto"/>
        <w:ind w:left="1134"/>
        <w:rPr>
          <w:rFonts w:hint="eastAsia" w:ascii="宋体" w:hAnsi="宋体" w:eastAsia="宋体" w:cs="宋体"/>
          <w:sz w:val="24"/>
          <w:szCs w:val="24"/>
          <w:highlight w:val="none"/>
        </w:rPr>
      </w:pPr>
      <w:bookmarkStart w:id="137" w:name="_Toc109140287"/>
      <w:bookmarkStart w:id="138" w:name="_Toc98149371"/>
      <w:r>
        <w:rPr>
          <w:rFonts w:hint="eastAsia" w:ascii="宋体" w:hAnsi="宋体" w:eastAsia="宋体" w:cs="宋体"/>
          <w:sz w:val="24"/>
          <w:szCs w:val="24"/>
          <w:highlight w:val="none"/>
        </w:rPr>
        <w:t>护理管理端</w:t>
      </w:r>
      <w:bookmarkEnd w:id="137"/>
      <w:bookmarkEnd w:id="138"/>
    </w:p>
    <w:p w14:paraId="4883A2E6">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39" w:name="_Toc109140288"/>
      <w:bookmarkStart w:id="140" w:name="_Toc98149372"/>
      <w:r>
        <w:rPr>
          <w:rFonts w:hint="eastAsia" w:ascii="宋体" w:hAnsi="宋体" w:eastAsia="宋体" w:cs="宋体"/>
          <w:sz w:val="24"/>
          <w:szCs w:val="24"/>
          <w:highlight w:val="none"/>
        </w:rPr>
        <w:t>首页</w:t>
      </w:r>
      <w:bookmarkEnd w:id="139"/>
      <w:bookmarkEnd w:id="140"/>
    </w:p>
    <w:p w14:paraId="27361FD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提供当前科室临床护理数据汇总功能，包括在院患者人数、今日新入院人数、今日出院人数、今日手术人数；</w:t>
      </w:r>
    </w:p>
    <w:p w14:paraId="7AC5A1E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提供患者各级别人数统计功能，包括特级、一级、二级、三级</w:t>
      </w:r>
    </w:p>
    <w:p w14:paraId="0804C51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提供科室护患比、床护比统计分析功能；</w:t>
      </w:r>
    </w:p>
    <w:p w14:paraId="0710D8B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提供当前科室整月收治患者趋势图线表分析功能，包括入院人数、出院人数、在院人数；</w:t>
      </w:r>
    </w:p>
    <w:p w14:paraId="7DCB2E2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提供当前科室今日排班情况列表展示功能和各班次汇总功能；</w:t>
      </w:r>
    </w:p>
    <w:p w14:paraId="6535297C">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41" w:name="_Toc109140289"/>
      <w:bookmarkStart w:id="142" w:name="_Toc98149373"/>
      <w:r>
        <w:rPr>
          <w:rFonts w:hint="eastAsia" w:ascii="宋体" w:hAnsi="宋体" w:eastAsia="宋体" w:cs="宋体"/>
          <w:sz w:val="24"/>
          <w:szCs w:val="24"/>
          <w:highlight w:val="none"/>
        </w:rPr>
        <w:t>★人力资源</w:t>
      </w:r>
      <w:bookmarkEnd w:id="141"/>
      <w:bookmarkEnd w:id="142"/>
    </w:p>
    <w:p w14:paraId="1E8CB854">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本院护士</w:t>
      </w:r>
    </w:p>
    <w:p w14:paraId="64F5072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提供护理人力基本档案总览和按护理单元、工号、姓名、拼音简称、岗位、护士层级查询功能；</w:t>
      </w:r>
    </w:p>
    <w:p w14:paraId="4F39C0B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提供护理人员基本信息、联系方式、护理信息、头像上传维护功能；</w:t>
      </w:r>
    </w:p>
    <w:p w14:paraId="414E61A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提供护理人员离职、注销功能，包括注销时间、注销原因信息维护；</w:t>
      </w:r>
    </w:p>
    <w:p w14:paraId="58D9753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提供护理人员调动管理功能，包括工号、姓名、调入科室、起止时间信息维护；</w:t>
      </w:r>
    </w:p>
    <w:p w14:paraId="4F8A698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提供轮科护士总览及新增、继续轮科，提前回科及批量导入轮科人员功能；</w:t>
      </w:r>
    </w:p>
    <w:p w14:paraId="09EF7B0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提供护理人员调动管理功能；（转科护士有权限管理定编科室和转科科室）；</w:t>
      </w:r>
    </w:p>
    <w:p w14:paraId="29DD5AC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提供护士执业证书有效期提醒功能；</w:t>
      </w:r>
    </w:p>
    <w:p w14:paraId="57DF115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提供本院护士、机动护士轮科功能；</w:t>
      </w:r>
    </w:p>
    <w:p w14:paraId="2C54926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批量照片导入功能：根据职工姓名对应的照片名称进行一对一的自动导入建档。</w:t>
      </w:r>
    </w:p>
    <w:p w14:paraId="255ABE0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人力资源分析，包括并不限于支持饼状图、柱状图等显示，护士基本信息包括：职称、学历、民族、性别、工作年限等信息。</w:t>
      </w:r>
    </w:p>
    <w:p w14:paraId="7AA6301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实习生、进修护士管理</w:t>
      </w:r>
    </w:p>
    <w:p w14:paraId="21D4C5E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提供实习生基本信息（工号、姓名、护理单元、到期时间、联系方式、住址）信息维护功能；</w:t>
      </w:r>
    </w:p>
    <w:p w14:paraId="1C534D7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提供实习生、进修护士轮科功能；</w:t>
      </w:r>
    </w:p>
    <w:p w14:paraId="09554E3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提供实习生轮科总览及新增、继续轮科，提前回科及批量导入轮科人员功能；</w:t>
      </w:r>
    </w:p>
    <w:p w14:paraId="1A33699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实习生考核登记维护功能，包含内容：护理单元、记录时间、姓名、层次、带教老师、综合表现、综合技能、评价者信息；</w:t>
      </w:r>
    </w:p>
    <w:p w14:paraId="4B3D916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提供优秀实习生登记维护功能，包含内容：姓名、性别、年龄、就读学校、政治面貌、主要表现及带教老师意见、护士长意见信息；</w:t>
      </w:r>
    </w:p>
    <w:p w14:paraId="2B1BCFB5">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护理人员360视图</w:t>
      </w:r>
    </w:p>
    <w:p w14:paraId="7615D5A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提供护士职称信息维护功能，职称包括但不限于初级（护士）、中级（主管护师）、高级（副主任护师）、高级（主任护师）信息维护。</w:t>
      </w:r>
    </w:p>
    <w:p w14:paraId="418579E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提供护士职务信息维护功能，职务包括但不限于质控护士、护士长、科护士长、护理部主任信息维护；</w:t>
      </w:r>
    </w:p>
    <w:p w14:paraId="3F37845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提供护士资质证书维护功能，包括证书类型、证书编码、注册日期、注册有效期信息维护；</w:t>
      </w:r>
    </w:p>
    <w:p w14:paraId="2CC8E82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提供护士教育经历维护功能，包括学校、专业、学历、是否为最高学历、教育类型、起止时间信息维护；</w:t>
      </w:r>
    </w:p>
    <w:p w14:paraId="0192EAF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提供护士年度考核情况维护功能，包括计划标题、计划时间、内容信息维护；</w:t>
      </w:r>
    </w:p>
    <w:p w14:paraId="7F9EC0F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提供护士论文及科研情况维护功能，包括论文名称、作者排序、第一作者、关键字、摘要信息维护；</w:t>
      </w:r>
    </w:p>
    <w:p w14:paraId="7EB9AB0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提供护士在岗培训情况维护功能，包括层级、考核时间、带教老师、综合表现、综合技能信息维护；</w:t>
      </w:r>
    </w:p>
    <w:p w14:paraId="76C2DCF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提供护士工作经历维护功能，包括工作类型、部门、起止时间信息维护； </w:t>
      </w:r>
    </w:p>
    <w:p w14:paraId="2889820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提供护理技术操作考核记录维护功能，包括考核标题、考核时间、内容、备注信息维护；</w:t>
      </w:r>
    </w:p>
    <w:p w14:paraId="3FAC7CD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提供理论考核记录维护功能，包括考核标题、考核类型、考核时间、内容、备注信息维护；</w:t>
      </w:r>
    </w:p>
    <w:p w14:paraId="6CC4D18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提供科研工作进展登记维护功能，包括名称、作者、关键字、摘要、内容信息维护；</w:t>
      </w:r>
    </w:p>
    <w:p w14:paraId="5D3EEA3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护理人员外出参观、进修、学习登记表维护功能，包含内容：职称、进修地点、开始时间、结束时间、进修专业、考核内容、个人总结、考核结果信息维护； </w:t>
      </w:r>
    </w:p>
    <w:p w14:paraId="47E9480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提供对护士N0</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N2护士能级申请及评定表记录维护功能， 包含内容：科室、姓名、申报时间、取得执业证书时间、岗位、任期内考核结果、晋升理由、综合考评鉴定、护士长意见信息维护；</w:t>
      </w:r>
    </w:p>
    <w:p w14:paraId="68A1F08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提供对护士N3/N4护士能级申请及评定表记录维护功能， 包含内容：科室、姓名、申报时间、取得执业证书时间、岗位、任期内考核结果、晋升理由、综合考评鉴定、护士长意见信息维护；   </w:t>
      </w:r>
    </w:p>
    <w:p w14:paraId="3F2764B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支持客户端自主更改信息并上传相关材料，由管理端审核下载。</w:t>
      </w:r>
    </w:p>
    <w:p w14:paraId="004BA2CD">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统计分析</w:t>
      </w:r>
    </w:p>
    <w:p w14:paraId="6D95115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提供护士层级分布柱状图分析表功能，；</w:t>
      </w:r>
    </w:p>
    <w:p w14:paraId="3692E2E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提供护士男女比例分布柱状图分析表功能；</w:t>
      </w:r>
    </w:p>
    <w:p w14:paraId="2D42D93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提供护士职位分布柱状图分析表功能；</w:t>
      </w:r>
    </w:p>
    <w:p w14:paraId="4A0E00B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提供护士学历分布柱状图分析表功能；</w:t>
      </w:r>
    </w:p>
    <w:p w14:paraId="27ED687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w:t>
      </w:r>
      <w:r>
        <w:rPr>
          <w:rFonts w:hint="eastAsia" w:ascii="宋体" w:hAnsi="宋体" w:eastAsia="宋体" w:cs="宋体"/>
          <w:sz w:val="24"/>
          <w:szCs w:val="24"/>
          <w:highlight w:val="none"/>
          <w:lang w:val="en-US" w:eastAsia="zh-CN"/>
        </w:rPr>
        <w:t>族别</w:t>
      </w:r>
      <w:r>
        <w:rPr>
          <w:rFonts w:hint="eastAsia" w:ascii="宋体" w:hAnsi="宋体" w:eastAsia="宋体" w:cs="宋体"/>
          <w:sz w:val="24"/>
          <w:szCs w:val="24"/>
          <w:highlight w:val="none"/>
        </w:rPr>
        <w:t>分布柱状图分析表功能</w:t>
      </w:r>
      <w:r>
        <w:rPr>
          <w:rFonts w:hint="eastAsia" w:ascii="宋体" w:hAnsi="宋体" w:eastAsia="宋体" w:cs="宋体"/>
          <w:sz w:val="24"/>
          <w:szCs w:val="24"/>
          <w:highlight w:val="none"/>
          <w:lang w:eastAsia="zh-CN"/>
        </w:rPr>
        <w:t>；</w:t>
      </w:r>
    </w:p>
    <w:p w14:paraId="52D1977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提供护士工作年限分布柱状图分析表功能；</w:t>
      </w:r>
    </w:p>
    <w:p w14:paraId="46E9244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提供护士年龄分布柱状图分析表功能；</w:t>
      </w:r>
    </w:p>
    <w:p w14:paraId="01ED9D0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提供科室床护比分析表功能；</w:t>
      </w:r>
    </w:p>
    <w:p w14:paraId="1AEE975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提供护理离职率统计分析表功能；</w:t>
      </w:r>
    </w:p>
    <w:p w14:paraId="6E5AE2F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提供全院护士人员检索功能，全院人员在职、离职、按科室统计在职、离职人员；</w:t>
      </w:r>
    </w:p>
    <w:p w14:paraId="6AE356CF">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43" w:name="_Toc98149374"/>
      <w:bookmarkStart w:id="144" w:name="_Toc109140290"/>
      <w:r>
        <w:rPr>
          <w:rFonts w:hint="eastAsia" w:ascii="宋体" w:hAnsi="宋体" w:eastAsia="宋体" w:cs="宋体"/>
          <w:sz w:val="24"/>
          <w:szCs w:val="24"/>
          <w:highlight w:val="none"/>
        </w:rPr>
        <w:t>★制度管理</w:t>
      </w:r>
      <w:bookmarkEnd w:id="143"/>
      <w:bookmarkEnd w:id="144"/>
    </w:p>
    <w:p w14:paraId="54B0581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提供护理文档目录的新建、修改和删除功能，包含设置全院、科室级别目录；</w:t>
      </w:r>
    </w:p>
    <w:p w14:paraId="1DFA706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提供护理部制度、科室制度文档的上传、废止、删除和下载功能、包含文件格式：DOC、DOCX、XLS、XLSX、PPT、PPTX、PDF、图片；</w:t>
      </w:r>
    </w:p>
    <w:p w14:paraId="6C3EBC1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提供护理制度文档的在线预览功能；</w:t>
      </w:r>
    </w:p>
    <w:p w14:paraId="0DEED16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提供制度文档的权限管理，可设置科室查看、下载、打印的权限；</w:t>
      </w:r>
    </w:p>
    <w:p w14:paraId="5BF61BB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提供制度文档通过颜色标记提醒文档有效期功能；</w:t>
      </w:r>
    </w:p>
    <w:p w14:paraId="45E51FAD">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45" w:name="_Toc98149375"/>
      <w:bookmarkStart w:id="146" w:name="_Toc109140291"/>
      <w:r>
        <w:rPr>
          <w:rFonts w:hint="eastAsia" w:ascii="宋体" w:hAnsi="宋体" w:eastAsia="宋体" w:cs="宋体"/>
          <w:sz w:val="24"/>
          <w:szCs w:val="24"/>
          <w:highlight w:val="none"/>
        </w:rPr>
        <w:t>★排班管理</w:t>
      </w:r>
      <w:bookmarkEnd w:id="145"/>
      <w:bookmarkEnd w:id="146"/>
    </w:p>
    <w:p w14:paraId="7AADE14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提供排班班次设置功能，主要设置班次名称、颜色、时段、班次类型、种类和费用信息；</w:t>
      </w:r>
    </w:p>
    <w:p w14:paraId="38C147A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提供排班组和排班人员维护功能并可调整排班人员的显示顺序功能；</w:t>
      </w:r>
    </w:p>
    <w:p w14:paraId="3396E83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提供护理排班功能，支持分组排班、支持复制粘贴、支持一次操作多人功能；</w:t>
      </w:r>
    </w:p>
    <w:p w14:paraId="3AF8CFA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提供护理排班调整护理人员排序功能；</w:t>
      </w:r>
    </w:p>
    <w:p w14:paraId="3967A12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提供护理排班护士排班通过上移、下移功能实现护理人员换班功能； </w:t>
      </w:r>
    </w:p>
    <w:p w14:paraId="0854539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提供在周排班人员漏排提醒功能，点击检查按钮可提醒本周漏排的护理人员列表信息，内容包括：工号、姓名、日期信息；</w:t>
      </w:r>
    </w:p>
    <w:p w14:paraId="0868855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提供护理排班人员组合班次的功能，实现多班次排班功能；</w:t>
      </w:r>
    </w:p>
    <w:p w14:paraId="7F544C4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排班智能排班的功能，按照ABCABC策略设置班次显示顺序，然后在排班界面对护士周一设置策略内班次（需设置所有需要智能排班人员），点击一键排班即可，切换下一周时点击一键排班即可按照上周末的班次对下周进行排班； </w:t>
      </w:r>
    </w:p>
    <w:p w14:paraId="4CB8F0B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提供护理排班审核流程的功能，包括排班完成提交到护理部的功能；</w:t>
      </w:r>
    </w:p>
    <w:p w14:paraId="5941009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提供护理排班撤销流程的功能，由护士长提出排班撤销申请，由护理部审核的功能；</w:t>
      </w:r>
    </w:p>
    <w:p w14:paraId="26A1A03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提供护理排班周排班备注维护功能；</w:t>
      </w:r>
    </w:p>
    <w:p w14:paraId="609837F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提供护理排班月度概览功能，快捷切换上月、本月、下月排班信息；</w:t>
      </w:r>
    </w:p>
    <w:p w14:paraId="5DFF35D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提供护士请假维护功能，包括但不限于事假、病假、产假、婚假、年休维护信息；</w:t>
      </w:r>
    </w:p>
    <w:p w14:paraId="4724DE5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提供护士请假根据起止时间自动将请假名称、请假天数显示到排班界面</w:t>
      </w:r>
    </w:p>
    <w:p w14:paraId="3698BB4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提供护士本人查看月排班信息功能； </w:t>
      </w:r>
    </w:p>
    <w:p w14:paraId="2C52EE7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提供排班分类汇总统计功能；</w:t>
      </w:r>
    </w:p>
    <w:p w14:paraId="0A23EFF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提供护士夜餐费统计打印功能，包括工号、姓名、层级、费用维护信息；</w:t>
      </w:r>
    </w:p>
    <w:p w14:paraId="2273C5C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提供护士周排班打印功能，包括组号、工号、姓名、层级、管床、周排班信息维护信息；</w:t>
      </w:r>
    </w:p>
    <w:p w14:paraId="309F5E7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提供客户端未按时上报排班表弹窗功能。</w:t>
      </w:r>
    </w:p>
    <w:p w14:paraId="525CCBA8">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47" w:name="_Toc98149376"/>
      <w:bookmarkStart w:id="148" w:name="_Toc109140292"/>
      <w:r>
        <w:rPr>
          <w:rFonts w:hint="eastAsia" w:ascii="宋体" w:hAnsi="宋体" w:eastAsia="宋体" w:cs="宋体"/>
          <w:sz w:val="24"/>
          <w:szCs w:val="24"/>
          <w:highlight w:val="none"/>
        </w:rPr>
        <w:t>★质量检查</w:t>
      </w:r>
      <w:bookmarkEnd w:id="147"/>
      <w:bookmarkEnd w:id="148"/>
    </w:p>
    <w:p w14:paraId="5F05703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检查指标维护功能，包括但不限于手术室护理管理质量查检表、儿童早期发育管理科质量查检表、病房管理组质量考核标准、护士长质量检查标准、病房护理安全检查标准；（得分率描述，合格率描述、动态配置抽查项目，单独写）</w:t>
      </w:r>
    </w:p>
    <w:p w14:paraId="53EA79E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提供得分率检查指标维护，实现对检查单评分的功能，可设置全院、科室及角色检查权限；</w:t>
      </w:r>
    </w:p>
    <w:p w14:paraId="0269D0A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提供得分率检查指标维护评分类型功能，包括打勾方式（在检查界面点击表格打√，打×即可实现分数评分）、录数值方式（在检查界面录入数值）；</w:t>
      </w:r>
    </w:p>
    <w:p w14:paraId="7C98CCC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提供得分率检查指标维护评分方式功能，包括得分、扣分功能；</w:t>
      </w:r>
    </w:p>
    <w:p w14:paraId="0D811A1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提供合格率检查指标维护功能，可设置全院、科室及角色检查权限；</w:t>
      </w:r>
    </w:p>
    <w:p w14:paraId="4032A69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提供对检查指标的权限分配管理功能，设置护理人员拥有检查指标的权限功能；</w:t>
      </w:r>
    </w:p>
    <w:p w14:paraId="5120B11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提供质量检查得分率、合格率数据总览和按护理单元、检查日期、检查标准查询功能；</w:t>
      </w:r>
    </w:p>
    <w:p w14:paraId="642FA3C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提供质量检查得分率动态配置抽查项目的功能，包括对科室、护理人员、患者信息检查功能；</w:t>
      </w:r>
    </w:p>
    <w:p w14:paraId="635A23D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提供质量检查一级质控（护士长检查）、二级质控（科护士长检查）、三级质控（护理部检查）检查功能； </w:t>
      </w:r>
    </w:p>
    <w:p w14:paraId="6E3EDEE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提供得分率检查单检查功能，包括对检查项目设置评分、扣分原因、扣分责任人的维护功能；</w:t>
      </w:r>
    </w:p>
    <w:p w14:paraId="080EE99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提供合格率检查单检查功能，包括对检查项目设置检查总人数、完全符合数、部分符合数、不符合数、不适用数、完全符合率、部分符合率、不符合率、存在问题的维护功能；</w:t>
      </w:r>
    </w:p>
    <w:p w14:paraId="41B5D37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提供质量检查得分率、合格率检查人维护的功能，可多选人员；</w:t>
      </w:r>
    </w:p>
    <w:p w14:paraId="0654EC3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提供质量检查单提交审核功能；</w:t>
      </w:r>
    </w:p>
    <w:p w14:paraId="6EBCD53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提供质量检查结果统计分析功能，以指标内容为维度，汇总指标内容每次检查的结果； </w:t>
      </w:r>
    </w:p>
    <w:p w14:paraId="2A40D6F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提供质量标准以科室维度做基准统计各指标标准的得分情况的功能；</w:t>
      </w:r>
    </w:p>
    <w:p w14:paraId="361936A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提供质量检查以指标维度为基准统计各科室检查标准的得分汇总的功能；</w:t>
      </w:r>
    </w:p>
    <w:p w14:paraId="627AAD3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提供对质量检查单根据设定的规则生成柏拉图分析功能，支持对质量检查问题发生频次、质量检查频次、检查分数类型生成柏拉图；</w:t>
      </w:r>
    </w:p>
    <w:p w14:paraId="79E3D388">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49" w:name="_Toc98149377"/>
      <w:bookmarkStart w:id="150" w:name="_Toc109140293"/>
      <w:r>
        <w:rPr>
          <w:rFonts w:hint="eastAsia" w:ascii="宋体" w:hAnsi="宋体" w:eastAsia="宋体" w:cs="宋体"/>
          <w:sz w:val="24"/>
          <w:szCs w:val="24"/>
          <w:highlight w:val="none"/>
        </w:rPr>
        <w:t>问题跟踪</w:t>
      </w:r>
      <w:bookmarkEnd w:id="149"/>
      <w:bookmarkEnd w:id="150"/>
    </w:p>
    <w:p w14:paraId="0EC9D79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提供护理质量问题科室整改情况展示功能，包括未整改、已整改、已跟踪并显示对应的数据条目；</w:t>
      </w:r>
      <w:r>
        <w:rPr>
          <w:rFonts w:hint="eastAsia" w:ascii="宋体" w:hAnsi="宋体" w:eastAsia="宋体" w:cs="宋体"/>
          <w:color w:val="FF0000"/>
          <w:sz w:val="24"/>
          <w:szCs w:val="24"/>
          <w:highlight w:val="none"/>
        </w:rPr>
        <w:t xml:space="preserve"> </w:t>
      </w:r>
    </w:p>
    <w:p w14:paraId="48FEF19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提供质量检查问题按月数据分析整改功能，包括标准名称、质控级别、检查频次、检查时间、原因分析，整改措施信息维护；</w:t>
      </w:r>
    </w:p>
    <w:p w14:paraId="673D4E5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提供护理质量问题对存在的问题进行合并总结，批量对存在的问题进行整改的功能；</w:t>
      </w:r>
    </w:p>
    <w:p w14:paraId="406C7D5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提供对护理问题多检查单汇总的功能，护理人员可自主选择检查单自动生成问题汇总报告，包括参加人员、各检查存在问题、原因分析、改进措施信息；</w:t>
      </w:r>
    </w:p>
    <w:p w14:paraId="3F75803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51" w:name="_Toc98149378"/>
      <w:bookmarkStart w:id="152" w:name="_Toc109140294"/>
      <w:r>
        <w:rPr>
          <w:rFonts w:hint="eastAsia" w:ascii="宋体" w:hAnsi="宋体" w:eastAsia="宋体" w:cs="宋体"/>
          <w:sz w:val="24"/>
          <w:szCs w:val="24"/>
          <w:highlight w:val="none"/>
        </w:rPr>
        <w:t>★质量督导</w:t>
      </w:r>
      <w:bookmarkEnd w:id="151"/>
      <w:bookmarkEnd w:id="152"/>
    </w:p>
    <w:p w14:paraId="7FB2757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提供单条质量问题汇总功能，包括质量问题、原因分析、改进措施信息，并可开启管理质量督导功能</w:t>
      </w:r>
    </w:p>
    <w:p w14:paraId="3A3099A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提供质量督导检查录入功能，质量检查、夜查房质量问题与质量督导相关联功能；</w:t>
      </w:r>
    </w:p>
    <w:p w14:paraId="7C21B55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提供督导组、护士长、科护士长各级别审核签字功能；</w:t>
      </w:r>
    </w:p>
    <w:p w14:paraId="42C7AD1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提供护士长PDCA整改信息录入，包括对问题的原因分析、整改措施、改进期限、预期效果信息维护；</w:t>
      </w:r>
    </w:p>
    <w:p w14:paraId="4FA24B0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提供未处理提醒功能，包括未处理、已处理、已整改状态；</w:t>
      </w:r>
    </w:p>
    <w:p w14:paraId="74CF8AD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提供到期未整改的督导检查记录检索功能；</w:t>
      </w:r>
    </w:p>
    <w:p w14:paraId="025618D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p>
    <w:p w14:paraId="1A38E10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53" w:name="_Toc109140295"/>
      <w:bookmarkStart w:id="154" w:name="_Toc98149379"/>
      <w:r>
        <w:rPr>
          <w:rFonts w:hint="eastAsia" w:ascii="宋体" w:hAnsi="宋体" w:eastAsia="宋体" w:cs="宋体"/>
          <w:sz w:val="24"/>
          <w:szCs w:val="24"/>
          <w:highlight w:val="none"/>
        </w:rPr>
        <w:t>★不良事件</w:t>
      </w:r>
      <w:bookmarkEnd w:id="153"/>
      <w:bookmarkEnd w:id="154"/>
    </w:p>
    <w:p w14:paraId="02FB567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提供护理不良事件上报功能，包括跌倒/坠床不良事件上报卡，药物安全不良事件，安全不良事件上报卡，管道滑脱不良事件上报卡，压疮不良事件上报卡；</w:t>
      </w:r>
    </w:p>
    <w:p w14:paraId="20FE6D5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提供不良事件审批流程自定义配置功能，配置护士、护士长、科护士长、护理部角色；</w:t>
      </w:r>
    </w:p>
    <w:p w14:paraId="5ACA35B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提供护理不良事件上报查看功能，包括事件名称、报告人信息、当事人信息、患者信息、发生科室、发生时间内容； </w:t>
      </w:r>
    </w:p>
    <w:p w14:paraId="0E9422C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提供查看不良事件审核状态，可直观显示当前审核进行到哪一环节；</w:t>
      </w:r>
    </w:p>
    <w:p w14:paraId="32F7A0E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提供上报卡审批功能，审批时可以编辑上报卡内容，并提交至下一审批角色，模板内容；</w:t>
      </w:r>
    </w:p>
    <w:p w14:paraId="623F13E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提供上报卡列表总览功能，包含但不限于显示发生时间、护理单元、状态、不良事件名称、</w:t>
      </w:r>
      <w:r>
        <w:rPr>
          <w:rFonts w:hint="eastAsia" w:ascii="宋体" w:hAnsi="宋体" w:eastAsia="宋体" w:cs="宋体"/>
          <w:sz w:val="24"/>
          <w:szCs w:val="24"/>
          <w:highlight w:val="none"/>
          <w:lang w:val="en-US" w:eastAsia="zh-CN"/>
        </w:rPr>
        <w:t>不良事件的分级、</w:t>
      </w:r>
      <w:r>
        <w:rPr>
          <w:rFonts w:hint="eastAsia" w:ascii="宋体" w:hAnsi="宋体" w:eastAsia="宋体" w:cs="宋体"/>
          <w:sz w:val="24"/>
          <w:szCs w:val="24"/>
          <w:highlight w:val="none"/>
        </w:rPr>
        <w:t xml:space="preserve">报告人、患者姓名信息； </w:t>
      </w:r>
    </w:p>
    <w:p w14:paraId="0CCAF97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提供查看不良事件各审核环节内容功能，包括提交人、提交时间、处理意见信息； </w:t>
      </w:r>
    </w:p>
    <w:p w14:paraId="59E33DE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提供已审批的上报卡导出Excel功能； </w:t>
      </w:r>
    </w:p>
    <w:p w14:paraId="2A796A0D">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55" w:name="_Toc98149380"/>
      <w:bookmarkStart w:id="156" w:name="_Toc109140296"/>
      <w:r>
        <w:rPr>
          <w:rFonts w:hint="eastAsia" w:ascii="宋体" w:hAnsi="宋体" w:eastAsia="宋体" w:cs="宋体"/>
          <w:sz w:val="24"/>
          <w:szCs w:val="24"/>
          <w:highlight w:val="none"/>
        </w:rPr>
        <w:t>层级评分</w:t>
      </w:r>
      <w:bookmarkEnd w:id="155"/>
      <w:bookmarkEnd w:id="156"/>
    </w:p>
    <w:p w14:paraId="3BBD18C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提供护士、护士长、专科护士、组长评分标准制定，包括但不限于护士长评分标准、N0护士评分标准、N1护士评分标准、N2护士评分标准、N3护士评分标准、N4护士评分标准、组长评分标准、科护士长评分标准；</w:t>
      </w:r>
    </w:p>
    <w:p w14:paraId="3AF9D5C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提供各个层级护士、护士长的自评分、他评分，内容包括：年度、月份、科室、护士层级、姓名、评分标准、自评得分、上级评分得分情况；</w:t>
      </w:r>
    </w:p>
    <w:p w14:paraId="5EDCE57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提供层级评分按护理单元、被考核人、评分标准、评分月份、分数条件的评分记录检索；</w:t>
      </w:r>
    </w:p>
    <w:p w14:paraId="6281441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提供评分自动计算总分功能；</w:t>
      </w:r>
    </w:p>
    <w:p w14:paraId="2FEA6612">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57" w:name="_Toc98149381"/>
      <w:bookmarkStart w:id="158" w:name="_Toc109140297"/>
      <w:r>
        <w:rPr>
          <w:rFonts w:hint="eastAsia" w:ascii="宋体" w:hAnsi="宋体" w:eastAsia="宋体" w:cs="宋体"/>
          <w:sz w:val="24"/>
          <w:szCs w:val="24"/>
          <w:highlight w:val="none"/>
        </w:rPr>
        <w:t>★护士长手册</w:t>
      </w:r>
      <w:bookmarkEnd w:id="157"/>
      <w:bookmarkEnd w:id="158"/>
    </w:p>
    <w:p w14:paraId="4DE19F2D">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工作计划</w:t>
      </w:r>
    </w:p>
    <w:p w14:paraId="418DE5B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提供年度工作计划功能，护理部、科室填报工作计划，护理部可查看全院科室的工作计划，包含内容：计划时间、标题、计划内容、总结信息； </w:t>
      </w:r>
    </w:p>
    <w:p w14:paraId="096CF9E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提供月度工作计划功能，护理部、科室填报工作计划，护理部可查看全院科室的工作计划，包含内容：计划时间、月计划标题、月计划内容、总结信息；</w:t>
      </w:r>
    </w:p>
    <w:p w14:paraId="7C8D02C2">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科室业务</w:t>
      </w:r>
    </w:p>
    <w:p w14:paraId="15A604A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提供护理科务会管理功能，科务会记录的新增、编辑、删除和查询，包含内容：护理单元、日期、主持人、主题、会议内容信息；</w:t>
      </w:r>
    </w:p>
    <w:p w14:paraId="1B59705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护理人员外来进修护士学习登记表维护功能， 包含内容：姓名、性别、民族、学历、工作年限、政治面貌、进修开始时间、进修结束时间、进修学习项目信息维护；</w:t>
      </w:r>
    </w:p>
    <w:p w14:paraId="784FABD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提供好人好事管理功能，好人好事记录的新增、编辑、删除和查询，包含内容：护理单元、日期、人员姓名、颁奖单位、何种奖励信息；</w:t>
      </w:r>
    </w:p>
    <w:p w14:paraId="69FBCC0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提供护理工作大事记录功能，护理工作大事记录的新增、编辑、删除和查询，包含内容：护理单元、日期、事件名称、主要内容信息；</w:t>
      </w:r>
    </w:p>
    <w:p w14:paraId="65D6F91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提供新技术新业务管理功能，护理新技术新业务记录的新增、编辑、删除和查询包含内容：护理单元、负责人、应参加人数、项目、备注信息；</w:t>
      </w:r>
    </w:p>
    <w:p w14:paraId="1767BBB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提供护理公休座谈会管理功能，护理公休座谈会记录的新增、编辑、删除和查询，包含内容：护理单元、日期、主持人、地点、主题、内容、患者及家属、患者家属意见及建议信息；  </w:t>
      </w:r>
    </w:p>
    <w:p w14:paraId="4543D6F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提供护理人员差错事故登记功能，其中包括新增、编辑、删除、导出、打印功能，包含内容：病人名称、姓名、年龄、差错人姓名、发现人、差错原因、差错内容、不良反应或后果信息；</w:t>
      </w:r>
    </w:p>
    <w:p w14:paraId="5E3E0C5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客户端护士技术档案填写功能，保存即可同步至管理端，年度可下载打印；</w:t>
      </w:r>
    </w:p>
    <w:p w14:paraId="708AD63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应急演练功能：参与人员、演练</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演练</w:t>
      </w:r>
      <w:r>
        <w:rPr>
          <w:rFonts w:hint="eastAsia" w:ascii="宋体" w:hAnsi="宋体" w:eastAsia="宋体" w:cs="宋体"/>
          <w:sz w:val="24"/>
          <w:szCs w:val="24"/>
          <w:highlight w:val="none"/>
        </w:rPr>
        <w:t>形式、</w:t>
      </w:r>
      <w:r>
        <w:rPr>
          <w:rFonts w:hint="eastAsia" w:ascii="宋体" w:hAnsi="宋体" w:eastAsia="宋体" w:cs="宋体"/>
          <w:sz w:val="24"/>
          <w:szCs w:val="24"/>
          <w:highlight w:val="none"/>
          <w:lang w:val="en-US" w:eastAsia="zh-CN"/>
        </w:rPr>
        <w:t>演练地点、演练脚本</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总结，管理端可下载相关上传的材料。</w:t>
      </w:r>
    </w:p>
    <w:p w14:paraId="52E746E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护理教学查房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业务查房</w:t>
      </w:r>
      <w:r>
        <w:rPr>
          <w:rFonts w:hint="eastAsia" w:ascii="宋体" w:hAnsi="宋体" w:eastAsia="宋体" w:cs="宋体"/>
          <w:sz w:val="24"/>
          <w:szCs w:val="24"/>
          <w:highlight w:val="none"/>
        </w:rPr>
        <w:t>，包含内容：查房时间、查房形式、主要内容、</w:t>
      </w:r>
      <w:r>
        <w:rPr>
          <w:rFonts w:hint="eastAsia" w:ascii="宋体" w:hAnsi="宋体" w:eastAsia="宋体" w:cs="宋体"/>
          <w:sz w:val="24"/>
          <w:szCs w:val="24"/>
          <w:highlight w:val="none"/>
          <w:lang w:val="en-US" w:eastAsia="zh-CN"/>
        </w:rPr>
        <w:t>总结</w:t>
      </w:r>
      <w:r>
        <w:rPr>
          <w:rFonts w:hint="eastAsia" w:ascii="宋体" w:hAnsi="宋体" w:eastAsia="宋体" w:cs="宋体"/>
          <w:sz w:val="24"/>
          <w:szCs w:val="24"/>
          <w:highlight w:val="none"/>
        </w:rPr>
        <w:t>信息；</w:t>
      </w:r>
    </w:p>
    <w:p w14:paraId="71DB6E6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中医护理技术项目统计分析（包括但并不限于操作量、操作人次、单价、合计）并生成柱状图报表；中医护理方案汇总与分析由客户端上传后管理端可下载。</w:t>
      </w:r>
    </w:p>
    <w:p w14:paraId="537CC66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中医护理方案优化包括：中医护理方案变动申请表、优化内容。</w:t>
      </w:r>
    </w:p>
    <w:p w14:paraId="1BE5FB7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bidi="ar-SA"/>
        </w:rPr>
        <w:t>中医护理效果评价，要求系统支持护理人员通过对证候症状、主要症状、各项中医护理技术、护理效果、主要辩证施护方法，开展中医护理方案制定，支持对中医护理方案、中医护理技术依从性/满意度/评价、中医护理技术应用情况、主要辩证施护方法应用情况等维度的统计。</w:t>
      </w:r>
    </w:p>
    <w:p w14:paraId="6BDAF100">
      <w:pPr>
        <w:pStyle w:val="42"/>
        <w:pageBreakBefore w:val="0"/>
        <w:numPr>
          <w:ilvl w:val="0"/>
          <w:numId w:val="0"/>
        </w:numPr>
        <w:kinsoku/>
        <w:wordWrap/>
        <w:overflowPunct/>
        <w:topLinePunct w:val="0"/>
        <w:autoSpaceDE/>
        <w:autoSpaceDN/>
        <w:bidi w:val="0"/>
        <w:adjustRightInd/>
        <w:snapToGrid/>
        <w:spacing w:line="360" w:lineRule="auto"/>
        <w:ind w:left="420" w:leftChars="0"/>
        <w:rPr>
          <w:rFonts w:hint="eastAsia" w:ascii="宋体" w:hAnsi="宋体" w:eastAsia="宋体" w:cs="宋体"/>
          <w:sz w:val="24"/>
          <w:szCs w:val="24"/>
          <w:highlight w:val="none"/>
        </w:rPr>
      </w:pPr>
    </w:p>
    <w:p w14:paraId="520B2127">
      <w:pPr>
        <w:pStyle w:val="42"/>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p w14:paraId="38C122F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护理查房</w:t>
      </w:r>
    </w:p>
    <w:p w14:paraId="4C50BDF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提供护理行政查房、科护士长行政查房、护理教学查房功能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业务查房</w:t>
      </w:r>
      <w:r>
        <w:rPr>
          <w:rFonts w:hint="eastAsia" w:ascii="宋体" w:hAnsi="宋体" w:eastAsia="宋体" w:cs="宋体"/>
          <w:sz w:val="24"/>
          <w:szCs w:val="24"/>
          <w:highlight w:val="none"/>
        </w:rPr>
        <w:t>，包含内容：查房时间、查房形式、主要内容、护士长发言、科护士长发言、护理部发言信息；</w:t>
      </w:r>
    </w:p>
    <w:p w14:paraId="019FC89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提供护理夜查房功能，其中包括新增、编辑、删除、导出、打印功能，包含内容：查房时间、查房形式、主要内容、护士长发言、科护士长发言、护理部发言信息；</w:t>
      </w:r>
    </w:p>
    <w:p w14:paraId="5AAB2EE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提供护理部巡查记录，其中包括新增、编辑、删除、导出、打印功能，包含内容：护理单元、巡视时间、主要内容、备注信息；</w:t>
      </w:r>
    </w:p>
    <w:p w14:paraId="260A3CF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提供疑难病</w:t>
      </w:r>
      <w:r>
        <w:rPr>
          <w:rFonts w:hint="eastAsia" w:ascii="宋体" w:hAnsi="宋体" w:eastAsia="宋体" w:cs="宋体"/>
          <w:sz w:val="24"/>
          <w:szCs w:val="24"/>
          <w:highlight w:val="none"/>
          <w:lang w:val="en-US" w:eastAsia="zh-CN"/>
        </w:rPr>
        <w:t>历</w:t>
      </w:r>
      <w:r>
        <w:rPr>
          <w:rFonts w:hint="eastAsia" w:ascii="宋体" w:hAnsi="宋体" w:eastAsia="宋体" w:cs="宋体"/>
          <w:sz w:val="24"/>
          <w:szCs w:val="24"/>
          <w:highlight w:val="none"/>
        </w:rPr>
        <w:t xml:space="preserve">讨论记录功能，其中包括新增、编辑、删除、导出、打印功能，包含内容：日期、病人详情、参加科室、参加人员、患者简介病情介绍、护理疑难点记录信息； </w:t>
      </w:r>
    </w:p>
    <w:p w14:paraId="4966131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提供科主任、主治医师查房记录功能，其中包括新增、编辑、删除、导出、打印功能，包含内容：护理单元、护士信息、日期、存在问题、整改措施信息；</w:t>
      </w:r>
    </w:p>
    <w:p w14:paraId="2CB280B9">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59" w:name="_Toc98149382"/>
      <w:bookmarkStart w:id="160" w:name="_Toc109140298"/>
      <w:r>
        <w:rPr>
          <w:rFonts w:hint="eastAsia" w:ascii="宋体" w:hAnsi="宋体" w:eastAsia="宋体" w:cs="宋体"/>
          <w:sz w:val="24"/>
          <w:szCs w:val="24"/>
          <w:highlight w:val="none"/>
        </w:rPr>
        <w:t>★满意度调查</w:t>
      </w:r>
      <w:bookmarkEnd w:id="159"/>
      <w:bookmarkEnd w:id="160"/>
    </w:p>
    <w:p w14:paraId="747F3C2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提供满意度调查模板设置和修改功能，提供护士自身满意度调查、临床科室对消毒中心满意度调查、医生对护理工作满意度调查、住院患者对护理工作满意度调查；</w:t>
      </w:r>
    </w:p>
    <w:p w14:paraId="03FA56A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提供满意度调查内容选项包含设置单选、多选、填空试题类型及设置各选项分数功能；</w:t>
      </w:r>
    </w:p>
    <w:p w14:paraId="375CCE6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提供满意度调查任务管理功能，可设置调查模板全院、科室权限管理；</w:t>
      </w:r>
    </w:p>
    <w:p w14:paraId="6C34B45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提供满意度调查结果统计分析功能；</w:t>
      </w:r>
    </w:p>
    <w:p w14:paraId="6F959B58">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61" w:name="_Toc109140299"/>
      <w:bookmarkStart w:id="162" w:name="_Toc98149383"/>
      <w:r>
        <w:rPr>
          <w:rFonts w:hint="eastAsia" w:ascii="宋体" w:hAnsi="宋体" w:eastAsia="宋体" w:cs="宋体"/>
          <w:sz w:val="24"/>
          <w:szCs w:val="24"/>
          <w:highlight w:val="none"/>
        </w:rPr>
        <w:t>★培训教育</w:t>
      </w:r>
      <w:bookmarkEnd w:id="161"/>
      <w:bookmarkEnd w:id="162"/>
    </w:p>
    <w:p w14:paraId="521762B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提供护理部培训数据总览和按日期、护理单元、状态、层级、级别查询功能；</w:t>
      </w:r>
    </w:p>
    <w:p w14:paraId="32BCEDC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提供护理部培训维护功能，内容包括：日期、项目、级别、方式、培训部分、岗位、讲师、地点培训内容、上传附件内容；</w:t>
      </w:r>
    </w:p>
    <w:p w14:paraId="03B975F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提供护理部培训人员总览功能，包括对人员的是否参加会议、未参加原因、是否考核、未考核原因的记录功能；</w:t>
      </w:r>
    </w:p>
    <w:p w14:paraId="3F515ED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提供科室培训维护功能，内容包括：日期、项目、级别、方式、培训部分、岗位、讲师、地点培训内容、上传附件内容；</w:t>
      </w:r>
    </w:p>
    <w:p w14:paraId="11B1E09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提供科室培训录入人员的功能，包括护理部组织培训、科室组织培训记录，内容：是否参加考核、理论类型、实操类型、得分信息维护</w:t>
      </w:r>
    </w:p>
    <w:p w14:paraId="00988CC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提供护理人员本人查看培训结果功能，内容：级别、培训日期、项目、名称、方式、内容、讲师、考核、考核结果信息维护； </w:t>
      </w:r>
    </w:p>
    <w:p w14:paraId="7F04F48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根据培训内容提取中医相关学时，并生成月度、季度、年度报表。</w:t>
      </w:r>
    </w:p>
    <w:p w14:paraId="7969EE5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63" w:name="_Toc98149384"/>
      <w:bookmarkStart w:id="164" w:name="_Toc109140300"/>
      <w:r>
        <w:rPr>
          <w:rFonts w:hint="eastAsia" w:ascii="宋体" w:hAnsi="宋体" w:eastAsia="宋体" w:cs="宋体"/>
          <w:sz w:val="24"/>
          <w:szCs w:val="24"/>
          <w:highlight w:val="none"/>
        </w:rPr>
        <w:t>绩效考核</w:t>
      </w:r>
      <w:bookmarkEnd w:id="163"/>
      <w:bookmarkEnd w:id="164"/>
    </w:p>
    <w:p w14:paraId="3F059B55">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提供护理绩效考核项目维护功能，包含：护理业务、日常工作、优质服务、团队精神、责任心信息维护；</w:t>
      </w:r>
    </w:p>
    <w:p w14:paraId="0810604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提供护理人员考核分数填写后自动生成绩效等级的功能；</w:t>
      </w:r>
    </w:p>
    <w:p w14:paraId="77C386E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提供设置绩效奖金的功能，包括总额、绩效、单独奖励；</w:t>
      </w:r>
    </w:p>
    <w:p w14:paraId="3414DAF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提供设置不同类别项目的权重功能；</w:t>
      </w:r>
    </w:p>
    <w:p w14:paraId="021238E2">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提供绩效奖金管理功能，包括工号、姓名、岗位、层级、绩效得分、实发、绩效、奖惩功能维护； </w:t>
      </w:r>
    </w:p>
    <w:p w14:paraId="1887BF1A">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65" w:name="_Toc109140301"/>
      <w:bookmarkStart w:id="166" w:name="_Toc98149385"/>
      <w:r>
        <w:rPr>
          <w:rFonts w:hint="eastAsia" w:ascii="宋体" w:hAnsi="宋体" w:eastAsia="宋体" w:cs="宋体"/>
          <w:sz w:val="24"/>
          <w:szCs w:val="24"/>
          <w:highlight w:val="none"/>
        </w:rPr>
        <w:t>★统计分析决策</w:t>
      </w:r>
      <w:bookmarkEnd w:id="165"/>
      <w:bookmarkEnd w:id="166"/>
    </w:p>
    <w:p w14:paraId="78324623">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人力资源</w:t>
      </w:r>
    </w:p>
    <w:p w14:paraId="6822600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提供根据起止时间统计护士层级分布柱状图分析表功能，包含层级、科室、工号、名称；</w:t>
      </w:r>
    </w:p>
    <w:p w14:paraId="605E987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提供根据起止时间统计全院护士层级分布数量柱状图分析表功能；</w:t>
      </w:r>
    </w:p>
    <w:p w14:paraId="584AF07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提供根据起止时间统计护士男女比例分布柱状图分析表功能，包含性别、科室、工号、名称；</w:t>
      </w:r>
    </w:p>
    <w:p w14:paraId="4874088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提供根据起止时间统计全院护士性别分布数量柱状图分析表功能；</w:t>
      </w:r>
    </w:p>
    <w:p w14:paraId="0DD3C0D7">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提供根据起止时间统计护士职位分布柱状图分析表功能，包含职位、科室、工号、名称；</w:t>
      </w:r>
    </w:p>
    <w:p w14:paraId="45F82C7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提供根据起止时间统计全院护士职位分布数量柱状图分析表功能；</w:t>
      </w:r>
    </w:p>
    <w:p w14:paraId="6AD4B56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提供根据起止时间统计护士学历分布柱状图分析表功能，包含学历、科室、工号、名称；</w:t>
      </w:r>
    </w:p>
    <w:p w14:paraId="2B7729C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提供根据起止时间统计全院护士学历分布数量柱状图分析表功能；</w:t>
      </w:r>
    </w:p>
    <w:p w14:paraId="02AA8E6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提供根据起止时间、工作年限类型统计护士工作年限分布柱状图分析表功能，包含工作年限类型、科室、工号、名称；</w:t>
      </w:r>
    </w:p>
    <w:p w14:paraId="53265E1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提供根据起止时间统计全院护士工作年限分布数量柱状图分析表功能；</w:t>
      </w:r>
    </w:p>
    <w:p w14:paraId="5CC9616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提供根据起止时间统计护士年龄分布柱状图分析表功能；</w:t>
      </w:r>
    </w:p>
    <w:p w14:paraId="22608E1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提供科室床护比分析表功能；</w:t>
      </w:r>
    </w:p>
    <w:p w14:paraId="3F2F6C2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提供护理离职率柱状图统计分析表功能； </w:t>
      </w:r>
    </w:p>
    <w:p w14:paraId="23583F66">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不良事件</w:t>
      </w:r>
    </w:p>
    <w:p w14:paraId="1DF2CC91">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提供根据起止时间，按月查询各不良事件上报例数的分析表功能；</w:t>
      </w:r>
    </w:p>
    <w:p w14:paraId="311B91C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提供根据起止时间、按科室查询不良事件上报例数的分析表功能；</w:t>
      </w:r>
    </w:p>
    <w:p w14:paraId="25C6E23F">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提供根据起止时间、按</w:t>
      </w:r>
      <w:r>
        <w:rPr>
          <w:rFonts w:hint="eastAsia" w:ascii="宋体" w:hAnsi="宋体" w:eastAsia="宋体" w:cs="宋体"/>
          <w:sz w:val="24"/>
          <w:szCs w:val="24"/>
          <w:highlight w:val="none"/>
          <w:lang w:val="en-US" w:eastAsia="zh-CN"/>
        </w:rPr>
        <w:t>不良事件分级/分类</w:t>
      </w:r>
      <w:r>
        <w:rPr>
          <w:rFonts w:hint="eastAsia" w:ascii="宋体" w:hAnsi="宋体" w:eastAsia="宋体" w:cs="宋体"/>
          <w:sz w:val="24"/>
          <w:szCs w:val="24"/>
          <w:highlight w:val="none"/>
        </w:rPr>
        <w:t>查询不良事件上报例数的分析表功能</w:t>
      </w:r>
      <w:r>
        <w:rPr>
          <w:rFonts w:hint="eastAsia" w:ascii="宋体" w:hAnsi="宋体" w:eastAsia="宋体" w:cs="宋体"/>
          <w:sz w:val="24"/>
          <w:szCs w:val="24"/>
          <w:highlight w:val="none"/>
          <w:lang w:eastAsia="zh-CN"/>
        </w:rPr>
        <w:t>；</w:t>
      </w:r>
    </w:p>
    <w:p w14:paraId="311E243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提供根据起止时间、按</w:t>
      </w:r>
      <w:r>
        <w:rPr>
          <w:rFonts w:hint="eastAsia" w:ascii="宋体" w:hAnsi="宋体" w:eastAsia="宋体" w:cs="宋体"/>
          <w:sz w:val="24"/>
          <w:szCs w:val="24"/>
          <w:highlight w:val="none"/>
          <w:lang w:val="en-US" w:eastAsia="zh-CN"/>
        </w:rPr>
        <w:t>不良事件名称</w:t>
      </w:r>
      <w:r>
        <w:rPr>
          <w:rFonts w:hint="eastAsia" w:ascii="宋体" w:hAnsi="宋体" w:eastAsia="宋体" w:cs="宋体"/>
          <w:sz w:val="24"/>
          <w:szCs w:val="24"/>
          <w:highlight w:val="none"/>
        </w:rPr>
        <w:t>查询不良事件上报例数的分析表功能</w:t>
      </w:r>
      <w:r>
        <w:rPr>
          <w:rFonts w:hint="eastAsia" w:ascii="宋体" w:hAnsi="宋体" w:eastAsia="宋体" w:cs="宋体"/>
          <w:sz w:val="24"/>
          <w:szCs w:val="24"/>
          <w:highlight w:val="none"/>
          <w:lang w:eastAsia="zh-CN"/>
        </w:rPr>
        <w:t>；</w:t>
      </w:r>
    </w:p>
    <w:p w14:paraId="35D854E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提供根据起止时间、按</w:t>
      </w:r>
      <w:r>
        <w:rPr>
          <w:rFonts w:hint="eastAsia" w:ascii="宋体" w:hAnsi="宋体" w:eastAsia="宋体" w:cs="宋体"/>
          <w:sz w:val="24"/>
          <w:szCs w:val="24"/>
          <w:highlight w:val="none"/>
          <w:lang w:val="en-US" w:eastAsia="zh-CN"/>
        </w:rPr>
        <w:t>责任人、责任人工作年限、责任人能级、责任人职称</w:t>
      </w:r>
      <w:r>
        <w:rPr>
          <w:rFonts w:hint="eastAsia" w:ascii="宋体" w:hAnsi="宋体" w:eastAsia="宋体" w:cs="宋体"/>
          <w:sz w:val="24"/>
          <w:szCs w:val="24"/>
          <w:highlight w:val="none"/>
        </w:rPr>
        <w:t>查询不良事件上报例数的分析表功能</w:t>
      </w:r>
      <w:r>
        <w:rPr>
          <w:rFonts w:hint="eastAsia" w:ascii="宋体" w:hAnsi="宋体" w:eastAsia="宋体" w:cs="宋体"/>
          <w:sz w:val="24"/>
          <w:szCs w:val="24"/>
          <w:highlight w:val="none"/>
          <w:lang w:eastAsia="zh-CN"/>
        </w:rPr>
        <w:t>；</w:t>
      </w:r>
    </w:p>
    <w:p w14:paraId="0AD1D69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提供根据起止时间，以不良事件名称为单位统计各科室不良事件的详细信息，包括：不良事件名称、发生科室、发生时间、上报时间、患者住院号、患者姓名、性别、年龄、诊断、上报人姓名、当事人姓名信息；</w:t>
      </w:r>
    </w:p>
    <w:p w14:paraId="2AD71453">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提供不良事件按年、科室、统计各不良事件上报例数统计分析功能；</w:t>
      </w:r>
    </w:p>
    <w:p w14:paraId="65E89C2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提供多维度的不良事件分析表包含但不限于柱状图、饼状图、环比、同比等功能。</w:t>
      </w:r>
    </w:p>
    <w:p w14:paraId="21024E0C">
      <w:pPr>
        <w:pStyle w:val="8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质量检查、排班、满意度</w:t>
      </w:r>
    </w:p>
    <w:p w14:paraId="4BBEA75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提供质量检查指标检查得分率扣分统计报表，</w:t>
      </w:r>
      <w:r>
        <w:rPr>
          <w:rFonts w:hint="eastAsia" w:ascii="宋体" w:hAnsi="宋体" w:eastAsia="宋体" w:cs="宋体"/>
          <w:sz w:val="24"/>
          <w:szCs w:val="24"/>
          <w:highlight w:val="none"/>
          <w:lang w:val="en-US" w:eastAsia="zh-CN"/>
        </w:rPr>
        <w:t>分析汇总质量考核结果，</w:t>
      </w:r>
      <w:r>
        <w:rPr>
          <w:rFonts w:hint="eastAsia" w:ascii="宋体" w:hAnsi="宋体" w:eastAsia="宋体" w:cs="宋体"/>
          <w:sz w:val="24"/>
          <w:szCs w:val="24"/>
          <w:highlight w:val="none"/>
        </w:rPr>
        <w:t>包含：检查人、检查时间、护理单元、质量标准、评价项目、考核内容、考核方法、标准分、扣分、扣分原因；</w:t>
      </w:r>
    </w:p>
    <w:p w14:paraId="191026B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提供根据起止时间统计科室各满意度调查单分数和次数分析功能；</w:t>
      </w:r>
    </w:p>
    <w:p w14:paraId="591648D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提供护理排班根据起止时间、科室统计各护士的A/P/N班次的数量及总小时数；</w:t>
      </w:r>
    </w:p>
    <w:p w14:paraId="73A10B68">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质量结果利用护理管理工具（使用但不仅限于柏拉图、控制图、柱状图、饼状图等），检索项应包含：</w:t>
      </w:r>
      <w:r>
        <w:rPr>
          <w:rFonts w:hint="eastAsia" w:ascii="宋体" w:hAnsi="宋体" w:eastAsia="宋体" w:cs="宋体"/>
          <w:sz w:val="24"/>
          <w:szCs w:val="24"/>
          <w:highlight w:val="none"/>
        </w:rPr>
        <w:t>检查人、检查时间、护理单元、质量标准、评价项目、考核内容、考核方法、标准分、扣分、扣分原因</w:t>
      </w:r>
      <w:r>
        <w:rPr>
          <w:rFonts w:hint="eastAsia" w:ascii="宋体" w:hAnsi="宋体" w:eastAsia="宋体" w:cs="宋体"/>
          <w:sz w:val="24"/>
          <w:szCs w:val="24"/>
          <w:highlight w:val="none"/>
          <w:lang w:eastAsia="zh-CN"/>
        </w:rPr>
        <w:t>。</w:t>
      </w:r>
    </w:p>
    <w:p w14:paraId="154D579E">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67" w:name="_Toc98149386"/>
      <w:bookmarkStart w:id="168" w:name="_Toc109140302"/>
      <w:r>
        <w:rPr>
          <w:rFonts w:hint="eastAsia" w:ascii="宋体" w:hAnsi="宋体" w:eastAsia="宋体" w:cs="宋体"/>
          <w:sz w:val="24"/>
          <w:szCs w:val="24"/>
          <w:highlight w:val="none"/>
        </w:rPr>
        <w:t>★敏感指标统计</w:t>
      </w:r>
      <w:bookmarkEnd w:id="167"/>
      <w:bookmarkEnd w:id="168"/>
    </w:p>
    <w:p w14:paraId="455EA4F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提供敏感指标填报：填报、编辑、提交、撤销提交，包含国家级上报和省级上报信息，主要内容：人力资源学历、人力资源工作年限、人力资源离职数据、身体约束相关数据、导管非计划拔管相关数据；</w:t>
      </w:r>
    </w:p>
    <w:p w14:paraId="396AD73B">
      <w:pPr>
        <w:pStyle w:val="42"/>
        <w:pageBreakBefore w:val="0"/>
        <w:numPr>
          <w:ilvl w:val="0"/>
          <w:numId w:val="39"/>
        </w:numPr>
        <w:kinsoku/>
        <w:wordWrap/>
        <w:overflowPunct/>
        <w:topLinePunct w:val="0"/>
        <w:autoSpaceDE/>
        <w:autoSpaceDN/>
        <w:bidi w:val="0"/>
        <w:adjustRightInd/>
        <w:snapToGrid/>
        <w:spacing w:line="360" w:lineRule="auto"/>
        <w:ind w:left="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提供敏感指标科护士长审批、撤销审批信息维护； </w:t>
      </w:r>
    </w:p>
    <w:p w14:paraId="285F7637">
      <w:pPr>
        <w:pStyle w:val="42"/>
        <w:pageBreakBefore w:val="0"/>
        <w:numPr>
          <w:ilvl w:val="0"/>
          <w:numId w:val="39"/>
        </w:numPr>
        <w:kinsoku/>
        <w:wordWrap/>
        <w:overflowPunct/>
        <w:topLinePunct w:val="0"/>
        <w:autoSpaceDE/>
        <w:autoSpaceDN/>
        <w:bidi w:val="0"/>
        <w:adjustRightInd/>
        <w:snapToGrid/>
        <w:spacing w:line="360" w:lineRule="auto"/>
        <w:ind w:left="911" w:leftChars="202" w:hanging="487" w:hangingChars="203"/>
        <w:rPr>
          <w:rFonts w:hint="eastAsia" w:ascii="宋体" w:hAnsi="宋体" w:eastAsia="宋体" w:cs="宋体"/>
          <w:sz w:val="24"/>
          <w:szCs w:val="24"/>
          <w:highlight w:val="none"/>
        </w:rPr>
      </w:pPr>
      <w:r>
        <w:rPr>
          <w:rFonts w:hint="eastAsia" w:ascii="宋体" w:hAnsi="宋体" w:eastAsia="宋体" w:cs="宋体"/>
          <w:sz w:val="24"/>
          <w:szCs w:val="24"/>
          <w:highlight w:val="none"/>
        </w:rPr>
        <w:t>提供敏感指标护理部查看全部科室统计的功能；</w:t>
      </w:r>
    </w:p>
    <w:p w14:paraId="11648C2F">
      <w:pPr>
        <w:pStyle w:val="42"/>
        <w:pageBreakBefore w:val="0"/>
        <w:numPr>
          <w:ilvl w:val="0"/>
          <w:numId w:val="39"/>
        </w:numPr>
        <w:kinsoku/>
        <w:wordWrap/>
        <w:overflowPunct/>
        <w:topLinePunct w:val="0"/>
        <w:autoSpaceDE/>
        <w:autoSpaceDN/>
        <w:bidi w:val="0"/>
        <w:adjustRightInd/>
        <w:snapToGrid/>
        <w:spacing w:line="360" w:lineRule="auto"/>
        <w:ind w:left="911" w:leftChars="202" w:hanging="487" w:hangingChars="20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提供权限管理功能，允许部分账号填写部分数据。</w:t>
      </w:r>
      <w:r>
        <w:rPr>
          <w:rFonts w:hint="eastAsia" w:ascii="宋体" w:hAnsi="宋体" w:eastAsia="宋体" w:cs="宋体"/>
          <w:sz w:val="24"/>
          <w:szCs w:val="24"/>
          <w:highlight w:val="none"/>
        </w:rPr>
        <w:t xml:space="preserve"> </w:t>
      </w:r>
    </w:p>
    <w:p w14:paraId="62B91B7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69" w:name="_Toc109140303"/>
      <w:bookmarkStart w:id="170" w:name="_Toc98149387"/>
      <w:r>
        <w:rPr>
          <w:rFonts w:hint="eastAsia" w:ascii="宋体" w:hAnsi="宋体" w:eastAsia="宋体" w:cs="宋体"/>
          <w:sz w:val="24"/>
          <w:szCs w:val="24"/>
          <w:highlight w:val="none"/>
        </w:rPr>
        <w:t>系统设置</w:t>
      </w:r>
      <w:bookmarkEnd w:id="169"/>
      <w:bookmarkEnd w:id="170"/>
    </w:p>
    <w:p w14:paraId="6A1D3BC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提供系统权限设置功能；</w:t>
      </w:r>
    </w:p>
    <w:p w14:paraId="3A4ED70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提供系统菜单查看功能；</w:t>
      </w:r>
    </w:p>
    <w:p w14:paraId="2003298A">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提供系统字典管理功能；</w:t>
      </w:r>
    </w:p>
    <w:p w14:paraId="00C09EEB">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提供护理部发布通知公告功能及上传附件；</w:t>
      </w:r>
    </w:p>
    <w:p w14:paraId="3FA1E23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提供设置自定义审批流程功能，包括审批节点和审批环节的自定义设计，实现对不良事件上报审批、排班请假审批、质量检查审批、护士长手册功能的配置；</w:t>
      </w:r>
    </w:p>
    <w:p w14:paraId="6967306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提供审批流程角色管理功能，</w:t>
      </w:r>
      <w:r>
        <w:rPr>
          <w:rFonts w:hint="eastAsia" w:ascii="宋体" w:hAnsi="宋体" w:eastAsia="宋体" w:cs="宋体"/>
          <w:color w:val="000000"/>
          <w:sz w:val="24"/>
          <w:szCs w:val="24"/>
          <w:highlight w:val="none"/>
        </w:rPr>
        <w:t>角色可以配置提交审核打回权限；</w:t>
      </w:r>
    </w:p>
    <w:p w14:paraId="7AFB1BD5">
      <w:pPr>
        <w:pStyle w:val="79"/>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bookmarkStart w:id="171" w:name="_Toc98149388"/>
      <w:bookmarkStart w:id="172" w:name="_Toc109140304"/>
      <w:r>
        <w:rPr>
          <w:rFonts w:hint="eastAsia" w:ascii="宋体" w:hAnsi="宋体" w:eastAsia="宋体" w:cs="宋体"/>
          <w:sz w:val="24"/>
          <w:szCs w:val="24"/>
          <w:highlight w:val="none"/>
        </w:rPr>
        <w:t>用户管理</w:t>
      </w:r>
      <w:bookmarkEnd w:id="171"/>
      <w:bookmarkEnd w:id="172"/>
    </w:p>
    <w:p w14:paraId="0CB3A969">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提供输入用户名、密码进行登陆功能；</w:t>
      </w:r>
    </w:p>
    <w:p w14:paraId="0B78AAC6">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提供退出登录界面功能；</w:t>
      </w:r>
    </w:p>
    <w:p w14:paraId="3B6EAD70">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提供切换科室功能</w:t>
      </w:r>
    </w:p>
    <w:p w14:paraId="25C889ED">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提供用户信息维护功能，包括科室、角色、菜单</w:t>
      </w:r>
    </w:p>
    <w:p w14:paraId="0B5CCFDE">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提供用户修改密码、重置密码功能</w:t>
      </w:r>
    </w:p>
    <w:p w14:paraId="5AADD15C">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提供登陆界面切换医院功能</w:t>
      </w:r>
    </w:p>
    <w:p w14:paraId="59AC34B4">
      <w:pPr>
        <w:pStyle w:val="42"/>
        <w:pageBreakBefore w:val="0"/>
        <w:numPr>
          <w:ilvl w:val="0"/>
          <w:numId w:val="39"/>
        </w:numPr>
        <w:kinsoku/>
        <w:wordWrap/>
        <w:overflowPunct/>
        <w:topLinePunct w:val="0"/>
        <w:autoSpaceDE/>
        <w:autoSpaceDN/>
        <w:bidi w:val="0"/>
        <w:adjustRightInd/>
        <w:snapToGrid/>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提供设置用户签章图片维护功能；</w:t>
      </w:r>
    </w:p>
    <w:p w14:paraId="6DF2DD9A">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0C2E3F5">
      <w:pPr>
        <w:pStyle w:val="15"/>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p>
    <w:p w14:paraId="04A9D435">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售后服务：</w:t>
      </w:r>
    </w:p>
    <w:p w14:paraId="3C7AB7C6">
      <w:pPr>
        <w:keepNext w:val="0"/>
        <w:keepLines w:val="0"/>
        <w:widowControl/>
        <w:numPr>
          <w:ilvl w:val="0"/>
          <w:numId w:val="65"/>
        </w:numPr>
        <w:suppressLineNumbers w:val="0"/>
        <w:pBdr>
          <w:left w:val="none" w:color="auto" w:sz="0" w:space="0"/>
        </w:pBdr>
        <w:spacing w:before="100" w:beforeAutospacing="1"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技术支持</w:t>
      </w:r>
    </w:p>
    <w:p w14:paraId="482FC01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 7×24 小时的技术支持热线，确保用户在遇到问题时能够及时获得帮助。对于用户提出的问题，在规定时间内给予响应，并提供解决方案。</w:t>
      </w:r>
    </w:p>
    <w:p w14:paraId="7CBF34AB">
      <w:pPr>
        <w:keepNext w:val="0"/>
        <w:keepLines w:val="0"/>
        <w:widowControl/>
        <w:numPr>
          <w:ilvl w:val="1"/>
          <w:numId w:val="65"/>
        </w:numPr>
        <w:suppressLineNumbers w:val="0"/>
        <w:pBdr>
          <w:left w:val="none" w:color="auto" w:sz="0" w:space="0"/>
        </w:pBdr>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故障排除</w:t>
      </w:r>
      <w:r>
        <w:rPr>
          <w:rFonts w:hint="eastAsia" w:ascii="宋体" w:hAnsi="宋体" w:eastAsia="宋体" w:cs="宋体"/>
          <w:i w:val="0"/>
          <w:iCs w:val="0"/>
          <w:caps w:val="0"/>
          <w:color w:val="222222"/>
          <w:spacing w:val="0"/>
          <w:sz w:val="24"/>
          <w:szCs w:val="24"/>
          <w:highlight w:val="none"/>
          <w:shd w:val="clear" w:color="auto" w:fill="FFFFFF"/>
        </w:rPr>
        <w:t>：当系统出现故障时，售后服务团队应迅速响应，通过远程诊断或现场服务的方式，确定故障原因并及时解决。</w:t>
      </w:r>
    </w:p>
    <w:p w14:paraId="472FDF42">
      <w:pPr>
        <w:keepNext w:val="0"/>
        <w:keepLines w:val="0"/>
        <w:widowControl/>
        <w:numPr>
          <w:ilvl w:val="1"/>
          <w:numId w:val="65"/>
        </w:numPr>
        <w:suppressLineNumbers w:val="0"/>
        <w:pBdr>
          <w:left w:val="none" w:color="auto" w:sz="0" w:space="0"/>
        </w:pBdr>
        <w:spacing w:before="120" w:beforeAutospacing="0" w:after="100" w:afterAutospacing="1"/>
        <w:ind w:left="1440" w:hanging="360"/>
        <w:rPr>
          <w:rStyle w:val="30"/>
          <w:rFonts w:hint="eastAsia" w:ascii="宋体" w:hAnsi="宋体" w:eastAsia="宋体" w:cs="宋体"/>
          <w:b w:val="0"/>
          <w:bCs w:val="0"/>
          <w:i w:val="0"/>
          <w:iCs w:val="0"/>
          <w:caps w:val="0"/>
          <w:color w:val="222222"/>
          <w:spacing w:val="0"/>
          <w:sz w:val="24"/>
          <w:szCs w:val="24"/>
          <w:highlight w:val="none"/>
          <w:shd w:val="clear" w:color="auto" w:fill="FFFFFF"/>
        </w:rPr>
      </w:pPr>
      <w:r>
        <w:rPr>
          <w:rStyle w:val="30"/>
          <w:rFonts w:hint="eastAsia" w:ascii="宋体" w:hAnsi="宋体" w:eastAsia="宋体" w:cs="宋体"/>
          <w:b/>
          <w:bCs/>
          <w:i w:val="0"/>
          <w:iCs w:val="0"/>
          <w:caps w:val="0"/>
          <w:color w:val="222222"/>
          <w:spacing w:val="0"/>
          <w:sz w:val="24"/>
          <w:szCs w:val="24"/>
          <w:highlight w:val="none"/>
          <w:shd w:val="clear" w:color="auto" w:fill="FFFFFF"/>
        </w:rPr>
        <w:t>响应时间</w:t>
      </w:r>
      <w:r>
        <w:rPr>
          <w:rStyle w:val="30"/>
          <w:rFonts w:hint="eastAsia" w:ascii="宋体" w:hAnsi="宋体" w:eastAsia="宋体" w:cs="宋体"/>
          <w:b/>
          <w:bCs/>
          <w:i w:val="0"/>
          <w:iCs w:val="0"/>
          <w:caps w:val="0"/>
          <w:color w:val="222222"/>
          <w:spacing w:val="0"/>
          <w:sz w:val="24"/>
          <w:szCs w:val="24"/>
          <w:highlight w:val="none"/>
          <w:shd w:val="clear" w:color="auto" w:fill="FFFFFF"/>
          <w:lang w:eastAsia="zh-CN"/>
        </w:rPr>
        <w:t>：</w:t>
      </w:r>
      <w:r>
        <w:rPr>
          <w:rStyle w:val="30"/>
          <w:rFonts w:hint="eastAsia" w:ascii="宋体" w:hAnsi="宋体" w:eastAsia="宋体" w:cs="宋体"/>
          <w:b w:val="0"/>
          <w:bCs w:val="0"/>
          <w:i w:val="0"/>
          <w:iCs w:val="0"/>
          <w:caps w:val="0"/>
          <w:color w:val="222222"/>
          <w:spacing w:val="0"/>
          <w:sz w:val="24"/>
          <w:szCs w:val="24"/>
          <w:highlight w:val="none"/>
          <w:shd w:val="clear" w:color="auto" w:fill="FFFFFF"/>
        </w:rPr>
        <w:t xml:space="preserve">对于用户提出的问题，在 </w:t>
      </w:r>
      <w:r>
        <w:rPr>
          <w:rStyle w:val="30"/>
          <w:rFonts w:hint="eastAsia" w:ascii="宋体" w:hAnsi="宋体" w:eastAsia="宋体" w:cs="宋体"/>
          <w:b w:val="0"/>
          <w:bCs w:val="0"/>
          <w:i w:val="0"/>
          <w:iCs w:val="0"/>
          <w:caps w:val="0"/>
          <w:color w:val="222222"/>
          <w:spacing w:val="0"/>
          <w:sz w:val="24"/>
          <w:szCs w:val="24"/>
          <w:highlight w:val="none"/>
          <w:shd w:val="clear" w:color="auto" w:fill="FFFFFF"/>
          <w:lang w:val="en-US"/>
        </w:rPr>
        <w:t>0.5</w:t>
      </w:r>
      <w:r>
        <w:rPr>
          <w:rStyle w:val="30"/>
          <w:rFonts w:hint="eastAsia" w:ascii="宋体" w:hAnsi="宋体" w:eastAsia="宋体" w:cs="宋体"/>
          <w:b w:val="0"/>
          <w:bCs w:val="0"/>
          <w:i w:val="0"/>
          <w:iCs w:val="0"/>
          <w:caps w:val="0"/>
          <w:color w:val="222222"/>
          <w:spacing w:val="0"/>
          <w:sz w:val="24"/>
          <w:szCs w:val="24"/>
          <w:highlight w:val="none"/>
          <w:shd w:val="clear" w:color="auto" w:fill="FFFFFF"/>
        </w:rPr>
        <w:t xml:space="preserve"> 小时内给予响应。对于紧急问题，在 </w:t>
      </w:r>
      <w:r>
        <w:rPr>
          <w:rStyle w:val="30"/>
          <w:rFonts w:hint="eastAsia" w:ascii="宋体" w:hAnsi="宋体" w:eastAsia="宋体" w:cs="宋体"/>
          <w:b w:val="0"/>
          <w:bCs w:val="0"/>
          <w:i w:val="0"/>
          <w:iCs w:val="0"/>
          <w:caps w:val="0"/>
          <w:color w:val="222222"/>
          <w:spacing w:val="0"/>
          <w:sz w:val="24"/>
          <w:szCs w:val="24"/>
          <w:highlight w:val="none"/>
          <w:shd w:val="clear" w:color="auto" w:fill="FFFFFF"/>
          <w:lang w:val="en-US"/>
        </w:rPr>
        <w:t>1</w:t>
      </w:r>
      <w:r>
        <w:rPr>
          <w:rStyle w:val="30"/>
          <w:rFonts w:hint="eastAsia" w:ascii="宋体" w:hAnsi="宋体" w:eastAsia="宋体" w:cs="宋体"/>
          <w:b w:val="0"/>
          <w:bCs w:val="0"/>
          <w:i w:val="0"/>
          <w:iCs w:val="0"/>
          <w:caps w:val="0"/>
          <w:color w:val="222222"/>
          <w:spacing w:val="0"/>
          <w:sz w:val="24"/>
          <w:szCs w:val="24"/>
          <w:highlight w:val="none"/>
          <w:shd w:val="clear" w:color="auto" w:fill="FFFFFF"/>
        </w:rPr>
        <w:t xml:space="preserve"> 小时内提供解决方案。</w:t>
      </w:r>
    </w:p>
    <w:p w14:paraId="488C071E">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解决问题时间</w:t>
      </w:r>
      <w:r>
        <w:rPr>
          <w:rStyle w:val="30"/>
          <w:rFonts w:hint="eastAsia" w:ascii="宋体" w:hAnsi="宋体" w:eastAsia="宋体" w:cs="宋体"/>
          <w:b/>
          <w:bCs/>
          <w:i w:val="0"/>
          <w:iCs w:val="0"/>
          <w:caps w:val="0"/>
          <w:color w:val="222222"/>
          <w:spacing w:val="0"/>
          <w:sz w:val="24"/>
          <w:szCs w:val="24"/>
          <w:highlight w:val="none"/>
          <w:shd w:val="clear" w:color="auto" w:fill="FFFFFF"/>
          <w:lang w:eastAsia="zh-CN"/>
        </w:rPr>
        <w:t>：</w:t>
      </w:r>
      <w:r>
        <w:rPr>
          <w:rStyle w:val="30"/>
          <w:rFonts w:hint="eastAsia" w:ascii="宋体" w:hAnsi="宋体" w:eastAsia="宋体" w:cs="宋体"/>
          <w:b w:val="0"/>
          <w:bCs w:val="0"/>
          <w:i w:val="0"/>
          <w:iCs w:val="0"/>
          <w:caps w:val="0"/>
          <w:color w:val="222222"/>
          <w:spacing w:val="0"/>
          <w:sz w:val="24"/>
          <w:szCs w:val="24"/>
          <w:highlight w:val="none"/>
          <w:shd w:val="clear" w:color="auto" w:fill="FFFFFF"/>
        </w:rPr>
        <w:t xml:space="preserve">对于一般问题，在 </w:t>
      </w:r>
      <w:r>
        <w:rPr>
          <w:rStyle w:val="30"/>
          <w:rFonts w:hint="eastAsia" w:ascii="宋体" w:hAnsi="宋体" w:eastAsia="宋体" w:cs="宋体"/>
          <w:b w:val="0"/>
          <w:bCs w:val="0"/>
          <w:i w:val="0"/>
          <w:iCs w:val="0"/>
          <w:caps w:val="0"/>
          <w:color w:val="222222"/>
          <w:spacing w:val="0"/>
          <w:sz w:val="24"/>
          <w:szCs w:val="24"/>
          <w:highlight w:val="none"/>
          <w:shd w:val="clear" w:color="auto" w:fill="FFFFFF"/>
          <w:lang w:val="en-US"/>
        </w:rPr>
        <w:t>1</w:t>
      </w:r>
      <w:r>
        <w:rPr>
          <w:rStyle w:val="30"/>
          <w:rFonts w:hint="eastAsia" w:ascii="宋体" w:hAnsi="宋体" w:eastAsia="宋体" w:cs="宋体"/>
          <w:b w:val="0"/>
          <w:bCs w:val="0"/>
          <w:i w:val="0"/>
          <w:iCs w:val="0"/>
          <w:caps w:val="0"/>
          <w:color w:val="222222"/>
          <w:spacing w:val="0"/>
          <w:sz w:val="24"/>
          <w:szCs w:val="24"/>
          <w:highlight w:val="none"/>
          <w:shd w:val="clear" w:color="auto" w:fill="FFFFFF"/>
        </w:rPr>
        <w:t>小时内解决。对于复杂问题，</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2小时内到达现场，</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小时内提供解决方案，并在合理时间内解决问题。</w:t>
      </w:r>
    </w:p>
    <w:p w14:paraId="42D3AD39">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系统维护</w:t>
      </w:r>
      <w:r>
        <w:rPr>
          <w:rFonts w:hint="eastAsia" w:ascii="宋体" w:hAnsi="宋体" w:eastAsia="宋体" w:cs="宋体"/>
          <w:i w:val="0"/>
          <w:iCs w:val="0"/>
          <w:caps w:val="0"/>
          <w:color w:val="222222"/>
          <w:spacing w:val="0"/>
          <w:sz w:val="24"/>
          <w:szCs w:val="24"/>
          <w:highlight w:val="none"/>
          <w:shd w:val="clear" w:color="auto" w:fill="FFFFFF"/>
        </w:rPr>
        <w:t>：定期对系统进行维护，包括软件更新、数据库优化、硬件检查等，以确保系统的稳定运行。比如，定期更新系统的安全补丁，优化数据库性能，提高系统的响应速度 。</w:t>
      </w:r>
    </w:p>
    <w:p w14:paraId="0163E616">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技术咨询</w:t>
      </w:r>
      <w:r>
        <w:rPr>
          <w:rFonts w:hint="eastAsia" w:ascii="宋体" w:hAnsi="宋体" w:eastAsia="宋体" w:cs="宋体"/>
          <w:i w:val="0"/>
          <w:iCs w:val="0"/>
          <w:caps w:val="0"/>
          <w:color w:val="222222"/>
          <w:spacing w:val="0"/>
          <w:sz w:val="24"/>
          <w:szCs w:val="24"/>
          <w:highlight w:val="none"/>
          <w:shd w:val="clear" w:color="auto" w:fill="FFFFFF"/>
        </w:rPr>
        <w:t>：为用户提供技术咨询服务，解答在使用系统过程中遇到的问题，提供技术指导和建议 。</w:t>
      </w:r>
    </w:p>
    <w:p w14:paraId="603DC429">
      <w:pPr>
        <w:keepNext w:val="0"/>
        <w:keepLines w:val="0"/>
        <w:widowControl/>
        <w:numPr>
          <w:ilvl w:val="0"/>
          <w:numId w:val="65"/>
        </w:numPr>
        <w:suppressLineNumbers w:val="0"/>
        <w:pBdr>
          <w:left w:val="none" w:color="auto" w:sz="0" w:space="0"/>
        </w:pBdr>
        <w:spacing w:before="120" w:beforeAutospacing="0"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培训服务</w:t>
      </w:r>
    </w:p>
    <w:p w14:paraId="0CE18A8A">
      <w:pPr>
        <w:keepNext w:val="0"/>
        <w:keepLines w:val="0"/>
        <w:widowControl/>
        <w:numPr>
          <w:ilvl w:val="1"/>
          <w:numId w:val="66"/>
        </w:numPr>
        <w:suppressLineNumbers w:val="0"/>
        <w:pBdr>
          <w:left w:val="none" w:color="auto" w:sz="0" w:space="0"/>
        </w:pBdr>
        <w:tabs>
          <w:tab w:val="left" w:pos="1440"/>
        </w:tabs>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新用户培训</w:t>
      </w:r>
      <w:r>
        <w:rPr>
          <w:rFonts w:hint="eastAsia" w:ascii="宋体" w:hAnsi="宋体" w:eastAsia="宋体" w:cs="宋体"/>
          <w:i w:val="0"/>
          <w:iCs w:val="0"/>
          <w:caps w:val="0"/>
          <w:color w:val="222222"/>
          <w:spacing w:val="0"/>
          <w:sz w:val="24"/>
          <w:szCs w:val="24"/>
          <w:highlight w:val="none"/>
          <w:shd w:val="clear" w:color="auto" w:fill="FFFFFF"/>
        </w:rPr>
        <w:t>：为新用户提供系统使用培训，包括系统的功能介绍、操作方法、常见问题处理等，帮助新用户快速上手。培训采用</w:t>
      </w:r>
      <w:r>
        <w:rPr>
          <w:rFonts w:hint="eastAsia" w:ascii="宋体" w:hAnsi="宋体" w:eastAsia="宋体" w:cs="宋体"/>
          <w:i w:val="0"/>
          <w:iCs w:val="0"/>
          <w:caps w:val="0"/>
          <w:color w:val="222222"/>
          <w:spacing w:val="0"/>
          <w:sz w:val="24"/>
          <w:szCs w:val="24"/>
          <w:highlight w:val="none"/>
          <w:shd w:val="clear" w:color="auto" w:fill="FFFFFF"/>
          <w:lang w:eastAsia="zh-CN"/>
        </w:rPr>
        <w:t>：</w:t>
      </w:r>
      <w:r>
        <w:rPr>
          <w:rFonts w:hint="eastAsia" w:ascii="宋体" w:hAnsi="宋体" w:eastAsia="宋体" w:cs="宋体"/>
          <w:i w:val="0"/>
          <w:iCs w:val="0"/>
          <w:caps w:val="0"/>
          <w:color w:val="222222"/>
          <w:spacing w:val="0"/>
          <w:sz w:val="24"/>
          <w:szCs w:val="24"/>
          <w:highlight w:val="none"/>
          <w:shd w:val="clear" w:color="auto" w:fill="FFFFFF"/>
          <w:lang w:val="en-US" w:eastAsia="zh-CN"/>
        </w:rPr>
        <w:t>前期上线</w:t>
      </w:r>
      <w:r>
        <w:rPr>
          <w:rFonts w:hint="eastAsia" w:ascii="宋体" w:hAnsi="宋体" w:eastAsia="宋体" w:cs="宋体"/>
          <w:i w:val="0"/>
          <w:iCs w:val="0"/>
          <w:caps w:val="0"/>
          <w:color w:val="222222"/>
          <w:spacing w:val="0"/>
          <w:sz w:val="24"/>
          <w:szCs w:val="24"/>
          <w:highlight w:val="none"/>
          <w:shd w:val="clear" w:color="auto" w:fill="FFFFFF"/>
        </w:rPr>
        <w:t>现场培训</w:t>
      </w:r>
      <w:r>
        <w:rPr>
          <w:rFonts w:hint="eastAsia" w:ascii="宋体" w:hAnsi="宋体" w:eastAsia="宋体" w:cs="宋体"/>
          <w:i w:val="0"/>
          <w:iCs w:val="0"/>
          <w:caps w:val="0"/>
          <w:color w:val="222222"/>
          <w:spacing w:val="0"/>
          <w:sz w:val="24"/>
          <w:szCs w:val="24"/>
          <w:highlight w:val="none"/>
          <w:shd w:val="clear" w:color="auto" w:fill="FFFFFF"/>
          <w:lang w:eastAsia="zh-CN"/>
        </w:rPr>
        <w:t>；</w:t>
      </w:r>
      <w:r>
        <w:rPr>
          <w:rFonts w:hint="eastAsia" w:ascii="宋体" w:hAnsi="宋体" w:eastAsia="宋体" w:cs="宋体"/>
          <w:i w:val="0"/>
          <w:iCs w:val="0"/>
          <w:caps w:val="0"/>
          <w:color w:val="222222"/>
          <w:spacing w:val="0"/>
          <w:sz w:val="24"/>
          <w:szCs w:val="24"/>
          <w:highlight w:val="none"/>
          <w:shd w:val="clear" w:color="auto" w:fill="FFFFFF"/>
          <w:lang w:val="en-US" w:eastAsia="zh-CN"/>
        </w:rPr>
        <w:t>后期使用过程中</w:t>
      </w:r>
      <w:r>
        <w:rPr>
          <w:rFonts w:hint="eastAsia" w:ascii="宋体" w:hAnsi="宋体" w:eastAsia="宋体" w:cs="宋体"/>
          <w:i w:val="0"/>
          <w:iCs w:val="0"/>
          <w:caps w:val="0"/>
          <w:color w:val="222222"/>
          <w:spacing w:val="0"/>
          <w:sz w:val="24"/>
          <w:szCs w:val="24"/>
          <w:highlight w:val="none"/>
          <w:shd w:val="clear" w:color="auto" w:fill="FFFFFF"/>
        </w:rPr>
        <w:t>现场培训</w:t>
      </w:r>
      <w:r>
        <w:rPr>
          <w:rFonts w:hint="eastAsia" w:ascii="宋体" w:hAnsi="宋体" w:eastAsia="宋体" w:cs="宋体"/>
          <w:i w:val="0"/>
          <w:iCs w:val="0"/>
          <w:caps w:val="0"/>
          <w:color w:val="222222"/>
          <w:spacing w:val="0"/>
          <w:sz w:val="24"/>
          <w:szCs w:val="24"/>
          <w:highlight w:val="none"/>
          <w:shd w:val="clear" w:color="auto" w:fill="FFFFFF"/>
          <w:lang w:eastAsia="zh-CN"/>
        </w:rPr>
        <w:t>、</w:t>
      </w:r>
      <w:r>
        <w:rPr>
          <w:rFonts w:hint="eastAsia" w:ascii="宋体" w:hAnsi="宋体" w:eastAsia="宋体" w:cs="宋体"/>
          <w:i w:val="0"/>
          <w:iCs w:val="0"/>
          <w:caps w:val="0"/>
          <w:color w:val="222222"/>
          <w:spacing w:val="0"/>
          <w:sz w:val="24"/>
          <w:szCs w:val="24"/>
          <w:highlight w:val="none"/>
          <w:shd w:val="clear" w:color="auto" w:fill="FFFFFF"/>
        </w:rPr>
        <w:t>在线培训或录制培训视频等方式进行。</w:t>
      </w:r>
    </w:p>
    <w:p w14:paraId="1E630C96">
      <w:pPr>
        <w:keepNext w:val="0"/>
        <w:keepLines w:val="0"/>
        <w:widowControl/>
        <w:numPr>
          <w:ilvl w:val="1"/>
          <w:numId w:val="66"/>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定期培训</w:t>
      </w:r>
      <w:r>
        <w:rPr>
          <w:rFonts w:hint="eastAsia" w:ascii="宋体" w:hAnsi="宋体" w:eastAsia="宋体" w:cs="宋体"/>
          <w:i w:val="0"/>
          <w:iCs w:val="0"/>
          <w:caps w:val="0"/>
          <w:color w:val="222222"/>
          <w:spacing w:val="0"/>
          <w:sz w:val="24"/>
          <w:szCs w:val="24"/>
          <w:highlight w:val="none"/>
          <w:shd w:val="clear" w:color="auto" w:fill="FFFFFF"/>
        </w:rPr>
        <w:t>：随着系统的不断升级和功能扩展，定期为用户提供培训服务，让用户了解系统的新功能和改进之处。</w:t>
      </w:r>
    </w:p>
    <w:p w14:paraId="54F7C1D0">
      <w:pPr>
        <w:keepNext w:val="0"/>
        <w:keepLines w:val="0"/>
        <w:widowControl/>
        <w:numPr>
          <w:ilvl w:val="0"/>
          <w:numId w:val="65"/>
        </w:numPr>
        <w:suppressLineNumbers w:val="0"/>
        <w:pBdr>
          <w:left w:val="none" w:color="auto" w:sz="0" w:space="0"/>
        </w:pBdr>
        <w:spacing w:before="120" w:beforeAutospacing="0"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升级服务</w:t>
      </w:r>
    </w:p>
    <w:p w14:paraId="245AB517">
      <w:pPr>
        <w:keepNext w:val="0"/>
        <w:keepLines w:val="0"/>
        <w:widowControl/>
        <w:numPr>
          <w:ilvl w:val="1"/>
          <w:numId w:val="67"/>
        </w:numPr>
        <w:suppressLineNumbers w:val="0"/>
        <w:pBdr>
          <w:left w:val="none" w:color="auto" w:sz="0" w:space="0"/>
        </w:pBdr>
        <w:tabs>
          <w:tab w:val="left" w:pos="1440"/>
        </w:tabs>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软件升级</w:t>
      </w:r>
      <w:r>
        <w:rPr>
          <w:rFonts w:hint="eastAsia" w:ascii="宋体" w:hAnsi="宋体" w:eastAsia="宋体" w:cs="宋体"/>
          <w:i w:val="0"/>
          <w:iCs w:val="0"/>
          <w:caps w:val="0"/>
          <w:color w:val="222222"/>
          <w:spacing w:val="0"/>
          <w:sz w:val="24"/>
          <w:szCs w:val="24"/>
          <w:highlight w:val="none"/>
          <w:shd w:val="clear" w:color="auto" w:fill="FFFFFF"/>
        </w:rPr>
        <w:t>：及时为用户提供系统软件的升级服务，包括修复漏洞、增加新功能、提高性能等。软件升级可以通过在线更新或现场安装的方式进行 。</w:t>
      </w:r>
    </w:p>
    <w:p w14:paraId="6AEBBB22">
      <w:pPr>
        <w:keepNext w:val="0"/>
        <w:keepLines w:val="0"/>
        <w:widowControl/>
        <w:numPr>
          <w:ilvl w:val="1"/>
          <w:numId w:val="67"/>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lang w:val="en-US" w:eastAsia="zh-CN"/>
        </w:rPr>
        <w:t>配合</w:t>
      </w:r>
      <w:r>
        <w:rPr>
          <w:rStyle w:val="30"/>
          <w:rFonts w:hint="eastAsia" w:ascii="宋体" w:hAnsi="宋体" w:eastAsia="宋体" w:cs="宋体"/>
          <w:b/>
          <w:bCs/>
          <w:i w:val="0"/>
          <w:iCs w:val="0"/>
          <w:caps w:val="0"/>
          <w:color w:val="222222"/>
          <w:spacing w:val="0"/>
          <w:sz w:val="24"/>
          <w:szCs w:val="24"/>
          <w:highlight w:val="none"/>
          <w:shd w:val="clear" w:color="auto" w:fill="FFFFFF"/>
        </w:rPr>
        <w:t>硬件升级</w:t>
      </w:r>
      <w:r>
        <w:rPr>
          <w:rFonts w:hint="eastAsia" w:ascii="宋体" w:hAnsi="宋体" w:eastAsia="宋体" w:cs="宋体"/>
          <w:i w:val="0"/>
          <w:iCs w:val="0"/>
          <w:caps w:val="0"/>
          <w:color w:val="222222"/>
          <w:spacing w:val="0"/>
          <w:sz w:val="24"/>
          <w:szCs w:val="24"/>
          <w:highlight w:val="none"/>
          <w:shd w:val="clear" w:color="auto" w:fill="FFFFFF"/>
        </w:rPr>
        <w:t>：根据用户的需求和系统的发展，提供</w:t>
      </w:r>
      <w:r>
        <w:rPr>
          <w:rFonts w:hint="eastAsia" w:ascii="宋体" w:hAnsi="宋体" w:eastAsia="宋体" w:cs="宋体"/>
          <w:i w:val="0"/>
          <w:iCs w:val="0"/>
          <w:caps w:val="0"/>
          <w:color w:val="222222"/>
          <w:spacing w:val="0"/>
          <w:sz w:val="24"/>
          <w:szCs w:val="24"/>
          <w:highlight w:val="none"/>
          <w:shd w:val="clear" w:color="auto" w:fill="FFFFFF"/>
          <w:lang w:val="en-US" w:eastAsia="zh-CN"/>
        </w:rPr>
        <w:t>使用方配合</w:t>
      </w:r>
      <w:r>
        <w:rPr>
          <w:rFonts w:hint="eastAsia" w:ascii="宋体" w:hAnsi="宋体" w:eastAsia="宋体" w:cs="宋体"/>
          <w:i w:val="0"/>
          <w:iCs w:val="0"/>
          <w:caps w:val="0"/>
          <w:color w:val="222222"/>
          <w:spacing w:val="0"/>
          <w:sz w:val="24"/>
          <w:szCs w:val="24"/>
          <w:highlight w:val="none"/>
          <w:shd w:val="clear" w:color="auto" w:fill="FFFFFF"/>
        </w:rPr>
        <w:t>硬件升级服务，包括服务器升级、存储设备扩容等</w:t>
      </w:r>
      <w:r>
        <w:rPr>
          <w:rFonts w:hint="eastAsia" w:ascii="宋体" w:hAnsi="宋体" w:eastAsia="宋体" w:cs="宋体"/>
          <w:i w:val="0"/>
          <w:iCs w:val="0"/>
          <w:caps w:val="0"/>
          <w:color w:val="222222"/>
          <w:spacing w:val="0"/>
          <w:sz w:val="24"/>
          <w:szCs w:val="24"/>
          <w:highlight w:val="none"/>
          <w:shd w:val="clear" w:color="auto" w:fill="FFFFFF"/>
          <w:lang w:eastAsia="zh-CN"/>
        </w:rPr>
        <w:t>，</w:t>
      </w:r>
      <w:r>
        <w:rPr>
          <w:rFonts w:hint="eastAsia" w:ascii="宋体" w:hAnsi="宋体" w:eastAsia="宋体" w:cs="宋体"/>
          <w:i w:val="0"/>
          <w:iCs w:val="0"/>
          <w:caps w:val="0"/>
          <w:color w:val="222222"/>
          <w:spacing w:val="0"/>
          <w:sz w:val="24"/>
          <w:szCs w:val="24"/>
          <w:highlight w:val="none"/>
          <w:shd w:val="clear" w:color="auto" w:fill="FFFFFF"/>
        </w:rPr>
        <w:t>确保升级过程中不会影响系统的正常运行 。</w:t>
      </w:r>
    </w:p>
    <w:p w14:paraId="6E43C51A">
      <w:pPr>
        <w:keepNext w:val="0"/>
        <w:keepLines w:val="0"/>
        <w:widowControl/>
        <w:numPr>
          <w:ilvl w:val="0"/>
          <w:numId w:val="65"/>
        </w:numPr>
        <w:suppressLineNumbers w:val="0"/>
        <w:pBdr>
          <w:left w:val="none" w:color="auto" w:sz="0" w:space="0"/>
        </w:pBdr>
        <w:spacing w:before="120" w:beforeAutospacing="0"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数据管理服务</w:t>
      </w:r>
    </w:p>
    <w:p w14:paraId="5F49E128">
      <w:pPr>
        <w:keepNext w:val="0"/>
        <w:keepLines w:val="0"/>
        <w:widowControl/>
        <w:numPr>
          <w:ilvl w:val="1"/>
          <w:numId w:val="68"/>
        </w:numPr>
        <w:suppressLineNumbers w:val="0"/>
        <w:pBdr>
          <w:left w:val="none" w:color="auto" w:sz="0" w:space="0"/>
        </w:pBdr>
        <w:tabs>
          <w:tab w:val="left" w:pos="1440"/>
        </w:tabs>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数据备份与恢复</w:t>
      </w:r>
      <w:r>
        <w:rPr>
          <w:rFonts w:hint="eastAsia" w:ascii="宋体" w:hAnsi="宋体" w:eastAsia="宋体" w:cs="宋体"/>
          <w:i w:val="0"/>
          <w:iCs w:val="0"/>
          <w:caps w:val="0"/>
          <w:color w:val="222222"/>
          <w:spacing w:val="0"/>
          <w:sz w:val="24"/>
          <w:szCs w:val="24"/>
          <w:highlight w:val="none"/>
          <w:shd w:val="clear" w:color="auto" w:fill="FFFFFF"/>
        </w:rPr>
        <w:t>：定期对系统中的数据进行备份，以防止数据丢失。在数据丢失或损坏的情况下，能够及时进行数据恢复。例如，在系统遭受病毒攻击或硬件故障导致数据丢失时，售后服务团队可以利用备份数据进行恢复。</w:t>
      </w:r>
    </w:p>
    <w:p w14:paraId="599893BD">
      <w:pPr>
        <w:keepNext w:val="0"/>
        <w:keepLines w:val="0"/>
        <w:widowControl/>
        <w:numPr>
          <w:ilvl w:val="1"/>
          <w:numId w:val="68"/>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数据安全保障</w:t>
      </w:r>
      <w:r>
        <w:rPr>
          <w:rFonts w:hint="eastAsia" w:ascii="宋体" w:hAnsi="宋体" w:eastAsia="宋体" w:cs="宋体"/>
          <w:i w:val="0"/>
          <w:iCs w:val="0"/>
          <w:caps w:val="0"/>
          <w:color w:val="222222"/>
          <w:spacing w:val="0"/>
          <w:sz w:val="24"/>
          <w:szCs w:val="24"/>
          <w:highlight w:val="none"/>
          <w:shd w:val="clear" w:color="auto" w:fill="FFFFFF"/>
        </w:rPr>
        <w:t>：采取措施保障系统中数据的安全性和保密性，防止数据泄露和被篡改。比如，加强系统的访问控制，对敏感数据进行加密处理。</w:t>
      </w:r>
    </w:p>
    <w:p w14:paraId="6ED94C50">
      <w:pPr>
        <w:keepNext w:val="0"/>
        <w:keepLines w:val="0"/>
        <w:widowControl/>
        <w:numPr>
          <w:ilvl w:val="1"/>
          <w:numId w:val="68"/>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数据清理与优化</w:t>
      </w:r>
      <w:r>
        <w:rPr>
          <w:rFonts w:hint="eastAsia" w:ascii="宋体" w:hAnsi="宋体" w:eastAsia="宋体" w:cs="宋体"/>
          <w:i w:val="0"/>
          <w:iCs w:val="0"/>
          <w:caps w:val="0"/>
          <w:color w:val="222222"/>
          <w:spacing w:val="0"/>
          <w:sz w:val="24"/>
          <w:szCs w:val="24"/>
          <w:highlight w:val="none"/>
          <w:shd w:val="clear" w:color="auto" w:fill="FFFFFF"/>
        </w:rPr>
        <w:t>：随着系统的使用，数据库中可能会积累大量的冗余数据，售后服务团队可以定期对数据进行清理和优化，提高系统的运行效率。</w:t>
      </w:r>
    </w:p>
    <w:p w14:paraId="4B0BF6BA">
      <w:pPr>
        <w:keepNext w:val="0"/>
        <w:keepLines w:val="0"/>
        <w:widowControl/>
        <w:numPr>
          <w:ilvl w:val="0"/>
          <w:numId w:val="65"/>
        </w:numPr>
        <w:suppressLineNumbers w:val="0"/>
        <w:pBdr>
          <w:left w:val="none" w:color="auto" w:sz="0" w:space="0"/>
        </w:pBdr>
        <w:spacing w:before="120" w:beforeAutospacing="0"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用户反馈与改进</w:t>
      </w:r>
    </w:p>
    <w:p w14:paraId="0F61A01A">
      <w:pPr>
        <w:keepNext w:val="0"/>
        <w:keepLines w:val="0"/>
        <w:widowControl/>
        <w:numPr>
          <w:ilvl w:val="1"/>
          <w:numId w:val="69"/>
        </w:numPr>
        <w:suppressLineNumbers w:val="0"/>
        <w:pBdr>
          <w:left w:val="none" w:color="auto" w:sz="0" w:space="0"/>
        </w:pBdr>
        <w:tabs>
          <w:tab w:val="left" w:pos="1440"/>
        </w:tabs>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反馈收集</w:t>
      </w:r>
      <w:r>
        <w:rPr>
          <w:rFonts w:hint="eastAsia" w:ascii="宋体" w:hAnsi="宋体" w:eastAsia="宋体" w:cs="宋体"/>
          <w:i w:val="0"/>
          <w:iCs w:val="0"/>
          <w:caps w:val="0"/>
          <w:color w:val="222222"/>
          <w:spacing w:val="0"/>
          <w:sz w:val="24"/>
          <w:szCs w:val="24"/>
          <w:highlight w:val="none"/>
          <w:shd w:val="clear" w:color="auto" w:fill="FFFFFF"/>
        </w:rPr>
        <w:t>：建立用户反馈渠道，及时收集用户对系统的意见和建议，了解用户的需求和期望。可以通过电话、邮件、在线调查等方式收集反馈信息。</w:t>
      </w:r>
    </w:p>
    <w:p w14:paraId="4E2D6AF0">
      <w:pPr>
        <w:keepNext w:val="0"/>
        <w:keepLines w:val="0"/>
        <w:widowControl/>
        <w:numPr>
          <w:ilvl w:val="1"/>
          <w:numId w:val="69"/>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持续改进</w:t>
      </w:r>
      <w:r>
        <w:rPr>
          <w:rFonts w:hint="eastAsia" w:ascii="宋体" w:hAnsi="宋体" w:eastAsia="宋体" w:cs="宋体"/>
          <w:i w:val="0"/>
          <w:iCs w:val="0"/>
          <w:caps w:val="0"/>
          <w:color w:val="222222"/>
          <w:spacing w:val="0"/>
          <w:sz w:val="24"/>
          <w:szCs w:val="24"/>
          <w:highlight w:val="none"/>
          <w:shd w:val="clear" w:color="auto" w:fill="FFFFFF"/>
        </w:rPr>
        <w:t>：根据用户反馈和市场需求，持续改进系统的功能和性能，提高用户满意度</w:t>
      </w:r>
      <w:r>
        <w:rPr>
          <w:rFonts w:hint="eastAsia" w:ascii="宋体" w:hAnsi="宋体" w:eastAsia="宋体" w:cs="宋体"/>
          <w:i w:val="0"/>
          <w:iCs w:val="0"/>
          <w:caps w:val="0"/>
          <w:color w:val="222222"/>
          <w:spacing w:val="0"/>
          <w:sz w:val="24"/>
          <w:szCs w:val="24"/>
          <w:highlight w:val="none"/>
          <w:shd w:val="clear" w:color="auto" w:fill="FFFFFF"/>
          <w:lang w:eastAsia="zh-CN"/>
        </w:rPr>
        <w:t>。</w:t>
      </w:r>
    </w:p>
    <w:p w14:paraId="087E86FC">
      <w:pPr>
        <w:keepNext w:val="0"/>
        <w:keepLines w:val="0"/>
        <w:widowControl/>
        <w:numPr>
          <w:ilvl w:val="0"/>
          <w:numId w:val="65"/>
        </w:numPr>
        <w:suppressLineNumbers w:val="0"/>
        <w:pBdr>
          <w:left w:val="none" w:color="auto" w:sz="0" w:space="0"/>
        </w:pBdr>
        <w:spacing w:before="120" w:beforeAutospacing="0" w:after="100" w:afterAutospacing="1"/>
        <w:ind w:left="72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其他服务</w:t>
      </w:r>
    </w:p>
    <w:p w14:paraId="00D3A1F5">
      <w:pPr>
        <w:keepNext w:val="0"/>
        <w:keepLines w:val="0"/>
        <w:widowControl/>
        <w:numPr>
          <w:ilvl w:val="1"/>
          <w:numId w:val="70"/>
        </w:numPr>
        <w:suppressLineNumbers w:val="0"/>
        <w:pBdr>
          <w:left w:val="none" w:color="auto" w:sz="0" w:space="0"/>
        </w:pBdr>
        <w:tabs>
          <w:tab w:val="left" w:pos="1440"/>
        </w:tabs>
        <w:spacing w:before="100" w:beforeAutospacing="1"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系统兼容性保障</w:t>
      </w:r>
      <w:r>
        <w:rPr>
          <w:rFonts w:hint="eastAsia" w:ascii="宋体" w:hAnsi="宋体" w:eastAsia="宋体" w:cs="宋体"/>
          <w:i w:val="0"/>
          <w:iCs w:val="0"/>
          <w:caps w:val="0"/>
          <w:color w:val="222222"/>
          <w:spacing w:val="0"/>
          <w:sz w:val="24"/>
          <w:szCs w:val="24"/>
          <w:highlight w:val="none"/>
          <w:shd w:val="clear" w:color="auto" w:fill="FFFFFF"/>
        </w:rPr>
        <w:t>：确保系统与医院其他信息系统（如电子病历系统、医院信息管理系统等）的兼容性，实现数据的无缝对接和共享。</w:t>
      </w:r>
    </w:p>
    <w:p w14:paraId="2C8A6600">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应急响应</w:t>
      </w:r>
      <w:r>
        <w:rPr>
          <w:rFonts w:hint="eastAsia" w:ascii="宋体" w:hAnsi="宋体" w:eastAsia="宋体" w:cs="宋体"/>
          <w:i w:val="0"/>
          <w:iCs w:val="0"/>
          <w:caps w:val="0"/>
          <w:color w:val="222222"/>
          <w:spacing w:val="0"/>
          <w:sz w:val="24"/>
          <w:szCs w:val="24"/>
          <w:highlight w:val="none"/>
          <w:shd w:val="clear" w:color="auto" w:fill="FFFFFF"/>
        </w:rPr>
        <w:t>：制定应急预案，在系统出现重大故障或突发事件时，能够迅速响应，采取有效措施保障系统的尽快恢复。例如，在遇到服务器宕机等紧急情况时，售后服务团队可以立即启动备用服务器，确保系统不间断运行 。</w:t>
      </w:r>
    </w:p>
    <w:p w14:paraId="6085C5B5">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Style w:val="30"/>
          <w:rFonts w:hint="eastAsia" w:ascii="宋体" w:hAnsi="宋体" w:eastAsia="宋体" w:cs="宋体"/>
          <w:b/>
          <w:bCs/>
          <w:i w:val="0"/>
          <w:iCs w:val="0"/>
          <w:caps w:val="0"/>
          <w:color w:val="222222"/>
          <w:spacing w:val="0"/>
          <w:sz w:val="24"/>
          <w:szCs w:val="24"/>
          <w:highlight w:val="none"/>
          <w:shd w:val="clear" w:color="auto" w:fill="FFFFFF"/>
        </w:rPr>
        <w:t>定期巡检</w:t>
      </w:r>
      <w:r>
        <w:rPr>
          <w:rFonts w:hint="eastAsia" w:ascii="宋体" w:hAnsi="宋体" w:eastAsia="宋体" w:cs="宋体"/>
          <w:i w:val="0"/>
          <w:iCs w:val="0"/>
          <w:caps w:val="0"/>
          <w:color w:val="222222"/>
          <w:spacing w:val="0"/>
          <w:sz w:val="24"/>
          <w:szCs w:val="24"/>
          <w:highlight w:val="none"/>
          <w:shd w:val="clear" w:color="auto" w:fill="FFFFFF"/>
        </w:rPr>
        <w:t>：定期对系统进行巡检，检查系统的运行状态、硬件设备的状况等，及时发现潜在问题并进行处理。</w:t>
      </w:r>
      <w:r>
        <w:rPr>
          <w:rFonts w:hint="eastAsia" w:ascii="宋体" w:hAnsi="宋体" w:eastAsia="宋体" w:cs="宋体"/>
          <w:i w:val="0"/>
          <w:iCs w:val="0"/>
          <w:caps w:val="0"/>
          <w:color w:val="222222"/>
          <w:spacing w:val="0"/>
          <w:sz w:val="24"/>
          <w:szCs w:val="24"/>
          <w:highlight w:val="none"/>
          <w:shd w:val="clear" w:color="auto" w:fill="FFFFFF"/>
          <w:lang w:val="en-US" w:eastAsia="zh-CN"/>
        </w:rPr>
        <w:t>售后服务期内，</w:t>
      </w:r>
      <w:r>
        <w:rPr>
          <w:rFonts w:hint="eastAsia" w:ascii="宋体" w:hAnsi="宋体" w:eastAsia="宋体" w:cs="宋体"/>
          <w:i w:val="0"/>
          <w:iCs w:val="0"/>
          <w:caps w:val="0"/>
          <w:color w:val="222222"/>
          <w:spacing w:val="0"/>
          <w:sz w:val="24"/>
          <w:szCs w:val="24"/>
          <w:highlight w:val="none"/>
          <w:shd w:val="clear" w:color="auto" w:fill="FFFFFF"/>
        </w:rPr>
        <w:t>每</w:t>
      </w:r>
      <w:r>
        <w:rPr>
          <w:rFonts w:hint="eastAsia" w:ascii="宋体" w:hAnsi="宋体" w:eastAsia="宋体" w:cs="宋体"/>
          <w:i w:val="0"/>
          <w:iCs w:val="0"/>
          <w:caps w:val="0"/>
          <w:color w:val="222222"/>
          <w:spacing w:val="0"/>
          <w:sz w:val="24"/>
          <w:szCs w:val="24"/>
          <w:highlight w:val="none"/>
          <w:shd w:val="clear" w:color="auto" w:fill="FFFFFF"/>
          <w:lang w:val="en-US" w:eastAsia="zh-CN"/>
        </w:rPr>
        <w:t>月一次</w:t>
      </w:r>
      <w:r>
        <w:rPr>
          <w:rFonts w:hint="eastAsia" w:ascii="宋体" w:hAnsi="宋体" w:eastAsia="宋体" w:cs="宋体"/>
          <w:i w:val="0"/>
          <w:iCs w:val="0"/>
          <w:caps w:val="0"/>
          <w:color w:val="222222"/>
          <w:spacing w:val="0"/>
          <w:sz w:val="24"/>
          <w:szCs w:val="24"/>
          <w:highlight w:val="none"/>
          <w:shd w:val="clear" w:color="auto" w:fill="FFFFFF"/>
        </w:rPr>
        <w:t>的上门巡检，了解系统使用情况，收集用户需求，并提交书面巡检报告，同时提出解决方案 。</w:t>
      </w:r>
    </w:p>
    <w:p w14:paraId="1FB5CD17">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自签订合同后90个自然日内完成开发、实施，</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年内有</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工程师免费驻场售后服务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免费质保期为验收合格后2年</w:t>
      </w:r>
      <w:r>
        <w:rPr>
          <w:rFonts w:hint="eastAsia" w:ascii="宋体" w:hAnsi="宋体" w:eastAsia="宋体" w:cs="宋体"/>
          <w:sz w:val="24"/>
          <w:szCs w:val="24"/>
          <w:highlight w:val="none"/>
        </w:rPr>
        <w:t>。若医院有其他计划，需按医院计划分期实施。</w:t>
      </w:r>
    </w:p>
    <w:p w14:paraId="5A1906A9">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质保期或维保期内，如国家出新政策需要对程序进行修改或者新增接口，中标方免费进行对接。</w:t>
      </w:r>
    </w:p>
    <w:p w14:paraId="7BC1BC46">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质保期过后免费提供医院后续报表需求，如新增报表或修改现有报表内容等，免费接入医院集成平台和数据中心。</w:t>
      </w:r>
    </w:p>
    <w:p w14:paraId="4D2D5681">
      <w:pPr>
        <w:keepNext w:val="0"/>
        <w:keepLines w:val="0"/>
        <w:widowControl/>
        <w:numPr>
          <w:ilvl w:val="1"/>
          <w:numId w:val="70"/>
        </w:numPr>
        <w:suppressLineNumbers w:val="0"/>
        <w:pBdr>
          <w:left w:val="none" w:color="auto" w:sz="0" w:space="0"/>
        </w:pBdr>
        <w:tabs>
          <w:tab w:val="left" w:pos="1440"/>
        </w:tabs>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中标方需在开发实施阶段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质保期</w:t>
      </w:r>
      <w:r>
        <w:rPr>
          <w:rFonts w:hint="eastAsia" w:ascii="宋体" w:hAnsi="宋体" w:eastAsia="宋体" w:cs="宋体"/>
          <w:sz w:val="24"/>
          <w:szCs w:val="24"/>
          <w:highlight w:val="none"/>
        </w:rPr>
        <w:t>内以及</w:t>
      </w:r>
      <w:r>
        <w:rPr>
          <w:rFonts w:hint="eastAsia" w:ascii="宋体" w:hAnsi="宋体" w:eastAsia="宋体" w:cs="宋体"/>
          <w:sz w:val="24"/>
          <w:szCs w:val="24"/>
          <w:highlight w:val="none"/>
          <w:lang w:val="en-US" w:eastAsia="zh-CN"/>
        </w:rPr>
        <w:t>维保期内免费对接</w:t>
      </w:r>
      <w:r>
        <w:rPr>
          <w:rFonts w:hint="eastAsia" w:ascii="宋体" w:hAnsi="宋体" w:eastAsia="宋体" w:cs="宋体"/>
          <w:sz w:val="24"/>
          <w:szCs w:val="24"/>
          <w:highlight w:val="none"/>
        </w:rPr>
        <w:t>医院各类软硬件系统接口，以便院内信息系统的数据交换。</w:t>
      </w:r>
    </w:p>
    <w:p w14:paraId="0999B065">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根据医院需求及相关政策要求，系统需适配国产硬件、数据库、操作系统等。</w:t>
      </w:r>
    </w:p>
    <w:p w14:paraId="78B4316A">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系统可支撑医院电子病历5级、互联互通测评、智慧服务等评级、评测要求。</w:t>
      </w:r>
    </w:p>
    <w:p w14:paraId="30C37D22">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系统可实现多组织架构，实现多院区共用一套系统且可自行拓展，不限组织数和用户数。分支机构的数据要相互隔离，主体医院可查看所有基层医共体成员机构的数据，便于数据的查询统计分析，方便对成员单位的监控管理。</w:t>
      </w:r>
    </w:p>
    <w:p w14:paraId="7F863499">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若遇特殊情况，双方未及时签订维保服务或未及时支付维保费用，承建方不得以授权码到期等方式限制系统正常使用，须保证系统可正常开展本项目相关业务。</w:t>
      </w:r>
    </w:p>
    <w:p w14:paraId="61BFDB48">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质保期过后免费升级当前版本通用功能，涉及到系统架构和定制化开发的费用，另行商议。</w:t>
      </w:r>
    </w:p>
    <w:p w14:paraId="257D784A">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质保期过后每年的维保费用不超过项目合同金额的8%。</w:t>
      </w:r>
    </w:p>
    <w:p w14:paraId="6421DAA5">
      <w:pPr>
        <w:keepNext w:val="0"/>
        <w:keepLines w:val="0"/>
        <w:widowControl/>
        <w:numPr>
          <w:ilvl w:val="1"/>
          <w:numId w:val="65"/>
        </w:numPr>
        <w:suppressLineNumbers w:val="0"/>
        <w:pBdr>
          <w:left w:val="none" w:color="auto" w:sz="0" w:space="0"/>
        </w:pBdr>
        <w:spacing w:before="120" w:beforeAutospacing="0" w:after="100" w:afterAutospacing="1"/>
        <w:ind w:left="1440" w:hanging="360"/>
        <w:rPr>
          <w:rFonts w:hint="eastAsia" w:ascii="宋体" w:hAnsi="宋体" w:eastAsia="宋体" w:cs="宋体"/>
          <w:sz w:val="24"/>
          <w:szCs w:val="24"/>
          <w:highlight w:val="none"/>
        </w:rPr>
      </w:pPr>
      <w:r>
        <w:rPr>
          <w:rFonts w:hint="eastAsia" w:ascii="宋体" w:hAnsi="宋体" w:eastAsia="宋体" w:cs="宋体"/>
          <w:sz w:val="24"/>
          <w:szCs w:val="24"/>
          <w:highlight w:val="none"/>
        </w:rPr>
        <w:t>鉴于开标时间有限，要求中标人在开标后3个工作日内向采购人现场演示讲解相关产品，如发现涉嫌虚假响应参数或功能，取消其中标资格并上报上级监管部门进行处罚</w:t>
      </w:r>
      <w:r>
        <w:rPr>
          <w:rFonts w:hint="eastAsia" w:ascii="宋体" w:hAnsi="宋体" w:eastAsia="宋体" w:cs="宋体"/>
          <w:sz w:val="24"/>
          <w:szCs w:val="24"/>
          <w:highlight w:val="none"/>
          <w:lang w:eastAsia="zh-CN"/>
        </w:rPr>
        <w:t>。</w:t>
      </w:r>
    </w:p>
    <w:p w14:paraId="37844803">
      <w:pPr>
        <w:pStyle w:val="42"/>
        <w:pageBreakBefore w:val="0"/>
        <w:numPr>
          <w:ilvl w:val="0"/>
          <w:numId w:val="0"/>
        </w:numPr>
        <w:kinsoku/>
        <w:wordWrap/>
        <w:overflowPunct/>
        <w:topLinePunct w:val="0"/>
        <w:autoSpaceDE/>
        <w:autoSpaceDN/>
        <w:bidi w:val="0"/>
        <w:adjustRightInd/>
        <w:snapToGrid/>
        <w:spacing w:line="360" w:lineRule="auto"/>
        <w:ind w:left="420" w:leftChars="0"/>
        <w:rPr>
          <w:rFonts w:hint="eastAsia" w:ascii="宋体" w:hAnsi="宋体" w:eastAsia="宋体" w:cs="宋体"/>
          <w:sz w:val="24"/>
          <w:szCs w:val="24"/>
          <w:highlight w:val="none"/>
        </w:rPr>
      </w:pPr>
    </w:p>
    <w:p w14:paraId="447546EB">
      <w:pPr>
        <w:pageBreakBefore w:val="0"/>
        <w:widowControl w:val="0"/>
        <w:kinsoku/>
        <w:wordWrap/>
        <w:overflowPunct/>
        <w:topLinePunct w:val="0"/>
        <w:bidi w:val="0"/>
        <w:snapToGrid/>
        <w:spacing w:line="400" w:lineRule="exact"/>
        <w:ind w:firstLine="643" w:firstLine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CA31FDE">
      <w:pPr>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第六章评标方法和标准</w:t>
      </w:r>
      <w:bookmarkEnd w:id="27"/>
    </w:p>
    <w:p w14:paraId="2C159406">
      <w:pPr>
        <w:pStyle w:val="40"/>
        <w:tabs>
          <w:tab w:val="right" w:pos="8306"/>
        </w:tabs>
        <w:spacing w:line="440" w:lineRule="exact"/>
        <w:ind w:right="199" w:rightChars="95"/>
        <w:jc w:val="both"/>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val="en-US" w:eastAsia="zh-CN" w:bidi="ar"/>
        </w:rPr>
        <w:t>1</w:t>
      </w:r>
      <w:r>
        <w:rPr>
          <w:rFonts w:hint="eastAsia" w:ascii="宋体" w:hAnsi="宋体" w:eastAsia="宋体" w:cs="宋体"/>
          <w:b/>
          <w:spacing w:val="0"/>
          <w:kern w:val="2"/>
          <w:sz w:val="24"/>
          <w:szCs w:val="24"/>
          <w:highlight w:val="none"/>
          <w:lang w:eastAsia="zh-CN" w:bidi="ar"/>
        </w:rPr>
        <w:t>、</w:t>
      </w:r>
      <w:r>
        <w:rPr>
          <w:rFonts w:hint="eastAsia" w:ascii="宋体" w:hAnsi="宋体" w:eastAsia="宋体" w:cs="宋体"/>
          <w:b/>
          <w:spacing w:val="0"/>
          <w:kern w:val="2"/>
          <w:sz w:val="24"/>
          <w:szCs w:val="24"/>
          <w:highlight w:val="none"/>
          <w:lang w:bidi="ar"/>
        </w:rPr>
        <w:t>评标方法</w:t>
      </w:r>
      <w:r>
        <w:rPr>
          <w:rFonts w:hint="eastAsia" w:ascii="宋体" w:hAnsi="宋体" w:eastAsia="宋体" w:cs="宋体"/>
          <w:b/>
          <w:spacing w:val="0"/>
          <w:kern w:val="2"/>
          <w:sz w:val="24"/>
          <w:szCs w:val="24"/>
          <w:highlight w:val="none"/>
          <w:lang w:bidi="ar"/>
        </w:rPr>
        <w:tab/>
      </w:r>
    </w:p>
    <w:p w14:paraId="0A8FFEAF">
      <w:pPr>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本项目采用综合评分法是指投标文件满足招标文件全部实质性要求，且按照评审因素的量化指标评审得分最高的投标人为中标候选人的评标方法。</w:t>
      </w:r>
    </w:p>
    <w:p w14:paraId="4D3BAC7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2、评标原则</w:t>
      </w:r>
    </w:p>
    <w:p w14:paraId="6BE697ED">
      <w:pPr>
        <w:spacing w:line="440" w:lineRule="exact"/>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2.1评标活动遵循公平、公正、科学和择优的原则，以招标文件和投标文件为评标的基本依据，并按照招标文件规定的评标方法和评标标准进行评标。</w:t>
      </w:r>
    </w:p>
    <w:p w14:paraId="603D1EFD">
      <w:pPr>
        <w:spacing w:line="440" w:lineRule="exact"/>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254EC5AE">
      <w:pPr>
        <w:pStyle w:val="40"/>
        <w:spacing w:line="440" w:lineRule="exact"/>
        <w:rPr>
          <w:rFonts w:hint="eastAsia" w:ascii="宋体" w:hAnsi="宋体" w:eastAsia="宋体" w:cs="宋体"/>
          <w:b/>
          <w:spacing w:val="0"/>
          <w:kern w:val="2"/>
          <w:sz w:val="24"/>
          <w:szCs w:val="24"/>
          <w:highlight w:val="none"/>
          <w:lang w:bidi="ar"/>
        </w:rPr>
      </w:pPr>
      <w:bookmarkStart w:id="173" w:name="_Toc22445"/>
      <w:bookmarkStart w:id="174" w:name="_Toc509318020"/>
      <w:bookmarkStart w:id="175" w:name="_Toc19513"/>
      <w:bookmarkStart w:id="176" w:name="_Toc386"/>
      <w:bookmarkStart w:id="177" w:name="_Toc492286392"/>
      <w:bookmarkStart w:id="178" w:name="_Toc26426"/>
      <w:r>
        <w:rPr>
          <w:rFonts w:hint="eastAsia" w:ascii="宋体" w:hAnsi="宋体" w:eastAsia="宋体" w:cs="宋体"/>
          <w:b/>
          <w:spacing w:val="0"/>
          <w:kern w:val="2"/>
          <w:sz w:val="24"/>
          <w:szCs w:val="24"/>
          <w:highlight w:val="none"/>
          <w:lang w:val="en-US" w:eastAsia="zh-CN" w:bidi="ar"/>
        </w:rPr>
        <w:t>3、</w:t>
      </w:r>
      <w:r>
        <w:rPr>
          <w:rFonts w:hint="eastAsia" w:ascii="宋体" w:hAnsi="宋体" w:eastAsia="宋体" w:cs="宋体"/>
          <w:b/>
          <w:spacing w:val="0"/>
          <w:kern w:val="2"/>
          <w:sz w:val="24"/>
          <w:szCs w:val="24"/>
          <w:highlight w:val="none"/>
          <w:lang w:bidi="ar"/>
        </w:rPr>
        <w:t>资格审查</w:t>
      </w:r>
      <w:bookmarkEnd w:id="173"/>
      <w:bookmarkEnd w:id="174"/>
      <w:bookmarkEnd w:id="175"/>
      <w:bookmarkEnd w:id="176"/>
      <w:bookmarkEnd w:id="177"/>
      <w:bookmarkEnd w:id="178"/>
    </w:p>
    <w:p w14:paraId="4EDB22B4">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采购开标结束后，采购人或采购代理机构将根据《资格审查要求》中的规定，对投标人进行资格审查，以确定投标人是否具备投标资格，并形成资格审查结果。</w:t>
      </w:r>
    </w:p>
    <w:p w14:paraId="20FE6D43">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资格性审查中凡有其中任意一项未通过的，评审结果为未通过，未通过资格性审</w:t>
      </w:r>
    </w:p>
    <w:p w14:paraId="173C886D">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查的投标人按</w:t>
      </w:r>
      <w:r>
        <w:rPr>
          <w:rFonts w:hint="eastAsia" w:ascii="宋体" w:hAnsi="宋体" w:eastAsia="宋体" w:cs="宋体"/>
          <w:b/>
          <w:bCs/>
          <w:spacing w:val="0"/>
          <w:kern w:val="2"/>
          <w:sz w:val="24"/>
          <w:szCs w:val="24"/>
          <w:highlight w:val="none"/>
          <w:lang w:bidi="ar"/>
        </w:rPr>
        <w:t>无效投标处理</w:t>
      </w:r>
      <w:r>
        <w:rPr>
          <w:rFonts w:hint="eastAsia" w:ascii="宋体" w:hAnsi="宋体" w:eastAsia="宋体" w:cs="宋体"/>
          <w:bCs w:val="0"/>
          <w:spacing w:val="0"/>
          <w:kern w:val="2"/>
          <w:sz w:val="24"/>
          <w:szCs w:val="24"/>
          <w:highlight w:val="none"/>
          <w:lang w:bidi="ar"/>
        </w:rPr>
        <w:t>，不进入符合性审查。资格审查要求如下：</w:t>
      </w:r>
    </w:p>
    <w:p w14:paraId="26EF347F">
      <w:pPr>
        <w:pStyle w:val="40"/>
        <w:spacing w:line="440" w:lineRule="exact"/>
        <w:rPr>
          <w:rFonts w:hint="eastAsia" w:ascii="宋体" w:hAnsi="宋体" w:eastAsia="宋体" w:cs="宋体"/>
          <w:bCs w:val="0"/>
          <w:spacing w:val="0"/>
          <w:kern w:val="2"/>
          <w:sz w:val="24"/>
          <w:szCs w:val="24"/>
          <w:highlight w:val="none"/>
          <w:lang w:bidi="ar"/>
        </w:rPr>
      </w:pPr>
    </w:p>
    <w:tbl>
      <w:tblPr>
        <w:tblStyle w:val="28"/>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960"/>
        <w:gridCol w:w="6082"/>
      </w:tblGrid>
      <w:tr w14:paraId="4D14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7" w:type="dxa"/>
            <w:vAlign w:val="center"/>
          </w:tcPr>
          <w:p w14:paraId="3F087558">
            <w:pPr>
              <w:pStyle w:val="40"/>
              <w:widowControl/>
              <w:jc w:val="center"/>
              <w:rPr>
                <w:rFonts w:hint="eastAsia" w:ascii="宋体" w:hAnsi="宋体" w:eastAsia="宋体" w:cs="宋体"/>
                <w:b/>
                <w:spacing w:val="0"/>
                <w:kern w:val="2"/>
                <w:highlight w:val="none"/>
                <w:lang w:bidi="ar"/>
              </w:rPr>
            </w:pPr>
            <w:r>
              <w:rPr>
                <w:rFonts w:hint="eastAsia" w:ascii="宋体" w:hAnsi="宋体" w:eastAsia="宋体" w:cs="宋体"/>
                <w:b/>
                <w:spacing w:val="0"/>
                <w:kern w:val="2"/>
                <w:highlight w:val="none"/>
                <w:lang w:bidi="ar"/>
              </w:rPr>
              <w:t>序号</w:t>
            </w:r>
          </w:p>
        </w:tc>
        <w:tc>
          <w:tcPr>
            <w:tcW w:w="1960" w:type="dxa"/>
            <w:vAlign w:val="center"/>
          </w:tcPr>
          <w:p w14:paraId="055F1854">
            <w:pPr>
              <w:pStyle w:val="40"/>
              <w:widowControl/>
              <w:jc w:val="center"/>
              <w:rPr>
                <w:rFonts w:hint="eastAsia" w:ascii="宋体" w:hAnsi="宋体" w:eastAsia="宋体" w:cs="宋体"/>
                <w:b/>
                <w:spacing w:val="0"/>
                <w:kern w:val="2"/>
                <w:highlight w:val="none"/>
                <w:lang w:bidi="ar"/>
              </w:rPr>
            </w:pPr>
            <w:r>
              <w:rPr>
                <w:rFonts w:hint="eastAsia" w:ascii="宋体" w:hAnsi="宋体" w:eastAsia="宋体" w:cs="宋体"/>
                <w:b/>
                <w:highlight w:val="none"/>
              </w:rPr>
              <w:t>资格条件</w:t>
            </w:r>
          </w:p>
        </w:tc>
        <w:tc>
          <w:tcPr>
            <w:tcW w:w="6082" w:type="dxa"/>
            <w:vAlign w:val="center"/>
          </w:tcPr>
          <w:p w14:paraId="6984BA7A">
            <w:pPr>
              <w:pStyle w:val="40"/>
              <w:widowControl/>
              <w:jc w:val="center"/>
              <w:rPr>
                <w:rFonts w:hint="eastAsia" w:ascii="宋体" w:hAnsi="宋体" w:eastAsia="宋体" w:cs="宋体"/>
                <w:b/>
                <w:spacing w:val="0"/>
                <w:kern w:val="2"/>
                <w:highlight w:val="none"/>
                <w:lang w:bidi="ar"/>
              </w:rPr>
            </w:pPr>
            <w:r>
              <w:rPr>
                <w:rFonts w:hint="eastAsia" w:ascii="宋体" w:hAnsi="宋体" w:eastAsia="宋体" w:cs="宋体"/>
                <w:b/>
                <w:highlight w:val="none"/>
              </w:rPr>
              <w:t>审查内容和审查标准</w:t>
            </w:r>
          </w:p>
        </w:tc>
      </w:tr>
      <w:tr w14:paraId="527F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97" w:type="dxa"/>
            <w:vAlign w:val="center"/>
          </w:tcPr>
          <w:p w14:paraId="10EDEBFD">
            <w:pPr>
              <w:pStyle w:val="40"/>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1</w:t>
            </w:r>
          </w:p>
        </w:tc>
        <w:tc>
          <w:tcPr>
            <w:tcW w:w="1960" w:type="dxa"/>
            <w:vAlign w:val="center"/>
          </w:tcPr>
          <w:p w14:paraId="5DA8BD2C">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具有独立承担民事责任的能力</w:t>
            </w:r>
          </w:p>
        </w:tc>
        <w:tc>
          <w:tcPr>
            <w:tcW w:w="6082" w:type="dxa"/>
            <w:vAlign w:val="center"/>
          </w:tcPr>
          <w:p w14:paraId="7B3CFD96">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tc>
      </w:tr>
      <w:tr w14:paraId="1084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97" w:type="dxa"/>
            <w:vAlign w:val="center"/>
          </w:tcPr>
          <w:p w14:paraId="2FF23363">
            <w:pPr>
              <w:pStyle w:val="40"/>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2</w:t>
            </w:r>
          </w:p>
        </w:tc>
        <w:tc>
          <w:tcPr>
            <w:tcW w:w="1960" w:type="dxa"/>
            <w:vAlign w:val="center"/>
          </w:tcPr>
          <w:p w14:paraId="173C60AA">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具有良好的商业信誉和健全的财务会计制度</w:t>
            </w:r>
          </w:p>
        </w:tc>
        <w:tc>
          <w:tcPr>
            <w:tcW w:w="6082" w:type="dxa"/>
            <w:vAlign w:val="center"/>
          </w:tcPr>
          <w:p w14:paraId="08EF8EF9">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须提供本单位上一年度由会计师事务所出具的财务审计报告（当上一年度审计报告未出来时（每年6月前（含）），可提供前一年度审计报告），审计报告须包括资产负债表、利润表、现金流量表、所有者权益变动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7E20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97" w:type="dxa"/>
            <w:vAlign w:val="center"/>
          </w:tcPr>
          <w:p w14:paraId="173410B2">
            <w:pPr>
              <w:pStyle w:val="40"/>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3</w:t>
            </w:r>
          </w:p>
        </w:tc>
        <w:tc>
          <w:tcPr>
            <w:tcW w:w="1960" w:type="dxa"/>
            <w:vAlign w:val="center"/>
          </w:tcPr>
          <w:p w14:paraId="05A8CCD9">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具有履行合同所必需的设备和专业技术能力</w:t>
            </w:r>
          </w:p>
        </w:tc>
        <w:tc>
          <w:tcPr>
            <w:tcW w:w="6082" w:type="dxa"/>
            <w:vAlign w:val="center"/>
          </w:tcPr>
          <w:p w14:paraId="4797D932">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须提供具备履行合同所必需的设备和专业技术能力的</w:t>
            </w:r>
          </w:p>
          <w:p w14:paraId="4B8F1D09">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书面声明原件</w:t>
            </w:r>
          </w:p>
        </w:tc>
      </w:tr>
      <w:tr w14:paraId="2084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97" w:type="dxa"/>
            <w:vAlign w:val="center"/>
          </w:tcPr>
          <w:p w14:paraId="520D0D52">
            <w:pPr>
              <w:pStyle w:val="40"/>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4</w:t>
            </w:r>
          </w:p>
        </w:tc>
        <w:tc>
          <w:tcPr>
            <w:tcW w:w="1960" w:type="dxa"/>
            <w:vAlign w:val="center"/>
          </w:tcPr>
          <w:p w14:paraId="491DFA82">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有依法缴纳税收和依法缴纳社会保障资金的记录</w:t>
            </w:r>
          </w:p>
        </w:tc>
        <w:tc>
          <w:tcPr>
            <w:tcW w:w="6082" w:type="dxa"/>
            <w:vAlign w:val="center"/>
          </w:tcPr>
          <w:p w14:paraId="44BDFD22">
            <w:pPr>
              <w:pStyle w:val="40"/>
              <w:widowControl/>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03501DF9">
            <w:pPr>
              <w:pStyle w:val="40"/>
              <w:widowControl/>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7FB1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97" w:type="dxa"/>
            <w:vAlign w:val="center"/>
          </w:tcPr>
          <w:p w14:paraId="273DD12F">
            <w:pPr>
              <w:pStyle w:val="40"/>
              <w:widowControl/>
              <w:jc w:val="center"/>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5</w:t>
            </w:r>
          </w:p>
        </w:tc>
        <w:tc>
          <w:tcPr>
            <w:tcW w:w="1960" w:type="dxa"/>
            <w:vAlign w:val="center"/>
          </w:tcPr>
          <w:p w14:paraId="4CB6B03B">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参加政府采购活动前三年内，在经营活动中没有重大违法记录</w:t>
            </w:r>
          </w:p>
        </w:tc>
        <w:tc>
          <w:tcPr>
            <w:tcW w:w="6082" w:type="dxa"/>
            <w:vAlign w:val="center"/>
          </w:tcPr>
          <w:p w14:paraId="01D079A9">
            <w:pPr>
              <w:pStyle w:val="40"/>
              <w:widowControl/>
              <w:jc w:val="both"/>
              <w:rPr>
                <w:rFonts w:hint="eastAsia" w:ascii="宋体" w:hAnsi="宋体" w:eastAsia="宋体" w:cs="宋体"/>
                <w:bCs w:val="0"/>
                <w:spacing w:val="0"/>
                <w:kern w:val="2"/>
                <w:sz w:val="22"/>
                <w:szCs w:val="22"/>
                <w:highlight w:val="none"/>
                <w:lang w:bidi="ar"/>
              </w:rPr>
            </w:pPr>
            <w:r>
              <w:rPr>
                <w:rFonts w:hint="eastAsia" w:ascii="宋体" w:hAnsi="宋体" w:eastAsia="宋体" w:cs="宋体"/>
                <w:bCs w:val="0"/>
                <w:spacing w:val="0"/>
                <w:kern w:val="2"/>
                <w:sz w:val="22"/>
                <w:szCs w:val="22"/>
                <w:highlight w:val="none"/>
                <w:lang w:bidi="ar"/>
              </w:rPr>
              <w:t>参加政府采购活动前三年内，在经营活动中没有重大违法记录；须提供书面声明</w:t>
            </w:r>
          </w:p>
        </w:tc>
      </w:tr>
    </w:tbl>
    <w:p w14:paraId="715023FF">
      <w:pPr>
        <w:pStyle w:val="40"/>
        <w:spacing w:line="440" w:lineRule="exact"/>
        <w:rPr>
          <w:rFonts w:hint="eastAsia" w:ascii="宋体" w:hAnsi="宋体" w:eastAsia="宋体" w:cs="宋体"/>
          <w:b/>
          <w:spacing w:val="0"/>
          <w:kern w:val="2"/>
          <w:sz w:val="24"/>
          <w:szCs w:val="24"/>
          <w:highlight w:val="none"/>
          <w:lang w:bidi="ar"/>
        </w:rPr>
      </w:pPr>
      <w:bookmarkStart w:id="179" w:name="_Toc509318023"/>
      <w:bookmarkStart w:id="180" w:name="_Toc31761"/>
      <w:bookmarkStart w:id="181" w:name="_Toc492286395"/>
      <w:r>
        <w:rPr>
          <w:rFonts w:hint="eastAsia" w:ascii="宋体" w:hAnsi="宋体" w:eastAsia="宋体" w:cs="宋体"/>
          <w:b/>
          <w:spacing w:val="0"/>
          <w:kern w:val="2"/>
          <w:sz w:val="24"/>
          <w:szCs w:val="24"/>
          <w:highlight w:val="none"/>
          <w:lang w:val="en-US" w:eastAsia="zh-CN" w:bidi="ar"/>
        </w:rPr>
        <w:t>4、</w:t>
      </w:r>
      <w:r>
        <w:rPr>
          <w:rFonts w:hint="eastAsia" w:ascii="宋体" w:hAnsi="宋体" w:eastAsia="宋体" w:cs="宋体"/>
          <w:b/>
          <w:spacing w:val="0"/>
          <w:kern w:val="2"/>
          <w:sz w:val="24"/>
          <w:szCs w:val="24"/>
          <w:highlight w:val="none"/>
          <w:lang w:bidi="ar"/>
        </w:rPr>
        <w:t>符合性审查</w:t>
      </w:r>
      <w:bookmarkEnd w:id="179"/>
      <w:bookmarkEnd w:id="180"/>
      <w:bookmarkEnd w:id="181"/>
    </w:p>
    <w:p w14:paraId="64B85618">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评标委员会对通过资格审查的合格投标人的投标文件进行符合性审查。评标</w:t>
      </w:r>
    </w:p>
    <w:p w14:paraId="2D0FE7A6">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委员会根据《符合性审查要求》中规定的审查因素和审查内容，对投标人的投标</w:t>
      </w:r>
    </w:p>
    <w:p w14:paraId="495CE382">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文件是否实质上响应招标文件进行符合性审查，并形成符合性审查评审结果。符</w:t>
      </w:r>
    </w:p>
    <w:p w14:paraId="1714CF58">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合性审查中凡有其中任意一项未通过的，评审结果为未通过，未通过符合性审查</w:t>
      </w:r>
    </w:p>
    <w:p w14:paraId="05AAC725">
      <w:pPr>
        <w:pStyle w:val="40"/>
        <w:spacing w:line="440" w:lineRule="exact"/>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的投标人按无效投标处理，不进入详细评审。符合性审查要求如下：</w:t>
      </w:r>
    </w:p>
    <w:p w14:paraId="3B60A2CE">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符合性审查要求</w:t>
      </w:r>
    </w:p>
    <w:tbl>
      <w:tblPr>
        <w:tblStyle w:val="28"/>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63"/>
        <w:gridCol w:w="6227"/>
      </w:tblGrid>
      <w:tr w14:paraId="0A60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3CBD24F2">
            <w:pPr>
              <w:pStyle w:val="19"/>
              <w:ind w:right="-1"/>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663" w:type="dxa"/>
            <w:vAlign w:val="center"/>
          </w:tcPr>
          <w:p w14:paraId="24F53B3B">
            <w:pPr>
              <w:pStyle w:val="19"/>
              <w:ind w:right="65" w:rightChars="31"/>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227" w:type="dxa"/>
            <w:vAlign w:val="center"/>
          </w:tcPr>
          <w:p w14:paraId="5096E9DB">
            <w:pPr>
              <w:pStyle w:val="19"/>
              <w:ind w:right="-73" w:rightChars="-3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5837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7AFF3E7C">
            <w:pPr>
              <w:pStyle w:val="19"/>
              <w:ind w:right="-1"/>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w:t>
            </w:r>
          </w:p>
        </w:tc>
        <w:tc>
          <w:tcPr>
            <w:tcW w:w="1663" w:type="dxa"/>
            <w:vAlign w:val="center"/>
          </w:tcPr>
          <w:p w14:paraId="6F50CC1A">
            <w:pPr>
              <w:pStyle w:val="40"/>
              <w:widowControl w:val="0"/>
              <w:spacing w:line="440" w:lineRule="exact"/>
              <w:jc w:val="center"/>
              <w:rPr>
                <w:rFonts w:hint="eastAsia" w:ascii="宋体" w:hAnsi="宋体" w:eastAsia="宋体" w:cs="宋体"/>
                <w:bCs w:val="0"/>
                <w:spacing w:val="0"/>
                <w:kern w:val="2"/>
                <w:sz w:val="22"/>
                <w:szCs w:val="22"/>
                <w:highlight w:val="none"/>
                <w:lang w:val="en-US" w:eastAsia="zh-CN" w:bidi="ar"/>
              </w:rPr>
            </w:pPr>
            <w:r>
              <w:rPr>
                <w:rFonts w:hint="eastAsia" w:ascii="宋体" w:hAnsi="宋体" w:eastAsia="宋体" w:cs="宋体"/>
                <w:bCs w:val="0"/>
                <w:spacing w:val="0"/>
                <w:kern w:val="2"/>
                <w:sz w:val="22"/>
                <w:szCs w:val="22"/>
                <w:highlight w:val="none"/>
                <w:lang w:val="en-US" w:eastAsia="zh-CN" w:bidi="ar"/>
              </w:rPr>
              <w:t>授权委托书</w:t>
            </w:r>
          </w:p>
        </w:tc>
        <w:tc>
          <w:tcPr>
            <w:tcW w:w="6227" w:type="dxa"/>
            <w:vAlign w:val="center"/>
          </w:tcPr>
          <w:p w14:paraId="7E0AA103">
            <w:pPr>
              <w:pStyle w:val="40"/>
              <w:widowControl w:val="0"/>
              <w:spacing w:line="440" w:lineRule="exact"/>
              <w:rPr>
                <w:rFonts w:hint="eastAsia" w:ascii="宋体" w:hAnsi="宋体" w:eastAsia="宋体" w:cs="宋体"/>
                <w:bCs w:val="0"/>
                <w:spacing w:val="0"/>
                <w:kern w:val="2"/>
                <w:sz w:val="22"/>
                <w:szCs w:val="22"/>
                <w:highlight w:val="none"/>
                <w:lang w:val="en-US" w:eastAsia="zh-CN" w:bidi="ar"/>
              </w:rPr>
            </w:pPr>
            <w:r>
              <w:rPr>
                <w:rFonts w:hint="eastAsia" w:ascii="宋体" w:hAnsi="宋体" w:eastAsia="宋体" w:cs="宋体"/>
                <w:bCs w:val="0"/>
                <w:spacing w:val="0"/>
                <w:kern w:val="2"/>
                <w:sz w:val="22"/>
                <w:szCs w:val="22"/>
                <w:highlight w:val="none"/>
                <w:lang w:val="en-US" w:eastAsia="zh-CN" w:bidi="ar"/>
              </w:rPr>
              <w:t>投标文件中由法定代表人签字或盖签名章的，须提供法定代表人身份证明书；投标文件中由授权委托人签字的，须提供法定代表人授权委托书及法定代表人身份证明书。</w:t>
            </w:r>
          </w:p>
        </w:tc>
      </w:tr>
      <w:tr w14:paraId="0C26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1" w:type="dxa"/>
            <w:vAlign w:val="center"/>
          </w:tcPr>
          <w:p w14:paraId="6A90FCFC">
            <w:pPr>
              <w:pStyle w:val="19"/>
              <w:ind w:right="-71" w:rightChars="-34"/>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w:t>
            </w:r>
          </w:p>
        </w:tc>
        <w:tc>
          <w:tcPr>
            <w:tcW w:w="1663" w:type="dxa"/>
            <w:vAlign w:val="center"/>
          </w:tcPr>
          <w:p w14:paraId="4080F9D1">
            <w:pPr>
              <w:pStyle w:val="40"/>
              <w:widowControl w:val="0"/>
              <w:spacing w:line="440" w:lineRule="exact"/>
              <w:jc w:val="center"/>
              <w:rPr>
                <w:rFonts w:hint="eastAsia" w:ascii="宋体" w:hAnsi="宋体" w:eastAsia="宋体" w:cs="宋体"/>
                <w:bCs w:val="0"/>
                <w:spacing w:val="0"/>
                <w:kern w:val="2"/>
                <w:sz w:val="22"/>
                <w:szCs w:val="22"/>
                <w:highlight w:val="none"/>
                <w:lang w:val="en-US" w:eastAsia="zh-CN" w:bidi="ar"/>
              </w:rPr>
            </w:pPr>
            <w:r>
              <w:rPr>
                <w:rFonts w:hint="eastAsia" w:ascii="宋体" w:hAnsi="宋体" w:eastAsia="宋体" w:cs="宋体"/>
                <w:bCs w:val="0"/>
                <w:spacing w:val="0"/>
                <w:kern w:val="2"/>
                <w:sz w:val="22"/>
                <w:szCs w:val="22"/>
                <w:highlight w:val="none"/>
                <w:lang w:val="en-US" w:eastAsia="zh-CN" w:bidi="ar"/>
              </w:rPr>
              <w:t>投标报价</w:t>
            </w:r>
          </w:p>
        </w:tc>
        <w:tc>
          <w:tcPr>
            <w:tcW w:w="6227" w:type="dxa"/>
            <w:vAlign w:val="center"/>
          </w:tcPr>
          <w:p w14:paraId="2CE75DD7">
            <w:pPr>
              <w:pStyle w:val="40"/>
              <w:widowControl w:val="0"/>
              <w:spacing w:line="440" w:lineRule="exact"/>
              <w:rPr>
                <w:rFonts w:hint="eastAsia" w:ascii="宋体" w:hAnsi="宋体" w:eastAsia="宋体" w:cs="宋体"/>
                <w:bCs w:val="0"/>
                <w:spacing w:val="0"/>
                <w:kern w:val="2"/>
                <w:sz w:val="22"/>
                <w:szCs w:val="22"/>
                <w:highlight w:val="none"/>
                <w:lang w:val="en-US" w:eastAsia="zh-CN" w:bidi="ar"/>
              </w:rPr>
            </w:pPr>
            <w:r>
              <w:rPr>
                <w:rFonts w:hint="eastAsia" w:ascii="宋体" w:hAnsi="宋体" w:eastAsia="宋体" w:cs="宋体"/>
                <w:bCs w:val="0"/>
                <w:spacing w:val="0"/>
                <w:kern w:val="2"/>
                <w:sz w:val="22"/>
                <w:szCs w:val="22"/>
                <w:highlight w:val="none"/>
                <w:lang w:val="en-US" w:eastAsia="zh-CN" w:bidi="ar"/>
              </w:rPr>
              <w:t>投标文件是否针对同一种货物或服务出现了两个或两个以上的报价；报价是否超过项目/包预算或最高限价或经评标委员会认定低于成本的</w:t>
            </w:r>
          </w:p>
        </w:tc>
      </w:tr>
      <w:tr w14:paraId="411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1" w:type="dxa"/>
            <w:vAlign w:val="center"/>
          </w:tcPr>
          <w:p w14:paraId="410ED40A">
            <w:pPr>
              <w:pStyle w:val="19"/>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63" w:type="dxa"/>
            <w:vAlign w:val="center"/>
          </w:tcPr>
          <w:p w14:paraId="4737C770">
            <w:pPr>
              <w:pStyle w:val="19"/>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签署、盖章</w:t>
            </w:r>
          </w:p>
        </w:tc>
        <w:tc>
          <w:tcPr>
            <w:tcW w:w="6227" w:type="dxa"/>
            <w:vAlign w:val="center"/>
          </w:tcPr>
          <w:p w14:paraId="01E26B39">
            <w:pPr>
              <w:pStyle w:val="19"/>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按照招标文件要求签署、盖章的</w:t>
            </w:r>
          </w:p>
        </w:tc>
      </w:tr>
      <w:tr w14:paraId="59D2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1" w:type="dxa"/>
            <w:vAlign w:val="center"/>
          </w:tcPr>
          <w:p w14:paraId="1A44E5FF">
            <w:pPr>
              <w:pStyle w:val="19"/>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63" w:type="dxa"/>
            <w:vAlign w:val="center"/>
          </w:tcPr>
          <w:p w14:paraId="1716968C">
            <w:pPr>
              <w:pStyle w:val="19"/>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w:t>
            </w:r>
          </w:p>
        </w:tc>
        <w:tc>
          <w:tcPr>
            <w:tcW w:w="6227" w:type="dxa"/>
            <w:vAlign w:val="center"/>
          </w:tcPr>
          <w:p w14:paraId="5C081D04">
            <w:pPr>
              <w:pStyle w:val="19"/>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是否按照投标文件规定的内容填写</w:t>
            </w:r>
          </w:p>
        </w:tc>
      </w:tr>
      <w:tr w14:paraId="6281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1" w:type="dxa"/>
            <w:vAlign w:val="center"/>
          </w:tcPr>
          <w:p w14:paraId="0E5E185F">
            <w:pPr>
              <w:pStyle w:val="19"/>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63" w:type="dxa"/>
            <w:vAlign w:val="center"/>
          </w:tcPr>
          <w:p w14:paraId="14CC230C">
            <w:pPr>
              <w:pStyle w:val="19"/>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227" w:type="dxa"/>
            <w:vAlign w:val="center"/>
          </w:tcPr>
          <w:p w14:paraId="4ACEF85A">
            <w:pPr>
              <w:pStyle w:val="19"/>
              <w:ind w:right="-73" w:rightChars="-35"/>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是否按招标文件规定递交保证金、保证金金额、保证金形式是否符合招标文件规定的</w:t>
            </w:r>
          </w:p>
        </w:tc>
      </w:tr>
      <w:tr w14:paraId="36E5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vAlign w:val="center"/>
          </w:tcPr>
          <w:p w14:paraId="30EC5EED">
            <w:pPr>
              <w:pStyle w:val="19"/>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1663" w:type="dxa"/>
            <w:vAlign w:val="center"/>
          </w:tcPr>
          <w:p w14:paraId="00AB4035">
            <w:pPr>
              <w:pStyle w:val="19"/>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227" w:type="dxa"/>
            <w:vAlign w:val="center"/>
          </w:tcPr>
          <w:p w14:paraId="0A860D78">
            <w:pPr>
              <w:pStyle w:val="19"/>
              <w:ind w:right="-73" w:rightChars="-35"/>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投标有效期是否满足投标文件要求</w:t>
            </w:r>
          </w:p>
        </w:tc>
      </w:tr>
      <w:tr w14:paraId="3006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1" w:type="dxa"/>
            <w:vAlign w:val="center"/>
          </w:tcPr>
          <w:p w14:paraId="1E385D06">
            <w:pPr>
              <w:pStyle w:val="19"/>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1663" w:type="dxa"/>
            <w:vAlign w:val="center"/>
          </w:tcPr>
          <w:p w14:paraId="637B1A4A">
            <w:pPr>
              <w:pStyle w:val="19"/>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实质性响应</w:t>
            </w:r>
          </w:p>
        </w:tc>
        <w:tc>
          <w:tcPr>
            <w:tcW w:w="6227" w:type="dxa"/>
            <w:vAlign w:val="center"/>
          </w:tcPr>
          <w:p w14:paraId="0EF6A975">
            <w:pPr>
              <w:pStyle w:val="19"/>
              <w:ind w:right="-73" w:rightChars="-35"/>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是否响应招标文件中实质性条款的要求</w:t>
            </w:r>
          </w:p>
        </w:tc>
      </w:tr>
      <w:tr w14:paraId="4AA4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41" w:type="dxa"/>
            <w:vAlign w:val="center"/>
          </w:tcPr>
          <w:p w14:paraId="40F26513">
            <w:pPr>
              <w:pStyle w:val="19"/>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1663" w:type="dxa"/>
            <w:vAlign w:val="center"/>
          </w:tcPr>
          <w:p w14:paraId="2FCA1F6E">
            <w:pPr>
              <w:pStyle w:val="19"/>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报价合理性</w:t>
            </w:r>
          </w:p>
        </w:tc>
        <w:tc>
          <w:tcPr>
            <w:tcW w:w="6227" w:type="dxa"/>
            <w:vAlign w:val="center"/>
          </w:tcPr>
          <w:p w14:paraId="634B5C90">
            <w:pPr>
              <w:pStyle w:val="19"/>
              <w:ind w:right="-73" w:rightChars="-35"/>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报价合理，或投标人的报价明显低于其他通过符合性审查投标人的报价，有可能影响产品质量或者不能诚信履约的，能够应评标委员会要求在规定时间内证明其报价合理性的</w:t>
            </w:r>
          </w:p>
        </w:tc>
      </w:tr>
      <w:tr w14:paraId="6D4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1" w:type="dxa"/>
            <w:vAlign w:val="center"/>
          </w:tcPr>
          <w:p w14:paraId="5F829D31">
            <w:pPr>
              <w:pStyle w:val="19"/>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1663" w:type="dxa"/>
            <w:vAlign w:val="center"/>
          </w:tcPr>
          <w:p w14:paraId="2600E78B">
            <w:pPr>
              <w:pStyle w:val="19"/>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附加条件</w:t>
            </w:r>
          </w:p>
        </w:tc>
        <w:tc>
          <w:tcPr>
            <w:tcW w:w="6227" w:type="dxa"/>
            <w:vAlign w:val="center"/>
          </w:tcPr>
          <w:p w14:paraId="4B6C0E7D">
            <w:pPr>
              <w:pStyle w:val="19"/>
              <w:ind w:right="-73" w:rightChars="-35"/>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投标文件是否含有采购人不能接受的附加条件的</w:t>
            </w:r>
          </w:p>
        </w:tc>
      </w:tr>
      <w:tr w14:paraId="0122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1" w:type="dxa"/>
            <w:vAlign w:val="center"/>
          </w:tcPr>
          <w:p w14:paraId="5BFA25CE">
            <w:pPr>
              <w:pStyle w:val="19"/>
              <w:ind w:right="-71" w:rightChars="-34"/>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1663" w:type="dxa"/>
            <w:vAlign w:val="center"/>
          </w:tcPr>
          <w:p w14:paraId="4451F768">
            <w:pPr>
              <w:pStyle w:val="19"/>
              <w:ind w:right="65" w:rightChars="31"/>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6227" w:type="dxa"/>
            <w:vAlign w:val="center"/>
          </w:tcPr>
          <w:p w14:paraId="790FA95C">
            <w:pPr>
              <w:pStyle w:val="19"/>
              <w:ind w:right="-73" w:rightChars="-35"/>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投标文件中是否存在违反国家法律、法规和招标文件规定的其他无效情形</w:t>
            </w:r>
          </w:p>
        </w:tc>
      </w:tr>
    </w:tbl>
    <w:p w14:paraId="26A9BFD6">
      <w:pPr>
        <w:pStyle w:val="40"/>
        <w:spacing w:line="440" w:lineRule="exact"/>
        <w:ind w:firstLine="482" w:firstLineChars="200"/>
        <w:rPr>
          <w:rFonts w:hint="eastAsia" w:ascii="宋体" w:hAnsi="宋体" w:eastAsia="宋体" w:cs="宋体"/>
          <w:b/>
          <w:bCs/>
          <w:spacing w:val="0"/>
          <w:kern w:val="2"/>
          <w:sz w:val="24"/>
          <w:szCs w:val="24"/>
          <w:highlight w:val="none"/>
          <w:lang w:val="en-US" w:eastAsia="zh-CN" w:bidi="ar"/>
        </w:rPr>
      </w:pPr>
    </w:p>
    <w:p w14:paraId="7755E0BC">
      <w:pPr>
        <w:pStyle w:val="40"/>
        <w:spacing w:line="440" w:lineRule="exact"/>
        <w:ind w:firstLine="482" w:firstLineChars="200"/>
        <w:rPr>
          <w:rFonts w:hint="eastAsia" w:ascii="宋体" w:hAnsi="宋体" w:eastAsia="宋体" w:cs="宋体"/>
          <w:b/>
          <w:bCs/>
          <w:spacing w:val="0"/>
          <w:kern w:val="2"/>
          <w:sz w:val="24"/>
          <w:szCs w:val="24"/>
          <w:highlight w:val="none"/>
          <w:lang w:bidi="ar"/>
        </w:rPr>
      </w:pPr>
      <w:r>
        <w:rPr>
          <w:rFonts w:hint="eastAsia" w:ascii="宋体" w:hAnsi="宋体" w:eastAsia="宋体" w:cs="宋体"/>
          <w:b/>
          <w:bCs/>
          <w:spacing w:val="0"/>
          <w:kern w:val="2"/>
          <w:sz w:val="24"/>
          <w:szCs w:val="24"/>
          <w:highlight w:val="none"/>
          <w:lang w:val="en-US" w:eastAsia="zh-CN" w:bidi="ar"/>
        </w:rPr>
        <w:t>5、投标文件有关事项的澄清或者说明</w:t>
      </w:r>
    </w:p>
    <w:p w14:paraId="5E8D84BE">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415AE909">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处理。</w:t>
      </w:r>
    </w:p>
    <w:p w14:paraId="65CCEBBD">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bCs/>
          <w:spacing w:val="0"/>
          <w:kern w:val="2"/>
          <w:sz w:val="24"/>
          <w:szCs w:val="24"/>
          <w:highlight w:val="none"/>
          <w:lang w:val="en-US" w:eastAsia="zh-CN" w:bidi="ar"/>
        </w:rPr>
        <w:t>投标无效</w:t>
      </w:r>
      <w:r>
        <w:rPr>
          <w:rFonts w:hint="eastAsia" w:ascii="宋体" w:hAnsi="宋体" w:eastAsia="宋体" w:cs="宋体"/>
          <w:bCs w:val="0"/>
          <w:spacing w:val="0"/>
          <w:kern w:val="2"/>
          <w:sz w:val="24"/>
          <w:szCs w:val="24"/>
          <w:highlight w:val="none"/>
          <w:lang w:val="en-US" w:eastAsia="zh-CN" w:bidi="ar"/>
        </w:rPr>
        <w:t>。</w:t>
      </w:r>
    </w:p>
    <w:p w14:paraId="0EF9F589">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5.4评标委员会不接受投标人主动提出的澄清、说明或补正。</w:t>
      </w:r>
    </w:p>
    <w:p w14:paraId="2429C131">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5.5评标委员会对投标人提交的澄清、说明或补正有疑问的，可以要求投标人进一步澄清、说明或补正。</w:t>
      </w:r>
    </w:p>
    <w:p w14:paraId="032A7C0B">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5.6对报价的计算错误按以下原则修正：</w:t>
      </w:r>
    </w:p>
    <w:p w14:paraId="3A6BF451">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59088F3E">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5.6.2大写金额和小写金额不一致的，以大写金额为准；</w:t>
      </w:r>
    </w:p>
    <w:p w14:paraId="3A1E25C7">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5.6.3单价金额小数点或者百分比有明显错位的，以开标一览表的总价为准，并修改单价。</w:t>
      </w:r>
    </w:p>
    <w:p w14:paraId="0B3EBB9C">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5.6.4总价金额与按单价汇总金额不一致的，以单价金额计算结果为准。但是单价金额计算结果超过预算金额/最高限价的，对其按</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处理。</w:t>
      </w:r>
    </w:p>
    <w:p w14:paraId="24570325">
      <w:pPr>
        <w:pStyle w:val="40"/>
        <w:spacing w:line="440" w:lineRule="exact"/>
        <w:ind w:firstLine="480" w:firstLineChars="200"/>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val="en-US" w:eastAsia="zh-CN"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宋体" w:hAnsi="宋体" w:eastAsia="宋体" w:cs="宋体"/>
          <w:b/>
          <w:bCs/>
          <w:spacing w:val="0"/>
          <w:kern w:val="2"/>
          <w:sz w:val="24"/>
          <w:szCs w:val="24"/>
          <w:highlight w:val="none"/>
          <w:lang w:val="en-US" w:eastAsia="zh-CN" w:bidi="ar"/>
        </w:rPr>
        <w:t>投标无效</w:t>
      </w:r>
      <w:r>
        <w:rPr>
          <w:rFonts w:hint="eastAsia" w:ascii="宋体" w:hAnsi="宋体" w:eastAsia="宋体" w:cs="宋体"/>
          <w:bCs w:val="0"/>
          <w:spacing w:val="0"/>
          <w:kern w:val="2"/>
          <w:sz w:val="24"/>
          <w:szCs w:val="24"/>
          <w:highlight w:val="none"/>
          <w:lang w:val="en-US" w:eastAsia="zh-CN" w:bidi="ar"/>
        </w:rPr>
        <w:t>。</w:t>
      </w:r>
    </w:p>
    <w:p w14:paraId="65B0524F">
      <w:pPr>
        <w:pStyle w:val="40"/>
        <w:spacing w:line="440" w:lineRule="exact"/>
        <w:ind w:firstLine="482" w:firstLineChars="200"/>
        <w:rPr>
          <w:rFonts w:hint="eastAsia" w:ascii="宋体" w:hAnsi="宋体" w:eastAsia="宋体" w:cs="宋体"/>
          <w:b/>
          <w:bCs/>
          <w:spacing w:val="0"/>
          <w:kern w:val="2"/>
          <w:sz w:val="24"/>
          <w:szCs w:val="24"/>
          <w:highlight w:val="none"/>
          <w:lang w:val="en-US" w:eastAsia="zh-CN" w:bidi="ar"/>
        </w:rPr>
      </w:pPr>
      <w:r>
        <w:rPr>
          <w:rFonts w:hint="eastAsia" w:ascii="宋体" w:hAnsi="宋体" w:eastAsia="宋体" w:cs="宋体"/>
          <w:b/>
          <w:bCs/>
          <w:spacing w:val="0"/>
          <w:kern w:val="2"/>
          <w:sz w:val="24"/>
          <w:szCs w:val="24"/>
          <w:highlight w:val="none"/>
          <w:lang w:val="en-US" w:eastAsia="zh-CN" w:bidi="ar"/>
        </w:rPr>
        <w:t>6.详细评审</w:t>
      </w:r>
    </w:p>
    <w:p w14:paraId="654B5DAD">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经资格审查和符合性审查合格的投标文件，评标委员会将根据《详细评审标准》，对其技术部分、商务部分及报价部分作进一步的综合比较和评价。详细评审标准如下：</w:t>
      </w:r>
    </w:p>
    <w:p w14:paraId="0CB38428">
      <w:pPr>
        <w:pStyle w:val="40"/>
        <w:spacing w:line="440" w:lineRule="exact"/>
        <w:jc w:val="center"/>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详细评审</w:t>
      </w:r>
    </w:p>
    <w:tbl>
      <w:tblPr>
        <w:tblStyle w:val="27"/>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81"/>
        <w:gridCol w:w="4998"/>
      </w:tblGrid>
      <w:tr w14:paraId="252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shd w:val="clear" w:color="auto" w:fill="auto"/>
            <w:vAlign w:val="center"/>
          </w:tcPr>
          <w:p w14:paraId="3812A34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价格部分</w:t>
            </w:r>
          </w:p>
          <w:p w14:paraId="2E6CC35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w:t>
            </w:r>
          </w:p>
        </w:tc>
        <w:tc>
          <w:tcPr>
            <w:tcW w:w="2181" w:type="dxa"/>
            <w:shd w:val="clear" w:color="auto" w:fill="auto"/>
            <w:vAlign w:val="center"/>
          </w:tcPr>
          <w:p w14:paraId="6B1E3CE2">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价格部分</w:t>
            </w:r>
          </w:p>
          <w:p w14:paraId="213AD95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w:t>
            </w:r>
          </w:p>
        </w:tc>
        <w:tc>
          <w:tcPr>
            <w:tcW w:w="4998" w:type="dxa"/>
            <w:shd w:val="clear" w:color="auto" w:fill="auto"/>
          </w:tcPr>
          <w:p w14:paraId="6C65FAFF">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满足招标文件要求且最终价格最低的报价为评标基准价，其价格分为满分</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0分。其他供应商的价格分统一按照下列公式计算：</w:t>
            </w:r>
          </w:p>
          <w:p w14:paraId="25AA2AE3">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报价得分=(评标基准价／最终报价)×</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0</w:t>
            </w:r>
          </w:p>
          <w:p w14:paraId="721C7270">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特别提示：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BFC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restart"/>
            <w:shd w:val="clear" w:color="auto" w:fill="auto"/>
            <w:vAlign w:val="center"/>
          </w:tcPr>
          <w:p w14:paraId="395C8DF0">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商务部分</w:t>
            </w:r>
          </w:p>
          <w:p w14:paraId="471ADA51">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w:t>
            </w:r>
            <w:r>
              <w:rPr>
                <w:rFonts w:hint="default"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2181" w:type="dxa"/>
            <w:shd w:val="clear" w:color="auto" w:fill="auto"/>
            <w:vAlign w:val="center"/>
          </w:tcPr>
          <w:p w14:paraId="294F15E0">
            <w:pPr>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质量体系认证情况</w:t>
            </w:r>
          </w:p>
          <w:p w14:paraId="5B86022F">
            <w:pPr>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top"/>
          </w:tcPr>
          <w:p w14:paraId="07BE56DC">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投标人或生产厂家具有有效的 ISO9001 质量管理体系认证证书，得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分，提供证书复印件，不提供不得分。</w:t>
            </w:r>
          </w:p>
          <w:p w14:paraId="6EB6027E">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投标人或生产厂商具有有效的ISO/IEC 20000服务管理体系认证证书，得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分，提供证书复印件，不提供不得分。</w:t>
            </w:r>
          </w:p>
          <w:p w14:paraId="20B5B18C">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投标人或生产厂商具有有效的</w:t>
            </w:r>
            <w:r>
              <w:rPr>
                <w:rFonts w:hint="eastAsia" w:asciiTheme="minorEastAsia" w:hAnsiTheme="minorEastAsia" w:eastAsiaTheme="minorEastAsia" w:cstheme="minorEastAsia"/>
                <w:sz w:val="21"/>
                <w:szCs w:val="21"/>
                <w:highlight w:val="none"/>
                <w:lang w:eastAsia="zh-CN" w:bidi="ar"/>
              </w:rPr>
              <w:t xml:space="preserve"> ISO27</w:t>
            </w:r>
            <w:r>
              <w:rPr>
                <w:rFonts w:hint="default" w:asciiTheme="minorEastAsia" w:hAnsiTheme="minorEastAsia" w:eastAsiaTheme="minorEastAsia" w:cstheme="minorEastAsia"/>
                <w:sz w:val="21"/>
                <w:szCs w:val="21"/>
                <w:highlight w:val="none"/>
                <w:lang w:val="en-US" w:eastAsia="zh-CN" w:bidi="ar"/>
              </w:rPr>
              <w:t>0</w:t>
            </w:r>
            <w:r>
              <w:rPr>
                <w:rFonts w:hint="eastAsia" w:asciiTheme="minorEastAsia" w:hAnsiTheme="minorEastAsia" w:eastAsiaTheme="minorEastAsia" w:cstheme="minorEastAsia"/>
                <w:sz w:val="21"/>
                <w:szCs w:val="21"/>
                <w:highlight w:val="none"/>
                <w:lang w:eastAsia="zh-CN" w:bidi="ar"/>
              </w:rPr>
              <w:t>0</w:t>
            </w:r>
            <w:r>
              <w:rPr>
                <w:rFonts w:hint="default" w:asciiTheme="minorEastAsia" w:hAnsiTheme="minorEastAsia" w:eastAsiaTheme="minorEastAsia" w:cstheme="minorEastAsia"/>
                <w:sz w:val="21"/>
                <w:szCs w:val="21"/>
                <w:highlight w:val="none"/>
                <w:lang w:val="en-US" w:eastAsia="zh-CN" w:bidi="ar"/>
              </w:rPr>
              <w:t>0</w:t>
            </w:r>
            <w:r>
              <w:rPr>
                <w:rFonts w:hint="eastAsia" w:asciiTheme="minorEastAsia" w:hAnsiTheme="minorEastAsia" w:eastAsiaTheme="minorEastAsia" w:cstheme="minorEastAsia"/>
                <w:sz w:val="21"/>
                <w:szCs w:val="21"/>
                <w:highlight w:val="none"/>
                <w:lang w:eastAsia="zh-CN" w:bidi="ar"/>
              </w:rPr>
              <w:t>信息安全管理体系认证证书，得</w:t>
            </w:r>
            <w:r>
              <w:rPr>
                <w:rFonts w:hint="eastAsia" w:asciiTheme="minorEastAsia" w:hAnsiTheme="minorEastAsia" w:eastAsiaTheme="minorEastAsia" w:cstheme="minorEastAsia"/>
                <w:sz w:val="21"/>
                <w:szCs w:val="21"/>
                <w:highlight w:val="none"/>
                <w:lang w:val="en-US" w:eastAsia="zh-CN" w:bidi="ar"/>
              </w:rPr>
              <w:t>1</w:t>
            </w:r>
            <w:r>
              <w:rPr>
                <w:rFonts w:hint="eastAsia" w:asciiTheme="minorEastAsia" w:hAnsiTheme="minorEastAsia" w:eastAsiaTheme="minorEastAsia" w:cstheme="minorEastAsia"/>
                <w:sz w:val="21"/>
                <w:szCs w:val="21"/>
                <w:highlight w:val="none"/>
                <w:lang w:eastAsia="zh-CN" w:bidi="ar"/>
              </w:rPr>
              <w:t>分，</w:t>
            </w:r>
            <w:r>
              <w:rPr>
                <w:rFonts w:hint="eastAsia" w:asciiTheme="minorEastAsia" w:hAnsiTheme="minorEastAsia" w:eastAsiaTheme="minorEastAsia" w:cstheme="minorEastAsia"/>
                <w:sz w:val="21"/>
                <w:szCs w:val="21"/>
                <w:highlight w:val="none"/>
                <w:lang w:eastAsia="zh-CN"/>
              </w:rPr>
              <w:t>提供证书复印件，不提供不得分。</w:t>
            </w:r>
          </w:p>
          <w:p w14:paraId="7F72786F">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投标人或生产厂商具有有效的ITSS信息技术服务运行维护标准成熟度证书，得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分，提供证书复印件，未提供的不得分。</w:t>
            </w:r>
          </w:p>
        </w:tc>
      </w:tr>
      <w:tr w14:paraId="529A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1166DDC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2D6FEAEE">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国产符合性、适配性</w:t>
            </w:r>
            <w:r>
              <w:rPr>
                <w:rFonts w:hint="eastAsia" w:asciiTheme="minorEastAsia" w:hAnsiTheme="minorEastAsia" w:eastAsiaTheme="minorEastAsia" w:cstheme="minorEastAsia"/>
                <w:sz w:val="21"/>
                <w:szCs w:val="21"/>
                <w:highlight w:val="none"/>
                <w:lang w:val="en-US" w:eastAsia="zh-CN"/>
              </w:rPr>
              <w:t>及安全性</w:t>
            </w:r>
          </w:p>
          <w:p w14:paraId="570B013A">
            <w:pPr>
              <w:pStyle w:val="10"/>
              <w:ind w:left="0" w:leftChars="0" w:firstLine="0" w:firstLineChar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center"/>
          </w:tcPr>
          <w:p w14:paraId="46ABDB11">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国产化适配：</w:t>
            </w:r>
            <w:r>
              <w:rPr>
                <w:rFonts w:hint="eastAsia" w:asciiTheme="minorEastAsia" w:hAnsiTheme="minorEastAsia" w:eastAsiaTheme="minorEastAsia" w:cstheme="minorEastAsia"/>
                <w:sz w:val="21"/>
                <w:szCs w:val="21"/>
                <w:highlight w:val="none"/>
                <w:lang w:val="en-US" w:eastAsia="zh-CN"/>
              </w:rPr>
              <w:t>本次项目涉及的</w:t>
            </w:r>
            <w:r>
              <w:rPr>
                <w:rFonts w:hint="eastAsia" w:asciiTheme="minorEastAsia" w:hAnsiTheme="minorEastAsia" w:eastAsiaTheme="minorEastAsia" w:cstheme="minorEastAsia"/>
                <w:sz w:val="21"/>
                <w:szCs w:val="21"/>
                <w:highlight w:val="none"/>
                <w:lang w:eastAsia="zh-CN"/>
              </w:rPr>
              <w:t>产品投标人或生产厂家可支持国产服务器操作系统、国产数据库、</w:t>
            </w:r>
            <w:r>
              <w:rPr>
                <w:rFonts w:hint="eastAsia" w:asciiTheme="minorEastAsia" w:hAnsiTheme="minorEastAsia" w:eastAsiaTheme="minorEastAsia" w:cstheme="minorEastAsia"/>
                <w:sz w:val="21"/>
                <w:szCs w:val="21"/>
                <w:highlight w:val="none"/>
                <w:lang w:val="en-US" w:eastAsia="zh-CN"/>
              </w:rPr>
              <w:t>国产中间件</w:t>
            </w:r>
            <w:r>
              <w:rPr>
                <w:rFonts w:hint="eastAsia" w:asciiTheme="minorEastAsia" w:hAnsiTheme="minorEastAsia" w:eastAsiaTheme="minorEastAsia" w:cstheme="minorEastAsia"/>
                <w:sz w:val="21"/>
                <w:szCs w:val="21"/>
                <w:highlight w:val="none"/>
                <w:lang w:eastAsia="zh-CN"/>
              </w:rPr>
              <w:t xml:space="preserve">、国产桌面浏览器、国产桌面操作系统。 </w:t>
            </w:r>
          </w:p>
          <w:p w14:paraId="17C7874F">
            <w:pPr>
              <w:keepNext w:val="0"/>
              <w:keepLines w:val="0"/>
              <w:pageBreakBefore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注：需提供适配测试证明材料，提供上述5种完整适配测试报告的得5分；</w:t>
            </w:r>
            <w:r>
              <w:rPr>
                <w:rFonts w:hint="eastAsia" w:asciiTheme="minorEastAsia" w:hAnsiTheme="minorEastAsia" w:eastAsiaTheme="minorEastAsia" w:cstheme="minorEastAsia"/>
                <w:sz w:val="21"/>
                <w:szCs w:val="21"/>
                <w:highlight w:val="none"/>
                <w:lang w:val="en-US" w:eastAsia="zh-CN"/>
              </w:rPr>
              <w:t>少一项扣一分，扣完为止；不提供不得分。</w:t>
            </w:r>
          </w:p>
        </w:tc>
      </w:tr>
      <w:tr w14:paraId="3E3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1D108C4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4A2D4C62">
            <w:pPr>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类似项目经验</w:t>
            </w:r>
          </w:p>
          <w:p w14:paraId="11AA5C4F">
            <w:pPr>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center"/>
          </w:tcPr>
          <w:p w14:paraId="4F970C4B">
            <w:pPr>
              <w:spacing w:line="36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highlight w:val="none"/>
                <w:lang w:eastAsia="zh-CN"/>
              </w:rPr>
              <w:t>投标人或生产厂家提供</w:t>
            </w:r>
            <w:r>
              <w:rPr>
                <w:rFonts w:hint="eastAsia" w:asciiTheme="minorEastAsia" w:hAnsiTheme="minorEastAsia" w:eastAsiaTheme="minorEastAsia" w:cstheme="minorEastAsia"/>
                <w:sz w:val="21"/>
                <w:szCs w:val="21"/>
                <w:highlight w:val="none"/>
                <w:lang w:val="en-US" w:eastAsia="zh-CN"/>
              </w:rPr>
              <w:t>近三年</w:t>
            </w:r>
            <w:r>
              <w:rPr>
                <w:rFonts w:hint="eastAsia" w:asciiTheme="minorEastAsia" w:hAnsiTheme="minorEastAsia" w:eastAsiaTheme="minorEastAsia" w:cstheme="minorEastAsia"/>
                <w:sz w:val="21"/>
                <w:szCs w:val="21"/>
                <w:highlight w:val="none"/>
                <w:lang w:eastAsia="zh-CN"/>
              </w:rPr>
              <w:t>类似软件系统项目的业绩证明，附中标通知书、合同及验收报告。每个得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分，最高得</w:t>
            </w:r>
            <w:r>
              <w:rPr>
                <w:rFonts w:hint="default"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分，未提供得0分。</w:t>
            </w:r>
          </w:p>
        </w:tc>
      </w:tr>
      <w:tr w14:paraId="0339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49600172">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79F266DD">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电子病历水平分级测评建设能力</w:t>
            </w:r>
          </w:p>
          <w:p w14:paraId="6624B577">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default" w:asciiTheme="minorEastAsia" w:hAnsiTheme="minorEastAsia" w:eastAsiaTheme="minorEastAsia" w:cstheme="minorEastAsia"/>
                <w:sz w:val="21"/>
                <w:szCs w:val="21"/>
                <w:highlight w:val="none"/>
                <w:lang w:val="en-US"/>
              </w:rPr>
              <w:t>5</w:t>
            </w:r>
            <w:r>
              <w:rPr>
                <w:rFonts w:hint="eastAsia" w:asciiTheme="minorEastAsia" w:hAnsiTheme="minorEastAsia" w:eastAsiaTheme="minorEastAsia" w:cstheme="minorEastAsia"/>
                <w:sz w:val="21"/>
                <w:szCs w:val="21"/>
                <w:highlight w:val="none"/>
              </w:rPr>
              <w:t>分）</w:t>
            </w:r>
          </w:p>
        </w:tc>
        <w:tc>
          <w:tcPr>
            <w:tcW w:w="4998" w:type="dxa"/>
            <w:shd w:val="clear" w:color="auto" w:fill="auto"/>
            <w:vAlign w:val="top"/>
          </w:tcPr>
          <w:p w14:paraId="1C2625A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投标人或生产厂商提供2020年1月1日以后支持的电子病历五级或以上成功案例，每个得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分，最高得</w:t>
            </w:r>
            <w:r>
              <w:rPr>
                <w:rFonts w:hint="default"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分，未提供得0分。案例证明应提供医院通过电子病历评级证明材料和投标人或生产厂商与用户签署的</w:t>
            </w:r>
            <w:r>
              <w:rPr>
                <w:rFonts w:hint="eastAsia" w:asciiTheme="minorEastAsia" w:hAnsiTheme="minorEastAsia" w:eastAsiaTheme="minorEastAsia" w:cstheme="minorEastAsia"/>
                <w:sz w:val="21"/>
                <w:szCs w:val="21"/>
                <w:highlight w:val="none"/>
                <w:lang w:val="en-US" w:eastAsia="zh-CN"/>
              </w:rPr>
              <w:t>医疗软件</w:t>
            </w:r>
            <w:r>
              <w:rPr>
                <w:rFonts w:hint="eastAsia" w:asciiTheme="minorEastAsia" w:hAnsiTheme="minorEastAsia" w:eastAsiaTheme="minorEastAsia" w:cstheme="minorEastAsia"/>
                <w:sz w:val="21"/>
                <w:szCs w:val="21"/>
                <w:highlight w:val="none"/>
                <w:lang w:eastAsia="zh-CN"/>
              </w:rPr>
              <w:t>建设合同（至少包含：首页、服务内容页以及签字盖章页）复印件，未提供视为无效案例。</w:t>
            </w:r>
          </w:p>
        </w:tc>
      </w:tr>
      <w:tr w14:paraId="48DE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02E1041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20BB73EB">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医院信息互联互通测评建设能力</w:t>
            </w:r>
          </w:p>
          <w:p w14:paraId="2C2C5DC1">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tcPr>
          <w:p w14:paraId="11B0FE7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依据《国家医疗健康信息区域信息互联互通标准化成熟度测评方案》以及项目实际发展要求，投标人或生产厂商提供2020年1月1日以后通过《国家医疗健康信息互联互通标准化成熟度评测》的案例：</w:t>
            </w:r>
          </w:p>
          <w:p w14:paraId="031A62E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1.通过院内互联互通五级乙等及以上测评的，提供1个案例得1分，本项最高得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分；</w:t>
            </w:r>
          </w:p>
          <w:p w14:paraId="7E9F215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2.通过院内互联互通四级甲等测评的，每提供1个案例得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分，本项最高得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w:t>
            </w:r>
          </w:p>
          <w:p w14:paraId="05EBE877">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3.通过区域互联互通四级甲等测评的，提供1个案例得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分；本项最高得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w:t>
            </w:r>
          </w:p>
          <w:p w14:paraId="488E524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说明：须提供用户测评通过证明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以及与用户</w:t>
            </w:r>
            <w:r>
              <w:rPr>
                <w:rFonts w:hint="eastAsia" w:asciiTheme="minorEastAsia" w:hAnsiTheme="minorEastAsia" w:eastAsiaTheme="minorEastAsia" w:cstheme="minorEastAsia"/>
                <w:sz w:val="21"/>
                <w:szCs w:val="21"/>
                <w:highlight w:val="none"/>
                <w:lang w:eastAsia="zh-CN"/>
              </w:rPr>
              <w:t>签署的</w:t>
            </w:r>
            <w:r>
              <w:rPr>
                <w:rFonts w:hint="eastAsia" w:asciiTheme="minorEastAsia" w:hAnsiTheme="minorEastAsia" w:eastAsiaTheme="minorEastAsia" w:cstheme="minorEastAsia"/>
                <w:sz w:val="21"/>
                <w:szCs w:val="21"/>
                <w:highlight w:val="none"/>
                <w:lang w:val="en-US" w:eastAsia="zh-CN"/>
              </w:rPr>
              <w:t>医疗软件</w:t>
            </w:r>
            <w:r>
              <w:rPr>
                <w:rFonts w:hint="eastAsia" w:asciiTheme="minorEastAsia" w:hAnsiTheme="minorEastAsia" w:eastAsiaTheme="minorEastAsia" w:cstheme="minorEastAsia"/>
                <w:sz w:val="21"/>
                <w:szCs w:val="21"/>
                <w:highlight w:val="none"/>
                <w:lang w:eastAsia="zh-CN"/>
              </w:rPr>
              <w:t>建设合同</w:t>
            </w:r>
            <w:r>
              <w:rPr>
                <w:rFonts w:hint="eastAsia" w:asciiTheme="minorEastAsia" w:hAnsiTheme="minorEastAsia" w:eastAsiaTheme="minorEastAsia" w:cstheme="minorEastAsia"/>
                <w:sz w:val="21"/>
                <w:szCs w:val="21"/>
                <w:highlight w:val="none"/>
              </w:rPr>
              <w:t>的原件扫描件作为证明材料</w:t>
            </w:r>
            <w:r>
              <w:rPr>
                <w:rFonts w:hint="eastAsia" w:asciiTheme="minorEastAsia" w:hAnsiTheme="minorEastAsia" w:eastAsiaTheme="minorEastAsia" w:cstheme="minorEastAsia"/>
                <w:sz w:val="21"/>
                <w:szCs w:val="21"/>
                <w:highlight w:val="none"/>
                <w:lang w:eastAsia="zh-CN"/>
              </w:rPr>
              <w:t>，未提供</w:t>
            </w:r>
            <w:r>
              <w:rPr>
                <w:rFonts w:hint="eastAsia" w:asciiTheme="minorEastAsia" w:hAnsiTheme="minorEastAsia" w:eastAsiaTheme="minorEastAsia" w:cstheme="minorEastAsia"/>
                <w:sz w:val="21"/>
                <w:szCs w:val="21"/>
                <w:highlight w:val="none"/>
                <w:lang w:val="en-US" w:eastAsia="zh-CN"/>
              </w:rPr>
              <w:t>不得分</w:t>
            </w:r>
            <w:r>
              <w:rPr>
                <w:rFonts w:hint="eastAsia" w:asciiTheme="minorEastAsia" w:hAnsiTheme="minorEastAsia" w:eastAsiaTheme="minorEastAsia" w:cstheme="minorEastAsia"/>
                <w:sz w:val="21"/>
                <w:szCs w:val="21"/>
                <w:highlight w:val="none"/>
                <w:lang w:eastAsia="zh-CN"/>
              </w:rPr>
              <w:t>。</w:t>
            </w:r>
          </w:p>
        </w:tc>
      </w:tr>
      <w:tr w14:paraId="7FB5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48CC3B9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7E89D06F">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著作权</w:t>
            </w:r>
            <w:r>
              <w:rPr>
                <w:rFonts w:hint="eastAsia" w:asciiTheme="minorEastAsia" w:hAnsiTheme="minorEastAsia" w:eastAsiaTheme="minorEastAsia" w:cstheme="minorEastAsia"/>
                <w:sz w:val="21"/>
                <w:szCs w:val="21"/>
                <w:highlight w:val="none"/>
                <w:lang w:eastAsia="zh-CN"/>
              </w:rPr>
              <w:t>情况评价</w:t>
            </w:r>
          </w:p>
          <w:p w14:paraId="19A57198">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default" w:asciiTheme="minorEastAsia" w:hAnsiTheme="minorEastAsia" w:eastAsiaTheme="minorEastAsia" w:cstheme="minorEastAsia"/>
                <w:sz w:val="21"/>
                <w:szCs w:val="21"/>
                <w:highlight w:val="none"/>
                <w:lang w:val="en-US"/>
              </w:rPr>
              <w:t>6</w:t>
            </w:r>
            <w:r>
              <w:rPr>
                <w:rFonts w:hint="eastAsia" w:asciiTheme="minorEastAsia" w:hAnsiTheme="minorEastAsia" w:eastAsiaTheme="minorEastAsia" w:cstheme="minorEastAsia"/>
                <w:sz w:val="21"/>
                <w:szCs w:val="21"/>
                <w:highlight w:val="none"/>
              </w:rPr>
              <w:t>分）</w:t>
            </w:r>
          </w:p>
        </w:tc>
        <w:tc>
          <w:tcPr>
            <w:tcW w:w="4998" w:type="dxa"/>
            <w:shd w:val="clear" w:color="auto" w:fill="auto"/>
          </w:tcPr>
          <w:p w14:paraId="4247858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按照国家相关规定及招标文件要求，针对采购人未来医院评审及重点科室建设需要，提升采购人医疗质量管理及临床重点科室水平，投标人或生产厂商需提供具有包括以下关键字样的软件著作权证书：  </w:t>
            </w:r>
          </w:p>
          <w:p w14:paraId="72E302F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合理用药干预系统、智能审方系统、药师临床辅助决策管理系统、区域审方系统、危急值预警管理系统、移动护理系统、护理管理系统、环境卫生学专家系统、通用治疗系统、</w:t>
            </w:r>
            <w:r>
              <w:rPr>
                <w:rFonts w:hint="default" w:asciiTheme="minorEastAsia" w:hAnsiTheme="minorEastAsia" w:eastAsiaTheme="minorEastAsia" w:cstheme="minorEastAsia"/>
                <w:sz w:val="21"/>
                <w:szCs w:val="21"/>
                <w:highlight w:val="none"/>
                <w:lang w:val="en-US" w:eastAsia="zh-CN"/>
              </w:rPr>
              <w:t>VTE</w:t>
            </w:r>
            <w:r>
              <w:rPr>
                <w:rFonts w:hint="eastAsia" w:asciiTheme="minorEastAsia" w:hAnsiTheme="minorEastAsia" w:eastAsiaTheme="minorEastAsia" w:cstheme="minorEastAsia"/>
                <w:sz w:val="21"/>
                <w:szCs w:val="21"/>
                <w:highlight w:val="none"/>
                <w:lang w:val="en-US" w:eastAsia="zh-CN"/>
              </w:rPr>
              <w:t>防治管理系统、临床预警支持系统、卫生综合统计系统、智能风险评估系统、等级评审指标分析平台、医院医疗质量监测分析系统</w:t>
            </w:r>
          </w:p>
          <w:p w14:paraId="36B5772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highlight w:val="none"/>
                <w:lang w:eastAsia="zh-CN"/>
              </w:rPr>
              <w:t>注：软件著作权名称可以不完全一致，但著作权名称的关键字样必须一致，关键字样不一致的不得分，应提供著作权原件的复印件。</w:t>
            </w:r>
          </w:p>
          <w:p w14:paraId="62EAA341">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color w:val="auto"/>
                <w:sz w:val="24"/>
                <w:szCs w:val="24"/>
                <w:highlight w:val="none"/>
                <w:lang w:eastAsia="zh-CN"/>
              </w:rPr>
              <w:t>每满足一项得0.5分，最高得6分。未提供或提供的不符合要求的不得分。</w:t>
            </w:r>
          </w:p>
        </w:tc>
      </w:tr>
      <w:tr w14:paraId="1B56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restart"/>
            <w:shd w:val="clear" w:color="auto" w:fill="auto"/>
            <w:vAlign w:val="center"/>
          </w:tcPr>
          <w:p w14:paraId="16CB95A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p>
          <w:p w14:paraId="03661A6F">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6</w:t>
            </w:r>
            <w:r>
              <w:rPr>
                <w:rFonts w:hint="default"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tc>
        <w:tc>
          <w:tcPr>
            <w:tcW w:w="2181" w:type="dxa"/>
            <w:shd w:val="clear" w:color="auto" w:fill="auto"/>
            <w:vAlign w:val="center"/>
          </w:tcPr>
          <w:p w14:paraId="7B99975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整体方案响应情况</w:t>
            </w:r>
          </w:p>
          <w:p w14:paraId="54AA1285">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tc>
        <w:tc>
          <w:tcPr>
            <w:tcW w:w="4998" w:type="dxa"/>
            <w:shd w:val="clear" w:color="auto" w:fill="auto"/>
          </w:tcPr>
          <w:p w14:paraId="1690062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投标人按招标文件要求，设计整体解决方案，根据系统整体设计思想、方案响应情况评分。</w:t>
            </w:r>
          </w:p>
          <w:p w14:paraId="356C7C32">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方案的完整性：方案应涵盖软件系统的功能需求、技术架构、数据安全、性能指标等方面，内容完整、详细、清晰。</w:t>
            </w:r>
          </w:p>
          <w:p w14:paraId="35E19667">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方案的合理性：技术方案应符合项目的实际需求，具有可行性和可操作性，技术路线先进、成熟、稳定。</w:t>
            </w:r>
          </w:p>
          <w:p w14:paraId="708CC9C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功能易用性：软件系统的操作界面应简洁、直观、易用，用户能够快速上手，提高工作效率。</w:t>
            </w:r>
          </w:p>
          <w:p w14:paraId="47FD341F">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功能扩展性：软件系统应具有良好的扩展性，能够方便地进行功能升级和扩展，以满足未来业务发展的需求。</w:t>
            </w:r>
          </w:p>
          <w:p w14:paraId="4E603AFD">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稳定性：软件系统应具有良好的稳定性，能够在长时间运行中保持稳定，不出现故障和错误。</w:t>
            </w:r>
          </w:p>
          <w:p w14:paraId="023E269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安全性：软件系统应具有良好的安全性，能够保障数据的安全和隐私，防止数据泄露和篡改。</w:t>
            </w:r>
          </w:p>
          <w:p w14:paraId="77F6600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对招标文件要求的每有一个缺项或者缺陷描述扣1分，共</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分，扣完为止。</w:t>
            </w:r>
          </w:p>
        </w:tc>
      </w:tr>
      <w:tr w14:paraId="2A6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236" w:type="dxa"/>
            <w:vMerge w:val="continue"/>
            <w:shd w:val="clear" w:color="auto" w:fill="auto"/>
            <w:vAlign w:val="center"/>
          </w:tcPr>
          <w:p w14:paraId="495168E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0BA8431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本项目</w:t>
            </w:r>
            <w:r>
              <w:rPr>
                <w:rFonts w:hint="eastAsia" w:asciiTheme="minorEastAsia" w:hAnsiTheme="minorEastAsia" w:eastAsiaTheme="minorEastAsia" w:cstheme="minorEastAsia"/>
                <w:color w:val="auto"/>
                <w:sz w:val="21"/>
                <w:szCs w:val="21"/>
                <w:highlight w:val="none"/>
                <w:lang w:eastAsia="zh-CN"/>
              </w:rPr>
              <w:t>技术响应情况</w:t>
            </w: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center"/>
          </w:tcPr>
          <w:p w14:paraId="31935E5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sz w:val="21"/>
                <w:szCs w:val="21"/>
                <w:highlight w:val="none"/>
                <w:lang w:eastAsia="zh-CN"/>
              </w:rPr>
              <w:t>对招标文件中所有系统要求进行如实响应，</w:t>
            </w:r>
            <w:r>
              <w:rPr>
                <w:rFonts w:hint="eastAsia" w:ascii="宋体" w:hAnsi="宋体" w:eastAsia="宋体" w:cs="宋体"/>
                <w:color w:val="auto"/>
                <w:sz w:val="21"/>
                <w:szCs w:val="21"/>
                <w:highlight w:val="none"/>
              </w:rPr>
              <w:t>所有技术参数均满足招标文件要求得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val="en-US" w:eastAsia="zh-CN"/>
              </w:rPr>
              <w:t>技术文件中标注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的技术参数项，</w:t>
            </w:r>
            <w:r>
              <w:rPr>
                <w:rFonts w:hint="eastAsia" w:ascii="宋体" w:hAnsi="宋体" w:eastAsia="宋体" w:cs="宋体"/>
                <w:color w:val="auto"/>
                <w:sz w:val="21"/>
                <w:szCs w:val="21"/>
                <w:highlight w:val="none"/>
              </w:rPr>
              <w:t>每有一项技术参数</w:t>
            </w:r>
            <w:r>
              <w:rPr>
                <w:rFonts w:hint="eastAsia" w:ascii="宋体" w:hAnsi="宋体" w:eastAsia="宋体" w:cs="宋体"/>
                <w:color w:val="auto"/>
                <w:sz w:val="21"/>
                <w:szCs w:val="21"/>
                <w:highlight w:val="none"/>
                <w:lang w:val="en-US" w:eastAsia="zh-CN"/>
              </w:rPr>
              <w:t>不满足</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非</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项，每有一项技术参数不满足扣0.5分，</w:t>
            </w:r>
            <w:r>
              <w:rPr>
                <w:rFonts w:hint="eastAsia" w:ascii="宋体" w:hAnsi="宋体" w:eastAsia="宋体" w:cs="宋体"/>
                <w:color w:val="auto"/>
                <w:sz w:val="21"/>
                <w:szCs w:val="21"/>
                <w:highlight w:val="none"/>
              </w:rPr>
              <w:t>扣完为止。</w:t>
            </w:r>
          </w:p>
        </w:tc>
      </w:tr>
      <w:tr w14:paraId="479D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236" w:type="dxa"/>
            <w:vMerge w:val="continue"/>
            <w:shd w:val="clear" w:color="auto" w:fill="auto"/>
            <w:vAlign w:val="center"/>
          </w:tcPr>
          <w:p w14:paraId="5019ECB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4E500C9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系统对接设计方案</w:t>
            </w:r>
          </w:p>
          <w:p w14:paraId="1DAB5F2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center"/>
          </w:tcPr>
          <w:p w14:paraId="573205BA">
            <w:pPr>
              <w:keepNext w:val="0"/>
              <w:keepLines w:val="0"/>
              <w:pageBreakBefore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请详细阐述本次招标内容与院内HIS、电子病历、LIS、PACS等系统的对接可行性，要求实现数据和业务对接，达到国家互联互通成熟度四级甲等的标准。全部满足得</w:t>
            </w:r>
            <w:r>
              <w:rPr>
                <w:rFonts w:hint="default"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分，任意一项不满足得</w:t>
            </w:r>
            <w:r>
              <w:rPr>
                <w:rFonts w:hint="default"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lang w:val="en-US" w:eastAsia="zh-CN"/>
              </w:rPr>
              <w:t>分。</w:t>
            </w:r>
          </w:p>
        </w:tc>
      </w:tr>
      <w:tr w14:paraId="11A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36" w:type="dxa"/>
            <w:vMerge w:val="continue"/>
            <w:shd w:val="clear" w:color="auto" w:fill="auto"/>
            <w:vAlign w:val="center"/>
          </w:tcPr>
          <w:p w14:paraId="6AFFAE4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303D093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系统</w:t>
            </w:r>
            <w:r>
              <w:rPr>
                <w:rFonts w:hint="eastAsia" w:asciiTheme="minorEastAsia" w:hAnsiTheme="minorEastAsia" w:eastAsiaTheme="minorEastAsia" w:cstheme="minorEastAsia"/>
                <w:sz w:val="21"/>
                <w:szCs w:val="21"/>
                <w:highlight w:val="none"/>
                <w:lang w:val="en-US" w:eastAsia="zh-CN"/>
              </w:rPr>
              <w:t>演示</w:t>
            </w:r>
          </w:p>
          <w:p w14:paraId="6ECAE134">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center"/>
          </w:tcPr>
          <w:p w14:paraId="33F76854">
            <w:pPr>
              <w:keepNext w:val="0"/>
              <w:keepLines w:val="0"/>
              <w:pageBreakBefore w:val="0"/>
              <w:kinsoku/>
              <w:wordWrap/>
              <w:overflowPunct/>
              <w:topLinePunct w:val="0"/>
              <w:bidi w:val="0"/>
              <w:adjustRightInd/>
              <w:snapToGrid/>
              <w:spacing w:line="360"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宋体" w:hAnsi="宋体" w:eastAsia="宋体" w:cs="宋体"/>
                <w:sz w:val="21"/>
                <w:szCs w:val="21"/>
                <w:highlight w:val="none"/>
                <w:lang w:val="en-US" w:eastAsia="zh-CN"/>
              </w:rPr>
              <w:t>投标人需按照规定的演示内容制作演示视频文件，演示时间不超过30分钟，视频格式为.mp4。专家组根据演示的功能点及效果评分，如未提供视频无法正常播放，此项不得分。（视频演示资料，请在开标前以加密邮件方式递交至招标代理机构邮箱）。要求每个投标人针对技术文件中标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的技术参数项，用可运行系统进行演示讲解，全部演示且完全满足需求的得15分，有一项内容未演示或有缺陷的扣0.5分，扣完为止。PPT、DEMO、非全屏演示或放弃演示，本项不得分。</w:t>
            </w:r>
          </w:p>
        </w:tc>
      </w:tr>
      <w:tr w14:paraId="092B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1236" w:type="dxa"/>
            <w:vMerge w:val="continue"/>
            <w:shd w:val="clear" w:color="auto" w:fill="auto"/>
            <w:vAlign w:val="center"/>
          </w:tcPr>
          <w:p w14:paraId="797E31B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338D63AD">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项目实施方案</w:t>
            </w:r>
          </w:p>
          <w:p w14:paraId="4B3C768E">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top"/>
          </w:tcPr>
          <w:p w14:paraId="0B873B9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w:t>
            </w:r>
            <w:r>
              <w:rPr>
                <w:rFonts w:hint="eastAsia" w:asciiTheme="minorEastAsia" w:hAnsiTheme="minorEastAsia" w:eastAsiaTheme="minorEastAsia" w:cstheme="minorEastAsia"/>
                <w:sz w:val="21"/>
                <w:szCs w:val="21"/>
                <w:highlight w:val="none"/>
                <w:lang w:val="en-US" w:eastAsia="zh-CN"/>
              </w:rPr>
              <w:t>或生产厂家</w:t>
            </w:r>
            <w:r>
              <w:rPr>
                <w:rFonts w:hint="eastAsia" w:asciiTheme="minorEastAsia" w:hAnsiTheme="minorEastAsia" w:eastAsiaTheme="minorEastAsia" w:cstheme="minorEastAsia"/>
                <w:sz w:val="21"/>
                <w:szCs w:val="21"/>
                <w:highlight w:val="none"/>
                <w:lang w:eastAsia="zh-CN"/>
              </w:rPr>
              <w:t>根据招标文件项目需求提供项目实施方案，应从项目实施进度管理、控制计划、项目人员组成及职责、工期管理、突发事件处置方案、合理化建议、项目质量管理计划、详细的系统集成测试方案等方面提出合理、详细、流程清晰、完整的项目实施方案，实施周期在规定时间以内。</w:t>
            </w:r>
          </w:p>
          <w:p w14:paraId="4832A2D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评审委员会根据以下标准进行评价评分：</w:t>
            </w:r>
          </w:p>
          <w:p w14:paraId="2F68CEC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以上方案内容完整清晰明确且科学合理、可行性高具有针对性并满足采购需求的得</w:t>
            </w:r>
            <w:r>
              <w:rPr>
                <w:rFonts w:hint="default"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分，每缺少一项内容扣</w:t>
            </w:r>
            <w:r>
              <w:rPr>
                <w:rFonts w:hint="default"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分，每有一处不具有针对性或逻辑性错误且</w:t>
            </w:r>
            <w:r>
              <w:rPr>
                <w:rFonts w:hint="eastAsia" w:asciiTheme="minorEastAsia" w:hAnsiTheme="minorEastAsia" w:eastAsiaTheme="minorEastAsia" w:cstheme="minorEastAsia"/>
                <w:sz w:val="21"/>
                <w:szCs w:val="21"/>
                <w:highlight w:val="none"/>
                <w:lang w:val="en-US" w:eastAsia="zh-CN"/>
              </w:rPr>
              <w:t>不详尽、</w:t>
            </w:r>
            <w:r>
              <w:rPr>
                <w:rFonts w:hint="eastAsia" w:asciiTheme="minorEastAsia" w:hAnsiTheme="minorEastAsia" w:eastAsiaTheme="minorEastAsia" w:cstheme="minorEastAsia"/>
                <w:sz w:val="21"/>
                <w:szCs w:val="21"/>
                <w:highlight w:val="none"/>
                <w:lang w:eastAsia="zh-CN"/>
              </w:rPr>
              <w:t>不完整的扣</w:t>
            </w:r>
            <w:r>
              <w:rPr>
                <w:rFonts w:hint="eastAsia" w:asciiTheme="minorEastAsia" w:hAnsiTheme="minorEastAsia" w:eastAsiaTheme="minorEastAsia" w:cstheme="minorEastAsia"/>
                <w:sz w:val="21"/>
                <w:szCs w:val="21"/>
                <w:highlight w:val="none"/>
                <w:lang w:val="en-US" w:eastAsia="zh-CN"/>
              </w:rPr>
              <w:t>0.</w:t>
            </w:r>
            <w:r>
              <w:rPr>
                <w:rFonts w:hint="default"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分；扣完为止。</w:t>
            </w:r>
          </w:p>
        </w:tc>
      </w:tr>
      <w:tr w14:paraId="3F12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442E206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4B970289">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服务人员配置</w:t>
            </w: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分）</w:t>
            </w:r>
          </w:p>
        </w:tc>
        <w:tc>
          <w:tcPr>
            <w:tcW w:w="4998" w:type="dxa"/>
            <w:shd w:val="clear" w:color="auto" w:fill="auto"/>
            <w:vAlign w:val="top"/>
          </w:tcPr>
          <w:p w14:paraId="5397FE3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根据投标人或生产厂家提供的项目经理以及项目</w:t>
            </w:r>
            <w:r>
              <w:rPr>
                <w:rFonts w:hint="eastAsia" w:asciiTheme="minorEastAsia" w:hAnsiTheme="minorEastAsia" w:eastAsiaTheme="minorEastAsia" w:cstheme="minorEastAsia"/>
                <w:sz w:val="21"/>
                <w:szCs w:val="21"/>
                <w:highlight w:val="none"/>
                <w:lang w:val="en-US" w:eastAsia="zh-CN"/>
              </w:rPr>
              <w:t>团队</w:t>
            </w:r>
            <w:r>
              <w:rPr>
                <w:rFonts w:hint="eastAsia" w:asciiTheme="minorEastAsia" w:hAnsiTheme="minorEastAsia" w:eastAsiaTheme="minorEastAsia" w:cstheme="minorEastAsia"/>
                <w:sz w:val="21"/>
                <w:szCs w:val="21"/>
                <w:highlight w:val="none"/>
                <w:lang w:eastAsia="zh-CN"/>
              </w:rPr>
              <w:t>人员的资质证书和从业经验与人员数量进行评定：</w:t>
            </w:r>
          </w:p>
          <w:p w14:paraId="136BD50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项目经理：具有10年以上工作经验且获得工信部颁发的信息系统项目管理师证书（高级），得</w:t>
            </w:r>
            <w:r>
              <w:rPr>
                <w:rFonts w:hint="default"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分，否则不得分。提供证明材料，</w:t>
            </w:r>
            <w:r>
              <w:rPr>
                <w:rFonts w:hint="eastAsia" w:asciiTheme="minorEastAsia" w:hAnsiTheme="minorEastAsia" w:eastAsiaTheme="minorEastAsia" w:cstheme="minorEastAsia"/>
                <w:sz w:val="21"/>
                <w:szCs w:val="21"/>
                <w:highlight w:val="none"/>
                <w:lang w:val="en-US" w:eastAsia="zh-CN"/>
              </w:rPr>
              <w:t>项目经理</w:t>
            </w:r>
            <w:r>
              <w:rPr>
                <w:rFonts w:hint="eastAsia" w:asciiTheme="minorEastAsia" w:hAnsiTheme="minorEastAsia" w:eastAsiaTheme="minorEastAsia" w:cstheme="minorEastAsia"/>
                <w:sz w:val="21"/>
                <w:szCs w:val="21"/>
                <w:highlight w:val="none"/>
                <w:lang w:eastAsia="zh-CN"/>
              </w:rPr>
              <w:t>应为投标人</w:t>
            </w:r>
            <w:r>
              <w:rPr>
                <w:rFonts w:hint="eastAsia" w:asciiTheme="minorEastAsia" w:hAnsiTheme="minorEastAsia" w:eastAsiaTheme="minorEastAsia" w:cstheme="minorEastAsia"/>
                <w:sz w:val="21"/>
                <w:szCs w:val="21"/>
                <w:highlight w:val="none"/>
                <w:lang w:val="en-US" w:eastAsia="zh-CN"/>
              </w:rPr>
              <w:t>或生产厂家</w:t>
            </w:r>
            <w:r>
              <w:rPr>
                <w:rFonts w:hint="eastAsia" w:asciiTheme="minorEastAsia" w:hAnsiTheme="minorEastAsia" w:eastAsiaTheme="minorEastAsia" w:cstheme="minorEastAsia"/>
                <w:sz w:val="21"/>
                <w:szCs w:val="21"/>
                <w:highlight w:val="none"/>
                <w:lang w:eastAsia="zh-CN"/>
              </w:rPr>
              <w:t>的正式员工，提供近半年任意一个月的社保缴费证明并加盖公章。</w:t>
            </w:r>
          </w:p>
          <w:p w14:paraId="792B59C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团队人员：项目团队成员中持有工信部颁发的</w:t>
            </w:r>
            <w:r>
              <w:rPr>
                <w:rFonts w:hint="eastAsia" w:asciiTheme="minorEastAsia" w:hAnsiTheme="minorEastAsia" w:eastAsiaTheme="minorEastAsia" w:cstheme="minorEastAsia"/>
                <w:sz w:val="21"/>
                <w:szCs w:val="21"/>
                <w:highlight w:val="none"/>
                <w:lang w:val="en-US" w:eastAsia="zh-CN"/>
              </w:rPr>
              <w:t>软考中级及以上</w:t>
            </w:r>
            <w:r>
              <w:rPr>
                <w:rFonts w:hint="eastAsia" w:asciiTheme="minorEastAsia" w:hAnsiTheme="minorEastAsia" w:eastAsiaTheme="minorEastAsia" w:cstheme="minorEastAsia"/>
                <w:sz w:val="21"/>
                <w:szCs w:val="21"/>
                <w:highlight w:val="none"/>
                <w:lang w:eastAsia="zh-CN"/>
              </w:rPr>
              <w:t>证书（指软件设计师、信息系统项目管理师、数据库系统工程师、系统集成项目管理工程师之一）</w:t>
            </w:r>
            <w:r>
              <w:rPr>
                <w:rFonts w:hint="eastAsia" w:asciiTheme="minorEastAsia" w:hAnsiTheme="minorEastAsia" w:eastAsiaTheme="minorEastAsia" w:cstheme="minorEastAsia"/>
                <w:sz w:val="21"/>
                <w:szCs w:val="21"/>
                <w:highlight w:val="none"/>
                <w:lang w:val="en-US" w:eastAsia="zh-CN"/>
              </w:rPr>
              <w:t>且</w:t>
            </w:r>
            <w:r>
              <w:rPr>
                <w:rFonts w:hint="eastAsia" w:asciiTheme="minorEastAsia" w:hAnsiTheme="minorEastAsia" w:eastAsiaTheme="minorEastAsia" w:cstheme="minorEastAsia"/>
                <w:sz w:val="21"/>
                <w:szCs w:val="21"/>
                <w:highlight w:val="none"/>
                <w:lang w:eastAsia="zh-CN"/>
              </w:rPr>
              <w:t>人员不少于2人得</w:t>
            </w:r>
            <w:r>
              <w:rPr>
                <w:rFonts w:hint="eastAsia" w:asciiTheme="minorEastAsia" w:hAnsiTheme="minorEastAsia" w:eastAsiaTheme="minorEastAsia" w:cstheme="minorEastAsia"/>
                <w:sz w:val="21"/>
                <w:szCs w:val="21"/>
                <w:highlight w:val="none"/>
                <w:lang w:val="en-US" w:eastAsia="zh-CN"/>
              </w:rPr>
              <w:t>2分</w:t>
            </w:r>
            <w:r>
              <w:rPr>
                <w:rFonts w:hint="eastAsia" w:asciiTheme="minorEastAsia" w:hAnsiTheme="minorEastAsia" w:eastAsiaTheme="minorEastAsia" w:cstheme="minorEastAsia"/>
                <w:sz w:val="21"/>
                <w:szCs w:val="21"/>
                <w:highlight w:val="none"/>
                <w:lang w:eastAsia="zh-CN"/>
              </w:rPr>
              <w:t>，每增加1个持有关键证书人员得</w:t>
            </w:r>
            <w:r>
              <w:rPr>
                <w:rFonts w:hint="default"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分（1个人持有多个证书的按1个人计算），满分</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分。</w:t>
            </w:r>
          </w:p>
          <w:p w14:paraId="25F3557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注：人员必须提供相关证明资料（包括但不限于：身份证明、相关证书（如有）、实施类似项目证明材料、劳动合同、在本单位缴纳的近半年任意一个月的社保缴纳证明等资料）。</w:t>
            </w:r>
          </w:p>
        </w:tc>
      </w:tr>
      <w:tr w14:paraId="4A2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shd w:val="clear" w:color="auto" w:fill="auto"/>
            <w:vAlign w:val="center"/>
          </w:tcPr>
          <w:p w14:paraId="506879C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p>
        </w:tc>
        <w:tc>
          <w:tcPr>
            <w:tcW w:w="2181" w:type="dxa"/>
            <w:shd w:val="clear" w:color="auto" w:fill="auto"/>
            <w:vAlign w:val="center"/>
          </w:tcPr>
          <w:p w14:paraId="0CFD9DC8">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售后服务能力</w:t>
            </w:r>
          </w:p>
          <w:p w14:paraId="7766B954">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w:t>
            </w:r>
            <w:r>
              <w:rPr>
                <w:rFonts w:hint="default"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tc>
        <w:tc>
          <w:tcPr>
            <w:tcW w:w="4998" w:type="dxa"/>
            <w:shd w:val="clear" w:color="auto" w:fill="auto"/>
            <w:vAlign w:val="top"/>
          </w:tcPr>
          <w:p w14:paraId="4696060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要求提供完善的售后服务方案，包括但不限于：</w:t>
            </w:r>
          </w:p>
          <w:p w14:paraId="3210830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①响应时间；</w:t>
            </w:r>
          </w:p>
          <w:p w14:paraId="22EAD7F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②故障排除时间；</w:t>
            </w:r>
          </w:p>
          <w:p w14:paraId="1CB2E3C5">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③售后服务人员配置；</w:t>
            </w:r>
          </w:p>
          <w:p w14:paraId="31574AB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④售后服务承诺事项；</w:t>
            </w:r>
          </w:p>
          <w:p w14:paraId="654EE5CF">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⑤服务措施（包含但不限于确保系统高效稳定运行，协助用户进行数据备份，确保数据的安全性，在数据丢失或损坏的情况下，提供数据恢复服务）；</w:t>
            </w:r>
          </w:p>
          <w:p w14:paraId="6865A216">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⑥建立服务质量评估机制，定期收集用户的反馈意见，及时改进提高用户满意度；</w:t>
            </w:r>
          </w:p>
          <w:p w14:paraId="14ADD23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⑦提供</w:t>
            </w:r>
            <w:r>
              <w:rPr>
                <w:rFonts w:hint="eastAsia" w:asciiTheme="minorEastAsia" w:hAnsiTheme="minorEastAsia" w:eastAsiaTheme="minorEastAsia" w:cstheme="minorEastAsia"/>
                <w:sz w:val="21"/>
                <w:szCs w:val="21"/>
                <w:highlight w:val="none"/>
                <w:lang w:val="en-US" w:eastAsia="zh-CN"/>
              </w:rPr>
              <w:t>生产或服务厂家</w:t>
            </w:r>
            <w:r>
              <w:rPr>
                <w:rFonts w:hint="eastAsia" w:asciiTheme="minorEastAsia" w:hAnsiTheme="minorEastAsia" w:eastAsiaTheme="minorEastAsia" w:cstheme="minorEastAsia"/>
                <w:sz w:val="21"/>
                <w:szCs w:val="21"/>
                <w:highlight w:val="none"/>
                <w:lang w:eastAsia="zh-CN"/>
              </w:rPr>
              <w:t>项目所在地服务能力证明资料（包括但不限于营业执照、房屋租赁证明等）；</w:t>
            </w:r>
          </w:p>
          <w:p w14:paraId="17F7796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⑧巡检制度和报告；</w:t>
            </w:r>
          </w:p>
          <w:p w14:paraId="139EA50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以上方案内容完整清晰明确且科学合理、可行性高具有针对性并满足采购需求的得</w:t>
            </w:r>
            <w:r>
              <w:rPr>
                <w:rFonts w:hint="default"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分，每缺少一项内容扣</w:t>
            </w:r>
            <w:r>
              <w:rPr>
                <w:rFonts w:hint="default"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分，每有一处不具有针对性或逻辑性错误且不完整的扣</w:t>
            </w:r>
            <w:r>
              <w:rPr>
                <w:rFonts w:hint="default"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lang w:eastAsia="zh-CN"/>
              </w:rPr>
              <w:t>分；扣完为止。</w:t>
            </w:r>
          </w:p>
        </w:tc>
      </w:tr>
    </w:tbl>
    <w:p w14:paraId="683EA74E">
      <w:pPr>
        <w:pStyle w:val="40"/>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val="0"/>
          <w:spacing w:val="0"/>
          <w:kern w:val="2"/>
          <w:sz w:val="24"/>
          <w:szCs w:val="24"/>
          <w:highlight w:val="none"/>
          <w:lang w:eastAsia="zh-CN" w:bidi="ar"/>
        </w:rPr>
      </w:pPr>
    </w:p>
    <w:p w14:paraId="213CC333">
      <w:pPr>
        <w:pStyle w:val="40"/>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eastAsia="zh-CN" w:bidi="ar"/>
        </w:rPr>
        <w:t>注：本项所称“缺陷”是指内容叙述不准确、不符合项目实际情况、可执行性一般；非专门针对本项目或套用其他项目内容；对同一问题前后表述矛盾；存在逻辑漏洞或常识错误；不利于本项目目标的实现、现有技术条件下不可能出现的情形等任意一种情形。未提供不得分。</w:t>
      </w:r>
    </w:p>
    <w:p w14:paraId="5AC89FB9">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56247A1D">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6.2落实中小企业政府采购政策的价格调整：</w:t>
      </w:r>
    </w:p>
    <w:p w14:paraId="49030E5F">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53ABABA8">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bCs w:val="0"/>
          <w:spacing w:val="0"/>
          <w:kern w:val="2"/>
          <w:sz w:val="24"/>
          <w:szCs w:val="24"/>
          <w:highlight w:val="none"/>
          <w:u w:val="single"/>
          <w:lang w:val="en-US" w:eastAsia="zh-CN" w:bidi="ar"/>
        </w:rPr>
        <w:t>30</w:t>
      </w:r>
      <w:r>
        <w:rPr>
          <w:rFonts w:hint="eastAsia" w:ascii="宋体" w:hAnsi="宋体" w:eastAsia="宋体" w:cs="宋体"/>
          <w:bCs w:val="0"/>
          <w:spacing w:val="0"/>
          <w:kern w:val="2"/>
          <w:sz w:val="24"/>
          <w:szCs w:val="24"/>
          <w:highlight w:val="none"/>
          <w:lang w:val="en-US" w:eastAsia="zh-CN" w:bidi="ar"/>
        </w:rPr>
        <w:t>%以上的联合体或者大中型企业的报价给予</w:t>
      </w:r>
      <w:r>
        <w:rPr>
          <w:rFonts w:hint="eastAsia" w:ascii="宋体" w:hAnsi="宋体" w:eastAsia="宋体" w:cs="宋体"/>
          <w:bCs w:val="0"/>
          <w:spacing w:val="0"/>
          <w:kern w:val="2"/>
          <w:sz w:val="24"/>
          <w:szCs w:val="24"/>
          <w:highlight w:val="none"/>
          <w:u w:val="single"/>
          <w:lang w:val="en-US" w:eastAsia="zh-CN" w:bidi="ar"/>
        </w:rPr>
        <w:t>4%</w:t>
      </w:r>
      <w:r>
        <w:rPr>
          <w:rFonts w:hint="eastAsia" w:ascii="宋体" w:hAnsi="宋体" w:eastAsia="宋体" w:cs="宋体"/>
          <w:bCs w:val="0"/>
          <w:spacing w:val="0"/>
          <w:kern w:val="2"/>
          <w:sz w:val="24"/>
          <w:szCs w:val="24"/>
          <w:highlight w:val="none"/>
          <w:lang w:val="en-US" w:eastAsia="zh-CN" w:bidi="ar"/>
        </w:rPr>
        <w:t>的扣除，用扣除后的价格参加评审。</w:t>
      </w:r>
    </w:p>
    <w:p w14:paraId="4DBA9FCB">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6.2.3组成联合体或者接受分包的小微企业与联合体内其他企业、分包企业之间存在直接控股、管理关系的，不享受价格扣除优惠政策。</w:t>
      </w:r>
    </w:p>
    <w:p w14:paraId="6C4CEED6">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6.2.4价格扣除比例对小型企业和微型企业同等对待，不作区分。</w:t>
      </w:r>
    </w:p>
    <w:p w14:paraId="1EC5CDA1">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6.2.5中小企业参加政府采购活动，应当按照招标文件给定的格式出具《中小企业声明函》，否则不得享受相关中小企业扶持政策。</w:t>
      </w:r>
    </w:p>
    <w:p w14:paraId="0138E9E6">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6.2.6监狱企业提供了由省级以上监狱管理局、戒毒管理局（含新疆生产建设兵团）出具的属于监狱企业的证明文件的，视同小微企业。</w:t>
      </w:r>
    </w:p>
    <w:p w14:paraId="73218B6E">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6.2.7残疾人福利性单位按招标文件要求提供了《残疾人福利性单位声明函》（见附件）的，视同小微企业。</w:t>
      </w:r>
    </w:p>
    <w:p w14:paraId="4C4858E1">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6.2.8若投标人同时属于小型或微型企业、监狱企业、残疾人福利性单位中的两种及以上，将不重复享受小微企业价格扣减的优惠政策。</w:t>
      </w:r>
    </w:p>
    <w:p w14:paraId="083C5FDF">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6.3投标人所投产品如被列入财政部与国家主管部门颁发的节能产品目录或环境标志产品目录或无线局域网产品目录，应提供相关证明，在评标时予以优先采购，具体优惠措施为：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val="0"/>
          <w:spacing w:val="0"/>
          <w:kern w:val="2"/>
          <w:sz w:val="24"/>
          <w:szCs w:val="24"/>
          <w:highlight w:val="none"/>
          <w:u w:val="single"/>
          <w:lang w:val="en-US" w:eastAsia="zh-CN" w:bidi="ar"/>
        </w:rPr>
        <w:t>综合得分相同时排名优先。</w:t>
      </w:r>
    </w:p>
    <w:p w14:paraId="24F12A62">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6.4如采购人所采购产品为政府强制采购的节能产品，投标人所投产品的品牌及型号必须为清单中有效期内产品并提供证明文件，否则其投标将作为</w:t>
      </w:r>
      <w:r>
        <w:rPr>
          <w:rFonts w:hint="eastAsia" w:ascii="宋体" w:hAnsi="宋体" w:eastAsia="宋体" w:cs="宋体"/>
          <w:b/>
          <w:bCs/>
          <w:spacing w:val="0"/>
          <w:kern w:val="2"/>
          <w:sz w:val="24"/>
          <w:szCs w:val="24"/>
          <w:highlight w:val="none"/>
          <w:lang w:val="en-US" w:eastAsia="zh-CN" w:bidi="ar"/>
        </w:rPr>
        <w:t>无效投标</w:t>
      </w:r>
      <w:r>
        <w:rPr>
          <w:rFonts w:hint="eastAsia" w:ascii="宋体" w:hAnsi="宋体" w:eastAsia="宋体" w:cs="宋体"/>
          <w:bCs w:val="0"/>
          <w:spacing w:val="0"/>
          <w:kern w:val="2"/>
          <w:sz w:val="24"/>
          <w:szCs w:val="24"/>
          <w:highlight w:val="none"/>
          <w:lang w:val="en-US" w:eastAsia="zh-CN" w:bidi="ar"/>
        </w:rPr>
        <w:t>被拒绝。</w:t>
      </w:r>
    </w:p>
    <w:p w14:paraId="77B788C1">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6.5投标人所投产品列入无线局域网产品清单，应提供相关证明，在评标时予以优先采购，具体优惠措施为：</w:t>
      </w:r>
      <w:r>
        <w:rPr>
          <w:rFonts w:hint="eastAsia" w:ascii="宋体" w:hAnsi="宋体" w:eastAsia="宋体" w:cs="宋体"/>
          <w:bCs w:val="0"/>
          <w:spacing w:val="0"/>
          <w:kern w:val="2"/>
          <w:sz w:val="24"/>
          <w:szCs w:val="24"/>
          <w:highlight w:val="none"/>
          <w:u w:val="single"/>
          <w:lang w:val="en-US" w:eastAsia="zh-CN" w:bidi="ar"/>
        </w:rPr>
        <w:t>综合得分相同时排名优先。</w:t>
      </w:r>
    </w:p>
    <w:p w14:paraId="7FE122D9">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6.6同品牌处理办法：</w:t>
      </w:r>
    </w:p>
    <w:p w14:paraId="5BE26E9A">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6.6.1如采用最低评标办法，则：</w:t>
      </w:r>
      <w:r>
        <w:rPr>
          <w:rFonts w:hint="eastAsia" w:ascii="宋体" w:hAnsi="宋体" w:eastAsia="宋体" w:cs="宋体"/>
          <w:bCs w:val="0"/>
          <w:spacing w:val="0"/>
          <w:kern w:val="2"/>
          <w:sz w:val="24"/>
          <w:szCs w:val="24"/>
          <w:highlight w:val="none"/>
          <w:u w:val="single"/>
          <w:lang w:val="en-US" w:eastAsia="zh-CN"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F0F8E54">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6.6.2如采用综合评标法，则：</w:t>
      </w:r>
      <w:r>
        <w:rPr>
          <w:rFonts w:hint="eastAsia" w:ascii="宋体" w:hAnsi="宋体" w:eastAsia="宋体" w:cs="宋体"/>
          <w:bCs w:val="0"/>
          <w:spacing w:val="0"/>
          <w:kern w:val="2"/>
          <w:sz w:val="24"/>
          <w:szCs w:val="24"/>
          <w:highlight w:val="none"/>
          <w:u w:val="single"/>
          <w:lang w:val="en-US" w:eastAsia="zh-CN"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45DE9537">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6.7如一个分包内包含多种产品的，采购人或采购代理机构将在投标人</w:t>
      </w:r>
      <w:r>
        <w:rPr>
          <w:rFonts w:hint="eastAsia" w:ascii="宋体" w:hAnsi="宋体" w:eastAsia="宋体" w:cs="宋体"/>
          <w:bCs w:val="0"/>
          <w:spacing w:val="0"/>
          <w:kern w:val="2"/>
          <w:sz w:val="24"/>
          <w:szCs w:val="24"/>
          <w:highlight w:val="none"/>
          <w:u w:val="single"/>
          <w:lang w:val="en-US" w:eastAsia="zh-CN" w:bidi="ar"/>
        </w:rPr>
        <w:t>须知前附表</w:t>
      </w:r>
      <w:r>
        <w:rPr>
          <w:rFonts w:hint="eastAsia" w:ascii="宋体" w:hAnsi="宋体" w:eastAsia="宋体" w:cs="宋体"/>
          <w:bCs w:val="0"/>
          <w:spacing w:val="0"/>
          <w:kern w:val="2"/>
          <w:sz w:val="24"/>
          <w:szCs w:val="24"/>
          <w:highlight w:val="none"/>
          <w:lang w:val="en-US" w:eastAsia="zh-CN" w:bidi="ar"/>
        </w:rPr>
        <w:t>中载明核心产品，多家投标人提供的所有核心产品品牌均相同的，按前两条规定处理。</w:t>
      </w:r>
    </w:p>
    <w:p w14:paraId="53F92FCC">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6.8确定中标候选人名单</w:t>
      </w:r>
    </w:p>
    <w:p w14:paraId="6368C81F">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D3B792C">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6.8.2采用最低评标价法的，评标结果按投标报价由低到高顺序排列。投标报价相同的并列。投标文件满足招标文件全部实质性要求且投标报价最低的投标人为排名第一的中标候选人。</w:t>
      </w:r>
    </w:p>
    <w:p w14:paraId="64897D23">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6.8.3评标委员会要对评分汇总情况进行复核，特别是对排名第一的、报价最低的、投标或响应文件被认定为无效的情形进行重点复核。</w:t>
      </w:r>
    </w:p>
    <w:p w14:paraId="2B1101D4">
      <w:pPr>
        <w:pStyle w:val="40"/>
        <w:spacing w:line="440" w:lineRule="exact"/>
        <w:ind w:firstLine="480" w:firstLineChars="200"/>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6.8.4评标委员会将根据各投标人的评标排序，依次推荐本项目（各采购包/标项）的中标候选人，起草并签署评标报告。本项目（各采购包/标项）评标委员会共（各）推荐</w:t>
      </w:r>
      <w:r>
        <w:rPr>
          <w:rFonts w:hint="eastAsia" w:ascii="宋体" w:hAnsi="宋体" w:eastAsia="宋体" w:cs="宋体"/>
          <w:bCs w:val="0"/>
          <w:spacing w:val="0"/>
          <w:kern w:val="2"/>
          <w:sz w:val="24"/>
          <w:szCs w:val="24"/>
          <w:highlight w:val="none"/>
          <w:u w:val="single"/>
          <w:lang w:val="en-US" w:eastAsia="zh-CN" w:bidi="ar"/>
        </w:rPr>
        <w:t>1</w:t>
      </w:r>
      <w:r>
        <w:rPr>
          <w:rFonts w:hint="eastAsia" w:ascii="宋体" w:hAnsi="宋体" w:eastAsia="宋体" w:cs="宋体"/>
          <w:bCs w:val="0"/>
          <w:spacing w:val="0"/>
          <w:kern w:val="2"/>
          <w:sz w:val="24"/>
          <w:szCs w:val="24"/>
          <w:highlight w:val="none"/>
          <w:lang w:val="en-US" w:eastAsia="zh-CN" w:bidi="ar"/>
        </w:rPr>
        <w:t>名中标候选人。</w:t>
      </w:r>
    </w:p>
    <w:p w14:paraId="06E87FC0">
      <w:pPr>
        <w:keepNext w:val="0"/>
        <w:keepLines w:val="0"/>
        <w:widowControl/>
        <w:suppressLineNumbers w:val="0"/>
        <w:jc w:val="left"/>
        <w:rPr>
          <w:rFonts w:hint="eastAsia" w:ascii="宋体" w:hAnsi="宋体" w:eastAsia="宋体" w:cs="宋体"/>
          <w:bCs w:val="0"/>
          <w:spacing w:val="0"/>
          <w:kern w:val="2"/>
          <w:sz w:val="24"/>
          <w:szCs w:val="24"/>
          <w:highlight w:val="none"/>
          <w:lang w:bidi="ar"/>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p w14:paraId="2FE642C1">
      <w:pPr>
        <w:pStyle w:val="40"/>
        <w:spacing w:line="440" w:lineRule="exact"/>
        <w:ind w:left="636" w:leftChars="303" w:firstLine="423" w:firstLineChars="124"/>
        <w:jc w:val="center"/>
        <w:outlineLvl w:val="0"/>
        <w:rPr>
          <w:rFonts w:hint="eastAsia" w:ascii="宋体" w:hAnsi="宋体" w:eastAsia="宋体" w:cs="宋体"/>
          <w:b/>
          <w:sz w:val="32"/>
          <w:szCs w:val="32"/>
          <w:highlight w:val="none"/>
        </w:rPr>
      </w:pPr>
      <w:bookmarkStart w:id="182" w:name="_Toc17967"/>
      <w:r>
        <w:rPr>
          <w:rFonts w:hint="eastAsia" w:ascii="宋体" w:hAnsi="宋体" w:eastAsia="宋体" w:cs="宋体"/>
          <w:b/>
          <w:sz w:val="32"/>
          <w:szCs w:val="32"/>
          <w:highlight w:val="none"/>
        </w:rPr>
        <w:t>第七章投标文件格式</w:t>
      </w:r>
      <w:bookmarkEnd w:id="182"/>
    </w:p>
    <w:p w14:paraId="6263A0A7">
      <w:pPr>
        <w:pStyle w:val="40"/>
        <w:spacing w:line="360" w:lineRule="auto"/>
        <w:ind w:left="636" w:leftChars="303" w:firstLine="324" w:firstLineChars="124"/>
        <w:jc w:val="center"/>
        <w:rPr>
          <w:rFonts w:hint="eastAsia" w:ascii="宋体" w:hAnsi="宋体" w:eastAsia="宋体" w:cs="宋体"/>
          <w:b/>
          <w:sz w:val="24"/>
          <w:szCs w:val="24"/>
          <w:highlight w:val="none"/>
        </w:rPr>
      </w:pPr>
      <w:bookmarkStart w:id="183" w:name="_Toc507399517"/>
    </w:p>
    <w:p w14:paraId="77CF3E5E">
      <w:pPr>
        <w:pStyle w:val="40"/>
        <w:spacing w:line="440" w:lineRule="exact"/>
        <w:ind w:left="636" w:leftChars="303" w:firstLine="297" w:firstLineChars="124"/>
        <w:rPr>
          <w:rFonts w:hint="eastAsia" w:ascii="宋体" w:hAnsi="宋体" w:eastAsia="宋体" w:cs="宋体"/>
          <w:bCs w:val="0"/>
          <w:spacing w:val="0"/>
          <w:kern w:val="2"/>
          <w:sz w:val="24"/>
          <w:szCs w:val="24"/>
          <w:highlight w:val="none"/>
          <w:u w:val="single"/>
          <w:lang w:val="en-US" w:eastAsia="zh-CN" w:bidi="ar"/>
        </w:rPr>
      </w:pPr>
      <w:r>
        <w:rPr>
          <w:rFonts w:hint="eastAsia" w:ascii="宋体" w:hAnsi="宋体" w:eastAsia="宋体" w:cs="宋体"/>
          <w:bCs w:val="0"/>
          <w:spacing w:val="0"/>
          <w:kern w:val="2"/>
          <w:sz w:val="24"/>
          <w:szCs w:val="24"/>
          <w:highlight w:val="none"/>
          <w:lang w:val="en-US" w:eastAsia="zh-CN" w:bidi="ar"/>
        </w:rPr>
        <w:t>1.为保证评标工作的顺利进行，各投标人需参照如下的格式，认真进行投标文件的编写工作。</w:t>
      </w:r>
      <w:r>
        <w:rPr>
          <w:rFonts w:hint="eastAsia" w:ascii="宋体" w:hAnsi="宋体" w:eastAsia="宋体" w:cs="宋体"/>
          <w:bCs w:val="0"/>
          <w:spacing w:val="0"/>
          <w:kern w:val="2"/>
          <w:sz w:val="24"/>
          <w:szCs w:val="24"/>
          <w:highlight w:val="none"/>
          <w:u w:val="single"/>
          <w:lang w:val="en-US" w:eastAsia="zh-CN" w:bidi="ar"/>
        </w:rPr>
        <w:t>需建立详细的目录。</w:t>
      </w:r>
    </w:p>
    <w:p w14:paraId="79F4E3C2">
      <w:pPr>
        <w:pStyle w:val="40"/>
        <w:spacing w:line="440" w:lineRule="exact"/>
        <w:ind w:left="636" w:leftChars="303" w:right="-218" w:rightChars="-104"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2.各投标人提交文件中涉及商业机密的，应明确标明，采购人及最终用户将给予保密处理，否则视为公开资料。</w:t>
      </w:r>
    </w:p>
    <w:p w14:paraId="5178BAC5">
      <w:pPr>
        <w:pStyle w:val="40"/>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3.全部声明和问题的回答及所附材料必须是真实的、准确的和完整的。</w:t>
      </w:r>
    </w:p>
    <w:p w14:paraId="30437C49">
      <w:pPr>
        <w:pStyle w:val="40"/>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4.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2F4EC171">
      <w:pPr>
        <w:pStyle w:val="40"/>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5.“法定代表人（单位负责人）”指供应商营业执照或登记证书载明的“法定代表人”、“负责人”、“执行事务合伙人”、“投资人”等。</w:t>
      </w:r>
    </w:p>
    <w:p w14:paraId="07F05EF6">
      <w:pPr>
        <w:pStyle w:val="40"/>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r>
        <w:rPr>
          <w:rFonts w:hint="eastAsia" w:ascii="宋体" w:hAnsi="宋体" w:eastAsia="宋体" w:cs="宋体"/>
          <w:bCs w:val="0"/>
          <w:spacing w:val="0"/>
          <w:kern w:val="2"/>
          <w:sz w:val="24"/>
          <w:szCs w:val="24"/>
          <w:highlight w:val="none"/>
          <w:lang w:val="en-US" w:eastAsia="zh-CN" w:bidi="ar"/>
        </w:rPr>
        <w:t>6.以联合体参加的，除采购文件格式中要求外，采购文件要求的供应商盖章处应按加盖联合体协议中约定的联合体牵头人公章或所有联合体成员公章。</w:t>
      </w:r>
    </w:p>
    <w:p w14:paraId="352FF6BF">
      <w:pPr>
        <w:pStyle w:val="40"/>
        <w:spacing w:line="440" w:lineRule="exact"/>
        <w:ind w:left="636" w:leftChars="303" w:firstLine="297" w:firstLineChars="124"/>
        <w:rPr>
          <w:rFonts w:hint="eastAsia" w:ascii="宋体" w:hAnsi="宋体" w:eastAsia="宋体" w:cs="宋体"/>
          <w:bCs w:val="0"/>
          <w:spacing w:val="0"/>
          <w:kern w:val="2"/>
          <w:sz w:val="24"/>
          <w:szCs w:val="24"/>
          <w:highlight w:val="none"/>
          <w:lang w:val="en-US" w:eastAsia="zh-CN" w:bidi="ar"/>
        </w:rPr>
      </w:pPr>
    </w:p>
    <w:p w14:paraId="389D2371">
      <w:pPr>
        <w:pStyle w:val="40"/>
        <w:spacing w:line="360" w:lineRule="auto"/>
        <w:ind w:left="636" w:leftChars="303" w:firstLine="324" w:firstLineChars="124"/>
        <w:jc w:val="center"/>
        <w:rPr>
          <w:rFonts w:hint="eastAsia" w:ascii="宋体" w:hAnsi="宋体" w:eastAsia="宋体" w:cs="宋体"/>
          <w:b/>
          <w:sz w:val="24"/>
          <w:szCs w:val="24"/>
          <w:highlight w:val="none"/>
        </w:rPr>
        <w:sectPr>
          <w:pgSz w:w="11910" w:h="16838"/>
          <w:pgMar w:top="1600" w:right="1134" w:bottom="280" w:left="1134" w:header="720" w:footer="720" w:gutter="0"/>
          <w:pgNumType w:fmt="decimal"/>
          <w:cols w:space="720" w:num="1"/>
          <w:rtlGutter w:val="0"/>
        </w:sectPr>
      </w:pPr>
    </w:p>
    <w:p w14:paraId="68937697">
      <w:pPr>
        <w:rPr>
          <w:rFonts w:hint="eastAsia" w:ascii="宋体" w:hAnsi="宋体" w:eastAsia="宋体" w:cs="宋体"/>
          <w:sz w:val="24"/>
          <w:szCs w:val="32"/>
          <w:highlight w:val="none"/>
        </w:rPr>
      </w:pPr>
      <w:r>
        <w:rPr>
          <w:rFonts w:hint="eastAsia" w:ascii="宋体" w:hAnsi="宋体" w:eastAsia="宋体" w:cs="宋体"/>
          <w:sz w:val="24"/>
          <w:szCs w:val="32"/>
          <w:highlight w:val="none"/>
        </w:rPr>
        <w:t>一、封面格式</w:t>
      </w:r>
    </w:p>
    <w:p w14:paraId="059A8119">
      <w:pPr>
        <w:pStyle w:val="15"/>
        <w:ind w:left="636" w:leftChars="303" w:firstLine="248" w:firstLineChars="124"/>
        <w:rPr>
          <w:rFonts w:hint="eastAsia" w:ascii="宋体" w:hAnsi="宋体" w:eastAsia="宋体" w:cs="宋体"/>
          <w:sz w:val="20"/>
          <w:highlight w:val="none"/>
        </w:rPr>
      </w:pPr>
    </w:p>
    <w:p w14:paraId="58B73920">
      <w:pPr>
        <w:pStyle w:val="15"/>
        <w:ind w:left="636" w:leftChars="303" w:firstLine="248" w:firstLineChars="124"/>
        <w:rPr>
          <w:rFonts w:hint="eastAsia" w:ascii="宋体" w:hAnsi="宋体" w:eastAsia="宋体" w:cs="宋体"/>
          <w:sz w:val="20"/>
          <w:highlight w:val="none"/>
        </w:rPr>
      </w:pPr>
    </w:p>
    <w:p w14:paraId="6B4CF563">
      <w:pPr>
        <w:pStyle w:val="15"/>
        <w:ind w:left="636" w:leftChars="303" w:firstLine="248" w:firstLineChars="124"/>
        <w:rPr>
          <w:rFonts w:hint="eastAsia" w:ascii="宋体" w:hAnsi="宋体" w:eastAsia="宋体" w:cs="宋体"/>
          <w:sz w:val="20"/>
          <w:highlight w:val="none"/>
        </w:rPr>
      </w:pPr>
    </w:p>
    <w:p w14:paraId="1D3D077B">
      <w:pPr>
        <w:pStyle w:val="15"/>
        <w:ind w:left="636" w:leftChars="303" w:firstLine="248" w:firstLineChars="124"/>
        <w:rPr>
          <w:rFonts w:hint="eastAsia" w:ascii="宋体" w:hAnsi="宋体" w:eastAsia="宋体" w:cs="宋体"/>
          <w:sz w:val="20"/>
          <w:highlight w:val="none"/>
        </w:rPr>
      </w:pPr>
    </w:p>
    <w:p w14:paraId="2F0F1E2C">
      <w:pPr>
        <w:pStyle w:val="15"/>
        <w:ind w:left="636" w:leftChars="303" w:firstLine="248" w:firstLineChars="124"/>
        <w:rPr>
          <w:rFonts w:hint="eastAsia" w:ascii="宋体" w:hAnsi="宋体" w:eastAsia="宋体" w:cs="宋体"/>
          <w:sz w:val="20"/>
          <w:highlight w:val="none"/>
        </w:rPr>
      </w:pPr>
    </w:p>
    <w:p w14:paraId="1AB197E9">
      <w:pPr>
        <w:pStyle w:val="15"/>
        <w:ind w:left="636" w:leftChars="303" w:firstLine="248" w:firstLineChars="124"/>
        <w:rPr>
          <w:rFonts w:hint="eastAsia" w:ascii="宋体" w:hAnsi="宋体" w:eastAsia="宋体" w:cs="宋体"/>
          <w:sz w:val="20"/>
          <w:highlight w:val="none"/>
        </w:rPr>
      </w:pPr>
    </w:p>
    <w:p w14:paraId="087DB121">
      <w:pPr>
        <w:pStyle w:val="15"/>
        <w:spacing w:before="2"/>
        <w:ind w:left="636" w:leftChars="303" w:firstLine="198" w:firstLineChars="124"/>
        <w:rPr>
          <w:rFonts w:hint="eastAsia" w:ascii="宋体" w:hAnsi="宋体" w:eastAsia="宋体" w:cs="宋体"/>
          <w:sz w:val="16"/>
          <w:highlight w:val="none"/>
        </w:rPr>
      </w:pPr>
    </w:p>
    <w:p w14:paraId="4E15B136">
      <w:pPr>
        <w:spacing w:line="1195" w:lineRule="exact"/>
        <w:ind w:left="636" w:leftChars="303" w:right="165" w:firstLine="896" w:firstLineChars="124"/>
        <w:jc w:val="center"/>
        <w:rPr>
          <w:rFonts w:hint="eastAsia" w:ascii="宋体" w:hAnsi="宋体" w:eastAsia="宋体" w:cs="宋体"/>
          <w:b/>
          <w:sz w:val="96"/>
          <w:highlight w:val="none"/>
        </w:rPr>
      </w:pPr>
      <w:bookmarkStart w:id="184" w:name="_Toc21522"/>
      <w:bookmarkStart w:id="185" w:name="_Toc13737"/>
      <w:r>
        <w:rPr>
          <w:rFonts w:hint="eastAsia" w:ascii="宋体" w:hAnsi="宋体" w:eastAsia="宋体" w:cs="宋体"/>
          <w:b/>
          <w:sz w:val="72"/>
          <w:szCs w:val="72"/>
          <w:highlight w:val="none"/>
        </w:rPr>
        <w:t>投标文件</w:t>
      </w:r>
      <w:bookmarkEnd w:id="184"/>
      <w:bookmarkEnd w:id="185"/>
    </w:p>
    <w:p w14:paraId="2337CF95">
      <w:pPr>
        <w:spacing w:before="684"/>
        <w:ind w:left="636" w:leftChars="303" w:right="156" w:firstLine="647" w:firstLineChars="124"/>
        <w:jc w:val="center"/>
        <w:rPr>
          <w:rFonts w:hint="eastAsia" w:ascii="宋体" w:hAnsi="宋体" w:eastAsia="宋体" w:cs="宋体"/>
          <w:b/>
          <w:sz w:val="52"/>
          <w:highlight w:val="none"/>
        </w:rPr>
      </w:pPr>
    </w:p>
    <w:p w14:paraId="54E52289">
      <w:pPr>
        <w:spacing w:before="684"/>
        <w:ind w:left="636" w:leftChars="303" w:right="156" w:firstLine="647" w:firstLineChars="124"/>
        <w:jc w:val="center"/>
        <w:rPr>
          <w:rFonts w:hint="eastAsia" w:ascii="宋体" w:hAnsi="宋体" w:eastAsia="宋体" w:cs="宋体"/>
          <w:b/>
          <w:sz w:val="52"/>
          <w:highlight w:val="none"/>
        </w:rPr>
      </w:pPr>
    </w:p>
    <w:p w14:paraId="6E61816C">
      <w:pPr>
        <w:spacing w:before="684"/>
        <w:ind w:left="636" w:leftChars="303" w:right="156" w:firstLine="647" w:firstLineChars="124"/>
        <w:jc w:val="center"/>
        <w:rPr>
          <w:rFonts w:hint="eastAsia" w:ascii="宋体" w:hAnsi="宋体" w:eastAsia="宋体" w:cs="宋体"/>
          <w:b/>
          <w:sz w:val="52"/>
          <w:highlight w:val="none"/>
        </w:rPr>
      </w:pPr>
    </w:p>
    <w:p w14:paraId="0A5CFFC8">
      <w:pPr>
        <w:spacing w:before="684"/>
        <w:ind w:left="636" w:leftChars="303" w:right="156" w:firstLine="647" w:firstLineChars="124"/>
        <w:jc w:val="center"/>
        <w:rPr>
          <w:rFonts w:hint="eastAsia" w:ascii="宋体" w:hAnsi="宋体" w:eastAsia="宋体" w:cs="宋体"/>
          <w:b/>
          <w:sz w:val="52"/>
          <w:highlight w:val="none"/>
        </w:rPr>
      </w:pPr>
    </w:p>
    <w:p w14:paraId="317FBEF4">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p>
    <w:p w14:paraId="6A56EC3A">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项目编号</w:t>
      </w:r>
      <w:r>
        <w:rPr>
          <w:rFonts w:hint="eastAsia" w:ascii="宋体" w:hAnsi="宋体" w:eastAsia="宋体" w:cs="宋体"/>
          <w:b/>
          <w:sz w:val="32"/>
          <w:szCs w:val="32"/>
          <w:highlight w:val="none"/>
        </w:rPr>
        <w:t>：</w:t>
      </w:r>
    </w:p>
    <w:p w14:paraId="39081ECD">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p>
    <w:p w14:paraId="519E88BD">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投标人名称（盖公章）：</w:t>
      </w:r>
    </w:p>
    <w:p w14:paraId="1585C901">
      <w:pPr>
        <w:tabs>
          <w:tab w:val="left" w:pos="7787"/>
        </w:tabs>
        <w:adjustRightInd w:val="0"/>
        <w:snapToGrid w:val="0"/>
        <w:spacing w:line="360" w:lineRule="auto"/>
        <w:ind w:left="636" w:leftChars="303" w:firstLine="398" w:firstLineChars="124"/>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法定代表人或其授权代表签字（或签章）：</w:t>
      </w:r>
    </w:p>
    <w:p w14:paraId="10E8A160">
      <w:pPr>
        <w:pStyle w:val="15"/>
        <w:adjustRightInd w:val="0"/>
        <w:snapToGrid w:val="0"/>
        <w:spacing w:line="360" w:lineRule="auto"/>
        <w:ind w:left="636" w:leftChars="303" w:firstLine="248" w:firstLineChars="124"/>
        <w:rPr>
          <w:rFonts w:hint="eastAsia" w:ascii="宋体" w:hAnsi="宋体" w:eastAsia="宋体" w:cs="宋体"/>
          <w:sz w:val="20"/>
          <w:highlight w:val="none"/>
        </w:rPr>
      </w:pPr>
    </w:p>
    <w:p w14:paraId="5EC0C81E">
      <w:pPr>
        <w:pStyle w:val="19"/>
        <w:adjustRightInd w:val="0"/>
        <w:spacing w:line="360" w:lineRule="auto"/>
        <w:ind w:left="636" w:leftChars="303" w:firstLine="347" w:firstLineChars="124"/>
        <w:jc w:val="center"/>
        <w:rPr>
          <w:rFonts w:hint="eastAsia" w:ascii="宋体" w:hAnsi="宋体" w:eastAsia="宋体" w:cs="宋体"/>
          <w:sz w:val="28"/>
          <w:szCs w:val="28"/>
          <w:highlight w:val="none"/>
        </w:rPr>
      </w:pPr>
      <w:bookmarkStart w:id="186" w:name="_Toc31285"/>
      <w:bookmarkStart w:id="187" w:name="_Toc20449"/>
      <w:r>
        <w:rPr>
          <w:rFonts w:hint="eastAsia" w:ascii="宋体" w:hAnsi="宋体" w:eastAsia="宋体" w:cs="宋体"/>
          <w:sz w:val="28"/>
          <w:szCs w:val="28"/>
          <w:highlight w:val="none"/>
        </w:rPr>
        <w:t>年月</w:t>
      </w:r>
      <w:bookmarkEnd w:id="186"/>
      <w:bookmarkEnd w:id="187"/>
    </w:p>
    <w:p w14:paraId="062B30F8">
      <w:pPr>
        <w:pStyle w:val="40"/>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61E9EFCB">
      <w:pPr>
        <w:pStyle w:val="40"/>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51B63AC4">
      <w:pPr>
        <w:pStyle w:val="40"/>
        <w:adjustRightInd w:val="0"/>
        <w:snapToGrid w:val="0"/>
        <w:spacing w:before="0" w:after="0" w:line="360" w:lineRule="auto"/>
        <w:ind w:left="636" w:leftChars="303" w:firstLine="324" w:firstLineChars="124"/>
        <w:jc w:val="both"/>
        <w:rPr>
          <w:rFonts w:hint="eastAsia" w:ascii="宋体" w:hAnsi="宋体" w:eastAsia="宋体" w:cs="宋体"/>
          <w:b/>
          <w:sz w:val="24"/>
          <w:szCs w:val="24"/>
          <w:highlight w:val="none"/>
        </w:rPr>
      </w:pPr>
    </w:p>
    <w:p w14:paraId="480E2882">
      <w:pPr>
        <w:pStyle w:val="40"/>
        <w:adjustRightInd w:val="0"/>
        <w:snapToGrid w:val="0"/>
        <w:spacing w:before="0" w:after="0" w:line="360" w:lineRule="auto"/>
        <w:ind w:left="634" w:leftChars="302" w:firstLine="4" w:firstLineChars="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满足《中华人民共和国政府采购法》第二十二条规定及法律法规的其他规定</w:t>
      </w:r>
    </w:p>
    <w:p w14:paraId="1EC34D29">
      <w:pPr>
        <w:pStyle w:val="40"/>
        <w:adjustRightInd w:val="0"/>
        <w:snapToGrid w:val="0"/>
        <w:spacing w:before="0" w:after="0" w:line="360" w:lineRule="auto"/>
        <w:ind w:left="636" w:leftChars="303" w:firstLine="322" w:firstLineChars="124"/>
        <w:jc w:val="both"/>
        <w:rPr>
          <w:rFonts w:hint="eastAsia" w:ascii="宋体" w:hAnsi="宋体" w:eastAsia="宋体" w:cs="宋体"/>
          <w:b w:val="0"/>
          <w:bCs w:val="0"/>
          <w:sz w:val="24"/>
          <w:szCs w:val="24"/>
          <w:highlight w:val="none"/>
        </w:rPr>
      </w:pPr>
    </w:p>
    <w:p w14:paraId="42684661">
      <w:pPr>
        <w:pStyle w:val="40"/>
        <w:adjustRightInd w:val="0"/>
        <w:snapToGrid w:val="0"/>
        <w:spacing w:before="0" w:after="0" w:line="360" w:lineRule="auto"/>
        <w:ind w:firstLine="52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附件1-1法人或者其他组织的营业执照等证明文件或自然人的身份证明复印件;</w:t>
      </w:r>
    </w:p>
    <w:p w14:paraId="598FBFB7">
      <w:pPr>
        <w:ind w:left="636" w:leftChars="303" w:firstLine="297" w:firstLineChars="12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689EBA65">
      <w:pPr>
        <w:ind w:left="636" w:leftChars="303" w:firstLine="297" w:firstLineChars="12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附件1-2投标人具有良好的商业信誉和健全的财务会计制度的证明文件</w:t>
      </w:r>
    </w:p>
    <w:p w14:paraId="50F50BA3">
      <w:pPr>
        <w:pStyle w:val="40"/>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说明：</w:t>
      </w:r>
    </w:p>
    <w:p w14:paraId="6FBEF5D0">
      <w:pPr>
        <w:pStyle w:val="40"/>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1、复印件并加盖本单位公章</w:t>
      </w:r>
    </w:p>
    <w:p w14:paraId="08B55C2F">
      <w:pPr>
        <w:pStyle w:val="40"/>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33CD03D7">
      <w:pPr>
        <w:pStyle w:val="40"/>
        <w:adjustRightInd w:val="0"/>
        <w:snapToGrid w:val="0"/>
        <w:spacing w:before="0" w:after="0" w:line="360" w:lineRule="auto"/>
        <w:ind w:left="636" w:leftChars="303" w:firstLine="322" w:firstLineChars="124"/>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3、如果是联合体投标，联合体各方均需提供上述证明。</w:t>
      </w:r>
    </w:p>
    <w:p w14:paraId="77162381">
      <w:pPr>
        <w:ind w:left="636" w:leftChars="303" w:firstLine="297" w:firstLineChars="124"/>
        <w:rPr>
          <w:rFonts w:hint="eastAsia" w:ascii="宋体" w:hAnsi="宋体" w:eastAsia="宋体" w:cs="宋体"/>
          <w:b w:val="0"/>
          <w:bCs w:val="0"/>
          <w:sz w:val="24"/>
          <w:szCs w:val="24"/>
          <w:highlight w:val="none"/>
        </w:rPr>
        <w:sectPr>
          <w:pgSz w:w="11910" w:h="16838"/>
          <w:pgMar w:top="1600" w:right="1134" w:bottom="280" w:left="1134" w:header="720" w:footer="720" w:gutter="0"/>
          <w:pgNumType w:fmt="decimal"/>
          <w:cols w:space="720" w:num="1"/>
          <w:rtlGutter w:val="0"/>
        </w:sectPr>
      </w:pPr>
    </w:p>
    <w:p w14:paraId="53A13372">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附件1-3投标人缴纳税收的证明</w:t>
      </w:r>
    </w:p>
    <w:p w14:paraId="1D7EA7D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625BF43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1、复印件并加盖本单位公章</w:t>
      </w:r>
    </w:p>
    <w:p w14:paraId="79C18F10">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624D6592">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3、如果是联合体投标，联合体各方均需提供上述证明。</w:t>
      </w:r>
    </w:p>
    <w:p w14:paraId="128027B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3C720A54">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附件1-4投标人为职工缴纳社会保险的证明</w:t>
      </w:r>
    </w:p>
    <w:p w14:paraId="3503489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3880583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1、复印件并加盖本单位公章</w:t>
      </w:r>
    </w:p>
    <w:p w14:paraId="1CD2D808">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2、若提供的是复印件，采购人、采购代理机构保留审核原件的权利。</w:t>
      </w:r>
    </w:p>
    <w:p w14:paraId="1AED8B7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3、如果是联合体投标，联合体各方均需提供上述证明。</w:t>
      </w:r>
    </w:p>
    <w:p w14:paraId="7E9C6643">
      <w:pPr>
        <w:spacing w:line="360" w:lineRule="auto"/>
        <w:ind w:left="636" w:leftChars="303" w:firstLine="297" w:firstLineChars="12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0ABCC9C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附件1-5投标人资格声明书</w:t>
      </w:r>
    </w:p>
    <w:p w14:paraId="3B9985B0">
      <w:pPr>
        <w:spacing w:line="360" w:lineRule="auto"/>
        <w:ind w:left="636" w:leftChars="303" w:firstLine="299" w:firstLineChars="124"/>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投标人资格声明书</w:t>
      </w:r>
    </w:p>
    <w:p w14:paraId="46466CD7">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致：采购人或采购代理机构</w:t>
      </w:r>
    </w:p>
    <w:p w14:paraId="7F2101E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在参与本次项目投标中，我单位承诺：</w:t>
      </w:r>
    </w:p>
    <w:p w14:paraId="25C10971">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（一）具有良好的商业信誉和健全的财务会计制度；</w:t>
      </w:r>
    </w:p>
    <w:p w14:paraId="024E1808">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（二）具有履行合同所必需的设备和专业技术能力；</w:t>
      </w:r>
    </w:p>
    <w:p w14:paraId="304995E0">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（三）有依法缴纳税收和社会保障资金的良好记录；</w:t>
      </w:r>
    </w:p>
    <w:p w14:paraId="0367C900">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2F1EA4">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（五）我单位不属于政府采购法律、行政法规规定的公益一类事业单位、或使用事业编制且由财政拨款保障的群团组织（仅适用于政府购买服务项目）；</w:t>
      </w:r>
    </w:p>
    <w:p w14:paraId="0720D5B5">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（六）我单位不存在为采购项目提供整体设计、规范编制或者项目管理、监理、检测等服务后，再参加该采购项目的其他采购活动的情形（单一来源采购项目除外）；</w:t>
      </w:r>
    </w:p>
    <w:p w14:paraId="35A1A976">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（七）与我单位存在“单位负责人为同一人或者存在直接控股、管理关系”的其他法人单位信息如下（如有，不论其是否参加同一合同项下的政府采购活动均须填写）：</w:t>
      </w:r>
    </w:p>
    <w:p w14:paraId="22D611AD">
      <w:pPr>
        <w:spacing w:line="360" w:lineRule="auto"/>
        <w:ind w:left="636" w:leftChars="303" w:firstLine="297" w:firstLineChars="124"/>
        <w:rPr>
          <w:rFonts w:hint="eastAsia" w:ascii="宋体" w:hAnsi="宋体" w:eastAsia="宋体" w:cs="宋体"/>
          <w:b w:val="0"/>
          <w:bCs/>
          <w:sz w:val="24"/>
          <w:szCs w:val="24"/>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571"/>
        <w:gridCol w:w="2913"/>
      </w:tblGrid>
      <w:tr w14:paraId="76C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255" w:type="dxa"/>
          </w:tcPr>
          <w:p w14:paraId="3D1F8795">
            <w:pPr>
              <w:keepNext w:val="0"/>
              <w:keepLines w:val="0"/>
              <w:widowControl/>
              <w:suppressLineNumbers w:val="0"/>
              <w:spacing w:line="36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color w:val="000000"/>
                <w:kern w:val="0"/>
                <w:sz w:val="24"/>
                <w:szCs w:val="24"/>
                <w:highlight w:val="none"/>
                <w:lang w:val="en-US" w:eastAsia="zh-CN" w:bidi="ar"/>
              </w:rPr>
              <w:t>序号</w:t>
            </w:r>
          </w:p>
        </w:tc>
        <w:tc>
          <w:tcPr>
            <w:tcW w:w="4571" w:type="dxa"/>
          </w:tcPr>
          <w:p w14:paraId="6228419B">
            <w:pPr>
              <w:keepNext w:val="0"/>
              <w:keepLines w:val="0"/>
              <w:widowControl/>
              <w:suppressLineNumbers w:val="0"/>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单位名称</w:t>
            </w:r>
          </w:p>
        </w:tc>
        <w:tc>
          <w:tcPr>
            <w:tcW w:w="2913" w:type="dxa"/>
          </w:tcPr>
          <w:p w14:paraId="4E9B5C4D">
            <w:pPr>
              <w:keepNext w:val="0"/>
              <w:keepLines w:val="0"/>
              <w:widowControl/>
              <w:suppressLineNumbers w:val="0"/>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r>
              <w:rPr>
                <w:rFonts w:hint="eastAsia" w:ascii="宋体" w:hAnsi="宋体" w:eastAsia="宋体" w:cs="宋体"/>
                <w:color w:val="000000"/>
                <w:kern w:val="0"/>
                <w:sz w:val="24"/>
                <w:szCs w:val="24"/>
                <w:highlight w:val="none"/>
                <w:lang w:val="en-US" w:eastAsia="zh-CN" w:bidi="ar"/>
              </w:rPr>
              <w:t>相互关系</w:t>
            </w:r>
          </w:p>
        </w:tc>
      </w:tr>
      <w:tr w14:paraId="34E2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55" w:type="dxa"/>
          </w:tcPr>
          <w:p w14:paraId="4ABC521F">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571" w:type="dxa"/>
          </w:tcPr>
          <w:p w14:paraId="29EA7796">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tcPr>
          <w:p w14:paraId="18C4C0D6">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r w14:paraId="2E93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55" w:type="dxa"/>
          </w:tcPr>
          <w:p w14:paraId="373C9AC7">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571" w:type="dxa"/>
          </w:tcPr>
          <w:p w14:paraId="51FDE488">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tcPr>
          <w:p w14:paraId="56A1CED8">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r w14:paraId="50EA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55" w:type="dxa"/>
          </w:tcPr>
          <w:p w14:paraId="3FF99D03">
            <w:pPr>
              <w:spacing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571" w:type="dxa"/>
          </w:tcPr>
          <w:p w14:paraId="70CD8CC1">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c>
          <w:tcPr>
            <w:tcW w:w="2913" w:type="dxa"/>
          </w:tcPr>
          <w:p w14:paraId="4BD9A35A">
            <w:pPr>
              <w:spacing w:line="360" w:lineRule="auto"/>
              <w:ind w:left="636" w:leftChars="303" w:firstLine="297" w:firstLineChars="124"/>
              <w:jc w:val="center"/>
              <w:rPr>
                <w:rFonts w:hint="eastAsia" w:ascii="宋体" w:hAnsi="宋体" w:eastAsia="宋体" w:cs="宋体"/>
                <w:b w:val="0"/>
                <w:bCs w:val="0"/>
                <w:sz w:val="24"/>
                <w:szCs w:val="24"/>
                <w:highlight w:val="none"/>
                <w:vertAlign w:val="baseline"/>
              </w:rPr>
            </w:pPr>
          </w:p>
        </w:tc>
      </w:tr>
    </w:tbl>
    <w:p w14:paraId="1551CD43">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上述声明真实有效，否则我方负全部责任。</w:t>
      </w:r>
    </w:p>
    <w:p w14:paraId="325493CE">
      <w:pPr>
        <w:spacing w:line="360" w:lineRule="auto"/>
        <w:ind w:left="636" w:leftChars="303" w:firstLine="297" w:firstLineChars="124"/>
        <w:rPr>
          <w:rFonts w:hint="eastAsia" w:ascii="宋体" w:hAnsi="宋体" w:eastAsia="宋体" w:cs="宋体"/>
          <w:b w:val="0"/>
          <w:bCs/>
          <w:sz w:val="24"/>
          <w:szCs w:val="24"/>
          <w:highlight w:val="none"/>
          <w:lang w:val="en-US" w:eastAsia="zh-CN"/>
        </w:rPr>
      </w:pPr>
    </w:p>
    <w:p w14:paraId="36E66F38">
      <w:pPr>
        <w:spacing w:line="360" w:lineRule="auto"/>
        <w:ind w:left="636" w:leftChars="303" w:firstLine="297" w:firstLineChars="124"/>
        <w:rPr>
          <w:rFonts w:hint="eastAsia" w:ascii="宋体" w:hAnsi="宋体" w:eastAsia="宋体" w:cs="宋体"/>
          <w:b w:val="0"/>
          <w:bCs/>
          <w:sz w:val="24"/>
          <w:szCs w:val="24"/>
          <w:highlight w:val="none"/>
          <w:lang w:val="en-US" w:eastAsia="zh-CN"/>
        </w:rPr>
      </w:pPr>
    </w:p>
    <w:p w14:paraId="0742D80F">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投标人名称：</w:t>
      </w:r>
      <w:r>
        <w:rPr>
          <w:rFonts w:hint="eastAsia" w:ascii="宋体" w:hAnsi="宋体" w:eastAsia="宋体" w:cs="宋体"/>
          <w:b w:val="0"/>
          <w:bCs/>
          <w:sz w:val="24"/>
          <w:szCs w:val="24"/>
          <w:highlight w:val="none"/>
          <w:u w:val="single"/>
          <w:lang w:val="en-US" w:eastAsia="zh-CN"/>
        </w:rPr>
        <w:t>（加盖公章）</w:t>
      </w:r>
    </w:p>
    <w:p w14:paraId="04B3F642">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法定代表人或其授权代理人：</w:t>
      </w:r>
      <w:r>
        <w:rPr>
          <w:rFonts w:hint="eastAsia" w:ascii="宋体" w:hAnsi="宋体" w:eastAsia="宋体" w:cs="宋体"/>
          <w:b w:val="0"/>
          <w:bCs/>
          <w:sz w:val="24"/>
          <w:szCs w:val="24"/>
          <w:highlight w:val="none"/>
          <w:u w:val="single"/>
          <w:lang w:val="en-US" w:eastAsia="zh-CN"/>
        </w:rPr>
        <w:t>（签字或印鉴）</w:t>
      </w:r>
    </w:p>
    <w:p w14:paraId="77D3A7E1">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日期：</w:t>
      </w:r>
      <w:r>
        <w:rPr>
          <w:rFonts w:hint="eastAsia" w:ascii="宋体" w:hAnsi="宋体" w:eastAsia="宋体" w:cs="宋体"/>
          <w:b w:val="0"/>
          <w:bCs/>
          <w:sz w:val="24"/>
          <w:szCs w:val="24"/>
          <w:highlight w:val="none"/>
          <w:u w:val="single"/>
          <w:lang w:val="en-US" w:eastAsia="zh-CN"/>
        </w:rPr>
        <w:t>年月日</w:t>
      </w:r>
    </w:p>
    <w:p w14:paraId="5A5DC3D7">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说明：（1）单位负责人为同一人或者存在直接控股、管理关系的不同供应商，不得参加同一合同项下的政府采购活动。</w:t>
      </w:r>
    </w:p>
    <w:p w14:paraId="2898AA0B">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（2）本条所指单位负责人为同一人指单位法定代表人或者法律、行政法规规定代表单位行使职权的主要负责人。</w:t>
      </w:r>
    </w:p>
    <w:p w14:paraId="5D2CFCB9">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（3）本条所指控股关系指单位或股东的控股关系。控股股东指:</w:t>
      </w:r>
    </w:p>
    <w:p w14:paraId="3EEDCD78">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a.出资额占有限责任公司资本总额百分之五十以上或者其持有的股份占股份有</w:t>
      </w:r>
    </w:p>
    <w:p w14:paraId="75B3A037">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限公司股本总额百分之五十以上的股东；</w:t>
      </w:r>
    </w:p>
    <w:p w14:paraId="18264F0B">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b.出资额或者持有股份的比例不足百分之五十，但其出资额或者持有的股份所享</w:t>
      </w:r>
    </w:p>
    <w:p w14:paraId="110ABDCF">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有的表决权已足以对股东会、股东大会的决议产生重大影响的股东。</w:t>
      </w:r>
    </w:p>
    <w:p w14:paraId="30D3E6B5">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（4）本条所指管理关系指不具有出资持股关系的其他单位之间存在的管理与被管理关系。</w:t>
      </w:r>
    </w:p>
    <w:p w14:paraId="0C2A5258">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（5）本条所指的控股、管理关系仅限于直接控股、直接管理关系，不包括间接控股或管理关系。</w:t>
      </w:r>
    </w:p>
    <w:p w14:paraId="6198A74A">
      <w:pPr>
        <w:spacing w:line="360" w:lineRule="auto"/>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（6）如无相关情况，请在相应栏填写“无”。</w:t>
      </w:r>
    </w:p>
    <w:p w14:paraId="125D3A39">
      <w:pPr>
        <w:ind w:left="636" w:leftChars="303" w:firstLine="297" w:firstLineChars="124"/>
        <w:rPr>
          <w:rFonts w:hint="eastAsia" w:ascii="宋体" w:hAnsi="宋体" w:eastAsia="宋体" w:cs="宋体"/>
          <w:b w:val="0"/>
          <w:bCs w:val="0"/>
          <w:sz w:val="24"/>
          <w:szCs w:val="24"/>
          <w:highlight w:val="none"/>
        </w:rPr>
        <w:sectPr>
          <w:pgSz w:w="11910" w:h="16838"/>
          <w:pgMar w:top="1600" w:right="1134" w:bottom="280" w:left="1134" w:header="720" w:footer="720" w:gutter="0"/>
          <w:pgNumType w:fmt="decimal"/>
          <w:cols w:space="720" w:num="1"/>
          <w:rtlGutter w:val="0"/>
        </w:sectPr>
      </w:pPr>
    </w:p>
    <w:p w14:paraId="0261CC0E">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2落实政府采购政策需满足的资格要求（如有）</w:t>
      </w:r>
    </w:p>
    <w:p w14:paraId="511F7070">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2-1中小企业声明函</w:t>
      </w:r>
    </w:p>
    <w:p w14:paraId="7FEA969E">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说明：</w:t>
      </w:r>
    </w:p>
    <w:p w14:paraId="7FCAD4E1">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（1）如本项目（包）不专门面向中小企业预留采购份额，资格证明文件部分无需提供《中小企业声明函》。</w:t>
      </w:r>
    </w:p>
    <w:p w14:paraId="51FDF2D5">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w:t>
      </w:r>
    </w:p>
    <w:p w14:paraId="7E477BA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FAB1197">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w:t>
      </w:r>
    </w:p>
    <w:p w14:paraId="0E920AC2">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（5）中小企业声明函填写注意事项</w:t>
      </w:r>
    </w:p>
    <w:p w14:paraId="454A33F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1）中小企业参加政府采购活动，应当出具此格式文件。《中小企业声明函》由参加政府采购活动的投标人出具。联合体投标的，《中小企业声明函》由牵头人出具。</w:t>
      </w:r>
    </w:p>
    <w:p w14:paraId="157B77D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7E2D0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3）对于多标的的采购项目，供应商应充分、准确地了解所投产品制造企业、提供服务的承接企业、工程承接企业信息。对相关情况了解不清楚的，不建议填报本声明函。</w:t>
      </w:r>
    </w:p>
    <w:p w14:paraId="7EC372D0">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号）》及本采购文件规定的中小企业划分标准所属行业执行。</w:t>
      </w:r>
    </w:p>
    <w:p w14:paraId="399795F1">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38DA225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中小企业声明函（工程、服务）</w:t>
      </w:r>
    </w:p>
    <w:p w14:paraId="4AE7CF41">
      <w:pPr>
        <w:adjustRightInd w:val="0"/>
        <w:snapToGrid w:val="0"/>
        <w:spacing w:line="360" w:lineRule="auto"/>
        <w:ind w:left="636" w:leftChars="303" w:firstLine="299" w:firstLineChars="124"/>
        <w:jc w:val="center"/>
        <w:rPr>
          <w:rFonts w:hint="eastAsia" w:ascii="宋体" w:hAnsi="宋体" w:eastAsia="宋体" w:cs="宋体"/>
          <w:b/>
          <w:kern w:val="0"/>
          <w:sz w:val="24"/>
          <w:szCs w:val="24"/>
          <w:highlight w:val="none"/>
        </w:rPr>
      </w:pPr>
    </w:p>
    <w:p w14:paraId="7DC229A5">
      <w:pPr>
        <w:pStyle w:val="18"/>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250E935">
      <w:pPr>
        <w:pStyle w:val="18"/>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eastAsia="zh-CN"/>
        </w:rPr>
        <w:t>承建（承接）</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7AED08">
      <w:pPr>
        <w:pStyle w:val="18"/>
        <w:tabs>
          <w:tab w:val="left" w:pos="5580"/>
        </w:tabs>
        <w:adjustRightInd w:val="0"/>
        <w:snapToGrid w:val="0"/>
        <w:spacing w:line="360" w:lineRule="auto"/>
        <w:ind w:left="636" w:leftChars="303" w:firstLine="297" w:firstLineChars="1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eastAsia="zh-CN"/>
        </w:rPr>
        <w:t>承建（承接）</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08EEEBD">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8B622C8">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7608C12F">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4EACEA1">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1DA38984">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34E485D3">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企业名称（加盖公章）：</w:t>
      </w:r>
    </w:p>
    <w:p w14:paraId="34A6A3DD">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3BE7976A">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376DDA1B">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注1、从业人员、营业收入、资产总额填报上一年度数据，无上一年度数据的新成立企业可不填报。</w:t>
      </w:r>
    </w:p>
    <w:p w14:paraId="19596667">
      <w:pPr>
        <w:pStyle w:val="18"/>
        <w:tabs>
          <w:tab w:val="left" w:pos="5580"/>
        </w:tabs>
        <w:adjustRightInd w:val="0"/>
        <w:snapToGrid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2、请在本表中填写</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中写明的中小企业行业类别。</w:t>
      </w:r>
    </w:p>
    <w:p w14:paraId="45F9649B">
      <w:pPr>
        <w:pStyle w:val="40"/>
        <w:adjustRightInd w:val="0"/>
        <w:snapToGrid w:val="0"/>
        <w:spacing w:before="0" w:after="0" w:line="360" w:lineRule="auto"/>
        <w:ind w:left="636" w:leftChars="303" w:firstLine="322"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3、制造商如为监狱企业或残疾人福利性单位的，视同为小型、微型企业，请填写此声明函，并需要出具相应的声明函和证明文件（格式后附）。</w:t>
      </w:r>
    </w:p>
    <w:p w14:paraId="492A46A8">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E13F758">
      <w:pPr>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监狱企业声明函（如是）</w:t>
      </w:r>
    </w:p>
    <w:p w14:paraId="43F47EBB">
      <w:pPr>
        <w:adjustRightInd w:val="0"/>
        <w:snapToGrid w:val="0"/>
        <w:spacing w:line="360" w:lineRule="auto"/>
        <w:ind w:left="636" w:leftChars="303" w:firstLine="299" w:firstLineChars="124"/>
        <w:rPr>
          <w:rFonts w:hint="eastAsia" w:ascii="宋体" w:hAnsi="宋体" w:eastAsia="宋体" w:cs="宋体"/>
          <w:b/>
          <w:kern w:val="0"/>
          <w:sz w:val="24"/>
          <w:szCs w:val="24"/>
          <w:highlight w:val="none"/>
        </w:rPr>
      </w:pPr>
    </w:p>
    <w:p w14:paraId="4A4527E6">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本单位郑重声明，本单位在参加</w:t>
      </w:r>
      <w:r>
        <w:rPr>
          <w:rFonts w:hint="eastAsia" w:ascii="宋体" w:hAnsi="宋体" w:eastAsia="宋体" w:cs="宋体"/>
          <w:kern w:val="0"/>
          <w:sz w:val="24"/>
          <w:szCs w:val="24"/>
          <w:highlight w:val="none"/>
          <w:u w:val="single"/>
        </w:rPr>
        <w:t>（采购人名称）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项目采购活动提供以下监狱企业制造的货物（或监狱企业承担的工程、或监狱企业承接的服务），具体情况如下：（按照实际情况勾选或填空）</w:t>
      </w:r>
    </w:p>
    <w:p w14:paraId="2079F517">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属于监狱企业，后附省级以上监狱管理局、戒毒管理局（含新疆生产建设兵团）出具的属于监狱企业的证明文件。</w:t>
      </w:r>
    </w:p>
    <w:p w14:paraId="6F7652EE">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14:paraId="4EC38E80">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u w:val="single"/>
        </w:rPr>
        <w:t>（承建（承接）名称）</w:t>
      </w:r>
      <w:r>
        <w:rPr>
          <w:rFonts w:hint="eastAsia" w:ascii="宋体" w:hAnsi="宋体" w:eastAsia="宋体" w:cs="宋体"/>
          <w:kern w:val="0"/>
          <w:sz w:val="24"/>
          <w:szCs w:val="24"/>
          <w:highlight w:val="none"/>
        </w:rPr>
        <w:t>属于监狱企业并作为分包方，其提供协议合同金额占到分包意向协议合同总金额的比例为。后附省级以上监狱管理局、戒毒管理局（含新疆生产建设兵团）出具的属于监狱企业的证明文件。</w:t>
      </w:r>
    </w:p>
    <w:p w14:paraId="52FEE147">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本单位对上述声明的真实性负责。如有虚假，将依法承担相应责任。</w:t>
      </w:r>
    </w:p>
    <w:p w14:paraId="1C925058">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1668EF29">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p>
    <w:p w14:paraId="0E259ABA">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p>
    <w:p w14:paraId="462E7708">
      <w:pPr>
        <w:adjustRightInd w:val="0"/>
        <w:snapToGrid w:val="0"/>
        <w:spacing w:line="360" w:lineRule="auto"/>
        <w:ind w:left="636" w:leftChars="303" w:firstLine="299" w:firstLineChars="124"/>
        <w:jc w:val="both"/>
        <w:rPr>
          <w:rFonts w:hint="eastAsia" w:ascii="宋体" w:hAnsi="宋体" w:eastAsia="宋体" w:cs="宋体"/>
          <w:b/>
          <w:kern w:val="0"/>
          <w:sz w:val="24"/>
          <w:szCs w:val="24"/>
          <w:highlight w:val="none"/>
        </w:rPr>
      </w:pPr>
    </w:p>
    <w:p w14:paraId="6D319011">
      <w:pPr>
        <w:adjustRightInd w:val="0"/>
        <w:snapToGrid w:val="0"/>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bidi="ar"/>
        </w:rPr>
        <w:t>加盖公章</w:t>
      </w:r>
      <w:r>
        <w:rPr>
          <w:rFonts w:hint="eastAsia" w:ascii="宋体" w:hAnsi="宋体" w:eastAsia="宋体" w:cs="宋体"/>
          <w:kern w:val="0"/>
          <w:sz w:val="24"/>
          <w:szCs w:val="24"/>
          <w:highlight w:val="none"/>
        </w:rPr>
        <w:t>）：</w:t>
      </w:r>
    </w:p>
    <w:p w14:paraId="486562E3">
      <w:pPr>
        <w:adjustRightInd w:val="0"/>
        <w:snapToGrid w:val="0"/>
        <w:spacing w:line="360" w:lineRule="auto"/>
        <w:ind w:left="636" w:leftChars="303" w:firstLine="297" w:firstLineChars="124"/>
        <w:rPr>
          <w:rFonts w:hint="eastAsia" w:ascii="宋体" w:hAnsi="宋体" w:eastAsia="宋体" w:cs="宋体"/>
          <w:kern w:val="0"/>
          <w:sz w:val="24"/>
          <w:szCs w:val="24"/>
          <w:highlight w:val="none"/>
        </w:rPr>
      </w:pPr>
    </w:p>
    <w:p w14:paraId="73AE9E58">
      <w:pPr>
        <w:widowControl/>
        <w:adjustRightInd w:val="0"/>
        <w:snapToGrid w:val="0"/>
        <w:spacing w:line="360" w:lineRule="auto"/>
        <w:ind w:left="636" w:leftChars="303" w:firstLine="297" w:firstLineChars="12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p w14:paraId="2571BA8D">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DCB0F52">
      <w:pPr>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残疾人福利性单位声明函（如是）</w:t>
      </w:r>
    </w:p>
    <w:p w14:paraId="44C6A0F5">
      <w:pPr>
        <w:spacing w:line="360" w:lineRule="auto"/>
        <w:ind w:left="636" w:leftChars="303" w:firstLine="297" w:firstLineChars="124"/>
        <w:jc w:val="center"/>
        <w:rPr>
          <w:rFonts w:hint="eastAsia" w:ascii="宋体" w:hAnsi="宋体" w:eastAsia="宋体" w:cs="宋体"/>
          <w:kern w:val="0"/>
          <w:sz w:val="24"/>
          <w:szCs w:val="24"/>
          <w:highlight w:val="none"/>
        </w:rPr>
      </w:pPr>
    </w:p>
    <w:p w14:paraId="435BA20F">
      <w:pPr>
        <w:spacing w:line="360" w:lineRule="auto"/>
        <w:ind w:left="636" w:leftChars="303" w:firstLine="297" w:firstLineChars="124"/>
        <w:rPr>
          <w:rFonts w:hint="eastAsia" w:ascii="宋体" w:hAnsi="宋体" w:eastAsia="宋体" w:cs="宋体"/>
          <w:kern w:val="0"/>
          <w:sz w:val="24"/>
          <w:szCs w:val="24"/>
          <w:highlight w:val="none"/>
        </w:rPr>
      </w:pPr>
    </w:p>
    <w:p w14:paraId="5DED2E52">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0B4103">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14:paraId="27E7DFA6">
      <w:pPr>
        <w:spacing w:line="360" w:lineRule="auto"/>
        <w:ind w:left="636" w:leftChars="303" w:firstLine="297" w:firstLineChars="124"/>
        <w:rPr>
          <w:rFonts w:hint="eastAsia" w:ascii="宋体" w:hAnsi="宋体" w:eastAsia="宋体" w:cs="宋体"/>
          <w:kern w:val="0"/>
          <w:sz w:val="24"/>
          <w:szCs w:val="24"/>
          <w:highlight w:val="none"/>
        </w:rPr>
      </w:pPr>
    </w:p>
    <w:p w14:paraId="557E713C">
      <w:pPr>
        <w:spacing w:line="360" w:lineRule="auto"/>
        <w:ind w:left="636" w:leftChars="303" w:firstLine="312" w:firstLineChars="124"/>
        <w:rPr>
          <w:rFonts w:hint="eastAsia" w:ascii="宋体" w:hAnsi="宋体" w:eastAsia="宋体" w:cs="宋体"/>
          <w:spacing w:val="6"/>
          <w:sz w:val="24"/>
          <w:szCs w:val="24"/>
          <w:highlight w:val="none"/>
        </w:rPr>
      </w:pPr>
    </w:p>
    <w:p w14:paraId="3146519B">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bidi="ar"/>
        </w:rPr>
        <w:t>加盖公章</w:t>
      </w:r>
      <w:r>
        <w:rPr>
          <w:rFonts w:hint="eastAsia" w:ascii="宋体" w:hAnsi="宋体" w:eastAsia="宋体" w:cs="宋体"/>
          <w:kern w:val="0"/>
          <w:sz w:val="24"/>
          <w:szCs w:val="24"/>
          <w:highlight w:val="none"/>
        </w:rPr>
        <w:t>）：</w:t>
      </w:r>
    </w:p>
    <w:p w14:paraId="6A9A14FA">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p w14:paraId="2E045CBA">
      <w:pPr>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4C8C5A95">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2-2拟分包情况说明及分包意向协议</w:t>
      </w:r>
    </w:p>
    <w:p w14:paraId="2408C8A8">
      <w:pPr>
        <w:spacing w:line="360" w:lineRule="auto"/>
        <w:ind w:left="636" w:leftChars="303" w:firstLine="299" w:firstLineChars="124"/>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拟分包情况说明</w:t>
      </w:r>
    </w:p>
    <w:p w14:paraId="47AACCFE">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致：</w:t>
      </w:r>
      <w:r>
        <w:rPr>
          <w:rFonts w:hint="eastAsia" w:ascii="宋体" w:hAnsi="宋体" w:eastAsia="宋体" w:cs="宋体"/>
          <w:kern w:val="0"/>
          <w:sz w:val="24"/>
          <w:szCs w:val="24"/>
          <w:highlight w:val="none"/>
          <w:u w:val="single"/>
          <w:lang w:val="en-US" w:eastAsia="zh-CN"/>
        </w:rPr>
        <w:t>（采购人或采购代理机构）</w:t>
      </w:r>
    </w:p>
    <w:p w14:paraId="231CF9A5">
      <w:pPr>
        <w:spacing w:line="360" w:lineRule="auto"/>
        <w:ind w:left="636" w:leftChars="303" w:firstLine="297" w:firstLineChars="12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我单位参加贵单位组织采购的项目编号为的</w:t>
      </w:r>
      <w:r>
        <w:rPr>
          <w:rFonts w:hint="eastAsia" w:ascii="宋体" w:hAnsi="宋体" w:eastAsia="宋体" w:cs="宋体"/>
          <w:kern w:val="0"/>
          <w:sz w:val="24"/>
          <w:szCs w:val="24"/>
          <w:highlight w:val="none"/>
          <w:u w:val="single"/>
          <w:lang w:val="en-US" w:eastAsia="zh-CN"/>
        </w:rPr>
        <w:t>（填写采购项目名称）</w:t>
      </w:r>
      <w:r>
        <w:rPr>
          <w:rFonts w:hint="eastAsia" w:ascii="宋体" w:hAnsi="宋体" w:eastAsia="宋体" w:cs="宋体"/>
          <w:kern w:val="0"/>
          <w:sz w:val="24"/>
          <w:szCs w:val="24"/>
          <w:highlight w:val="none"/>
          <w:lang w:val="en-US" w:eastAsia="zh-CN"/>
        </w:rPr>
        <w:t>项目中</w:t>
      </w:r>
      <w:r>
        <w:rPr>
          <w:rFonts w:hint="eastAsia" w:ascii="宋体" w:hAnsi="宋体" w:eastAsia="宋体" w:cs="宋体"/>
          <w:kern w:val="0"/>
          <w:sz w:val="24"/>
          <w:szCs w:val="24"/>
          <w:highlight w:val="none"/>
          <w:u w:val="single"/>
          <w:lang w:val="en-US" w:eastAsia="zh-CN"/>
        </w:rPr>
        <w:t>（填写包号）</w:t>
      </w:r>
      <w:r>
        <w:rPr>
          <w:rFonts w:hint="eastAsia" w:ascii="宋体" w:hAnsi="宋体" w:eastAsia="宋体" w:cs="宋体"/>
          <w:kern w:val="0"/>
          <w:sz w:val="24"/>
          <w:szCs w:val="24"/>
          <w:highlight w:val="none"/>
          <w:lang w:val="en-US" w:eastAsia="zh-CN"/>
        </w:rPr>
        <w:t>包的投标。拟签订分包合同的单位情况如下表所示，我单位承诺一旦在该项目中获得采购合同将按下表所列情况进行分包，同时承诺分包承担主体不再次分包。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40"/>
        <w:gridCol w:w="1587"/>
        <w:gridCol w:w="1198"/>
        <w:gridCol w:w="1311"/>
        <w:gridCol w:w="1601"/>
        <w:gridCol w:w="1471"/>
      </w:tblGrid>
      <w:tr w14:paraId="1641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0F893FBF">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240" w:type="dxa"/>
          </w:tcPr>
          <w:p w14:paraId="6C696703">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分包承担主体名称</w:t>
            </w:r>
          </w:p>
          <w:p w14:paraId="6FC5CDC8">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87" w:type="dxa"/>
          </w:tcPr>
          <w:p w14:paraId="3C28EBC2">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分包承担</w:t>
            </w:r>
          </w:p>
          <w:p w14:paraId="318CE333">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主体类型</w:t>
            </w:r>
          </w:p>
          <w:p w14:paraId="0F50B3C3">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（勾选）</w:t>
            </w:r>
          </w:p>
          <w:p w14:paraId="04DA6C64">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198" w:type="dxa"/>
          </w:tcPr>
          <w:p w14:paraId="30C78683">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资质等级</w:t>
            </w:r>
          </w:p>
          <w:p w14:paraId="5EFE274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11" w:type="dxa"/>
          </w:tcPr>
          <w:p w14:paraId="0977330C">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拟分包合同内容</w:t>
            </w:r>
          </w:p>
          <w:p w14:paraId="436055F5">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01" w:type="dxa"/>
          </w:tcPr>
          <w:p w14:paraId="3308BEDB">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拟分包合同金额（人民币元）</w:t>
            </w:r>
          </w:p>
          <w:p w14:paraId="5280729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471" w:type="dxa"/>
          </w:tcPr>
          <w:p w14:paraId="06298D43">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占该采购包预算额的比例（%）</w:t>
            </w:r>
          </w:p>
          <w:p w14:paraId="61EE11FF">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5961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3C284EA0">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240" w:type="dxa"/>
          </w:tcPr>
          <w:p w14:paraId="6D312F7D">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87" w:type="dxa"/>
          </w:tcPr>
          <w:p w14:paraId="695DEC0E">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□中型企业</w:t>
            </w:r>
          </w:p>
          <w:p w14:paraId="0146399D">
            <w:pPr>
              <w:keepNext w:val="0"/>
              <w:keepLines w:val="0"/>
              <w:widowControl/>
              <w:suppressLineNumbers w:val="0"/>
              <w:jc w:val="both"/>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□小微企业</w:t>
            </w:r>
          </w:p>
        </w:tc>
        <w:tc>
          <w:tcPr>
            <w:tcW w:w="1198" w:type="dxa"/>
          </w:tcPr>
          <w:p w14:paraId="35D7EED6">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11" w:type="dxa"/>
          </w:tcPr>
          <w:p w14:paraId="01A2EBF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01" w:type="dxa"/>
          </w:tcPr>
          <w:p w14:paraId="115C0A28">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471" w:type="dxa"/>
          </w:tcPr>
          <w:p w14:paraId="3915CBC4">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0C8A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04F8842C">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240" w:type="dxa"/>
          </w:tcPr>
          <w:p w14:paraId="61711A98">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87" w:type="dxa"/>
          </w:tcPr>
          <w:p w14:paraId="3EDF607B">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□中型企业</w:t>
            </w:r>
          </w:p>
          <w:p w14:paraId="45FB02BC">
            <w:pPr>
              <w:keepNext w:val="0"/>
              <w:keepLines w:val="0"/>
              <w:widowControl/>
              <w:suppressLineNumbers w:val="0"/>
              <w:jc w:val="both"/>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□小微企业</w:t>
            </w:r>
          </w:p>
        </w:tc>
        <w:tc>
          <w:tcPr>
            <w:tcW w:w="1198" w:type="dxa"/>
          </w:tcPr>
          <w:p w14:paraId="0354E475">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11" w:type="dxa"/>
          </w:tcPr>
          <w:p w14:paraId="685504F2">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01" w:type="dxa"/>
          </w:tcPr>
          <w:p w14:paraId="431F1987">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471" w:type="dxa"/>
          </w:tcPr>
          <w:p w14:paraId="7CCB58EC">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6CEF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78A7D16C">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p>
        </w:tc>
        <w:tc>
          <w:tcPr>
            <w:tcW w:w="1240" w:type="dxa"/>
          </w:tcPr>
          <w:p w14:paraId="4387479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587" w:type="dxa"/>
          </w:tcPr>
          <w:p w14:paraId="3D7BB830">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198" w:type="dxa"/>
          </w:tcPr>
          <w:p w14:paraId="6372DE4D">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311" w:type="dxa"/>
          </w:tcPr>
          <w:p w14:paraId="7634F365">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601" w:type="dxa"/>
          </w:tcPr>
          <w:p w14:paraId="6DA743ED">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c>
          <w:tcPr>
            <w:tcW w:w="1471" w:type="dxa"/>
          </w:tcPr>
          <w:p w14:paraId="1D456B7B">
            <w:pPr>
              <w:spacing w:line="360" w:lineRule="auto"/>
              <w:ind w:left="636" w:leftChars="303" w:firstLine="297" w:firstLineChars="124"/>
              <w:jc w:val="center"/>
              <w:rPr>
                <w:rFonts w:hint="eastAsia" w:ascii="宋体" w:hAnsi="宋体" w:eastAsia="宋体" w:cs="宋体"/>
                <w:kern w:val="0"/>
                <w:sz w:val="24"/>
                <w:szCs w:val="24"/>
                <w:highlight w:val="none"/>
                <w:lang w:val="en-US" w:eastAsia="zh-CN"/>
              </w:rPr>
            </w:pPr>
          </w:p>
        </w:tc>
      </w:tr>
      <w:tr w14:paraId="4619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4" w:type="dxa"/>
            <w:gridSpan w:val="5"/>
          </w:tcPr>
          <w:p w14:paraId="2CAC688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合计</w:t>
            </w:r>
          </w:p>
        </w:tc>
        <w:tc>
          <w:tcPr>
            <w:tcW w:w="1601" w:type="dxa"/>
          </w:tcPr>
          <w:p w14:paraId="7279525B">
            <w:pPr>
              <w:spacing w:line="360" w:lineRule="auto"/>
              <w:ind w:left="636" w:leftChars="303" w:firstLine="297" w:firstLineChars="124"/>
              <w:rPr>
                <w:rFonts w:hint="eastAsia" w:ascii="宋体" w:hAnsi="宋体" w:eastAsia="宋体" w:cs="宋体"/>
                <w:kern w:val="0"/>
                <w:sz w:val="24"/>
                <w:szCs w:val="24"/>
                <w:highlight w:val="none"/>
                <w:lang w:val="en-US" w:eastAsia="zh-CN"/>
              </w:rPr>
            </w:pPr>
          </w:p>
        </w:tc>
        <w:tc>
          <w:tcPr>
            <w:tcW w:w="1471" w:type="dxa"/>
          </w:tcPr>
          <w:p w14:paraId="2140F407">
            <w:pPr>
              <w:spacing w:line="360" w:lineRule="auto"/>
              <w:ind w:left="636" w:leftChars="303" w:firstLine="297" w:firstLineChars="124"/>
              <w:rPr>
                <w:rFonts w:hint="eastAsia" w:ascii="宋体" w:hAnsi="宋体" w:eastAsia="宋体" w:cs="宋体"/>
                <w:kern w:val="0"/>
                <w:sz w:val="24"/>
                <w:szCs w:val="24"/>
                <w:highlight w:val="none"/>
                <w:lang w:val="en-US" w:eastAsia="zh-CN"/>
              </w:rPr>
            </w:pPr>
          </w:p>
        </w:tc>
      </w:tr>
    </w:tbl>
    <w:p w14:paraId="7AE67E82">
      <w:pPr>
        <w:spacing w:line="360" w:lineRule="auto"/>
        <w:ind w:left="636" w:leftChars="303" w:firstLine="297" w:firstLineChars="124"/>
        <w:rPr>
          <w:rFonts w:hint="eastAsia" w:ascii="宋体" w:hAnsi="宋体" w:eastAsia="宋体" w:cs="宋体"/>
          <w:kern w:val="0"/>
          <w:sz w:val="24"/>
          <w:szCs w:val="24"/>
          <w:highlight w:val="none"/>
        </w:rPr>
      </w:pPr>
    </w:p>
    <w:p w14:paraId="16D858D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b w:val="0"/>
          <w:bCs/>
          <w:sz w:val="24"/>
          <w:szCs w:val="24"/>
          <w:highlight w:val="none"/>
          <w:lang w:val="en-US" w:eastAsia="zh-CN"/>
        </w:rPr>
      </w:pPr>
    </w:p>
    <w:p w14:paraId="058EA67C">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投标人名称（加盖公章）：</w:t>
      </w:r>
    </w:p>
    <w:p w14:paraId="46C0A57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日期：年月日</w:t>
      </w:r>
    </w:p>
    <w:p w14:paraId="55ED1C7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说明：</w:t>
      </w:r>
    </w:p>
    <w:p w14:paraId="3318EA6B">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（1）本表仅在投标人“为落实政府采购政策”而向中小企业分包时填写。</w:t>
      </w:r>
    </w:p>
    <w:p w14:paraId="13B7973A">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（2）如本招标文件《投标人须知资料表》载明本项目分包承担主体应具备的相</w:t>
      </w:r>
    </w:p>
    <w:p w14:paraId="2022607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应资质条件，则投标人须在本表中列明分包承担主体的资质等级，并后附资质证</w:t>
      </w:r>
    </w:p>
    <w:p w14:paraId="1D1ED2E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书复印件加盖投标人公章，否则</w:t>
      </w:r>
      <w:r>
        <w:rPr>
          <w:rFonts w:hint="eastAsia" w:ascii="宋体" w:hAnsi="宋体" w:eastAsia="宋体" w:cs="宋体"/>
          <w:b/>
          <w:bCs/>
          <w:kern w:val="0"/>
          <w:sz w:val="24"/>
          <w:szCs w:val="24"/>
          <w:highlight w:val="none"/>
          <w:lang w:val="en-US" w:eastAsia="zh-CN"/>
        </w:rPr>
        <w:t>投标无效。</w:t>
      </w:r>
    </w:p>
    <w:p w14:paraId="72BB32B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（3）投标人与上述拟分包承担主体签署的《分包意向协议》后附。</w:t>
      </w:r>
    </w:p>
    <w:p w14:paraId="7AECAEC7">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1236940A">
      <w:pPr>
        <w:spacing w:line="360" w:lineRule="auto"/>
        <w:ind w:left="636" w:leftChars="303" w:firstLine="299" w:firstLineChars="124"/>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附：分包意向协议（参考格式）</w:t>
      </w:r>
    </w:p>
    <w:p w14:paraId="4D6E7E4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甲方（投标人）：</w:t>
      </w:r>
    </w:p>
    <w:p w14:paraId="6E0CBF8C">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乙方（拟分包单位）：</w:t>
      </w:r>
    </w:p>
    <w:p w14:paraId="70B6F09D">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甲方承诺，一旦在（</w:t>
      </w:r>
      <w:r>
        <w:rPr>
          <w:rFonts w:hint="eastAsia" w:ascii="宋体" w:hAnsi="宋体" w:eastAsia="宋体" w:cs="宋体"/>
          <w:kern w:val="0"/>
          <w:sz w:val="24"/>
          <w:szCs w:val="24"/>
          <w:highlight w:val="none"/>
          <w:u w:val="single"/>
          <w:lang w:val="en-US" w:eastAsia="zh-CN"/>
        </w:rPr>
        <w:t>采购项目名称）（项目编号/包号为：</w:t>
      </w:r>
      <w:r>
        <w:rPr>
          <w:rFonts w:hint="eastAsia" w:ascii="宋体" w:hAnsi="宋体" w:eastAsia="宋体" w:cs="宋体"/>
          <w:kern w:val="0"/>
          <w:sz w:val="24"/>
          <w:szCs w:val="24"/>
          <w:highlight w:val="none"/>
          <w:lang w:val="en-US" w:eastAsia="zh-CN"/>
        </w:rPr>
        <w:t>）招标采购项目</w:t>
      </w:r>
    </w:p>
    <w:p w14:paraId="6885ABCA">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中获得采购合同，将按照下述约定将合同项下部分内容分包给乙方：</w:t>
      </w:r>
    </w:p>
    <w:p w14:paraId="1FAF2F07">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1.分包内容：</w:t>
      </w:r>
      <w:r>
        <w:rPr>
          <w:rFonts w:hint="eastAsia" w:ascii="宋体" w:hAnsi="宋体" w:eastAsia="宋体" w:cs="宋体"/>
          <w:kern w:val="0"/>
          <w:sz w:val="24"/>
          <w:szCs w:val="24"/>
          <w:highlight w:val="none"/>
          <w:u w:val="single"/>
          <w:lang w:val="en-US" w:eastAsia="zh-CN"/>
        </w:rPr>
        <w:t>。</w:t>
      </w:r>
    </w:p>
    <w:p w14:paraId="2250077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2.分包金额：，该金额占该采购包预算总金额的比例为%。</w:t>
      </w:r>
    </w:p>
    <w:p w14:paraId="6436B948">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乙方承诺将在上述情况下与甲方签订分包合同。</w:t>
      </w:r>
    </w:p>
    <w:p w14:paraId="0226CDAD">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本协议自各方盖章之日起生效，如甲方未在该项目（采购包）中标，本协议自动</w:t>
      </w:r>
    </w:p>
    <w:p w14:paraId="777945D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终止。</w:t>
      </w:r>
    </w:p>
    <w:p w14:paraId="780A1394">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p>
    <w:p w14:paraId="5AD08F0D">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p>
    <w:p w14:paraId="609DCA0F">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甲方（盖章）：</w:t>
      </w:r>
    </w:p>
    <w:p w14:paraId="483DC54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乙方（盖章）：</w:t>
      </w:r>
    </w:p>
    <w:p w14:paraId="20C5AB85">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日期：</w:t>
      </w:r>
      <w:r>
        <w:rPr>
          <w:rFonts w:hint="eastAsia" w:ascii="宋体" w:hAnsi="宋体" w:eastAsia="宋体" w:cs="宋体"/>
          <w:kern w:val="0"/>
          <w:sz w:val="24"/>
          <w:szCs w:val="24"/>
          <w:highlight w:val="none"/>
          <w:u w:val="single"/>
          <w:lang w:val="en-US" w:eastAsia="zh-CN"/>
        </w:rPr>
        <w:t>年月日</w:t>
      </w:r>
    </w:p>
    <w:p w14:paraId="74C579F4">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p>
    <w:p w14:paraId="5D61D59B">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u w:val="single"/>
          <w:lang w:val="en-US" w:eastAsia="zh-CN"/>
        </w:rPr>
      </w:pPr>
    </w:p>
    <w:p w14:paraId="72B14F3E">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说明：本协议仅在投标人“为落实政府采购政策”而向中小企业分包时必须提供，</w:t>
      </w:r>
    </w:p>
    <w:p w14:paraId="6379C089">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否则投标无效；且投标人须与所有拟分包单位分别签订《分包意向协议》，每单</w:t>
      </w:r>
    </w:p>
    <w:p w14:paraId="0806B4CE">
      <w:pPr>
        <w:keepNext w:val="0"/>
        <w:keepLines w:val="0"/>
        <w:pageBreakBefore w:val="0"/>
        <w:widowControl w:val="0"/>
        <w:kinsoku/>
        <w:wordWrap/>
        <w:overflowPunct/>
        <w:topLinePunct w:val="0"/>
        <w:autoSpaceDE/>
        <w:autoSpaceDN/>
        <w:bidi w:val="0"/>
        <w:adjustRightInd/>
        <w:snapToGrid/>
        <w:spacing w:line="360" w:lineRule="auto"/>
        <w:ind w:left="636" w:leftChars="303" w:firstLine="297" w:firstLineChars="124"/>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位签订一份，并在投标文件中提交全部协议原件的电子件，否则投标无效。</w:t>
      </w:r>
    </w:p>
    <w:p w14:paraId="08F5C5F1">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0B7BF81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2-3其它落实政府采购政策的资格要求（如有）</w:t>
      </w:r>
    </w:p>
    <w:p w14:paraId="6B858453">
      <w:pPr>
        <w:ind w:left="636" w:leftChars="303" w:firstLine="297" w:firstLineChars="124"/>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br w:type="page"/>
      </w:r>
    </w:p>
    <w:p w14:paraId="5F4A18E3">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3本项目的特定资格要求（如有）</w:t>
      </w:r>
    </w:p>
    <w:p w14:paraId="2F35C109">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FE1C28B">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4投标保证金凭证/交款单据电子件</w:t>
      </w:r>
    </w:p>
    <w:p w14:paraId="7403509B">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1142FC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5投标书</w:t>
      </w:r>
    </w:p>
    <w:p w14:paraId="0E049617">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51D381F8">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投标书</w:t>
      </w:r>
    </w:p>
    <w:p w14:paraId="1AFF0F58">
      <w:pPr>
        <w:spacing w:line="360" w:lineRule="auto"/>
        <w:ind w:left="636" w:leftChars="303" w:firstLine="297" w:firstLineChars="124"/>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致：</w:t>
      </w:r>
      <w:r>
        <w:rPr>
          <w:rFonts w:hint="eastAsia" w:ascii="宋体" w:hAnsi="宋体" w:eastAsia="宋体" w:cs="宋体"/>
          <w:kern w:val="0"/>
          <w:sz w:val="24"/>
          <w:szCs w:val="24"/>
          <w:highlight w:val="none"/>
          <w:u w:val="single"/>
          <w:lang w:val="en-US" w:eastAsia="zh-CN"/>
        </w:rPr>
        <w:t>（采购人或采购代理机构）</w:t>
      </w:r>
    </w:p>
    <w:p w14:paraId="064617E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我方参加你方就</w:t>
      </w:r>
      <w:r>
        <w:rPr>
          <w:rFonts w:hint="eastAsia" w:ascii="宋体" w:hAnsi="宋体" w:eastAsia="宋体" w:cs="宋体"/>
          <w:kern w:val="0"/>
          <w:sz w:val="24"/>
          <w:szCs w:val="24"/>
          <w:highlight w:val="none"/>
          <w:u w:val="single"/>
          <w:lang w:val="en-US" w:eastAsia="zh-CN"/>
        </w:rPr>
        <w:t>（项目名称，项目编号/包号）</w:t>
      </w:r>
      <w:r>
        <w:rPr>
          <w:rFonts w:hint="eastAsia" w:ascii="宋体" w:hAnsi="宋体" w:eastAsia="宋体" w:cs="宋体"/>
          <w:kern w:val="0"/>
          <w:sz w:val="24"/>
          <w:szCs w:val="24"/>
          <w:highlight w:val="none"/>
          <w:lang w:val="en-US" w:eastAsia="zh-CN"/>
        </w:rPr>
        <w:t>组织的招标活动，并对</w:t>
      </w:r>
    </w:p>
    <w:p w14:paraId="25CBD31C">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此项目进行投标。</w:t>
      </w:r>
    </w:p>
    <w:p w14:paraId="4CD71075">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1.我方已详细审查全部招标文件，自愿参与投标并承诺如下：</w:t>
      </w:r>
    </w:p>
    <w:p w14:paraId="43F87D47">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（1）本投标有效期为自提交投标文件的截止之日起个日历日。</w:t>
      </w:r>
    </w:p>
    <w:p w14:paraId="56ABF6D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（2）除合同条款及采购需求偏离表列出的偏离外，我方响应招标文件的全部要</w:t>
      </w:r>
    </w:p>
    <w:p w14:paraId="13891E86">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求。</w:t>
      </w:r>
    </w:p>
    <w:p w14:paraId="00886FD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（3）我方已提供的全部文件资料是真实、准确的，并对此承担一切法律后果。</w:t>
      </w:r>
    </w:p>
    <w:p w14:paraId="01869AF4">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（4）如我方中标，我方将在法律规定的期限内与你方签订合同，按照招标文件</w:t>
      </w:r>
    </w:p>
    <w:p w14:paraId="1E12BBD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要求提交履约保证金，并在合同约定的期限内完成合同规定的全部义务。</w:t>
      </w:r>
    </w:p>
    <w:p w14:paraId="6C786C5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2.其他补充条款（如有）：。</w:t>
      </w:r>
    </w:p>
    <w:p w14:paraId="5BFB4327">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与本投标有关的一切正式往来信函请寄：</w:t>
      </w:r>
    </w:p>
    <w:p w14:paraId="2A90B831">
      <w:pPr>
        <w:spacing w:line="360" w:lineRule="auto"/>
        <w:ind w:left="636" w:leftChars="303" w:firstLine="297" w:firstLineChars="124"/>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地址</w:t>
      </w:r>
    </w:p>
    <w:p w14:paraId="4A085D99">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传真</w:t>
      </w:r>
    </w:p>
    <w:p w14:paraId="660B30C4">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电话</w:t>
      </w:r>
    </w:p>
    <w:p w14:paraId="10DEDB8E">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电子函件</w:t>
      </w:r>
    </w:p>
    <w:p w14:paraId="0BC27510">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投标人名称（加盖公章）</w:t>
      </w:r>
    </w:p>
    <w:p w14:paraId="0A25F227">
      <w:pPr>
        <w:spacing w:line="360" w:lineRule="auto"/>
        <w:ind w:left="636" w:leftChars="303" w:firstLine="297" w:firstLineChars="124"/>
        <w:rPr>
          <w:rFonts w:hint="eastAsia"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日期</w:t>
      </w:r>
      <w:r>
        <w:rPr>
          <w:rFonts w:hint="eastAsia" w:ascii="宋体" w:hAnsi="宋体" w:eastAsia="宋体" w:cs="宋体"/>
          <w:kern w:val="0"/>
          <w:sz w:val="24"/>
          <w:szCs w:val="24"/>
          <w:highlight w:val="none"/>
          <w:u w:val="single"/>
          <w:lang w:val="en-US" w:eastAsia="zh-CN"/>
        </w:rPr>
        <w:t>：年月</w:t>
      </w:r>
    </w:p>
    <w:p w14:paraId="6FF19E2A">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0BA8E70A">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6授权委托书</w:t>
      </w:r>
    </w:p>
    <w:p w14:paraId="1F0E7148">
      <w:pPr>
        <w:pStyle w:val="19"/>
        <w:spacing w:line="360" w:lineRule="auto"/>
        <w:ind w:left="636" w:leftChars="303" w:firstLine="299" w:firstLineChars="124"/>
        <w:jc w:val="center"/>
        <w:rPr>
          <w:rFonts w:hint="eastAsia" w:ascii="宋体" w:hAnsi="宋体" w:eastAsia="宋体" w:cs="宋体"/>
          <w:b/>
          <w:bCs/>
          <w:sz w:val="24"/>
          <w:szCs w:val="24"/>
          <w:highlight w:val="none"/>
        </w:rPr>
      </w:pPr>
    </w:p>
    <w:p w14:paraId="575D39CA">
      <w:pPr>
        <w:pStyle w:val="19"/>
        <w:spacing w:line="360" w:lineRule="auto"/>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法定代表人（单位负责人）身份证明</w:t>
      </w:r>
    </w:p>
    <w:p w14:paraId="650EA6ED">
      <w:pPr>
        <w:pStyle w:val="19"/>
        <w:spacing w:line="360" w:lineRule="auto"/>
        <w:ind w:left="636" w:leftChars="303" w:firstLine="297" w:firstLineChars="124"/>
        <w:rPr>
          <w:rFonts w:hint="eastAsia" w:ascii="宋体" w:hAnsi="宋体" w:eastAsia="宋体" w:cs="宋体"/>
          <w:sz w:val="24"/>
          <w:szCs w:val="24"/>
          <w:highlight w:val="none"/>
        </w:rPr>
      </w:pPr>
    </w:p>
    <w:p w14:paraId="514F5074">
      <w:pPr>
        <w:pStyle w:val="19"/>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投标人名称：</w:t>
      </w:r>
    </w:p>
    <w:p w14:paraId="7D77866A">
      <w:pPr>
        <w:pStyle w:val="19"/>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性别：年龄：职务：</w:t>
      </w:r>
    </w:p>
    <w:p w14:paraId="0CF2247D">
      <w:pPr>
        <w:pStyle w:val="19"/>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系（投标人名称）的法定代表人（单位负责人）。</w:t>
      </w:r>
    </w:p>
    <w:p w14:paraId="537521A4">
      <w:pPr>
        <w:pStyle w:val="19"/>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80D20DD">
      <w:pPr>
        <w:pStyle w:val="19"/>
        <w:spacing w:line="360" w:lineRule="auto"/>
        <w:ind w:left="636" w:leftChars="303" w:firstLine="297" w:firstLineChars="124"/>
        <w:rPr>
          <w:rFonts w:hint="eastAsia" w:ascii="宋体" w:hAnsi="宋体" w:eastAsia="宋体" w:cs="宋体"/>
          <w:sz w:val="24"/>
          <w:szCs w:val="24"/>
          <w:highlight w:val="none"/>
        </w:rPr>
      </w:pPr>
    </w:p>
    <w:p w14:paraId="09E76C34">
      <w:pPr>
        <w:pStyle w:val="19"/>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附：法定代表人（单位负责人）身份证扫描件。</w:t>
      </w:r>
    </w:p>
    <w:tbl>
      <w:tblPr>
        <w:tblStyle w:val="2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14:paraId="26BE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8320" w:type="dxa"/>
            <w:vAlign w:val="center"/>
          </w:tcPr>
          <w:p w14:paraId="530A79B8">
            <w:pPr>
              <w:spacing w:line="360" w:lineRule="auto"/>
              <w:ind w:left="636" w:leftChars="303" w:firstLine="290" w:firstLineChars="124"/>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w:t>
            </w:r>
            <w:r>
              <w:rPr>
                <w:rFonts w:hint="eastAsia" w:ascii="宋体" w:hAnsi="宋体" w:eastAsia="宋体" w:cs="宋体"/>
                <w:sz w:val="24"/>
                <w:szCs w:val="24"/>
                <w:highlight w:val="none"/>
              </w:rPr>
              <w:t>定</w:t>
            </w:r>
            <w:r>
              <w:rPr>
                <w:rFonts w:hint="eastAsia" w:ascii="宋体" w:hAnsi="宋体" w:eastAsia="宋体" w:cs="宋体"/>
                <w:spacing w:val="-3"/>
                <w:sz w:val="24"/>
                <w:szCs w:val="24"/>
                <w:highlight w:val="none"/>
              </w:rPr>
              <w:t>代</w:t>
            </w:r>
            <w:r>
              <w:rPr>
                <w:rFonts w:hint="eastAsia" w:ascii="宋体" w:hAnsi="宋体" w:eastAsia="宋体" w:cs="宋体"/>
                <w:sz w:val="24"/>
                <w:szCs w:val="24"/>
                <w:highlight w:val="none"/>
              </w:rPr>
              <w:t>表</w:t>
            </w:r>
            <w:r>
              <w:rPr>
                <w:rFonts w:hint="eastAsia" w:ascii="宋体" w:hAnsi="宋体" w:eastAsia="宋体" w:cs="宋体"/>
                <w:spacing w:val="-3"/>
                <w:sz w:val="24"/>
                <w:szCs w:val="24"/>
                <w:highlight w:val="none"/>
              </w:rPr>
              <w:t>人</w:t>
            </w:r>
            <w:r>
              <w:rPr>
                <w:rFonts w:hint="eastAsia" w:ascii="宋体" w:hAnsi="宋体" w:eastAsia="宋体" w:cs="宋体"/>
                <w:sz w:val="24"/>
                <w:szCs w:val="24"/>
                <w:highlight w:val="none"/>
              </w:rPr>
              <w:t>（</w:t>
            </w:r>
            <w:r>
              <w:rPr>
                <w:rFonts w:hint="eastAsia" w:ascii="宋体" w:hAnsi="宋体" w:eastAsia="宋体" w:cs="宋体"/>
                <w:spacing w:val="-3"/>
                <w:sz w:val="24"/>
                <w:szCs w:val="24"/>
                <w:highlight w:val="none"/>
              </w:rPr>
              <w:t>单</w:t>
            </w:r>
            <w:r>
              <w:rPr>
                <w:rFonts w:hint="eastAsia" w:ascii="宋体" w:hAnsi="宋体" w:eastAsia="宋体" w:cs="宋体"/>
                <w:sz w:val="24"/>
                <w:szCs w:val="24"/>
                <w:highlight w:val="none"/>
              </w:rPr>
              <w:t>位</w:t>
            </w:r>
            <w:r>
              <w:rPr>
                <w:rFonts w:hint="eastAsia" w:ascii="宋体" w:hAnsi="宋体" w:eastAsia="宋体" w:cs="宋体"/>
                <w:spacing w:val="-3"/>
                <w:sz w:val="24"/>
                <w:szCs w:val="24"/>
                <w:highlight w:val="none"/>
              </w:rPr>
              <w:t>负</w:t>
            </w:r>
            <w:r>
              <w:rPr>
                <w:rFonts w:hint="eastAsia" w:ascii="宋体" w:hAnsi="宋体" w:eastAsia="宋体" w:cs="宋体"/>
                <w:sz w:val="24"/>
                <w:szCs w:val="24"/>
                <w:highlight w:val="none"/>
              </w:rPr>
              <w:t>责人</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身</w:t>
            </w:r>
            <w:r>
              <w:rPr>
                <w:rFonts w:hint="eastAsia" w:ascii="宋体" w:hAnsi="宋体" w:eastAsia="宋体" w:cs="宋体"/>
                <w:spacing w:val="-3"/>
                <w:sz w:val="24"/>
                <w:szCs w:val="24"/>
                <w:highlight w:val="none"/>
              </w:rPr>
              <w:t>份</w:t>
            </w:r>
            <w:r>
              <w:rPr>
                <w:rFonts w:hint="eastAsia" w:ascii="宋体" w:hAnsi="宋体" w:eastAsia="宋体" w:cs="宋体"/>
                <w:sz w:val="24"/>
                <w:szCs w:val="24"/>
                <w:highlight w:val="none"/>
              </w:rPr>
              <w:t>证</w:t>
            </w:r>
            <w:r>
              <w:rPr>
                <w:rFonts w:hint="eastAsia" w:ascii="宋体" w:hAnsi="宋体" w:eastAsia="宋体" w:cs="宋体"/>
                <w:spacing w:val="-3"/>
                <w:sz w:val="24"/>
                <w:szCs w:val="24"/>
                <w:highlight w:val="none"/>
              </w:rPr>
              <w:t>正反面</w:t>
            </w:r>
          </w:p>
        </w:tc>
      </w:tr>
    </w:tbl>
    <w:p w14:paraId="1FD38AD1">
      <w:pPr>
        <w:pStyle w:val="19"/>
        <w:spacing w:line="360" w:lineRule="auto"/>
        <w:ind w:left="636" w:leftChars="303" w:firstLine="297" w:firstLineChars="124"/>
        <w:rPr>
          <w:rFonts w:hint="eastAsia" w:ascii="宋体" w:hAnsi="宋体" w:eastAsia="宋体" w:cs="宋体"/>
          <w:sz w:val="24"/>
          <w:szCs w:val="24"/>
          <w:highlight w:val="none"/>
          <w:u w:val="single"/>
        </w:rPr>
      </w:pPr>
    </w:p>
    <w:p w14:paraId="1B639C82">
      <w:pPr>
        <w:pStyle w:val="19"/>
        <w:spacing w:line="360" w:lineRule="auto"/>
        <w:ind w:left="636" w:leftChars="303" w:firstLine="297" w:firstLineChars="124"/>
        <w:rPr>
          <w:rFonts w:hint="eastAsia" w:ascii="宋体" w:hAnsi="宋体" w:eastAsia="宋体" w:cs="宋体"/>
          <w:sz w:val="24"/>
          <w:szCs w:val="24"/>
          <w:highlight w:val="none"/>
          <w:u w:val="single"/>
        </w:rPr>
      </w:pPr>
    </w:p>
    <w:p w14:paraId="05F292CC">
      <w:pPr>
        <w:pStyle w:val="19"/>
        <w:spacing w:line="360" w:lineRule="auto"/>
        <w:rPr>
          <w:rFonts w:hint="eastAsia" w:ascii="宋体" w:hAnsi="宋体" w:eastAsia="宋体" w:cs="宋体"/>
          <w:sz w:val="24"/>
          <w:szCs w:val="24"/>
          <w:highlight w:val="none"/>
          <w:u w:val="single"/>
        </w:rPr>
      </w:pPr>
    </w:p>
    <w:p w14:paraId="34E1C5B7">
      <w:pPr>
        <w:widowControl/>
        <w:spacing w:line="360" w:lineRule="auto"/>
        <w:ind w:firstLine="960" w:firstLineChars="4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投标人：（加盖公章）</w:t>
      </w:r>
    </w:p>
    <w:p w14:paraId="5B11B392">
      <w:pPr>
        <w:widowControl/>
        <w:spacing w:line="360" w:lineRule="auto"/>
        <w:ind w:left="636" w:leftChars="303" w:firstLine="297" w:firstLineChars="124"/>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u w:val="none"/>
          <w:lang w:eastAsia="zh-CN" w:bidi="ar"/>
        </w:rPr>
        <w:t>日期：</w:t>
      </w:r>
      <w:r>
        <w:rPr>
          <w:rFonts w:hint="eastAsia" w:ascii="宋体" w:hAnsi="宋体" w:eastAsia="宋体" w:cs="宋体"/>
          <w:kern w:val="0"/>
          <w:sz w:val="24"/>
          <w:szCs w:val="24"/>
          <w:highlight w:val="none"/>
          <w:u w:val="single"/>
          <w:lang w:bidi="ar"/>
        </w:rPr>
        <w:t>年月日</w:t>
      </w:r>
    </w:p>
    <w:p w14:paraId="08B0B3E4">
      <w:pPr>
        <w:ind w:left="636" w:leftChars="303" w:firstLine="270" w:firstLineChars="124"/>
        <w:rPr>
          <w:rFonts w:hint="eastAsia" w:ascii="宋体" w:hAnsi="宋体" w:eastAsia="宋体" w:cs="宋体"/>
          <w:spacing w:val="-5"/>
          <w:w w:val="95"/>
          <w:sz w:val="24"/>
          <w:szCs w:val="24"/>
          <w:highlight w:val="none"/>
        </w:rPr>
      </w:pPr>
      <w:r>
        <w:rPr>
          <w:rFonts w:hint="eastAsia" w:ascii="宋体" w:hAnsi="宋体" w:eastAsia="宋体" w:cs="宋体"/>
          <w:spacing w:val="-5"/>
          <w:w w:val="95"/>
          <w:sz w:val="24"/>
          <w:szCs w:val="24"/>
          <w:highlight w:val="none"/>
        </w:rPr>
        <w:br w:type="page"/>
      </w:r>
    </w:p>
    <w:p w14:paraId="779383DC">
      <w:pPr>
        <w:spacing w:before="156" w:beforeLines="50" w:after="156" w:afterLines="50" w:line="360" w:lineRule="auto"/>
        <w:ind w:left="636" w:leftChars="303" w:firstLine="349" w:firstLineChars="124"/>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法定代表人授权</w:t>
      </w:r>
      <w:r>
        <w:rPr>
          <w:rFonts w:hint="eastAsia" w:ascii="宋体" w:hAnsi="宋体" w:eastAsia="宋体" w:cs="宋体"/>
          <w:b/>
          <w:bCs/>
          <w:sz w:val="28"/>
          <w:szCs w:val="28"/>
          <w:highlight w:val="none"/>
          <w:lang w:val="en-US" w:eastAsia="zh-CN"/>
        </w:rPr>
        <w:t>委托</w:t>
      </w:r>
      <w:r>
        <w:rPr>
          <w:rFonts w:hint="eastAsia" w:ascii="宋体" w:hAnsi="宋体" w:eastAsia="宋体" w:cs="宋体"/>
          <w:b/>
          <w:bCs/>
          <w:sz w:val="28"/>
          <w:szCs w:val="28"/>
          <w:highlight w:val="none"/>
        </w:rPr>
        <w:t>书</w:t>
      </w:r>
    </w:p>
    <w:p w14:paraId="4146A9D4">
      <w:pPr>
        <w:spacing w:line="360" w:lineRule="auto"/>
        <w:ind w:left="636" w:leftChars="303" w:right="106" w:firstLine="270" w:firstLineChars="124"/>
        <w:rPr>
          <w:rFonts w:hint="eastAsia" w:ascii="宋体" w:hAnsi="宋体" w:eastAsia="宋体" w:cs="宋体"/>
          <w:sz w:val="24"/>
          <w:szCs w:val="24"/>
          <w:highlight w:val="none"/>
        </w:rPr>
      </w:pPr>
      <w:r>
        <w:rPr>
          <w:rFonts w:hint="eastAsia" w:ascii="宋体" w:hAnsi="宋体" w:eastAsia="宋体" w:cs="宋体"/>
          <w:spacing w:val="-5"/>
          <w:w w:val="95"/>
          <w:sz w:val="24"/>
          <w:szCs w:val="24"/>
          <w:highlight w:val="none"/>
        </w:rPr>
        <w:t>本授权书声明：注册于</w:t>
      </w:r>
      <w:r>
        <w:rPr>
          <w:rFonts w:hint="eastAsia" w:ascii="宋体" w:hAnsi="宋体" w:eastAsia="宋体" w:cs="宋体"/>
          <w:w w:val="95"/>
          <w:sz w:val="24"/>
          <w:szCs w:val="24"/>
          <w:highlight w:val="none"/>
          <w:u w:val="single"/>
        </w:rPr>
        <w:t>（国家或地区的名称</w:t>
      </w:r>
      <w:r>
        <w:rPr>
          <w:rFonts w:hint="eastAsia" w:ascii="宋体" w:hAnsi="宋体" w:eastAsia="宋体" w:cs="宋体"/>
          <w:spacing w:val="-17"/>
          <w:w w:val="95"/>
          <w:sz w:val="24"/>
          <w:szCs w:val="24"/>
          <w:highlight w:val="none"/>
          <w:u w:val="single"/>
        </w:rPr>
        <w:t>）</w:t>
      </w:r>
      <w:r>
        <w:rPr>
          <w:rFonts w:hint="eastAsia" w:ascii="宋体" w:hAnsi="宋体" w:eastAsia="宋体" w:cs="宋体"/>
          <w:spacing w:val="-15"/>
          <w:w w:val="95"/>
          <w:sz w:val="24"/>
          <w:szCs w:val="24"/>
          <w:highlight w:val="none"/>
        </w:rPr>
        <w:t>的</w:t>
      </w:r>
      <w:r>
        <w:rPr>
          <w:rFonts w:hint="eastAsia" w:ascii="宋体" w:hAnsi="宋体" w:eastAsia="宋体" w:cs="宋体"/>
          <w:w w:val="95"/>
          <w:sz w:val="24"/>
          <w:szCs w:val="24"/>
          <w:highlight w:val="none"/>
          <w:u w:val="single"/>
        </w:rPr>
        <w:t>（投标人名称</w:t>
      </w:r>
      <w:r>
        <w:rPr>
          <w:rFonts w:hint="eastAsia" w:ascii="宋体" w:hAnsi="宋体" w:eastAsia="宋体" w:cs="宋体"/>
          <w:spacing w:val="-15"/>
          <w:w w:val="95"/>
          <w:sz w:val="24"/>
          <w:szCs w:val="24"/>
          <w:highlight w:val="none"/>
          <w:u w:val="single"/>
        </w:rPr>
        <w:t>）</w:t>
      </w:r>
      <w:r>
        <w:rPr>
          <w:rFonts w:hint="eastAsia" w:ascii="宋体" w:hAnsi="宋体" w:eastAsia="宋体" w:cs="宋体"/>
          <w:spacing w:val="-3"/>
          <w:w w:val="95"/>
          <w:sz w:val="24"/>
          <w:szCs w:val="24"/>
          <w:highlight w:val="none"/>
        </w:rPr>
        <w:t>的在下面签字的</w:t>
      </w:r>
      <w:r>
        <w:rPr>
          <w:rFonts w:hint="eastAsia" w:ascii="宋体" w:hAnsi="宋体" w:eastAsia="宋体" w:cs="宋体"/>
          <w:w w:val="95"/>
          <w:sz w:val="24"/>
          <w:szCs w:val="24"/>
          <w:highlight w:val="none"/>
        </w:rPr>
        <w:t>（</w:t>
      </w:r>
      <w:r>
        <w:rPr>
          <w:rFonts w:hint="eastAsia" w:ascii="宋体" w:hAnsi="宋体" w:eastAsia="宋体" w:cs="宋体"/>
          <w:spacing w:val="-7"/>
          <w:w w:val="95"/>
          <w:sz w:val="24"/>
          <w:szCs w:val="24"/>
          <w:highlight w:val="none"/>
          <w:u w:val="single"/>
        </w:rPr>
        <w:t>法人代表姓名</w:t>
      </w:r>
      <w:r>
        <w:rPr>
          <w:rFonts w:hint="eastAsia" w:ascii="宋体" w:hAnsi="宋体" w:eastAsia="宋体" w:cs="宋体"/>
          <w:spacing w:val="-29"/>
          <w:w w:val="95"/>
          <w:sz w:val="24"/>
          <w:szCs w:val="24"/>
          <w:highlight w:val="none"/>
          <w:u w:val="single"/>
        </w:rPr>
        <w:t>、职务</w:t>
      </w:r>
      <w:r>
        <w:rPr>
          <w:rFonts w:hint="eastAsia" w:ascii="宋体" w:hAnsi="宋体" w:eastAsia="宋体" w:cs="宋体"/>
          <w:spacing w:val="-15"/>
          <w:w w:val="95"/>
          <w:sz w:val="24"/>
          <w:szCs w:val="24"/>
          <w:highlight w:val="none"/>
        </w:rPr>
        <w:t>）</w:t>
      </w:r>
      <w:r>
        <w:rPr>
          <w:rFonts w:hint="eastAsia" w:ascii="宋体" w:hAnsi="宋体" w:eastAsia="宋体" w:cs="宋体"/>
          <w:spacing w:val="-4"/>
          <w:w w:val="95"/>
          <w:sz w:val="24"/>
          <w:szCs w:val="24"/>
          <w:highlight w:val="none"/>
        </w:rPr>
        <w:t>代表本公司授权</w:t>
      </w:r>
      <w:r>
        <w:rPr>
          <w:rFonts w:hint="eastAsia" w:ascii="宋体" w:hAnsi="宋体" w:eastAsia="宋体" w:cs="宋体"/>
          <w:w w:val="95"/>
          <w:sz w:val="24"/>
          <w:szCs w:val="24"/>
          <w:highlight w:val="none"/>
          <w:u w:val="single"/>
        </w:rPr>
        <w:t>（投标人名称</w:t>
      </w:r>
      <w:r>
        <w:rPr>
          <w:rFonts w:hint="eastAsia" w:ascii="宋体" w:hAnsi="宋体" w:eastAsia="宋体" w:cs="宋体"/>
          <w:spacing w:val="-15"/>
          <w:w w:val="95"/>
          <w:sz w:val="24"/>
          <w:szCs w:val="24"/>
          <w:highlight w:val="none"/>
          <w:u w:val="single"/>
        </w:rPr>
        <w:t>）</w:t>
      </w:r>
      <w:r>
        <w:rPr>
          <w:rFonts w:hint="eastAsia" w:ascii="宋体" w:hAnsi="宋体" w:eastAsia="宋体" w:cs="宋体"/>
          <w:spacing w:val="-3"/>
          <w:w w:val="95"/>
          <w:sz w:val="24"/>
          <w:szCs w:val="24"/>
          <w:highlight w:val="none"/>
        </w:rPr>
        <w:t>的在下面签字的</w:t>
      </w:r>
      <w:r>
        <w:rPr>
          <w:rFonts w:hint="eastAsia" w:ascii="宋体" w:hAnsi="宋体" w:eastAsia="宋体" w:cs="宋体"/>
          <w:w w:val="95"/>
          <w:sz w:val="24"/>
          <w:szCs w:val="24"/>
          <w:highlight w:val="none"/>
        </w:rPr>
        <w:t>（</w:t>
      </w:r>
      <w:r>
        <w:rPr>
          <w:rFonts w:hint="eastAsia" w:ascii="宋体" w:hAnsi="宋体" w:eastAsia="宋体" w:cs="宋体"/>
          <w:spacing w:val="-4"/>
          <w:w w:val="95"/>
          <w:sz w:val="24"/>
          <w:szCs w:val="24"/>
          <w:highlight w:val="none"/>
          <w:u w:val="single"/>
        </w:rPr>
        <w:t>被授权人的姓名、职务</w:t>
      </w:r>
      <w:r>
        <w:rPr>
          <w:rFonts w:hint="eastAsia" w:ascii="宋体" w:hAnsi="宋体" w:eastAsia="宋体" w:cs="宋体"/>
          <w:spacing w:val="-20"/>
          <w:w w:val="95"/>
          <w:sz w:val="24"/>
          <w:szCs w:val="24"/>
          <w:highlight w:val="none"/>
        </w:rPr>
        <w:t>）</w:t>
      </w:r>
      <w:r>
        <w:rPr>
          <w:rFonts w:hint="eastAsia" w:ascii="宋体" w:hAnsi="宋体" w:eastAsia="宋体" w:cs="宋体"/>
          <w:spacing w:val="-4"/>
          <w:w w:val="95"/>
          <w:sz w:val="24"/>
          <w:szCs w:val="24"/>
          <w:highlight w:val="none"/>
        </w:rPr>
        <w:t>为本公司的合法代理人，就</w:t>
      </w:r>
      <w:r>
        <w:rPr>
          <w:rFonts w:hint="eastAsia" w:ascii="宋体" w:hAnsi="宋体" w:eastAsia="宋体" w:cs="宋体"/>
          <w:w w:val="95"/>
          <w:sz w:val="24"/>
          <w:szCs w:val="24"/>
          <w:highlight w:val="none"/>
        </w:rPr>
        <w:t>（</w:t>
      </w:r>
      <w:r>
        <w:rPr>
          <w:rFonts w:hint="eastAsia" w:ascii="宋体" w:hAnsi="宋体" w:eastAsia="宋体" w:cs="宋体"/>
          <w:w w:val="95"/>
          <w:sz w:val="24"/>
          <w:szCs w:val="24"/>
          <w:highlight w:val="none"/>
          <w:u w:val="single"/>
        </w:rPr>
        <w:t>项目名称</w:t>
      </w:r>
      <w:r>
        <w:rPr>
          <w:rFonts w:hint="eastAsia" w:ascii="宋体" w:hAnsi="宋体" w:eastAsia="宋体" w:cs="宋体"/>
          <w:spacing w:val="-17"/>
          <w:w w:val="95"/>
          <w:sz w:val="24"/>
          <w:szCs w:val="24"/>
          <w:highlight w:val="none"/>
        </w:rPr>
        <w:t>）</w:t>
      </w:r>
      <w:r>
        <w:rPr>
          <w:rFonts w:hint="eastAsia" w:ascii="宋体" w:hAnsi="宋体" w:eastAsia="宋体" w:cs="宋体"/>
          <w:spacing w:val="-4"/>
          <w:w w:val="95"/>
          <w:sz w:val="24"/>
          <w:szCs w:val="24"/>
          <w:highlight w:val="none"/>
        </w:rPr>
        <w:t>的投标，以本公司名义处理一切与之有关的</w:t>
      </w:r>
      <w:r>
        <w:rPr>
          <w:rFonts w:hint="eastAsia" w:ascii="宋体" w:hAnsi="宋体" w:eastAsia="宋体" w:cs="宋体"/>
          <w:sz w:val="24"/>
          <w:szCs w:val="24"/>
          <w:highlight w:val="none"/>
        </w:rPr>
        <w:t>事务。</w:t>
      </w:r>
    </w:p>
    <w:p w14:paraId="0D45430A">
      <w:pPr>
        <w:pStyle w:val="15"/>
        <w:tabs>
          <w:tab w:val="left" w:pos="3360"/>
          <w:tab w:val="left" w:pos="4200"/>
          <w:tab w:val="left" w:pos="5041"/>
        </w:tabs>
        <w:spacing w:before="6"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本授权书于年月日签字生效,特此声明。</w:t>
      </w:r>
    </w:p>
    <w:p w14:paraId="267C49DB">
      <w:pPr>
        <w:pStyle w:val="15"/>
        <w:spacing w:before="11"/>
        <w:ind w:left="636" w:leftChars="303" w:firstLine="297" w:firstLineChars="124"/>
        <w:rPr>
          <w:rFonts w:hint="eastAsia" w:ascii="宋体" w:hAnsi="宋体" w:eastAsia="宋体" w:cs="宋体"/>
          <w:sz w:val="24"/>
          <w:szCs w:val="24"/>
          <w:highlight w:val="none"/>
        </w:rPr>
      </w:pPr>
    </w:p>
    <w:p w14:paraId="01B614CD">
      <w:pPr>
        <w:pStyle w:val="15"/>
        <w:tabs>
          <w:tab w:val="left" w:pos="6296"/>
          <w:tab w:val="left" w:pos="641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法定代表人签字或签章：</w:t>
      </w:r>
      <w:r>
        <w:rPr>
          <w:rFonts w:hint="eastAsia" w:ascii="宋体" w:hAnsi="宋体" w:eastAsia="宋体" w:cs="宋体"/>
          <w:kern w:val="0"/>
          <w:sz w:val="24"/>
          <w:szCs w:val="24"/>
          <w:highlight w:val="none"/>
          <w:u w:val="single"/>
          <w:lang w:bidi="ar"/>
        </w:rPr>
        <w:t>加盖公章</w:t>
      </w:r>
      <w:r>
        <w:rPr>
          <w:rFonts w:hint="eastAsia" w:ascii="宋体" w:hAnsi="宋体" w:eastAsia="宋体" w:cs="宋体"/>
          <w:sz w:val="24"/>
          <w:szCs w:val="24"/>
          <w:highlight w:val="none"/>
          <w:u w:val="single"/>
        </w:rPr>
        <w:tab/>
      </w:r>
    </w:p>
    <w:p w14:paraId="3AECCCC4">
      <w:pPr>
        <w:pStyle w:val="15"/>
        <w:tabs>
          <w:tab w:val="left" w:pos="6296"/>
          <w:tab w:val="left" w:pos="641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被授权人签字：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B8AF83F">
      <w:pPr>
        <w:pStyle w:val="15"/>
        <w:tabs>
          <w:tab w:val="left" w:pos="6296"/>
          <w:tab w:val="left" w:pos="6416"/>
        </w:tabs>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投标人</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加盖公章</w:t>
      </w:r>
      <w:r>
        <w:rPr>
          <w:rFonts w:hint="eastAsia" w:ascii="宋体" w:hAnsi="宋体" w:eastAsia="宋体" w:cs="宋体"/>
          <w:sz w:val="24"/>
          <w:szCs w:val="24"/>
          <w:highlight w:val="none"/>
          <w:u w:val="single"/>
        </w:rPr>
        <w:tab/>
      </w:r>
    </w:p>
    <w:p w14:paraId="661B6624">
      <w:pPr>
        <w:pStyle w:val="15"/>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58F69AC6">
      <w:pPr>
        <w:pStyle w:val="1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被授权人姓名：</w:t>
      </w:r>
      <w:r>
        <w:rPr>
          <w:rFonts w:hint="eastAsia" w:ascii="宋体" w:hAnsi="宋体" w:eastAsia="宋体" w:cs="宋体"/>
          <w:sz w:val="24"/>
          <w:szCs w:val="24"/>
          <w:highlight w:val="none"/>
          <w:u w:val="single"/>
        </w:rPr>
        <w:tab/>
      </w:r>
    </w:p>
    <w:p w14:paraId="7DC4E969">
      <w:pPr>
        <w:pStyle w:val="1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ab/>
      </w:r>
    </w:p>
    <w:p w14:paraId="77C45110">
      <w:pPr>
        <w:pStyle w:val="1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详细通讯地址：</w:t>
      </w:r>
      <w:r>
        <w:rPr>
          <w:rFonts w:hint="eastAsia" w:ascii="宋体" w:hAnsi="宋体" w:eastAsia="宋体" w:cs="宋体"/>
          <w:sz w:val="24"/>
          <w:szCs w:val="24"/>
          <w:highlight w:val="none"/>
          <w:u w:val="single"/>
        </w:rPr>
        <w:tab/>
      </w:r>
    </w:p>
    <w:p w14:paraId="66F8376E">
      <w:pPr>
        <w:pStyle w:val="1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ab/>
      </w:r>
    </w:p>
    <w:p w14:paraId="3E974EBE">
      <w:pPr>
        <w:pStyle w:val="15"/>
        <w:tabs>
          <w:tab w:val="left" w:pos="6476"/>
        </w:tabs>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en-US"/>
        </w:rPr>
        <w:t>电子邮箱</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p>
    <w:p w14:paraId="7B56B5F9">
      <w:pPr>
        <w:pStyle w:val="15"/>
        <w:tabs>
          <w:tab w:val="left" w:pos="6476"/>
        </w:tabs>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ab/>
      </w:r>
    </w:p>
    <w:p w14:paraId="4F8D1010">
      <w:pPr>
        <w:pStyle w:val="15"/>
        <w:spacing w:before="6"/>
        <w:ind w:left="636" w:leftChars="303" w:firstLine="297" w:firstLineChars="124"/>
        <w:rPr>
          <w:rFonts w:hint="eastAsia" w:ascii="宋体" w:hAnsi="宋体" w:eastAsia="宋体" w:cs="宋体"/>
          <w:sz w:val="24"/>
          <w:szCs w:val="24"/>
          <w:highlight w:val="none"/>
        </w:rPr>
      </w:pPr>
    </w:p>
    <w:p w14:paraId="0CCC04EC">
      <w:pPr>
        <w:pStyle w:val="15"/>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72291E9D">
                            <w:pPr>
                              <w:pStyle w:val="15"/>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56924FA9">
                            <w:pPr>
                              <w:pStyle w:val="15"/>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5168;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C6lc4cTAgAAMgQAAA4A&#10;AAAAAAAAAQAgAAAAJwEAAGRycy9lMm9Eb2MueG1sUEsFBgAAAAAGAAYAWQEAAKwFAAAAAA==&#10;">
                <v:fill on="f" focussize="0,0"/>
                <v:stroke color="#000000" joinstyle="miter"/>
                <v:imagedata o:title=""/>
                <o:lock v:ext="edit" aspectratio="f"/>
                <v:textbox inset="0mm,0mm,0mm,0mm">
                  <w:txbxContent>
                    <w:p w14:paraId="72291E9D">
                      <w:pPr>
                        <w:pStyle w:val="15"/>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56924FA9">
                      <w:pPr>
                        <w:pStyle w:val="15"/>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4C08E35D">
                            <w:pPr>
                              <w:pStyle w:val="1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096BDB4C">
                            <w:pPr>
                              <w:pStyle w:val="15"/>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4144;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QXk+LZAAAACgEAAA8AAAAA&#10;AAAAAQAgAAAAIgAAAGRycy9kb3ducmV2LnhtbFBLAQIUABQAAAAIAIdO4kAG81DFEwIAADIEAAAO&#10;AAAAAAAAAAEAIAAAACgBAABkcnMvZTJvRG9jLnhtbFBLBQYAAAAABgAGAFkBAACtBQAAAAA=&#10;">
                <v:fill on="f" focussize="0,0"/>
                <v:stroke color="#000000" joinstyle="miter"/>
                <v:imagedata o:title=""/>
                <o:lock v:ext="edit" aspectratio="f"/>
                <v:textbox inset="0mm,0mm,0mm,0mm">
                  <w:txbxContent>
                    <w:p w14:paraId="4C08E35D">
                      <w:pPr>
                        <w:pStyle w:val="1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授权代表身份证扫描件</w:t>
                      </w:r>
                    </w:p>
                    <w:p w14:paraId="096BDB4C">
                      <w:pPr>
                        <w:pStyle w:val="15"/>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5315A490">
                            <w:pPr>
                              <w:pStyle w:val="15"/>
                            </w:pPr>
                          </w:p>
                          <w:p w14:paraId="1494D158">
                            <w:pPr>
                              <w:pStyle w:val="15"/>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3597B925">
                            <w:pPr>
                              <w:pStyle w:val="15"/>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3120;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N0TntsAAAALAQAADwAA&#10;AAAAAAABACAAAAAiAAAAZHJzL2Rvd25yZXYueG1sUEsBAhQAFAAAAAgAh07iQCHDnk0TAgAAMgQA&#10;AA4AAAAAAAAAAQAgAAAAKgEAAGRycy9lMm9Eb2MueG1sUEsFBgAAAAAGAAYAWQEAAK8FAAAAAA==&#10;">
                <v:fill on="f" focussize="0,0"/>
                <v:stroke color="#000000" joinstyle="miter"/>
                <v:imagedata o:title=""/>
                <o:lock v:ext="edit" aspectratio="f"/>
                <v:textbox inset="0mm,0mm,0mm,0mm">
                  <w:txbxContent>
                    <w:p w14:paraId="5315A490">
                      <w:pPr>
                        <w:pStyle w:val="15"/>
                      </w:pPr>
                    </w:p>
                    <w:p w14:paraId="1494D158">
                      <w:pPr>
                        <w:pStyle w:val="15"/>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法定代表人身份证扫描件</w:t>
                      </w:r>
                    </w:p>
                    <w:p w14:paraId="3597B925">
                      <w:pPr>
                        <w:pStyle w:val="15"/>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73708F24">
                            <w:pPr>
                              <w:pStyle w:val="15"/>
                            </w:pPr>
                          </w:p>
                          <w:p w14:paraId="4C0AA413">
                            <w:pPr>
                              <w:pStyle w:val="1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5B3A79FF">
                            <w:pPr>
                              <w:pStyle w:val="15"/>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2096;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Bxb9jJFAIAADIE&#10;AAAOAAAAAAAAAAEAIAAAACoBAABkcnMvZTJvRG9jLnhtbFBLBQYAAAAABgAGAFkBAACwBQAAAAA=&#10;">
                <v:fill on="f" focussize="0,0"/>
                <v:stroke color="#000000" joinstyle="miter"/>
                <v:imagedata o:title=""/>
                <o:lock v:ext="edit" aspectratio="f"/>
                <v:textbox inset="0mm,0mm,0mm,0mm">
                  <w:txbxContent>
                    <w:p w14:paraId="73708F24">
                      <w:pPr>
                        <w:pStyle w:val="15"/>
                      </w:pPr>
                    </w:p>
                    <w:p w14:paraId="4C0AA413">
                      <w:pPr>
                        <w:pStyle w:val="15"/>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w:t>
                      </w:r>
                      <w:r>
                        <w:rPr>
                          <w:rFonts w:hint="eastAsia" w:ascii="方正仿宋_GB2312" w:hAnsi="方正仿宋_GB2312" w:eastAsia="方正仿宋_GB2312" w:cs="方正仿宋_GB2312"/>
                          <w:lang w:val="en-US"/>
                        </w:rPr>
                        <w:t>扫描</w:t>
                      </w:r>
                      <w:r>
                        <w:rPr>
                          <w:rFonts w:hint="eastAsia" w:ascii="方正仿宋_GB2312" w:hAnsi="方正仿宋_GB2312" w:eastAsia="方正仿宋_GB2312" w:cs="方正仿宋_GB2312"/>
                        </w:rPr>
                        <w:t>件</w:t>
                      </w:r>
                    </w:p>
                    <w:p w14:paraId="5B3A79FF">
                      <w:pPr>
                        <w:pStyle w:val="15"/>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229C0021">
      <w:pPr>
        <w:pStyle w:val="40"/>
        <w:spacing w:line="360" w:lineRule="auto"/>
        <w:ind w:left="636" w:leftChars="303" w:firstLine="324" w:firstLineChars="124"/>
        <w:rPr>
          <w:rFonts w:hint="eastAsia" w:ascii="宋体" w:hAnsi="宋体" w:eastAsia="宋体" w:cs="宋体"/>
          <w:b/>
          <w:sz w:val="24"/>
          <w:szCs w:val="24"/>
          <w:highlight w:val="none"/>
        </w:rPr>
      </w:pPr>
    </w:p>
    <w:p w14:paraId="24AD5632">
      <w:pPr>
        <w:ind w:left="636" w:leftChars="303" w:firstLine="299" w:firstLineChars="12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3C2E2307">
      <w:pPr>
        <w:spacing w:before="156" w:beforeLines="50" w:after="156" w:afterLines="50" w:line="360" w:lineRule="auto"/>
        <w:ind w:left="636" w:leftChars="303" w:firstLine="347" w:firstLineChars="124"/>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授权委托书(适用于自然人委托投标)(统一格式)</w:t>
      </w:r>
    </w:p>
    <w:p w14:paraId="72987BDF">
      <w:pPr>
        <w:spacing w:line="440" w:lineRule="exact"/>
        <w:ind w:left="636" w:leftChars="303" w:firstLine="297" w:firstLineChars="124"/>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附件2-3授权委托书(适用于自然人委托投标)</w:t>
      </w:r>
    </w:p>
    <w:p w14:paraId="54664180">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致：____________(采购人或采购代理机构)</w:t>
      </w:r>
    </w:p>
    <w:p w14:paraId="0FBB1049">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我________(姓名)系自然人，现授权委托____________(姓名)以本人名义参加____________(项目名称)，项目编号为（）的投标活动，并代表本人全权办理针对上述项目的投标、签约等具体事务和签署相关文件。</w:t>
      </w:r>
    </w:p>
    <w:p w14:paraId="45844E71">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本人对授权代表的签字事项负全部责任。</w:t>
      </w:r>
    </w:p>
    <w:p w14:paraId="6E2A610C">
      <w:pPr>
        <w:autoSpaceDE w:val="0"/>
        <w:autoSpaceDN w:val="0"/>
        <w:adjustRightIn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授权委托代理期限：从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日止。</w:t>
      </w:r>
    </w:p>
    <w:p w14:paraId="1B775539">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557BC379">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代理人无转委托权，特此委托。</w:t>
      </w:r>
    </w:p>
    <w:p w14:paraId="38A4711F">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65567840">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我已在下面签字，以资证明。</w:t>
      </w:r>
    </w:p>
    <w:p w14:paraId="4307949D">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p>
    <w:p w14:paraId="2D717F6A">
      <w:pPr>
        <w:spacing w:before="156" w:beforeLines="50" w:after="156" w:afterLines="50"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自然人签字并在签名处加盖食指指印：</w:t>
      </w:r>
    </w:p>
    <w:p w14:paraId="6BF3B9A9">
      <w:pPr>
        <w:spacing w:before="156" w:beforeLines="50" w:after="156" w:afterLines="50"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7FEFF94C">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02819E2">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7开标一览表</w:t>
      </w:r>
    </w:p>
    <w:p w14:paraId="3E651386">
      <w:pPr>
        <w:ind w:left="636" w:leftChars="303" w:firstLine="297" w:firstLineChars="124"/>
        <w:rPr>
          <w:rFonts w:hint="eastAsia" w:ascii="宋体" w:hAnsi="宋体" w:eastAsia="宋体" w:cs="宋体"/>
          <w:kern w:val="0"/>
          <w:sz w:val="24"/>
          <w:szCs w:val="24"/>
          <w:highlight w:val="none"/>
          <w:lang w:val="en-US" w:eastAsia="zh-CN"/>
        </w:rPr>
      </w:pPr>
    </w:p>
    <w:p w14:paraId="6A9506A4">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开标一览表</w:t>
      </w:r>
    </w:p>
    <w:p w14:paraId="07FE3EBF">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项目编号：</w:t>
      </w:r>
    </w:p>
    <w:p w14:paraId="3E4E4B62">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项目名称：</w:t>
      </w:r>
    </w:p>
    <w:p w14:paraId="0335121D">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tbl>
      <w:tblPr>
        <w:tblStyle w:val="28"/>
        <w:tblW w:w="8609" w:type="dxa"/>
        <w:tblInd w:w="1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544"/>
        <w:gridCol w:w="2233"/>
        <w:gridCol w:w="2365"/>
      </w:tblGrid>
      <w:tr w14:paraId="1DF3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67" w:type="dxa"/>
            <w:vMerge w:val="restart"/>
            <w:vAlign w:val="center"/>
          </w:tcPr>
          <w:p w14:paraId="719016A4">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序号</w:t>
            </w:r>
          </w:p>
        </w:tc>
        <w:tc>
          <w:tcPr>
            <w:tcW w:w="2544" w:type="dxa"/>
            <w:vMerge w:val="restart"/>
            <w:vAlign w:val="center"/>
          </w:tcPr>
          <w:p w14:paraId="005FC83E">
            <w:pPr>
              <w:keepNext w:val="0"/>
              <w:keepLines w:val="0"/>
              <w:widowControl/>
              <w:suppressLineNumbers w:val="0"/>
              <w:spacing w:line="360" w:lineRule="auto"/>
              <w:ind w:left="636" w:leftChars="303" w:firstLine="299" w:firstLineChars="124"/>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投标人名称</w:t>
            </w:r>
          </w:p>
        </w:tc>
        <w:tc>
          <w:tcPr>
            <w:tcW w:w="4598" w:type="dxa"/>
            <w:gridSpan w:val="2"/>
            <w:vAlign w:val="center"/>
          </w:tcPr>
          <w:p w14:paraId="2F15794E">
            <w:pPr>
              <w:keepNext w:val="0"/>
              <w:keepLines w:val="0"/>
              <w:widowControl/>
              <w:suppressLineNumbers w:val="0"/>
              <w:spacing w:line="360" w:lineRule="auto"/>
              <w:ind w:left="636" w:leftChars="303" w:firstLine="299" w:firstLineChars="124"/>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投标报价（元）</w:t>
            </w:r>
          </w:p>
        </w:tc>
      </w:tr>
      <w:tr w14:paraId="3B46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67" w:type="dxa"/>
            <w:vMerge w:val="continue"/>
            <w:vAlign w:val="center"/>
          </w:tcPr>
          <w:p w14:paraId="2D97684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544" w:type="dxa"/>
            <w:vMerge w:val="continue"/>
            <w:vAlign w:val="center"/>
          </w:tcPr>
          <w:p w14:paraId="0440F55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233" w:type="dxa"/>
            <w:vAlign w:val="center"/>
          </w:tcPr>
          <w:p w14:paraId="3D132612">
            <w:pPr>
              <w:keepNext w:val="0"/>
              <w:keepLines w:val="0"/>
              <w:widowControl/>
              <w:suppressLineNumbers w:val="0"/>
              <w:spacing w:line="360" w:lineRule="auto"/>
              <w:ind w:left="636" w:leftChars="303" w:firstLine="299" w:firstLineChars="124"/>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大写</w:t>
            </w:r>
          </w:p>
        </w:tc>
        <w:tc>
          <w:tcPr>
            <w:tcW w:w="2365" w:type="dxa"/>
            <w:vAlign w:val="center"/>
          </w:tcPr>
          <w:p w14:paraId="7A9FD8F0">
            <w:pPr>
              <w:keepNext w:val="0"/>
              <w:keepLines w:val="0"/>
              <w:widowControl/>
              <w:suppressLineNumbers w:val="0"/>
              <w:spacing w:line="360" w:lineRule="auto"/>
              <w:ind w:left="636" w:leftChars="303" w:firstLine="299" w:firstLineChars="124"/>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val="en-US" w:eastAsia="zh-CN" w:bidi="ar"/>
              </w:rPr>
              <w:t>小写</w:t>
            </w:r>
          </w:p>
        </w:tc>
      </w:tr>
      <w:tr w14:paraId="71D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467" w:type="dxa"/>
            <w:vAlign w:val="center"/>
          </w:tcPr>
          <w:p w14:paraId="34A5293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544" w:type="dxa"/>
            <w:vAlign w:val="center"/>
          </w:tcPr>
          <w:p w14:paraId="1DF97C7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233" w:type="dxa"/>
            <w:vAlign w:val="center"/>
          </w:tcPr>
          <w:p w14:paraId="2C44D2B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c>
          <w:tcPr>
            <w:tcW w:w="2365" w:type="dxa"/>
            <w:vAlign w:val="center"/>
          </w:tcPr>
          <w:p w14:paraId="717A7FF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vertAlign w:val="baseline"/>
                <w:lang w:val="en-US" w:eastAsia="zh-CN" w:bidi="ar"/>
              </w:rPr>
            </w:pPr>
          </w:p>
        </w:tc>
      </w:tr>
    </w:tbl>
    <w:p w14:paraId="3A68CB6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293F69E">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注：此表中，投标报价应和《投标分项报价表》中的总价相一致。</w:t>
      </w:r>
    </w:p>
    <w:p w14:paraId="307E52B5">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4AEB6C88">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投标人名称（加盖公章）：</w:t>
      </w:r>
    </w:p>
    <w:p w14:paraId="7ADAEDFE">
      <w:pPr>
        <w:keepNext w:val="0"/>
        <w:keepLines w:val="0"/>
        <w:widowControl/>
        <w:suppressLineNumbers w:val="0"/>
        <w:spacing w:line="360" w:lineRule="auto"/>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年月日</w:t>
      </w:r>
    </w:p>
    <w:p w14:paraId="14C039CF">
      <w:pPr>
        <w:spacing w:line="360" w:lineRule="auto"/>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5C358817">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投标分项报价表</w:t>
      </w:r>
    </w:p>
    <w:p w14:paraId="5E19354A">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投标分项报价表</w:t>
      </w:r>
    </w:p>
    <w:p w14:paraId="106BB32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项目编号：</w:t>
      </w:r>
    </w:p>
    <w:p w14:paraId="6C250A1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项目名称：</w:t>
      </w:r>
    </w:p>
    <w:p w14:paraId="56568525">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p w14:paraId="596D1695">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报价单位：人民币元</w:t>
      </w:r>
    </w:p>
    <w:tbl>
      <w:tblPr>
        <w:tblStyle w:val="28"/>
        <w:tblW w:w="0" w:type="auto"/>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01"/>
        <w:gridCol w:w="1402"/>
        <w:gridCol w:w="1403"/>
        <w:gridCol w:w="1424"/>
        <w:gridCol w:w="1424"/>
        <w:gridCol w:w="1403"/>
      </w:tblGrid>
      <w:tr w14:paraId="55CB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5ADC8307">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715006F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52436853">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分项名称</w:t>
            </w:r>
          </w:p>
          <w:p w14:paraId="69486EA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402DEDA0">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分项名称</w:t>
            </w:r>
          </w:p>
          <w:p w14:paraId="330E6C9B">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服务内容</w:t>
            </w:r>
          </w:p>
          <w:p w14:paraId="0EA7E59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2CB91F9A">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数量/单位</w:t>
            </w:r>
          </w:p>
          <w:p w14:paraId="3944ADD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4496309C">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单价（元）</w:t>
            </w:r>
          </w:p>
          <w:p w14:paraId="22787C9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4F41E25">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合价（元）</w:t>
            </w:r>
          </w:p>
        </w:tc>
        <w:tc>
          <w:tcPr>
            <w:tcW w:w="1403" w:type="dxa"/>
            <w:vAlign w:val="center"/>
          </w:tcPr>
          <w:p w14:paraId="2B3D2B9C">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备注/说明</w:t>
            </w:r>
          </w:p>
          <w:p w14:paraId="1B55AC5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585D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2566B2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4127C7D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61149AA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6799AE7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E22F66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0D9F6FA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420A16C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3860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177D394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17A4088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0C1FE50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75B1A8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6EB161C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0F55835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3C1DD74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22AA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3E4CED8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712C20F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4D6E3B1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D9CB1E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7E22D30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6C6C832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3ACBD88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3405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2A7069A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1" w:type="dxa"/>
            <w:vAlign w:val="center"/>
          </w:tcPr>
          <w:p w14:paraId="5C11BDD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2" w:type="dxa"/>
            <w:vAlign w:val="center"/>
          </w:tcPr>
          <w:p w14:paraId="43118DD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03055EE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511D978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4806E86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37B9A5C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07F6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3" w:type="dxa"/>
            <w:gridSpan w:val="5"/>
            <w:vAlign w:val="center"/>
          </w:tcPr>
          <w:p w14:paraId="6DF720B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总价（元）</w:t>
            </w:r>
          </w:p>
          <w:p w14:paraId="0C7C0CD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24" w:type="dxa"/>
            <w:vAlign w:val="center"/>
          </w:tcPr>
          <w:p w14:paraId="2A04D6A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3" w:type="dxa"/>
            <w:vAlign w:val="center"/>
          </w:tcPr>
          <w:p w14:paraId="3AFC85E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3EBE483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078D60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注：1.本表应按包分别填写。</w:t>
      </w:r>
    </w:p>
    <w:p w14:paraId="15A0B4B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2.如果不提供分项报价将视为没有实质性响应招标文件。</w:t>
      </w:r>
    </w:p>
    <w:p w14:paraId="308F78F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3.上述各项的详细规格（如有），可另页描述。</w:t>
      </w:r>
    </w:p>
    <w:p w14:paraId="1746706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03794AE7">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7F99E3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5D3C8D0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投标人名称（加盖公章）：____________</w:t>
      </w:r>
    </w:p>
    <w:p w14:paraId="3453527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日期：_____年______月______日</w:t>
      </w:r>
    </w:p>
    <w:p w14:paraId="3A0D742E">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1AF9713E">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8合同条款偏离表</w:t>
      </w:r>
    </w:p>
    <w:p w14:paraId="4DECEDF8">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合同条款偏离表</w:t>
      </w:r>
    </w:p>
    <w:p w14:paraId="10B955B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项目编号：</w:t>
      </w:r>
    </w:p>
    <w:p w14:paraId="0C2A9045">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项目名称：</w:t>
      </w:r>
    </w:p>
    <w:p w14:paraId="65BFCA5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tbl>
      <w:tblPr>
        <w:tblStyle w:val="28"/>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650"/>
        <w:gridCol w:w="1803"/>
        <w:gridCol w:w="1730"/>
        <w:gridCol w:w="1393"/>
        <w:gridCol w:w="1642"/>
      </w:tblGrid>
      <w:tr w14:paraId="6C3E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8" w:type="dxa"/>
            <w:gridSpan w:val="6"/>
          </w:tcPr>
          <w:p w14:paraId="5B3DC19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对本项目合同条款的偏离情况（请进行勾选）：</w:t>
            </w:r>
          </w:p>
          <w:p w14:paraId="3382A6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□无偏离</w:t>
            </w:r>
            <w:r>
              <w:rPr>
                <w:rFonts w:hint="eastAsia" w:ascii="宋体" w:hAnsi="宋体" w:eastAsia="宋体" w:cs="宋体"/>
                <w:color w:val="000000"/>
                <w:kern w:val="0"/>
                <w:sz w:val="24"/>
                <w:szCs w:val="24"/>
                <w:highlight w:val="none"/>
                <w:lang w:val="en-US" w:eastAsia="zh-CN" w:bidi="ar"/>
              </w:rPr>
              <w:t>（如无偏离，仅选择无偏离即可；无偏离即为对合同条款中的所有要求，均视作供应商已对之理解和响应。）</w:t>
            </w:r>
          </w:p>
          <w:p w14:paraId="6B74967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□有偏离</w:t>
            </w:r>
            <w:r>
              <w:rPr>
                <w:rFonts w:hint="eastAsia" w:ascii="宋体" w:hAnsi="宋体" w:eastAsia="宋体" w:cs="宋体"/>
                <w:color w:val="000000"/>
                <w:kern w:val="0"/>
                <w:sz w:val="24"/>
                <w:szCs w:val="24"/>
                <w:highlight w:val="none"/>
                <w:lang w:val="en-US" w:eastAsia="zh-CN" w:bidi="ar"/>
              </w:rPr>
              <w:t>（如有偏离，则应在本表中对偏离项逐一列明，否则投标无效；对合同条款中的所有要求，除本表列明的偏离外，均视作供应商已对之理解和响应。）</w:t>
            </w:r>
          </w:p>
        </w:tc>
      </w:tr>
      <w:tr w14:paraId="055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A0748D2">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124D0FA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center"/>
          </w:tcPr>
          <w:p w14:paraId="46DC1116">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w:t>
            </w:r>
          </w:p>
          <w:p w14:paraId="45C4FE9D">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条目号</w:t>
            </w:r>
          </w:p>
          <w:p w14:paraId="4E488FC8">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（页码）</w:t>
            </w:r>
          </w:p>
          <w:p w14:paraId="33374BF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vAlign w:val="center"/>
          </w:tcPr>
          <w:p w14:paraId="6B936CB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招标文件要求</w:t>
            </w:r>
          </w:p>
          <w:p w14:paraId="3A45684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vAlign w:val="center"/>
          </w:tcPr>
          <w:p w14:paraId="4A0C0B89">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投标文件内容</w:t>
            </w:r>
          </w:p>
          <w:p w14:paraId="28B3CDB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vAlign w:val="center"/>
          </w:tcPr>
          <w:p w14:paraId="461BE6B5">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偏离情况</w:t>
            </w:r>
          </w:p>
          <w:p w14:paraId="21DE66B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center"/>
          </w:tcPr>
          <w:p w14:paraId="56E6AD33">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w:t>
            </w:r>
          </w:p>
          <w:p w14:paraId="50D64BB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137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33D4064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1327030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tcPr>
          <w:p w14:paraId="52AF04C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tcPr>
          <w:p w14:paraId="15FCD4B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tcPr>
          <w:p w14:paraId="2476BBF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487DE82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6C6E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4DAFB40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673A052E">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tcPr>
          <w:p w14:paraId="48DBB26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tcPr>
          <w:p w14:paraId="04BCB83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tcPr>
          <w:p w14:paraId="19FFAA5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5A7A839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0426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7C5DF46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76059E7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tcPr>
          <w:p w14:paraId="1A57FC7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tcPr>
          <w:p w14:paraId="0306B17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tcPr>
          <w:p w14:paraId="283BC8D2">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0A83A43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1B01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55087AA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13D008B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03" w:type="dxa"/>
          </w:tcPr>
          <w:p w14:paraId="658C6BC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30" w:type="dxa"/>
          </w:tcPr>
          <w:p w14:paraId="4C2AE9A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393" w:type="dxa"/>
          </w:tcPr>
          <w:p w14:paraId="13455777">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599DE2E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200949C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1FECE1D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53DE4C8C">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w:t>
      </w:r>
    </w:p>
    <w:p w14:paraId="556B13A5">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1.对合同条款中的所有要求，除本表所列明的所有偏离外，均视作供应商已对</w:t>
      </w:r>
    </w:p>
    <w:p w14:paraId="361605C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之理解和响应。</w:t>
      </w:r>
    </w:p>
    <w:p w14:paraId="14A88787">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2.“偏离情况”列应据实填写“正偏离”或“负偏离”。</w:t>
      </w:r>
    </w:p>
    <w:p w14:paraId="2ED46EB3">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2EC8CB6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w:t>
      </w:r>
    </w:p>
    <w:p w14:paraId="37470E3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日期：年月日</w:t>
      </w:r>
    </w:p>
    <w:p w14:paraId="23A48F4E">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7E48D606">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9采购需求偏离表</w:t>
      </w:r>
    </w:p>
    <w:p w14:paraId="5DEF41F0">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采购需求偏离表</w:t>
      </w:r>
    </w:p>
    <w:p w14:paraId="78D888C6">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项目编号：</w:t>
      </w:r>
    </w:p>
    <w:p w14:paraId="5A686947">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项目名称：</w:t>
      </w:r>
    </w:p>
    <w:p w14:paraId="5558DCFB">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标项名称：</w:t>
      </w:r>
    </w:p>
    <w:p w14:paraId="08EBEF24">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p>
    <w:tbl>
      <w:tblPr>
        <w:tblStyle w:val="28"/>
        <w:tblW w:w="0" w:type="auto"/>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650"/>
        <w:gridCol w:w="1815"/>
        <w:gridCol w:w="1706"/>
        <w:gridCol w:w="1405"/>
        <w:gridCol w:w="1642"/>
      </w:tblGrid>
      <w:tr w14:paraId="0A4B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6BBEAD08">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序号</w:t>
            </w:r>
          </w:p>
          <w:p w14:paraId="2A30453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vAlign w:val="center"/>
          </w:tcPr>
          <w:p w14:paraId="310F5F4C">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招标文件条目号（页码）</w:t>
            </w:r>
          </w:p>
          <w:p w14:paraId="6F2860E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vAlign w:val="center"/>
          </w:tcPr>
          <w:p w14:paraId="11B7C95A">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招标文件要求</w:t>
            </w:r>
          </w:p>
          <w:p w14:paraId="1AD5834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vAlign w:val="center"/>
          </w:tcPr>
          <w:p w14:paraId="5B2C74D8">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投标文件内容</w:t>
            </w:r>
          </w:p>
          <w:p w14:paraId="30C193C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vAlign w:val="center"/>
          </w:tcPr>
          <w:p w14:paraId="5ED7077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偏离情况</w:t>
            </w:r>
          </w:p>
          <w:p w14:paraId="7C70DF9D">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vAlign w:val="center"/>
          </w:tcPr>
          <w:p w14:paraId="4BBE3A11">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w:t>
            </w:r>
          </w:p>
          <w:p w14:paraId="794DB07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3196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307D51B9">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2647F9D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tcPr>
          <w:p w14:paraId="7E1B2358">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tcPr>
          <w:p w14:paraId="1870BE8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tcPr>
          <w:p w14:paraId="596B87E1">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4D80B0C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44A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4C3D430A">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127CCEA5">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tcPr>
          <w:p w14:paraId="46DD497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tcPr>
          <w:p w14:paraId="76FE6B9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tcPr>
          <w:p w14:paraId="1B599F1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1A3962A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F7F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77D73D8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528D45D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tcPr>
          <w:p w14:paraId="33FE824C">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tcPr>
          <w:p w14:paraId="50EE4DC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tcPr>
          <w:p w14:paraId="349F727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15D6B97B">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r w14:paraId="7CF6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14:paraId="18C67D5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50" w:type="dxa"/>
          </w:tcPr>
          <w:p w14:paraId="3CCCB806">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815" w:type="dxa"/>
          </w:tcPr>
          <w:p w14:paraId="6B4C29D4">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706" w:type="dxa"/>
          </w:tcPr>
          <w:p w14:paraId="7B970BE3">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405" w:type="dxa"/>
          </w:tcPr>
          <w:p w14:paraId="3E20A480">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c>
          <w:tcPr>
            <w:tcW w:w="1642" w:type="dxa"/>
          </w:tcPr>
          <w:p w14:paraId="6D7C2F0F">
            <w:pPr>
              <w:keepNext w:val="0"/>
              <w:keepLines w:val="0"/>
              <w:widowControl/>
              <w:suppressLineNumbers w:val="0"/>
              <w:spacing w:line="360" w:lineRule="auto"/>
              <w:ind w:left="636" w:leftChars="303" w:firstLine="297" w:firstLineChars="124"/>
              <w:jc w:val="center"/>
              <w:rPr>
                <w:rFonts w:hint="eastAsia" w:ascii="宋体" w:hAnsi="宋体" w:eastAsia="宋体" w:cs="宋体"/>
                <w:color w:val="000000"/>
                <w:kern w:val="0"/>
                <w:sz w:val="24"/>
                <w:szCs w:val="24"/>
                <w:highlight w:val="none"/>
                <w:lang w:val="en-US" w:eastAsia="zh-CN" w:bidi="ar"/>
              </w:rPr>
            </w:pPr>
          </w:p>
        </w:tc>
      </w:tr>
    </w:tbl>
    <w:p w14:paraId="7C672743">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3DBE14E1">
      <w:pPr>
        <w:spacing w:line="360" w:lineRule="auto"/>
        <w:ind w:left="636" w:leftChars="303" w:firstLine="297" w:firstLineChars="124"/>
        <w:rPr>
          <w:rFonts w:hint="eastAsia" w:ascii="宋体" w:hAnsi="宋体" w:eastAsia="宋体" w:cs="宋体"/>
          <w:kern w:val="0"/>
          <w:sz w:val="24"/>
          <w:szCs w:val="24"/>
          <w:highlight w:val="none"/>
          <w:lang w:val="en-US" w:eastAsia="zh-CN"/>
        </w:rPr>
      </w:pPr>
    </w:p>
    <w:p w14:paraId="44A48A5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w:t>
      </w:r>
    </w:p>
    <w:p w14:paraId="343B4FF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1.投标人应对招标文件第五章采购需求的内容给予逐条响应，以投标产品和服务所能达到的内容予以填写，而不得复制招标的技术要求作为响应内容，有具体参数的应填写具体参数。</w:t>
      </w:r>
    </w:p>
    <w:p w14:paraId="00DEC0F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在本表中未对招标文件第五章采购需求的内容给予逐条响应的视为没有实质上响应招标文件的要求，投标无效。此表中仅标注“全部满足”、“全部响应”等，无法体现投标人实质性响应或者偏离技术要求的；或无任何文字说明，内容为空白的，其投标无效。</w:t>
      </w:r>
    </w:p>
    <w:p w14:paraId="7DF5832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3.投标人应按照招标文件第五章采购需求中要求提供投标产品技术支持资料（或证明材料），并在采购需求响应及偏离表中给予文件名称、所处投标文件页码或位置等必要说明。</w:t>
      </w:r>
    </w:p>
    <w:p w14:paraId="6A9C53E8">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4.“偏离情况”列应据实填写“正偏离”、“负偏离”或“无偏离”。</w:t>
      </w:r>
    </w:p>
    <w:p w14:paraId="7E3A8497">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415D11B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投标人名称（加盖公章）：____________</w:t>
      </w:r>
    </w:p>
    <w:p w14:paraId="7097C95A">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日期：_____年______月______日</w:t>
      </w:r>
    </w:p>
    <w:p w14:paraId="7945EDAB">
      <w:pPr>
        <w:ind w:left="636" w:leftChars="303" w:firstLine="297" w:firstLineChars="124"/>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4A3C9EDF">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10招标文件要求提供或投标人认为应附的其他材料</w:t>
      </w:r>
    </w:p>
    <w:p w14:paraId="53D9F259">
      <w:pPr>
        <w:ind w:left="636" w:leftChars="303" w:firstLine="297" w:firstLineChars="124"/>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br w:type="page"/>
      </w:r>
    </w:p>
    <w:p w14:paraId="65EC9D6C">
      <w:pPr>
        <w:keepNext w:val="0"/>
        <w:keepLines w:val="0"/>
        <w:widowControl/>
        <w:suppressLineNumbers w:val="0"/>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11中标服务费承诺书</w:t>
      </w:r>
    </w:p>
    <w:p w14:paraId="1733ED6B">
      <w:pPr>
        <w:keepNext w:val="0"/>
        <w:keepLines w:val="0"/>
        <w:widowControl/>
        <w:suppressLineNumbers w:val="0"/>
        <w:ind w:left="636" w:leftChars="303" w:firstLine="299" w:firstLineChars="124"/>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中标服务费承诺书</w:t>
      </w:r>
    </w:p>
    <w:p w14:paraId="372ADEF6">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致：</w:t>
      </w:r>
    </w:p>
    <w:p w14:paraId="755D275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我们在贵公司组织的</w:t>
      </w:r>
      <w:r>
        <w:rPr>
          <w:rFonts w:hint="eastAsia" w:ascii="宋体" w:hAnsi="宋体" w:eastAsia="宋体" w:cs="宋体"/>
          <w:color w:val="000000"/>
          <w:kern w:val="0"/>
          <w:sz w:val="24"/>
          <w:szCs w:val="24"/>
          <w:highlight w:val="none"/>
          <w:u w:val="single"/>
          <w:lang w:val="en-US" w:eastAsia="zh-CN" w:bidi="ar"/>
        </w:rPr>
        <w:t>（项目名称、项目编号）</w:t>
      </w:r>
      <w:r>
        <w:rPr>
          <w:rFonts w:hint="eastAsia" w:ascii="宋体" w:hAnsi="宋体" w:eastAsia="宋体" w:cs="宋体"/>
          <w:color w:val="000000"/>
          <w:kern w:val="0"/>
          <w:sz w:val="24"/>
          <w:szCs w:val="24"/>
          <w:highlight w:val="none"/>
          <w:lang w:val="en-US" w:eastAsia="zh-CN" w:bidi="ar"/>
        </w:rPr>
        <w:t>项目招标中若获得中标资格，我们保证在领取中标通知书的同时按招标文件的规定，以支票、电汇等形式，向贵公司一次性支付应由我们交纳的中标服务费用。</w:t>
      </w:r>
    </w:p>
    <w:p w14:paraId="25C19552">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特此承诺！</w:t>
      </w:r>
    </w:p>
    <w:p w14:paraId="60E031A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48F3FD5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6FE8B3C3">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791ED9D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承诺方法定名称：</w:t>
      </w:r>
    </w:p>
    <w:p w14:paraId="06BAB3CE">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地址：</w:t>
      </w:r>
    </w:p>
    <w:p w14:paraId="0FD65BE0">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电话：传真：</w:t>
      </w:r>
    </w:p>
    <w:p w14:paraId="3BD59C19">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电传：邮编：</w:t>
      </w:r>
    </w:p>
    <w:p w14:paraId="6297F011">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承诺方授权代表签字：</w:t>
      </w:r>
      <w:r>
        <w:rPr>
          <w:rFonts w:hint="eastAsia" w:ascii="宋体" w:hAnsi="宋体" w:eastAsia="宋体" w:cs="宋体"/>
          <w:color w:val="000000"/>
          <w:kern w:val="0"/>
          <w:sz w:val="24"/>
          <w:szCs w:val="24"/>
          <w:highlight w:val="none"/>
          <w:u w:val="single"/>
          <w:lang w:val="en-US" w:eastAsia="zh-CN" w:bidi="ar"/>
        </w:rPr>
        <w:t>（承诺方盖章）</w:t>
      </w:r>
    </w:p>
    <w:p w14:paraId="3A900BFB">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承诺日期：</w:t>
      </w:r>
    </w:p>
    <w:p w14:paraId="3AF3F8C4">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pPr>
    </w:p>
    <w:p w14:paraId="3E3DA6DF">
      <w:pPr>
        <w:keepNext w:val="0"/>
        <w:keepLines w:val="0"/>
        <w:widowControl/>
        <w:suppressLineNumbers w:val="0"/>
        <w:spacing w:line="360" w:lineRule="auto"/>
        <w:ind w:left="636" w:leftChars="303" w:firstLine="297" w:firstLineChars="124"/>
        <w:jc w:val="left"/>
        <w:rPr>
          <w:rFonts w:hint="eastAsia" w:ascii="宋体" w:hAnsi="宋体" w:eastAsia="宋体" w:cs="宋体"/>
          <w:color w:val="000000"/>
          <w:kern w:val="0"/>
          <w:sz w:val="24"/>
          <w:szCs w:val="24"/>
          <w:highlight w:val="none"/>
          <w:lang w:val="en-US" w:eastAsia="zh-CN" w:bidi="ar"/>
        </w:rPr>
        <w:sectPr>
          <w:pgSz w:w="11910" w:h="16838"/>
          <w:pgMar w:top="1600" w:right="1134" w:bottom="280" w:left="1134" w:header="720" w:footer="720" w:gutter="0"/>
          <w:pgNumType w:fmt="decimal"/>
          <w:cols w:space="720" w:num="1"/>
          <w:rtlGutter w:val="0"/>
        </w:sectPr>
      </w:pPr>
      <w:r>
        <w:rPr>
          <w:rFonts w:hint="eastAsia" w:ascii="宋体" w:hAnsi="宋体" w:eastAsia="宋体" w:cs="宋体"/>
          <w:color w:val="000000"/>
          <w:kern w:val="0"/>
          <w:sz w:val="24"/>
          <w:szCs w:val="24"/>
          <w:highlight w:val="none"/>
          <w:lang w:val="en-US" w:eastAsia="zh-CN" w:bidi="ar"/>
        </w:rPr>
        <w:br w:type="page"/>
      </w:r>
    </w:p>
    <w:bookmarkEnd w:id="183"/>
    <w:p w14:paraId="41571D7B">
      <w:pPr>
        <w:keepNext w:val="0"/>
        <w:keepLines w:val="0"/>
        <w:widowControl/>
        <w:suppressLineNumbers w:val="0"/>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12保证金信息表（保函方式提交的无需提供）</w:t>
      </w:r>
    </w:p>
    <w:p w14:paraId="64FF0EA4">
      <w:pPr>
        <w:pStyle w:val="19"/>
        <w:spacing w:line="440" w:lineRule="exact"/>
        <w:ind w:left="636" w:leftChars="303" w:firstLine="299" w:firstLineChars="124"/>
        <w:jc w:val="center"/>
        <w:rPr>
          <w:rFonts w:hint="eastAsia" w:ascii="宋体" w:hAnsi="宋体" w:eastAsia="宋体" w:cs="宋体"/>
          <w:b/>
          <w:sz w:val="24"/>
          <w:szCs w:val="24"/>
          <w:highlight w:val="none"/>
        </w:rPr>
      </w:pPr>
    </w:p>
    <w:p w14:paraId="66917615">
      <w:pPr>
        <w:pStyle w:val="19"/>
        <w:spacing w:line="440" w:lineRule="exact"/>
        <w:ind w:left="636" w:leftChars="303" w:firstLine="299" w:firstLineChars="124"/>
        <w:jc w:val="center"/>
        <w:rPr>
          <w:rFonts w:hint="eastAsia" w:ascii="宋体" w:hAnsi="宋体" w:eastAsia="宋体" w:cs="宋体"/>
          <w:b/>
          <w:sz w:val="24"/>
          <w:szCs w:val="24"/>
          <w:highlight w:val="none"/>
        </w:rPr>
      </w:pPr>
      <w:bookmarkStart w:id="188" w:name="_Toc28181"/>
      <w:bookmarkStart w:id="189" w:name="_Toc25967"/>
      <w:r>
        <w:rPr>
          <w:rFonts w:hint="eastAsia" w:ascii="宋体" w:hAnsi="宋体" w:eastAsia="宋体" w:cs="宋体"/>
          <w:b/>
          <w:sz w:val="24"/>
          <w:szCs w:val="24"/>
          <w:highlight w:val="none"/>
        </w:rPr>
        <w:t>退还保证金申请函</w:t>
      </w:r>
      <w:bookmarkEnd w:id="188"/>
      <w:bookmarkEnd w:id="189"/>
    </w:p>
    <w:p w14:paraId="1A8C9B8B">
      <w:pPr>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eastAsia="zh-CN"/>
        </w:rPr>
        <w:t xml:space="preserve"> </w:t>
      </w:r>
    </w:p>
    <w:p w14:paraId="2B207EAC">
      <w:pPr>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（投标人全称)</w:t>
      </w:r>
      <w:r>
        <w:rPr>
          <w:rFonts w:hint="eastAsia" w:ascii="宋体" w:hAnsi="宋体" w:eastAsia="宋体" w:cs="宋体"/>
          <w:sz w:val="24"/>
          <w:szCs w:val="24"/>
          <w:highlight w:val="none"/>
        </w:rPr>
        <w:t>参加贵方组织的，</w:t>
      </w: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rPr>
        <w:t>的招标采购活动。按招标文件的规定，已通过</w:t>
      </w:r>
      <w:r>
        <w:rPr>
          <w:rFonts w:hint="eastAsia" w:ascii="宋体" w:hAnsi="宋体" w:eastAsia="宋体" w:cs="宋体"/>
          <w:sz w:val="24"/>
          <w:szCs w:val="24"/>
          <w:highlight w:val="none"/>
          <w:u w:val="single"/>
        </w:rPr>
        <w:t>银行转</w:t>
      </w:r>
      <w:r>
        <w:rPr>
          <w:rFonts w:hint="eastAsia" w:ascii="宋体" w:hAnsi="宋体" w:eastAsia="宋体" w:cs="宋体"/>
          <w:sz w:val="24"/>
          <w:szCs w:val="24"/>
          <w:highlight w:val="none"/>
          <w:u w:val="single"/>
          <w:lang w:eastAsia="zh-CN"/>
        </w:rPr>
        <w:t>账</w:t>
      </w:r>
      <w:r>
        <w:rPr>
          <w:rFonts w:hint="eastAsia" w:ascii="宋体" w:hAnsi="宋体" w:eastAsia="宋体" w:cs="宋体"/>
          <w:sz w:val="24"/>
          <w:szCs w:val="24"/>
          <w:highlight w:val="none"/>
          <w:u w:val="single"/>
        </w:rPr>
        <w:t>/银行汇款</w:t>
      </w:r>
      <w:r>
        <w:rPr>
          <w:rFonts w:hint="eastAsia" w:ascii="宋体" w:hAnsi="宋体" w:eastAsia="宋体" w:cs="宋体"/>
          <w:sz w:val="24"/>
          <w:szCs w:val="24"/>
          <w:highlight w:val="none"/>
        </w:rPr>
        <w:t>形式缴纳人民币</w:t>
      </w:r>
      <w:r>
        <w:rPr>
          <w:rFonts w:hint="eastAsia" w:ascii="宋体" w:hAnsi="宋体" w:eastAsia="宋体" w:cs="宋体"/>
          <w:sz w:val="24"/>
          <w:szCs w:val="24"/>
          <w:highlight w:val="none"/>
          <w:u w:val="single"/>
        </w:rPr>
        <w:t>（大写）　　</w:t>
      </w:r>
      <w:r>
        <w:rPr>
          <w:rFonts w:hint="eastAsia" w:ascii="宋体" w:hAnsi="宋体" w:eastAsia="宋体" w:cs="宋体"/>
          <w:sz w:val="24"/>
          <w:szCs w:val="24"/>
          <w:highlight w:val="none"/>
        </w:rPr>
        <w:t>元的保证金。</w:t>
      </w:r>
    </w:p>
    <w:p w14:paraId="6ED3425E">
      <w:pPr>
        <w:autoSpaceDE w:val="0"/>
        <w:autoSpaceDN w:val="0"/>
        <w:spacing w:line="360" w:lineRule="auto"/>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退还保证金时请按以下内容划入我方</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户。若因内容不全、错误、字迹潦草模糊导致该项目保证金未能及时退还或退还过程中发生错误，我方将承担全部责任和损失。</w:t>
      </w:r>
    </w:p>
    <w:p w14:paraId="4BD949F1">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投标人名称：</w:t>
      </w:r>
    </w:p>
    <w:p w14:paraId="223D2AB8">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投标人开户银行：</w:t>
      </w:r>
    </w:p>
    <w:p w14:paraId="5C360D92">
      <w:pPr>
        <w:spacing w:line="360" w:lineRule="auto"/>
        <w:ind w:left="636" w:leftChars="303" w:firstLine="297" w:firstLineChars="1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投标人开户银行行号：</w:t>
      </w:r>
    </w:p>
    <w:p w14:paraId="1F8F5F1D">
      <w:pPr>
        <w:spacing w:line="360" w:lineRule="auto"/>
        <w:ind w:left="636" w:leftChars="303" w:firstLine="297" w:firstLineChars="124"/>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投标人银行</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号：</w:t>
      </w:r>
    </w:p>
    <w:p w14:paraId="2D9E923F">
      <w:pPr>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50CABBDC">
      <w:pPr>
        <w:pStyle w:val="19"/>
        <w:spacing w:line="440" w:lineRule="exact"/>
        <w:ind w:left="636" w:leftChars="303" w:firstLine="297" w:firstLineChars="124"/>
        <w:jc w:val="both"/>
        <w:rPr>
          <w:rFonts w:hint="eastAsia" w:ascii="宋体" w:hAnsi="宋体" w:eastAsia="宋体" w:cs="宋体"/>
          <w:bCs/>
          <w:sz w:val="24"/>
          <w:szCs w:val="24"/>
          <w:highlight w:val="none"/>
        </w:rPr>
      </w:pP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（加盖公章）</w:t>
      </w:r>
      <w:r>
        <w:rPr>
          <w:rFonts w:hint="eastAsia" w:ascii="宋体" w:hAnsi="宋体" w:eastAsia="宋体" w:cs="宋体"/>
          <w:sz w:val="24"/>
          <w:szCs w:val="24"/>
          <w:highlight w:val="none"/>
          <w:u w:val="single"/>
        </w:rPr>
        <w:tab/>
      </w:r>
    </w:p>
    <w:p w14:paraId="5417B9B4">
      <w:pPr>
        <w:pStyle w:val="19"/>
        <w:spacing w:line="440" w:lineRule="exact"/>
        <w:ind w:left="636" w:leftChars="303" w:firstLine="299" w:firstLineChars="1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注：为方便代理机构后续退款事宜，请投标人认真填写此函信息，并后附转</w:t>
      </w:r>
      <w:r>
        <w:rPr>
          <w:rFonts w:hint="eastAsia" w:ascii="宋体" w:hAnsi="宋体" w:eastAsia="宋体" w:cs="宋体"/>
          <w:b/>
          <w:sz w:val="24"/>
          <w:szCs w:val="24"/>
          <w:highlight w:val="none"/>
          <w:lang w:eastAsia="zh-CN"/>
        </w:rPr>
        <w:t>账</w:t>
      </w:r>
      <w:r>
        <w:rPr>
          <w:rFonts w:hint="eastAsia" w:ascii="宋体" w:hAnsi="宋体" w:eastAsia="宋体" w:cs="宋体"/>
          <w:b/>
          <w:sz w:val="24"/>
          <w:szCs w:val="24"/>
          <w:highlight w:val="none"/>
        </w:rPr>
        <w:t>或汇款的银行凭证扫描件。</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386A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554F6EE1">
            <w:pPr>
              <w:ind w:left="636" w:leftChars="303" w:firstLine="297" w:firstLineChars="12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（粘贴转</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或汇款的银行凭证扫描件）</w:t>
            </w:r>
          </w:p>
        </w:tc>
      </w:tr>
    </w:tbl>
    <w:p w14:paraId="02AF9E40">
      <w:pPr>
        <w:pStyle w:val="15"/>
        <w:tabs>
          <w:tab w:val="left" w:pos="1560"/>
          <w:tab w:val="left" w:pos="2040"/>
        </w:tabs>
        <w:autoSpaceDE w:val="0"/>
        <w:autoSpaceDN w:val="0"/>
        <w:adjustRightInd w:val="0"/>
        <w:snapToGrid w:val="0"/>
        <w:spacing w:line="360" w:lineRule="auto"/>
        <w:ind w:left="636" w:leftChars="303" w:firstLine="297" w:firstLineChars="124"/>
        <w:rPr>
          <w:rFonts w:hint="eastAsia" w:ascii="宋体" w:hAnsi="宋体" w:eastAsia="宋体" w:cs="宋体"/>
          <w:sz w:val="24"/>
          <w:szCs w:val="24"/>
          <w:highlight w:val="none"/>
        </w:rPr>
      </w:pPr>
    </w:p>
    <w:p w14:paraId="51645231">
      <w:pPr>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998A57C">
      <w:pPr>
        <w:ind w:left="636" w:leftChars="303" w:firstLine="297" w:firstLineChars="124"/>
        <w:jc w:val="center"/>
        <w:rPr>
          <w:rStyle w:val="35"/>
          <w:rFonts w:hint="eastAsia" w:ascii="宋体" w:hAnsi="宋体" w:eastAsia="宋体" w:cs="宋体"/>
          <w:bCs/>
          <w:sz w:val="24"/>
          <w:szCs w:val="24"/>
          <w:highlight w:val="none"/>
        </w:rPr>
      </w:pPr>
      <w:r>
        <w:rPr>
          <w:rStyle w:val="35"/>
          <w:rFonts w:hint="eastAsia" w:ascii="宋体" w:hAnsi="宋体" w:eastAsia="宋体" w:cs="宋体"/>
          <w:bCs/>
          <w:sz w:val="24"/>
          <w:szCs w:val="24"/>
          <w:highlight w:val="none"/>
        </w:rPr>
        <w:t>招标文件补充材料</w:t>
      </w:r>
    </w:p>
    <w:p w14:paraId="2461858F">
      <w:pPr>
        <w:widowControl/>
        <w:ind w:left="636" w:leftChars="303" w:firstLine="299" w:firstLineChars="124"/>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1、关于印发中小企业划型标准规定的通知（不属于投标文件格式，仅作为判断中小企业的依据）</w:t>
      </w:r>
    </w:p>
    <w:p w14:paraId="126CAAFE">
      <w:pPr>
        <w:pStyle w:val="23"/>
        <w:widowControl/>
        <w:spacing w:beforeAutospacing="0" w:afterAutospacing="0"/>
        <w:ind w:left="636" w:leftChars="303" w:firstLine="297" w:firstLineChars="124"/>
        <w:jc w:val="center"/>
        <w:textAlignment w:val="center"/>
        <w:rPr>
          <w:rStyle w:val="30"/>
          <w:rFonts w:hint="eastAsia" w:ascii="宋体" w:hAnsi="宋体" w:eastAsia="宋体" w:cs="宋体"/>
          <w:sz w:val="24"/>
          <w:szCs w:val="24"/>
          <w:highlight w:val="none"/>
          <w:lang w:eastAsia="zh-CN"/>
        </w:rPr>
      </w:pPr>
      <w:r>
        <w:rPr>
          <w:rStyle w:val="30"/>
          <w:rFonts w:hint="eastAsia" w:ascii="宋体" w:hAnsi="宋体" w:eastAsia="宋体" w:cs="宋体"/>
          <w:sz w:val="24"/>
          <w:szCs w:val="24"/>
          <w:highlight w:val="none"/>
        </w:rPr>
        <w:t>关于印发中小企业划型标准规定的通知</w:t>
      </w:r>
    </w:p>
    <w:p w14:paraId="331896BB">
      <w:pPr>
        <w:pStyle w:val="23"/>
        <w:widowControl/>
        <w:spacing w:beforeAutospacing="0" w:afterAutospacing="0"/>
        <w:ind w:left="636" w:leftChars="303" w:firstLine="297" w:firstLineChars="124"/>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工信部联企业〔2011〕300号</w:t>
      </w:r>
    </w:p>
    <w:p w14:paraId="1A05401C">
      <w:pPr>
        <w:pStyle w:val="23"/>
        <w:widowControl/>
        <w:spacing w:beforeAutospacing="0" w:afterAutospacing="0"/>
        <w:ind w:left="636" w:leftChars="303" w:firstLine="297" w:firstLineChars="124"/>
        <w:textAlignment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各省、自治区、直辖市人民政府，国务院各部委、各直属机构及有关单位：</w:t>
      </w:r>
    </w:p>
    <w:p w14:paraId="67719539">
      <w:pPr>
        <w:pStyle w:val="23"/>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kern w:val="2"/>
          <w:sz w:val="24"/>
          <w:szCs w:val="24"/>
          <w:highlight w:val="none"/>
        </w:rPr>
        <w:t>　　为贯彻落实《中华人民共和国中小企业促进法》和《国务院关于进一步促进中</w:t>
      </w:r>
      <w:r>
        <w:rPr>
          <w:rFonts w:hint="eastAsia" w:ascii="宋体" w:hAnsi="宋体" w:eastAsia="宋体" w:cs="宋体"/>
          <w:color w:val="auto"/>
          <w:kern w:val="2"/>
          <w:sz w:val="24"/>
          <w:szCs w:val="24"/>
          <w:highlight w:val="none"/>
        </w:rPr>
        <w:t>小企业发展的若干意见》（国发〔2009〕36号），工业和信息化部、国家统计局、发展改革委、财政部研究制定了《中小企业划型标准规定》。经国务院同意，现印发给你们，请遵照执行。</w:t>
      </w:r>
    </w:p>
    <w:p w14:paraId="2BCC4CAD">
      <w:pPr>
        <w:pStyle w:val="23"/>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工业和信息化部　国家统计局</w:t>
      </w:r>
    </w:p>
    <w:p w14:paraId="52CCF825">
      <w:pPr>
        <w:pStyle w:val="23"/>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国家发展和改革委员会　财政部</w:t>
      </w:r>
    </w:p>
    <w:p w14:paraId="65DBD9CB">
      <w:pPr>
        <w:pStyle w:val="23"/>
        <w:widowControl/>
        <w:spacing w:beforeAutospacing="0" w:afterAutospacing="0"/>
        <w:ind w:left="636" w:leftChars="303" w:firstLine="297" w:firstLineChars="124"/>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二○一一年六月十八日</w:t>
      </w:r>
    </w:p>
    <w:p w14:paraId="70865C0E">
      <w:pPr>
        <w:pStyle w:val="23"/>
        <w:widowControl/>
        <w:spacing w:beforeAutospacing="0" w:afterAutospacing="0"/>
        <w:ind w:left="636" w:leftChars="303" w:firstLine="297" w:firstLineChars="124"/>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7693C7C8">
      <w:pPr>
        <w:pStyle w:val="23"/>
        <w:widowControl/>
        <w:spacing w:beforeAutospacing="0" w:afterAutospacing="0"/>
        <w:ind w:left="636" w:leftChars="303" w:firstLine="297" w:firstLineChars="124"/>
        <w:jc w:val="center"/>
        <w:textAlignment w:val="center"/>
        <w:rPr>
          <w:rFonts w:hint="eastAsia" w:ascii="宋体" w:hAnsi="宋体" w:eastAsia="宋体" w:cs="宋体"/>
          <w:sz w:val="24"/>
          <w:szCs w:val="24"/>
          <w:highlight w:val="none"/>
        </w:rPr>
      </w:pPr>
      <w:r>
        <w:rPr>
          <w:rStyle w:val="30"/>
          <w:rFonts w:hint="eastAsia" w:ascii="宋体" w:hAnsi="宋体" w:eastAsia="宋体" w:cs="宋体"/>
          <w:sz w:val="24"/>
          <w:szCs w:val="24"/>
          <w:highlight w:val="none"/>
        </w:rPr>
        <w:t>中小企业划型标准规定</w:t>
      </w:r>
    </w:p>
    <w:p w14:paraId="22083A48">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bidi="ar-SA"/>
        </w:rPr>
        <w:t>一、根据《中华人民共和国中小企业促进法》和《国务院关于进一步促进中小企业发展的若干意见》(国发〔2009〕36号)，制定本规定。</w:t>
      </w:r>
    </w:p>
    <w:p w14:paraId="7DACD74B">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二、中小企业划分为中型、小型、微型三种类型，具体标准根据企业从业人员、营业收入、资产总额等指标，结合行业特点制定。</w:t>
      </w:r>
    </w:p>
    <w:p w14:paraId="4D6D7BCF">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D301F7">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四、各行业划型标准为：</w:t>
      </w:r>
    </w:p>
    <w:p w14:paraId="7B6DABEF">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（一）农、林、牧、渔业。营业收入20000万元以下的为中小微型企业。其中，营业收入500万元及以上的为中型企业，营业收入50万元及以上的为小型企业，营业收入50万元以下的为微型企业。</w:t>
      </w:r>
    </w:p>
    <w:p w14:paraId="30C4FE9D">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E650BC">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FE6283">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64B783">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907518">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9A29E78">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A8A5F66">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58E582">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E6DF47">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F31916">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005FA34">
      <w:pPr>
        <w:pStyle w:val="25"/>
        <w:ind w:left="636" w:leftChars="303" w:firstLine="297" w:firstLineChars="124"/>
        <w:rPr>
          <w:rFonts w:hint="eastAsia" w:ascii="宋体" w:hAnsi="宋体" w:eastAsia="宋体" w:cs="宋体"/>
          <w:sz w:val="24"/>
          <w:szCs w:val="24"/>
          <w:highlight w:val="none"/>
          <w:lang w:val="en-US" w:eastAsia="zh-CN" w:bidi="ar-SA"/>
        </w:rPr>
      </w:pPr>
      <w:bookmarkStart w:id="190" w:name="OLE_LINK10"/>
      <w:r>
        <w:rPr>
          <w:rFonts w:hint="eastAsia" w:ascii="宋体" w:hAnsi="宋体" w:eastAsia="宋体" w:cs="宋体"/>
          <w:sz w:val="24"/>
          <w:szCs w:val="24"/>
          <w:highlight w:val="none"/>
          <w:lang w:val="en-US" w:bidi="ar-SA"/>
        </w:rPr>
        <w:t>　　（十二）</w:t>
      </w:r>
      <w:bookmarkStart w:id="191" w:name="OLE_LINK8"/>
      <w:r>
        <w:rPr>
          <w:rFonts w:hint="eastAsia" w:ascii="宋体" w:hAnsi="宋体" w:eastAsia="宋体" w:cs="宋体"/>
          <w:sz w:val="24"/>
          <w:szCs w:val="24"/>
          <w:highlight w:val="none"/>
          <w:lang w:val="en-US" w:bidi="ar-SA"/>
        </w:rPr>
        <w:t>软件和信息技术服务业</w:t>
      </w:r>
      <w:bookmarkEnd w:id="191"/>
      <w:r>
        <w:rPr>
          <w:rFonts w:hint="eastAsia" w:ascii="宋体" w:hAnsi="宋体" w:eastAsia="宋体" w:cs="宋体"/>
          <w:sz w:val="24"/>
          <w:szCs w:val="24"/>
          <w:highlight w:val="none"/>
          <w:lang w:val="en-US"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bookmarkEnd w:id="190"/>
    <w:p w14:paraId="5504CC71">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2BC4F1">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CFEBD4">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FAABD7D">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（十六）其他未列明行业。从业人员300人以下的为中小微型企业。其中，从业人员100人及以上的为中型企业；从业人员10人及以上的为小型企业；从业人员10人以下的为微型企业。</w:t>
      </w:r>
    </w:p>
    <w:p w14:paraId="0EC2EE5D">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五、企业类型的划分以统计部门的统计数据为依据。</w:t>
      </w:r>
    </w:p>
    <w:p w14:paraId="60FF70D0">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六、本规定适用于在中华人民共和国境内依法设立的各类所有制和各种组织形式的企业。个体工商户和本规定以外的行业，参照本规定进行划型。</w:t>
      </w:r>
    </w:p>
    <w:p w14:paraId="07E80C1C">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6C880C36">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八、本规定由工业和信息化部、国家统计局会同有关部门根据《国民经济行业分类》修订情况和企业发展变化情况适时修订。</w:t>
      </w:r>
    </w:p>
    <w:p w14:paraId="634E2F51">
      <w:pPr>
        <w:pStyle w:val="25"/>
        <w:ind w:left="636" w:leftChars="303" w:firstLine="297" w:firstLineChars="1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bidi="ar-SA"/>
        </w:rPr>
        <w:t>　　九、本规定由工业和信息化部、国家统计局会同有关部门负责解释。</w:t>
      </w:r>
    </w:p>
    <w:p w14:paraId="1B6B8AA9">
      <w:pPr>
        <w:pStyle w:val="25"/>
        <w:ind w:left="636" w:leftChars="303" w:firstLine="297" w:firstLineChars="124"/>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bidi="ar-SA"/>
        </w:rPr>
        <w:t>　　十、本规定自发布之日起执行，原国家经贸委、原国家计委、财政部和国家统计局2003年颁布的《中小企业标准暂行规定》同时废止。</w:t>
      </w:r>
    </w:p>
    <w:p w14:paraId="055E8E66">
      <w:pPr>
        <w:pStyle w:val="25"/>
        <w:ind w:left="636" w:leftChars="303" w:firstLine="297" w:firstLineChars="124"/>
        <w:rPr>
          <w:rFonts w:hint="eastAsia" w:ascii="宋体" w:hAnsi="宋体" w:eastAsia="宋体" w:cs="宋体"/>
          <w:sz w:val="24"/>
          <w:szCs w:val="24"/>
          <w:highlight w:val="none"/>
          <w:lang w:val="en-US"/>
        </w:rPr>
      </w:pPr>
    </w:p>
    <w:p w14:paraId="54971B33">
      <w:pPr>
        <w:pStyle w:val="25"/>
        <w:ind w:left="636" w:leftChars="303" w:firstLine="297" w:firstLineChars="124"/>
        <w:rPr>
          <w:rFonts w:hint="eastAsia" w:ascii="宋体" w:hAnsi="宋体" w:eastAsia="宋体" w:cs="宋体"/>
          <w:sz w:val="24"/>
          <w:szCs w:val="24"/>
          <w:highlight w:val="none"/>
          <w:lang w:val="en-US"/>
        </w:rPr>
      </w:pPr>
    </w:p>
    <w:p w14:paraId="7994D582">
      <w:pPr>
        <w:ind w:left="636" w:leftChars="303" w:firstLine="297" w:firstLineChars="124"/>
        <w:rPr>
          <w:rFonts w:hint="eastAsia" w:ascii="宋体" w:hAnsi="宋体" w:eastAsia="宋体" w:cs="宋体"/>
          <w:sz w:val="24"/>
          <w:szCs w:val="24"/>
          <w:highlight w:val="none"/>
        </w:rPr>
      </w:pPr>
    </w:p>
    <w:p w14:paraId="1D2EFFE4">
      <w:pPr>
        <w:ind w:left="636" w:leftChars="303" w:firstLine="297" w:firstLineChars="124"/>
        <w:rPr>
          <w:rFonts w:hint="eastAsia" w:ascii="宋体" w:hAnsi="宋体" w:eastAsia="宋体" w:cs="宋体"/>
          <w:sz w:val="24"/>
          <w:szCs w:val="24"/>
          <w:highlight w:val="none"/>
        </w:rPr>
      </w:pPr>
    </w:p>
    <w:p w14:paraId="3B3A017C">
      <w:pPr>
        <w:ind w:left="636" w:leftChars="303" w:firstLine="297" w:firstLineChars="124"/>
        <w:rPr>
          <w:rFonts w:hint="eastAsia" w:ascii="宋体" w:hAnsi="宋体" w:eastAsia="宋体" w:cs="宋体"/>
          <w:sz w:val="24"/>
          <w:szCs w:val="24"/>
          <w:highlight w:val="none"/>
        </w:rPr>
      </w:pPr>
    </w:p>
    <w:p w14:paraId="144BAC20">
      <w:pPr>
        <w:ind w:left="636" w:leftChars="303" w:firstLine="297" w:firstLineChars="124"/>
        <w:rPr>
          <w:rFonts w:hint="eastAsia" w:ascii="宋体" w:hAnsi="宋体" w:eastAsia="宋体" w:cs="宋体"/>
          <w:sz w:val="24"/>
          <w:szCs w:val="24"/>
          <w:highlight w:val="none"/>
        </w:rPr>
      </w:pPr>
    </w:p>
    <w:p w14:paraId="3F46AFEF">
      <w:pPr>
        <w:ind w:left="636" w:leftChars="303" w:firstLine="297" w:firstLineChars="124"/>
        <w:rPr>
          <w:rFonts w:hint="eastAsia" w:ascii="宋体" w:hAnsi="宋体" w:eastAsia="宋体" w:cs="宋体"/>
          <w:sz w:val="24"/>
          <w:szCs w:val="24"/>
          <w:highlight w:val="none"/>
        </w:rPr>
      </w:pPr>
    </w:p>
    <w:p w14:paraId="7F5284F9">
      <w:pPr>
        <w:ind w:left="636" w:leftChars="303" w:firstLine="297" w:firstLineChars="124"/>
        <w:rPr>
          <w:rFonts w:hint="eastAsia" w:ascii="宋体" w:hAnsi="宋体" w:eastAsia="宋体" w:cs="宋体"/>
          <w:sz w:val="24"/>
          <w:szCs w:val="24"/>
          <w:highlight w:val="none"/>
        </w:rPr>
      </w:pPr>
    </w:p>
    <w:p w14:paraId="00E6CAA1">
      <w:pPr>
        <w:ind w:left="636" w:leftChars="303" w:firstLine="297" w:firstLineChars="124"/>
        <w:rPr>
          <w:rFonts w:hint="eastAsia" w:ascii="宋体" w:hAnsi="宋体" w:eastAsia="宋体" w:cs="宋体"/>
          <w:sz w:val="24"/>
          <w:szCs w:val="24"/>
          <w:highlight w:val="none"/>
        </w:rPr>
      </w:pPr>
    </w:p>
    <w:p w14:paraId="1201F932">
      <w:pPr>
        <w:ind w:left="636" w:leftChars="303" w:firstLine="297" w:firstLineChars="124"/>
        <w:rPr>
          <w:rFonts w:hint="eastAsia" w:ascii="宋体" w:hAnsi="宋体" w:eastAsia="宋体" w:cs="宋体"/>
          <w:sz w:val="24"/>
          <w:szCs w:val="24"/>
          <w:highlight w:val="none"/>
        </w:rPr>
      </w:pPr>
    </w:p>
    <w:p w14:paraId="0E7E1EA4">
      <w:pPr>
        <w:ind w:left="636" w:leftChars="303" w:firstLine="297" w:firstLineChars="124"/>
        <w:rPr>
          <w:rFonts w:hint="eastAsia" w:ascii="宋体" w:hAnsi="宋体" w:eastAsia="宋体" w:cs="宋体"/>
          <w:sz w:val="24"/>
          <w:szCs w:val="24"/>
          <w:highlight w:val="none"/>
        </w:rPr>
      </w:pPr>
    </w:p>
    <w:p w14:paraId="639EBECA">
      <w:pPr>
        <w:ind w:left="636" w:leftChars="303" w:firstLine="297" w:firstLineChars="124"/>
        <w:rPr>
          <w:rFonts w:hint="eastAsia" w:ascii="宋体" w:hAnsi="宋体" w:eastAsia="宋体" w:cs="宋体"/>
          <w:sz w:val="24"/>
          <w:szCs w:val="24"/>
          <w:highlight w:val="none"/>
        </w:rPr>
      </w:pPr>
    </w:p>
    <w:p w14:paraId="2C71D6C9">
      <w:pPr>
        <w:ind w:left="636" w:leftChars="303" w:firstLine="297" w:firstLineChars="124"/>
        <w:rPr>
          <w:rFonts w:hint="eastAsia" w:ascii="宋体" w:hAnsi="宋体" w:eastAsia="宋体" w:cs="宋体"/>
          <w:sz w:val="24"/>
          <w:szCs w:val="24"/>
          <w:highlight w:val="none"/>
        </w:rPr>
      </w:pPr>
    </w:p>
    <w:p w14:paraId="5C0BEDDA">
      <w:pPr>
        <w:ind w:left="636" w:leftChars="303" w:firstLine="297" w:firstLineChars="124"/>
        <w:rPr>
          <w:rFonts w:hint="eastAsia" w:ascii="宋体" w:hAnsi="宋体" w:eastAsia="宋体" w:cs="宋体"/>
          <w:sz w:val="24"/>
          <w:szCs w:val="24"/>
          <w:highlight w:val="none"/>
        </w:rPr>
      </w:pPr>
    </w:p>
    <w:p w14:paraId="0B1DE4DA">
      <w:pPr>
        <w:ind w:left="636" w:leftChars="303" w:firstLine="297" w:firstLineChars="124"/>
        <w:rPr>
          <w:rFonts w:hint="eastAsia" w:ascii="宋体" w:hAnsi="宋体" w:eastAsia="宋体" w:cs="宋体"/>
          <w:sz w:val="24"/>
          <w:szCs w:val="24"/>
          <w:highlight w:val="none"/>
        </w:rPr>
      </w:pPr>
    </w:p>
    <w:p w14:paraId="09CEA3B5">
      <w:pPr>
        <w:ind w:left="636" w:leftChars="303" w:firstLine="297" w:firstLineChars="124"/>
        <w:rPr>
          <w:rFonts w:hint="eastAsia" w:ascii="宋体" w:hAnsi="宋体" w:eastAsia="宋体" w:cs="宋体"/>
          <w:sz w:val="24"/>
          <w:szCs w:val="24"/>
          <w:highlight w:val="none"/>
        </w:rPr>
      </w:pPr>
    </w:p>
    <w:p w14:paraId="7FD26F5F">
      <w:pPr>
        <w:ind w:left="636" w:leftChars="303" w:firstLine="297" w:firstLineChars="124"/>
        <w:rPr>
          <w:rFonts w:hint="eastAsia" w:ascii="宋体" w:hAnsi="宋体" w:eastAsia="宋体" w:cs="宋体"/>
          <w:sz w:val="24"/>
          <w:szCs w:val="24"/>
          <w:highlight w:val="none"/>
        </w:rPr>
      </w:pPr>
    </w:p>
    <w:p w14:paraId="373014E5">
      <w:pPr>
        <w:ind w:left="636" w:leftChars="303" w:firstLine="297" w:firstLineChars="124"/>
        <w:rPr>
          <w:rFonts w:hint="eastAsia" w:ascii="宋体" w:hAnsi="宋体" w:eastAsia="宋体" w:cs="宋体"/>
          <w:sz w:val="24"/>
          <w:szCs w:val="24"/>
          <w:highlight w:val="none"/>
        </w:rPr>
      </w:pPr>
    </w:p>
    <w:p w14:paraId="7C8FCE88">
      <w:pPr>
        <w:ind w:left="636" w:leftChars="303" w:firstLine="297" w:firstLineChars="124"/>
        <w:rPr>
          <w:rFonts w:hint="eastAsia" w:ascii="宋体" w:hAnsi="宋体" w:eastAsia="宋体" w:cs="宋体"/>
          <w:sz w:val="24"/>
          <w:szCs w:val="24"/>
          <w:highlight w:val="none"/>
        </w:rPr>
      </w:pPr>
    </w:p>
    <w:p w14:paraId="58E47969">
      <w:pPr>
        <w:ind w:left="636" w:leftChars="303" w:firstLine="297" w:firstLineChars="124"/>
        <w:rPr>
          <w:rFonts w:hint="eastAsia" w:ascii="宋体" w:hAnsi="宋体" w:eastAsia="宋体" w:cs="宋体"/>
          <w:sz w:val="24"/>
          <w:szCs w:val="24"/>
          <w:highlight w:val="none"/>
        </w:rPr>
      </w:pPr>
    </w:p>
    <w:p w14:paraId="7101F1D8">
      <w:pPr>
        <w:ind w:left="636" w:leftChars="303" w:firstLine="297" w:firstLineChars="124"/>
        <w:rPr>
          <w:rFonts w:hint="eastAsia" w:ascii="宋体" w:hAnsi="宋体" w:eastAsia="宋体" w:cs="宋体"/>
          <w:sz w:val="24"/>
          <w:szCs w:val="24"/>
          <w:highlight w:val="none"/>
        </w:rPr>
      </w:pPr>
    </w:p>
    <w:p w14:paraId="09D27B15">
      <w:pPr>
        <w:ind w:left="636" w:leftChars="303" w:firstLine="297" w:firstLineChars="124"/>
        <w:rPr>
          <w:rFonts w:hint="eastAsia" w:ascii="宋体" w:hAnsi="宋体" w:eastAsia="宋体" w:cs="宋体"/>
          <w:sz w:val="24"/>
          <w:szCs w:val="24"/>
          <w:highlight w:val="none"/>
        </w:rPr>
      </w:pPr>
    </w:p>
    <w:p w14:paraId="0AF9E062">
      <w:pPr>
        <w:ind w:left="636" w:leftChars="303" w:firstLine="297" w:firstLineChars="124"/>
        <w:rPr>
          <w:rFonts w:hint="eastAsia" w:ascii="宋体" w:hAnsi="宋体" w:eastAsia="宋体" w:cs="宋体"/>
          <w:sz w:val="24"/>
          <w:szCs w:val="24"/>
          <w:highlight w:val="none"/>
        </w:rPr>
      </w:pPr>
    </w:p>
    <w:p w14:paraId="260AE327">
      <w:pPr>
        <w:ind w:left="636" w:leftChars="303" w:firstLine="297" w:firstLineChars="124"/>
        <w:rPr>
          <w:rFonts w:hint="eastAsia" w:ascii="宋体" w:hAnsi="宋体" w:eastAsia="宋体" w:cs="宋体"/>
          <w:sz w:val="24"/>
          <w:szCs w:val="24"/>
          <w:highlight w:val="none"/>
        </w:rPr>
      </w:pPr>
    </w:p>
    <w:p w14:paraId="7F1F67BF">
      <w:pPr>
        <w:ind w:left="636" w:leftChars="303" w:firstLine="297" w:firstLineChars="124"/>
        <w:jc w:val="center"/>
        <w:rPr>
          <w:rStyle w:val="35"/>
          <w:rFonts w:hint="eastAsia" w:ascii="宋体" w:hAnsi="宋体" w:eastAsia="宋体" w:cs="宋体"/>
          <w:bCs/>
          <w:sz w:val="24"/>
          <w:szCs w:val="24"/>
          <w:highlight w:val="none"/>
        </w:rPr>
      </w:pPr>
      <w:r>
        <w:rPr>
          <w:rStyle w:val="35"/>
          <w:rFonts w:hint="eastAsia" w:ascii="宋体" w:hAnsi="宋体" w:eastAsia="宋体" w:cs="宋体"/>
          <w:bCs/>
          <w:sz w:val="24"/>
          <w:szCs w:val="24"/>
          <w:highlight w:val="none"/>
        </w:rPr>
        <w:t>质疑及处理</w:t>
      </w:r>
    </w:p>
    <w:p w14:paraId="3E684D6A">
      <w:pPr>
        <w:spacing w:line="440" w:lineRule="exact"/>
        <w:ind w:left="636" w:leftChars="303" w:firstLine="299" w:firstLineChars="124"/>
        <w:rPr>
          <w:rFonts w:hint="eastAsia" w:ascii="宋体" w:hAnsi="宋体" w:eastAsia="宋体" w:cs="宋体"/>
          <w:sz w:val="24"/>
          <w:szCs w:val="24"/>
          <w:highlight w:val="none"/>
        </w:rPr>
      </w:pPr>
      <w:r>
        <w:rPr>
          <w:rFonts w:hint="eastAsia" w:ascii="宋体" w:hAnsi="宋体" w:eastAsia="宋体" w:cs="宋体"/>
          <w:b/>
          <w:sz w:val="24"/>
          <w:szCs w:val="24"/>
          <w:highlight w:val="none"/>
        </w:rPr>
        <w:t>1质疑的提出</w:t>
      </w:r>
    </w:p>
    <w:p w14:paraId="469448E4">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1.1质疑人必须是直接参与本次采购活动的投标人。质疑不接受邮寄。</w:t>
      </w:r>
    </w:p>
    <w:p w14:paraId="48EEDA80">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1.2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14:paraId="3CB6DAB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1.3对成交公告有异议的，在成交公告发布之日起七个工作日内，以书面形式并加盖公章和法定代表人签字向招标方提出质疑。</w:t>
      </w:r>
    </w:p>
    <w:p w14:paraId="04293012">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1.4提出质疑时，必须按照“实事求是”、“谁主张，谁举证”的原则，提供相关证明材料，不能主观臆测。</w:t>
      </w:r>
    </w:p>
    <w:p w14:paraId="40A31B24">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1.5质疑函采用实名制，不得进行虚假、恶意质疑。质疑人应在质疑有效期内提交《质疑函》（格式后附），质疑函内容应包括质疑人相关信息、质疑事项、事实依据、适应法规条款、佐证材料等。</w:t>
      </w:r>
    </w:p>
    <w:p w14:paraId="688FBD4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4373F7C6">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1.7佐证材料要具备客观性、关联性、合法性，无法查实的（如宣传册、媒体报道、猜测、推理等）不能作为佐证材料。</w:t>
      </w:r>
    </w:p>
    <w:p w14:paraId="276EA71A">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1.8对不能提供相关佐证材料的、涉及商业秘密的、非书面形式送达的、匿名的质疑将不予受理。</w:t>
      </w:r>
    </w:p>
    <w:p w14:paraId="75C529E7">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1.9对于有关资质要求、技术参数存在限制性、倾向性条款的及付款方式等方面的质疑，可在规定的时间内直接向采购单位提出并抄送招标方。</w:t>
      </w:r>
    </w:p>
    <w:p w14:paraId="426E4C79">
      <w:pPr>
        <w:spacing w:line="440" w:lineRule="exact"/>
        <w:ind w:left="636" w:leftChars="303" w:firstLine="299" w:firstLineChars="124"/>
        <w:rPr>
          <w:rFonts w:hint="eastAsia" w:ascii="宋体" w:hAnsi="宋体" w:eastAsia="宋体" w:cs="宋体"/>
          <w:b/>
          <w:sz w:val="24"/>
          <w:szCs w:val="24"/>
          <w:highlight w:val="none"/>
        </w:rPr>
      </w:pPr>
      <w:r>
        <w:rPr>
          <w:rFonts w:hint="eastAsia" w:ascii="宋体" w:hAnsi="宋体" w:eastAsia="宋体" w:cs="宋体"/>
          <w:b/>
          <w:sz w:val="24"/>
          <w:szCs w:val="24"/>
          <w:highlight w:val="none"/>
        </w:rPr>
        <w:t>2受理和处理</w:t>
      </w:r>
    </w:p>
    <w:p w14:paraId="0950944D">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2.1《质疑函》必须由质疑方的法定代表人或投标代表送达招标方或采购单位。</w:t>
      </w:r>
    </w:p>
    <w:p w14:paraId="5680C190">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2.2对符合要求的质疑，采购单位或招标方须签收。同一质疑人的质疑只接受一次。</w:t>
      </w:r>
    </w:p>
    <w:p w14:paraId="749684FF">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2.3对于不符合上</w:t>
      </w:r>
      <w:r>
        <w:rPr>
          <w:rFonts w:hint="eastAsia" w:ascii="宋体" w:hAnsi="宋体" w:eastAsia="宋体" w:cs="宋体"/>
          <w:color w:val="auto"/>
          <w:sz w:val="24"/>
          <w:szCs w:val="24"/>
          <w:highlight w:val="none"/>
        </w:rPr>
        <w:t>述</w:t>
      </w:r>
      <w:r>
        <w:rPr>
          <w:rFonts w:hint="eastAsia" w:ascii="宋体" w:hAnsi="宋体" w:eastAsia="宋体" w:cs="宋体"/>
          <w:sz w:val="24"/>
          <w:szCs w:val="24"/>
          <w:highlight w:val="none"/>
        </w:rPr>
        <w:t>所有条款要求的质疑，招标方将不予受理。</w:t>
      </w:r>
    </w:p>
    <w:p w14:paraId="6980B30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2.4在处理过程中，发现需要质疑人进一步补充相关佐证材料的，要求质疑人在规定时间内提供。质疑人不能按照要求提供相关佐证材料的，视同放弃质疑。</w:t>
      </w:r>
    </w:p>
    <w:p w14:paraId="62A8E7AD">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2.5招标方或采购单位负责对质疑的回复工作，将质疑人的质疑材料提供给相关专家或评标委员会，并将处理意见回复质疑人。</w:t>
      </w:r>
    </w:p>
    <w:p w14:paraId="7B28F506">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2.6对招标（采购）文件参数的质疑成立的，招标方或采购单位将对质疑部</w:t>
      </w:r>
      <w:r>
        <w:rPr>
          <w:rFonts w:hint="eastAsia" w:ascii="宋体" w:hAnsi="宋体" w:eastAsia="宋体" w:cs="宋体"/>
          <w:color w:val="auto"/>
          <w:sz w:val="24"/>
          <w:szCs w:val="24"/>
          <w:highlight w:val="none"/>
        </w:rPr>
        <w:t>分进行调整；对中标（成交）结果质疑成立的，招标方将取消预中标人中标资格，按照招标文件有关约定重新确定中标（成交）供应商。同时，将意见反馈政府采购管理部门，视情</w:t>
      </w:r>
      <w:r>
        <w:rPr>
          <w:rFonts w:hint="eastAsia" w:ascii="宋体" w:hAnsi="宋体" w:eastAsia="宋体" w:cs="宋体"/>
          <w:color w:val="auto"/>
          <w:sz w:val="24"/>
          <w:szCs w:val="24"/>
          <w:highlight w:val="none"/>
          <w:lang w:eastAsia="zh-CN"/>
        </w:rPr>
        <w:t>况</w:t>
      </w:r>
      <w:r>
        <w:rPr>
          <w:rFonts w:hint="eastAsia" w:ascii="宋体" w:hAnsi="宋体" w:eastAsia="宋体" w:cs="宋体"/>
          <w:color w:val="auto"/>
          <w:sz w:val="24"/>
          <w:szCs w:val="24"/>
          <w:highlight w:val="none"/>
        </w:rPr>
        <w:t>对当事人进行处理。</w:t>
      </w:r>
    </w:p>
    <w:p w14:paraId="6CA8277D">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2.7.质疑须知</w:t>
      </w:r>
    </w:p>
    <w:p w14:paraId="2BAAF1AE">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投标人如需提出质疑的，应在法定质疑期内一次性提出针对同一采购程序环节的质疑。</w:t>
      </w:r>
    </w:p>
    <w:p w14:paraId="3CE3E22F">
      <w:pPr>
        <w:spacing w:line="440" w:lineRule="exact"/>
        <w:ind w:left="636" w:leftChars="303" w:firstLine="299" w:firstLineChars="124"/>
        <w:rPr>
          <w:rFonts w:hint="eastAsia" w:ascii="宋体" w:hAnsi="宋体" w:eastAsia="宋体" w:cs="宋体"/>
          <w:b/>
          <w:sz w:val="24"/>
          <w:szCs w:val="24"/>
          <w:highlight w:val="none"/>
        </w:rPr>
      </w:pPr>
      <w:r>
        <w:rPr>
          <w:rFonts w:hint="eastAsia" w:ascii="宋体" w:hAnsi="宋体" w:eastAsia="宋体" w:cs="宋体"/>
          <w:b/>
          <w:sz w:val="24"/>
          <w:szCs w:val="24"/>
          <w:highlight w:val="none"/>
        </w:rPr>
        <w:t>3质疑无效的处理</w:t>
      </w:r>
    </w:p>
    <w:p w14:paraId="43C0CE17">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3.1质疑人提供的相关佐证材料不能证明质疑成立的，招标方可要求质疑人补充相关佐证材料，如补充材料仍不能证明质疑成立的，将不予受理。</w:t>
      </w:r>
    </w:p>
    <w:p w14:paraId="3B5D4FEF">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3.2对于质疑人在质疑期间不配合进行质疑调查处理的，视为自动放弃质疑。</w:t>
      </w:r>
    </w:p>
    <w:p w14:paraId="30B775E4">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3.3质疑人提出的质疑，经评标专家审定后驳回的，列为无效质疑。</w:t>
      </w:r>
    </w:p>
    <w:p w14:paraId="2F5893C6">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3.4对于质疑中使用虚假材料或恶意方式质疑的，按无效质疑处理，并列入不良记录供应商名单。</w:t>
      </w:r>
    </w:p>
    <w:p w14:paraId="45D7B138">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3.5质疑人进行质疑后，招标方在法定时间内对质疑进行回复，质疑人认为回复不满意的，可向政府采购管理部门进行投诉。</w:t>
      </w:r>
    </w:p>
    <w:p w14:paraId="3599D3D2">
      <w:pPr>
        <w:spacing w:line="440" w:lineRule="exact"/>
        <w:ind w:left="636" w:leftChars="303" w:firstLine="299" w:firstLineChars="124"/>
        <w:jc w:val="center"/>
        <w:outlineLvl w:val="0"/>
        <w:rPr>
          <w:rFonts w:hint="eastAsia" w:ascii="宋体" w:hAnsi="宋体" w:eastAsia="宋体" w:cs="宋体"/>
          <w:b/>
          <w:sz w:val="24"/>
          <w:szCs w:val="24"/>
          <w:highlight w:val="none"/>
        </w:rPr>
      </w:pPr>
    </w:p>
    <w:p w14:paraId="188510F8">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256AFBE5">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0975076C">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0365FEDA">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30A4C526">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3A482AAB">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673C8A38">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09F91DB3">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342D34FD">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11B62974">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4AA84B70">
      <w:pPr>
        <w:pStyle w:val="10"/>
        <w:autoSpaceDE/>
        <w:autoSpaceDN/>
        <w:adjustRightInd/>
        <w:spacing w:line="440" w:lineRule="exact"/>
        <w:ind w:left="636" w:leftChars="303" w:firstLine="299" w:firstLineChars="124"/>
        <w:rPr>
          <w:rFonts w:hint="eastAsia" w:ascii="宋体" w:hAnsi="宋体" w:eastAsia="宋体" w:cs="宋体"/>
          <w:b/>
          <w:sz w:val="24"/>
          <w:szCs w:val="24"/>
          <w:highlight w:val="none"/>
        </w:rPr>
      </w:pPr>
    </w:p>
    <w:p w14:paraId="7C7651F5">
      <w:pPr>
        <w:ind w:left="636" w:leftChars="303" w:firstLine="297" w:firstLineChars="124"/>
        <w:jc w:val="center"/>
        <w:rPr>
          <w:rStyle w:val="35"/>
          <w:rFonts w:hint="eastAsia" w:ascii="宋体" w:hAnsi="宋体" w:eastAsia="宋体" w:cs="宋体"/>
          <w:bCs/>
          <w:sz w:val="24"/>
          <w:szCs w:val="24"/>
          <w:highlight w:val="none"/>
        </w:rPr>
      </w:pPr>
    </w:p>
    <w:p w14:paraId="5E1A3C97">
      <w:pPr>
        <w:ind w:left="636" w:leftChars="303" w:firstLine="297" w:firstLineChars="124"/>
        <w:jc w:val="center"/>
        <w:rPr>
          <w:rStyle w:val="35"/>
          <w:rFonts w:hint="eastAsia" w:ascii="宋体" w:hAnsi="宋体" w:eastAsia="宋体" w:cs="宋体"/>
          <w:bCs/>
          <w:sz w:val="24"/>
          <w:szCs w:val="24"/>
          <w:highlight w:val="none"/>
        </w:rPr>
      </w:pPr>
      <w:r>
        <w:rPr>
          <w:rStyle w:val="35"/>
          <w:rFonts w:hint="eastAsia" w:ascii="宋体" w:hAnsi="宋体" w:eastAsia="宋体" w:cs="宋体"/>
          <w:bCs/>
          <w:sz w:val="24"/>
          <w:szCs w:val="24"/>
          <w:highlight w:val="none"/>
        </w:rPr>
        <w:t>质疑函</w:t>
      </w:r>
    </w:p>
    <w:p w14:paraId="79ADD93D">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7C4E1C64">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依据政府采购相关法规，我公司对</w:t>
      </w:r>
      <w:r>
        <w:rPr>
          <w:rFonts w:hint="eastAsia" w:ascii="宋体" w:hAnsi="宋体" w:eastAsia="宋体" w:cs="宋体"/>
          <w:sz w:val="24"/>
          <w:szCs w:val="24"/>
          <w:highlight w:val="none"/>
          <w:u w:val="single"/>
        </w:rPr>
        <w:t>项目的（项目编号：</w:t>
      </w:r>
      <w:r>
        <w:rPr>
          <w:rFonts w:hint="eastAsia" w:ascii="宋体" w:hAnsi="宋体" w:eastAsia="宋体" w:cs="宋体"/>
          <w:sz w:val="24"/>
          <w:szCs w:val="24"/>
          <w:highlight w:val="none"/>
        </w:rPr>
        <w:t>）招标活动存在疑问，特提出质疑（详见下表）。</w:t>
      </w:r>
    </w:p>
    <w:p w14:paraId="15ED0674">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我公司和本人对此质疑函内容的真实性负责，并愿意承担由此引起的相应处理和法律责任。</w:t>
      </w:r>
    </w:p>
    <w:p w14:paraId="1962064B">
      <w:pPr>
        <w:snapToGrid w:val="0"/>
        <w:spacing w:line="440" w:lineRule="exact"/>
        <w:ind w:left="636" w:leftChars="303" w:firstLine="297" w:firstLineChars="124"/>
        <w:rPr>
          <w:rFonts w:hint="eastAsia" w:ascii="宋体" w:hAnsi="宋体" w:eastAsia="宋体" w:cs="宋体"/>
          <w:sz w:val="24"/>
          <w:szCs w:val="24"/>
          <w:highlight w:val="none"/>
        </w:rPr>
      </w:pPr>
    </w:p>
    <w:p w14:paraId="5E096165">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法定代表人（签字并盖名章）：</w:t>
      </w:r>
    </w:p>
    <w:p w14:paraId="16234D75">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18D83FF8">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固话：传真：手机：</w:t>
      </w:r>
    </w:p>
    <w:p w14:paraId="51822C04">
      <w:pPr>
        <w:snapToGrid w:val="0"/>
        <w:spacing w:line="440" w:lineRule="exact"/>
        <w:ind w:left="636" w:leftChars="303" w:firstLine="297" w:firstLineChars="124"/>
        <w:rPr>
          <w:rFonts w:hint="eastAsia" w:ascii="宋体" w:hAnsi="宋体" w:eastAsia="宋体" w:cs="宋体"/>
          <w:sz w:val="24"/>
          <w:szCs w:val="24"/>
          <w:highlight w:val="none"/>
        </w:rPr>
      </w:pPr>
    </w:p>
    <w:p w14:paraId="6069416D">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本项目授权委托人（签字并盖名章）：</w:t>
      </w:r>
    </w:p>
    <w:p w14:paraId="443F0DFE">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5E8A4309">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固话：传真：手机：</w:t>
      </w:r>
    </w:p>
    <w:p w14:paraId="1CD095B3">
      <w:pPr>
        <w:snapToGrid w:val="0"/>
        <w:spacing w:line="440" w:lineRule="exact"/>
        <w:ind w:left="636" w:leftChars="303" w:firstLine="297" w:firstLineChars="124"/>
        <w:rPr>
          <w:rFonts w:hint="eastAsia" w:ascii="宋体" w:hAnsi="宋体" w:eastAsia="宋体" w:cs="宋体"/>
          <w:sz w:val="24"/>
          <w:szCs w:val="24"/>
          <w:highlight w:val="none"/>
        </w:rPr>
      </w:pPr>
    </w:p>
    <w:p w14:paraId="42382EEC">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公司地址：邮编：</w:t>
      </w:r>
    </w:p>
    <w:p w14:paraId="03A1C3FB">
      <w:pPr>
        <w:snapToGrid w:val="0"/>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（如法人为质疑人则不需要填此项）</w:t>
      </w:r>
    </w:p>
    <w:p w14:paraId="6CE3485A">
      <w:pPr>
        <w:spacing w:line="440" w:lineRule="exact"/>
        <w:ind w:left="636" w:leftChars="303" w:firstLine="297" w:firstLineChars="124"/>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质疑人（公章）：</w:t>
      </w:r>
    </w:p>
    <w:p w14:paraId="561D613B">
      <w:pPr>
        <w:snapToGrid w:val="0"/>
        <w:spacing w:line="440" w:lineRule="exact"/>
        <w:ind w:left="636" w:leftChars="303" w:firstLine="297" w:firstLineChars="124"/>
        <w:jc w:val="right"/>
        <w:rPr>
          <w:rFonts w:hint="eastAsia" w:ascii="宋体" w:hAnsi="宋体" w:eastAsia="宋体" w:cs="宋体"/>
          <w:sz w:val="24"/>
          <w:szCs w:val="24"/>
          <w:highlight w:val="none"/>
        </w:rPr>
      </w:pPr>
    </w:p>
    <w:p w14:paraId="7008A78D">
      <w:pPr>
        <w:snapToGrid w:val="0"/>
        <w:spacing w:line="440" w:lineRule="exact"/>
        <w:ind w:left="636" w:leftChars="303" w:firstLine="297" w:firstLineChars="124"/>
        <w:jc w:val="right"/>
        <w:rPr>
          <w:rFonts w:hint="eastAsia" w:ascii="宋体" w:hAnsi="宋体" w:eastAsia="宋体" w:cs="宋体"/>
          <w:sz w:val="24"/>
          <w:szCs w:val="24"/>
          <w:highlight w:val="none"/>
        </w:rPr>
      </w:pPr>
    </w:p>
    <w:p w14:paraId="387000D6">
      <w:pPr>
        <w:snapToGrid w:val="0"/>
        <w:spacing w:line="440" w:lineRule="exact"/>
        <w:ind w:left="636" w:leftChars="303" w:firstLine="297" w:firstLineChars="124"/>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年月日</w:t>
      </w:r>
    </w:p>
    <w:p w14:paraId="18B3673B">
      <w:pPr>
        <w:spacing w:line="440" w:lineRule="exact"/>
        <w:ind w:left="636" w:leftChars="303" w:firstLine="297" w:firstLineChars="124"/>
        <w:rPr>
          <w:rFonts w:hint="eastAsia" w:ascii="宋体" w:hAnsi="宋体" w:eastAsia="宋体" w:cs="宋体"/>
          <w:sz w:val="24"/>
          <w:szCs w:val="24"/>
          <w:highlight w:val="none"/>
        </w:rPr>
      </w:pPr>
    </w:p>
    <w:p w14:paraId="0D6AEE05">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3356E7B4">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2D02F5C7">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219E4CA6">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70906676">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23C2C857">
      <w:pPr>
        <w:pStyle w:val="10"/>
        <w:autoSpaceDE/>
        <w:autoSpaceDN/>
        <w:adjustRightInd/>
        <w:spacing w:line="440" w:lineRule="exact"/>
        <w:ind w:left="636" w:leftChars="303" w:firstLine="297" w:firstLineChars="124"/>
        <w:rPr>
          <w:rFonts w:hint="eastAsia" w:ascii="宋体" w:hAnsi="宋体" w:eastAsia="宋体" w:cs="宋体"/>
          <w:sz w:val="24"/>
          <w:szCs w:val="24"/>
          <w:highlight w:val="none"/>
        </w:rPr>
      </w:pPr>
    </w:p>
    <w:p w14:paraId="4F9DB08B">
      <w:pPr>
        <w:spacing w:line="440" w:lineRule="exact"/>
        <w:ind w:left="636" w:leftChars="303" w:firstLine="297" w:firstLineChars="124"/>
        <w:rPr>
          <w:rFonts w:hint="eastAsia" w:ascii="宋体" w:hAnsi="宋体" w:eastAsia="宋体" w:cs="宋体"/>
          <w:bCs/>
          <w:sz w:val="24"/>
          <w:szCs w:val="24"/>
          <w:highlight w:val="none"/>
        </w:rPr>
      </w:pPr>
    </w:p>
    <w:p w14:paraId="58073FFB">
      <w:pPr>
        <w:pStyle w:val="10"/>
        <w:ind w:left="636" w:leftChars="303" w:firstLine="297" w:firstLineChars="124"/>
        <w:rPr>
          <w:rFonts w:hint="eastAsia" w:ascii="宋体" w:hAnsi="宋体" w:eastAsia="宋体" w:cs="宋体"/>
          <w:bCs/>
          <w:sz w:val="24"/>
          <w:szCs w:val="24"/>
          <w:highlight w:val="none"/>
        </w:rPr>
      </w:pPr>
    </w:p>
    <w:p w14:paraId="5BED7F06">
      <w:pPr>
        <w:pStyle w:val="10"/>
        <w:ind w:left="636" w:leftChars="303" w:firstLine="297" w:firstLineChars="124"/>
        <w:rPr>
          <w:rFonts w:hint="eastAsia" w:ascii="宋体" w:hAnsi="宋体" w:eastAsia="宋体" w:cs="宋体"/>
          <w:bCs/>
          <w:sz w:val="24"/>
          <w:szCs w:val="24"/>
          <w:highlight w:val="none"/>
        </w:rPr>
      </w:pPr>
    </w:p>
    <w:p w14:paraId="4A99EE59">
      <w:pPr>
        <w:spacing w:line="440" w:lineRule="exact"/>
        <w:ind w:left="636" w:leftChars="303" w:firstLine="297" w:firstLineChars="124"/>
        <w:jc w:val="center"/>
        <w:rPr>
          <w:rFonts w:hint="eastAsia" w:ascii="宋体" w:hAnsi="宋体" w:eastAsia="宋体" w:cs="宋体"/>
          <w:bCs/>
          <w:sz w:val="24"/>
          <w:szCs w:val="24"/>
          <w:highlight w:val="none"/>
        </w:rPr>
      </w:pPr>
    </w:p>
    <w:p w14:paraId="1406876E">
      <w:pPr>
        <w:spacing w:line="440" w:lineRule="exact"/>
        <w:ind w:left="636" w:leftChars="303" w:firstLine="297" w:firstLineChars="124"/>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质疑内容</w:t>
      </w:r>
    </w:p>
    <w:p w14:paraId="14C9C712">
      <w:pPr>
        <w:spacing w:line="440" w:lineRule="exact"/>
        <w:ind w:left="636" w:leftChars="303" w:firstLine="297" w:firstLineChars="124"/>
        <w:rPr>
          <w:rFonts w:hint="eastAsia" w:ascii="宋体" w:hAnsi="宋体" w:eastAsia="宋体" w:cs="宋体"/>
          <w:sz w:val="24"/>
          <w:szCs w:val="24"/>
          <w:highlight w:val="none"/>
        </w:rPr>
      </w:pPr>
    </w:p>
    <w:tbl>
      <w:tblPr>
        <w:tblStyle w:val="2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702"/>
      </w:tblGrid>
      <w:tr w14:paraId="245A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4728E1F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702" w:type="dxa"/>
            <w:tcBorders>
              <w:top w:val="single" w:color="auto" w:sz="4" w:space="0"/>
              <w:left w:val="single" w:color="auto" w:sz="4" w:space="0"/>
              <w:bottom w:val="single" w:color="auto" w:sz="4" w:space="0"/>
              <w:right w:val="single" w:color="auto" w:sz="4" w:space="0"/>
            </w:tcBorders>
            <w:vAlign w:val="center"/>
          </w:tcPr>
          <w:p w14:paraId="6611199F">
            <w:pPr>
              <w:spacing w:line="440" w:lineRule="exact"/>
              <w:ind w:left="636" w:leftChars="303" w:firstLine="297" w:firstLineChars="124"/>
              <w:rPr>
                <w:rFonts w:hint="eastAsia" w:ascii="宋体" w:hAnsi="宋体" w:eastAsia="宋体" w:cs="宋体"/>
                <w:sz w:val="24"/>
                <w:szCs w:val="24"/>
                <w:highlight w:val="none"/>
              </w:rPr>
            </w:pPr>
          </w:p>
        </w:tc>
      </w:tr>
      <w:tr w14:paraId="739D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480B660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702" w:type="dxa"/>
            <w:tcBorders>
              <w:top w:val="single" w:color="auto" w:sz="4" w:space="0"/>
              <w:left w:val="single" w:color="auto" w:sz="4" w:space="0"/>
              <w:bottom w:val="single" w:color="auto" w:sz="4" w:space="0"/>
              <w:right w:val="single" w:color="auto" w:sz="4" w:space="0"/>
            </w:tcBorders>
            <w:vAlign w:val="center"/>
          </w:tcPr>
          <w:p w14:paraId="5C59A135">
            <w:pPr>
              <w:spacing w:line="440" w:lineRule="exact"/>
              <w:ind w:left="636" w:leftChars="303" w:firstLine="297" w:firstLineChars="124"/>
              <w:rPr>
                <w:rFonts w:hint="eastAsia" w:ascii="宋体" w:hAnsi="宋体" w:eastAsia="宋体" w:cs="宋体"/>
                <w:sz w:val="24"/>
                <w:szCs w:val="24"/>
                <w:highlight w:val="none"/>
              </w:rPr>
            </w:pPr>
          </w:p>
        </w:tc>
      </w:tr>
      <w:tr w14:paraId="2C6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A324943">
            <w:pPr>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具体的质疑事项及事实依据</w:t>
            </w:r>
          </w:p>
        </w:tc>
        <w:tc>
          <w:tcPr>
            <w:tcW w:w="7702" w:type="dxa"/>
            <w:tcBorders>
              <w:top w:val="single" w:color="auto" w:sz="4" w:space="0"/>
              <w:left w:val="single" w:color="auto" w:sz="4" w:space="0"/>
              <w:bottom w:val="single" w:color="auto" w:sz="4" w:space="0"/>
              <w:right w:val="single" w:color="auto" w:sz="4" w:space="0"/>
            </w:tcBorders>
          </w:tcPr>
          <w:p w14:paraId="348AF9BF">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一、质疑事项1：</w:t>
            </w:r>
          </w:p>
          <w:p w14:paraId="0E2C7D4A">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主要内容：</w:t>
            </w:r>
          </w:p>
          <w:p w14:paraId="2445E147">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14:paraId="02732418">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适应法规条款：</w:t>
            </w:r>
          </w:p>
          <w:p w14:paraId="369F1F5E">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佐证材料：</w:t>
            </w:r>
          </w:p>
          <w:p w14:paraId="714B6B9D">
            <w:pPr>
              <w:snapToGrid w:val="0"/>
              <w:spacing w:line="440" w:lineRule="exact"/>
              <w:ind w:left="636" w:leftChars="303" w:firstLine="297" w:firstLineChars="124"/>
              <w:jc w:val="left"/>
              <w:rPr>
                <w:rFonts w:hint="eastAsia" w:ascii="宋体" w:hAnsi="宋体" w:eastAsia="宋体" w:cs="宋体"/>
                <w:sz w:val="24"/>
                <w:szCs w:val="24"/>
                <w:highlight w:val="none"/>
              </w:rPr>
            </w:pPr>
          </w:p>
          <w:p w14:paraId="69FF171C">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二、质疑事项2：</w:t>
            </w:r>
          </w:p>
          <w:p w14:paraId="6BCB98B6">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主要内容：</w:t>
            </w:r>
          </w:p>
          <w:p w14:paraId="2FB1C68D">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14:paraId="63F401DD">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适应法规条款：</w:t>
            </w:r>
          </w:p>
          <w:p w14:paraId="0A990506">
            <w:pPr>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佐证材料：</w:t>
            </w:r>
          </w:p>
          <w:p w14:paraId="2B02169D">
            <w:pPr>
              <w:snapToGrid w:val="0"/>
              <w:spacing w:line="440" w:lineRule="exact"/>
              <w:ind w:left="636" w:leftChars="303" w:firstLine="297" w:firstLineChars="124"/>
              <w:jc w:val="left"/>
              <w:rPr>
                <w:rFonts w:hint="eastAsia" w:ascii="宋体" w:hAnsi="宋体" w:eastAsia="宋体" w:cs="宋体"/>
                <w:sz w:val="24"/>
                <w:szCs w:val="24"/>
                <w:highlight w:val="none"/>
              </w:rPr>
            </w:pPr>
          </w:p>
          <w:p w14:paraId="7EBF279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三、同上</w:t>
            </w:r>
          </w:p>
          <w:p w14:paraId="56EC015D">
            <w:pPr>
              <w:spacing w:line="440" w:lineRule="exact"/>
              <w:ind w:left="636" w:leftChars="303" w:firstLine="297" w:firstLineChars="124"/>
              <w:jc w:val="left"/>
              <w:rPr>
                <w:rFonts w:hint="eastAsia" w:ascii="宋体" w:hAnsi="宋体" w:eastAsia="宋体" w:cs="宋体"/>
                <w:sz w:val="24"/>
                <w:szCs w:val="24"/>
                <w:highlight w:val="none"/>
              </w:rPr>
            </w:pPr>
          </w:p>
        </w:tc>
      </w:tr>
    </w:tbl>
    <w:p w14:paraId="2AE98552">
      <w:pPr>
        <w:spacing w:line="440" w:lineRule="exact"/>
        <w:ind w:left="636" w:leftChars="303" w:firstLine="297" w:firstLineChars="124"/>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5D51E37D">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14:paraId="428D2675">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135713E6">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3、“具体的质疑事项及事实依据”一栏填写不下时，质疑人可另附页（A4），但附纸要求加盖质疑人公章。</w:t>
      </w:r>
    </w:p>
    <w:p w14:paraId="4B261D01">
      <w:pPr>
        <w:spacing w:line="440" w:lineRule="exact"/>
        <w:ind w:left="636" w:leftChars="303" w:firstLine="297" w:firstLineChars="1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4、与质疑事项有关的材料应与质疑函合并装订。</w:t>
      </w:r>
    </w:p>
    <w:sectPr>
      <w:footerReference r:id="rId6" w:type="default"/>
      <w:pgSz w:w="11906" w:h="16838"/>
      <w:pgMar w:top="1440" w:right="1532" w:bottom="1440" w:left="1134"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F8861151-1B1F-4A75-ACF7-E6247071A509}"/>
  </w:font>
  <w:font w:name="华文细黑">
    <w:altName w:val="微软雅黑"/>
    <w:panose1 w:val="02010600040101010101"/>
    <w:charset w:val="86"/>
    <w:family w:val="auto"/>
    <w:pitch w:val="default"/>
    <w:sig w:usb0="00000000" w:usb1="0000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5DD6678D-4452-47BB-A132-9FD82831E29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4FE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955A7">
                          <w:pPr>
                            <w:pStyle w:val="1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5955A7">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447F">
    <w:pPr>
      <w:pStyle w:val="19"/>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4749A">
                          <w:pPr>
                            <w:pStyle w:val="19"/>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34749A">
                    <w:pPr>
                      <w:pStyle w:val="19"/>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5386">
    <w:pPr>
      <w:pStyle w:val="20"/>
      <w:jc w:val="right"/>
      <w:rPr>
        <w:rFonts w:hint="eastAsia"/>
        <w:sz w:val="20"/>
        <w:szCs w:val="20"/>
        <w:lang w:eastAsia="zh-CN"/>
      </w:rPr>
    </w:pPr>
  </w:p>
  <w:p w14:paraId="1758884B">
    <w:pPr>
      <w:pStyle w:val="20"/>
      <w:jc w:val="right"/>
      <w:rPr>
        <w:rFonts w:hint="eastAsia" w:eastAsiaTheme="minorEastAsia"/>
        <w:sz w:val="20"/>
        <w:szCs w:val="20"/>
        <w:lang w:eastAsia="zh-CN"/>
      </w:rPr>
    </w:pPr>
    <w:r>
      <w:rPr>
        <w:rFonts w:hint="eastAsia"/>
        <w:sz w:val="20"/>
        <w:szCs w:val="20"/>
        <w:lang w:eastAsia="zh-CN"/>
      </w:rPr>
      <w:t>乌鲁木齐市米东区中医医院智慧中医医院示范标杆建设项目(第四包)</w:t>
    </w:r>
  </w:p>
  <w:p w14:paraId="1FB2A874">
    <w:pPr>
      <w:pStyle w:val="20"/>
      <w:jc w:val="right"/>
      <w:rPr>
        <w:rFonts w:hint="eastAsia" w:eastAsiaTheme="minorEastAsia"/>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D793">
    <w:pPr>
      <w:pStyle w:val="20"/>
      <w:jc w:val="right"/>
      <w:rPr>
        <w:rFonts w:hint="eastAsia" w:eastAsiaTheme="minorEastAsia"/>
        <w:sz w:val="16"/>
        <w:szCs w:val="16"/>
        <w:lang w:eastAsia="zh-CN"/>
      </w:rPr>
    </w:pPr>
    <w:r>
      <w:rPr>
        <w:rFonts w:hint="eastAsia"/>
        <w:sz w:val="16"/>
        <w:szCs w:val="16"/>
        <w:lang w:eastAsia="zh-CN"/>
      </w:rPr>
      <w:t>乌鲁木齐市米东区中医医院智慧中医医院示范标杆建设项目(第四包)</w:t>
    </w:r>
  </w:p>
  <w:p w14:paraId="295F990C">
    <w:pPr>
      <w:pStyle w:val="1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A5B41"/>
    <w:multiLevelType w:val="singleLevel"/>
    <w:tmpl w:val="8FFA5B41"/>
    <w:lvl w:ilvl="0" w:tentative="0">
      <w:start w:val="1"/>
      <w:numFmt w:val="decimal"/>
      <w:suff w:val="nothing"/>
      <w:lvlText w:val="%1、"/>
      <w:lvlJc w:val="left"/>
    </w:lvl>
  </w:abstractNum>
  <w:abstractNum w:abstractNumId="1">
    <w:nsid w:val="9BF8960C"/>
    <w:multiLevelType w:val="singleLevel"/>
    <w:tmpl w:val="9BF8960C"/>
    <w:lvl w:ilvl="0" w:tentative="0">
      <w:start w:val="1"/>
      <w:numFmt w:val="decimal"/>
      <w:suff w:val="nothing"/>
      <w:lvlText w:val="%1、"/>
      <w:lvlJc w:val="left"/>
    </w:lvl>
  </w:abstractNum>
  <w:abstractNum w:abstractNumId="2">
    <w:nsid w:val="9C92CEFF"/>
    <w:multiLevelType w:val="singleLevel"/>
    <w:tmpl w:val="9C92CEFF"/>
    <w:lvl w:ilvl="0" w:tentative="0">
      <w:start w:val="1"/>
      <w:numFmt w:val="decimal"/>
      <w:suff w:val="nothing"/>
      <w:lvlText w:val="%1、"/>
      <w:lvlJc w:val="left"/>
    </w:lvl>
  </w:abstractNum>
  <w:abstractNum w:abstractNumId="3">
    <w:nsid w:val="A18FE01A"/>
    <w:multiLevelType w:val="multilevel"/>
    <w:tmpl w:val="A18FE0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350FDCA"/>
    <w:multiLevelType w:val="singleLevel"/>
    <w:tmpl w:val="A350FDCA"/>
    <w:lvl w:ilvl="0" w:tentative="0">
      <w:start w:val="1"/>
      <w:numFmt w:val="decimal"/>
      <w:suff w:val="nothing"/>
      <w:lvlText w:val="%1．"/>
      <w:lvlJc w:val="left"/>
      <w:pPr>
        <w:ind w:left="0" w:firstLine="400"/>
      </w:pPr>
      <w:rPr>
        <w:rFonts w:hint="default"/>
      </w:rPr>
    </w:lvl>
  </w:abstractNum>
  <w:abstractNum w:abstractNumId="5">
    <w:nsid w:val="C7664143"/>
    <w:multiLevelType w:val="singleLevel"/>
    <w:tmpl w:val="C7664143"/>
    <w:lvl w:ilvl="0" w:tentative="0">
      <w:start w:val="1"/>
      <w:numFmt w:val="decimal"/>
      <w:suff w:val="nothing"/>
      <w:lvlText w:val="%1、"/>
      <w:lvlJc w:val="left"/>
    </w:lvl>
  </w:abstractNum>
  <w:abstractNum w:abstractNumId="6">
    <w:nsid w:val="F15E2F75"/>
    <w:multiLevelType w:val="singleLevel"/>
    <w:tmpl w:val="F15E2F75"/>
    <w:lvl w:ilvl="0" w:tentative="0">
      <w:start w:val="2"/>
      <w:numFmt w:val="decimal"/>
      <w:suff w:val="nothing"/>
      <w:lvlText w:val="%1、"/>
      <w:lvlJc w:val="left"/>
    </w:lvl>
  </w:abstractNum>
  <w:abstractNum w:abstractNumId="7">
    <w:nsid w:val="F3124F06"/>
    <w:multiLevelType w:val="singleLevel"/>
    <w:tmpl w:val="F3124F06"/>
    <w:lvl w:ilvl="0" w:tentative="0">
      <w:start w:val="1"/>
      <w:numFmt w:val="decimal"/>
      <w:suff w:val="nothing"/>
      <w:lvlText w:val="%1、"/>
      <w:lvlJc w:val="left"/>
    </w:lvl>
  </w:abstractNum>
  <w:abstractNum w:abstractNumId="8">
    <w:nsid w:val="FB2C191C"/>
    <w:multiLevelType w:val="singleLevel"/>
    <w:tmpl w:val="FB2C191C"/>
    <w:lvl w:ilvl="0" w:tentative="0">
      <w:start w:val="1"/>
      <w:numFmt w:val="decimal"/>
      <w:lvlText w:val="%1."/>
      <w:lvlJc w:val="left"/>
      <w:pPr>
        <w:tabs>
          <w:tab w:val="left" w:pos="312"/>
        </w:tabs>
      </w:pPr>
    </w:lvl>
  </w:abstractNum>
  <w:abstractNum w:abstractNumId="9">
    <w:nsid w:val="006F4162"/>
    <w:multiLevelType w:val="multilevel"/>
    <w:tmpl w:val="006F416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01E90591"/>
    <w:multiLevelType w:val="multilevel"/>
    <w:tmpl w:val="01E9059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1">
    <w:nsid w:val="03D403CE"/>
    <w:multiLevelType w:val="multilevel"/>
    <w:tmpl w:val="03D403C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5466FB3"/>
    <w:multiLevelType w:val="multilevel"/>
    <w:tmpl w:val="05466F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76C5A4F"/>
    <w:multiLevelType w:val="multilevel"/>
    <w:tmpl w:val="076C5A4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087E7BEC"/>
    <w:multiLevelType w:val="multilevel"/>
    <w:tmpl w:val="087E7B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8984FBA"/>
    <w:multiLevelType w:val="multilevel"/>
    <w:tmpl w:val="08984FB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092033E4"/>
    <w:multiLevelType w:val="multilevel"/>
    <w:tmpl w:val="092033E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7">
    <w:nsid w:val="09F23128"/>
    <w:multiLevelType w:val="multilevel"/>
    <w:tmpl w:val="09F2312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0D3A2648"/>
    <w:multiLevelType w:val="multilevel"/>
    <w:tmpl w:val="0D3A264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117207B7"/>
    <w:multiLevelType w:val="multilevel"/>
    <w:tmpl w:val="117207B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13531AD3"/>
    <w:multiLevelType w:val="multilevel"/>
    <w:tmpl w:val="13531AD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1">
    <w:nsid w:val="166A187A"/>
    <w:multiLevelType w:val="multilevel"/>
    <w:tmpl w:val="166A18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19D7147C"/>
    <w:multiLevelType w:val="multilevel"/>
    <w:tmpl w:val="19D7147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3">
    <w:nsid w:val="1A1A7C6A"/>
    <w:multiLevelType w:val="multilevel"/>
    <w:tmpl w:val="1A1A7C6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1D5619B4"/>
    <w:multiLevelType w:val="multilevel"/>
    <w:tmpl w:val="1D5619B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1F746913"/>
    <w:multiLevelType w:val="multilevel"/>
    <w:tmpl w:val="1F74691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6">
    <w:nsid w:val="20A63FBF"/>
    <w:multiLevelType w:val="multilevel"/>
    <w:tmpl w:val="20A63F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238028C8"/>
    <w:multiLevelType w:val="multilevel"/>
    <w:tmpl w:val="238028C8"/>
    <w:lvl w:ilvl="0" w:tentative="0">
      <w:start w:val="1"/>
      <w:numFmt w:val="decimal"/>
      <w:suff w:val="space"/>
      <w:lvlText w:val="（%1）"/>
      <w:lvlJc w:val="left"/>
      <w:pPr>
        <w:ind w:left="250" w:hanging="2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0BA1770"/>
    <w:multiLevelType w:val="multilevel"/>
    <w:tmpl w:val="30BA177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9">
    <w:nsid w:val="31320EB2"/>
    <w:multiLevelType w:val="multilevel"/>
    <w:tmpl w:val="31320EB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0">
    <w:nsid w:val="31AF38F7"/>
    <w:multiLevelType w:val="multilevel"/>
    <w:tmpl w:val="31AF38F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31E96EBF"/>
    <w:multiLevelType w:val="multilevel"/>
    <w:tmpl w:val="31E96E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32010733"/>
    <w:multiLevelType w:val="multilevel"/>
    <w:tmpl w:val="32010733"/>
    <w:lvl w:ilvl="0" w:tentative="0">
      <w:start w:val="16"/>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3BE442F"/>
    <w:multiLevelType w:val="multilevel"/>
    <w:tmpl w:val="33BE442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348109EA"/>
    <w:multiLevelType w:val="multilevel"/>
    <w:tmpl w:val="348109E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5">
    <w:nsid w:val="35124111"/>
    <w:multiLevelType w:val="multilevel"/>
    <w:tmpl w:val="3512411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39872649"/>
    <w:multiLevelType w:val="multilevel"/>
    <w:tmpl w:val="3987264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7">
    <w:nsid w:val="3CE511B8"/>
    <w:multiLevelType w:val="singleLevel"/>
    <w:tmpl w:val="3CE511B8"/>
    <w:lvl w:ilvl="0" w:tentative="0">
      <w:start w:val="5"/>
      <w:numFmt w:val="decimal"/>
      <w:suff w:val="nothing"/>
      <w:lvlText w:val="%1、"/>
      <w:lvlJc w:val="left"/>
    </w:lvl>
  </w:abstractNum>
  <w:abstractNum w:abstractNumId="38">
    <w:nsid w:val="3DDC6A43"/>
    <w:multiLevelType w:val="multilevel"/>
    <w:tmpl w:val="3DDC6A4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9">
    <w:nsid w:val="3E951EB2"/>
    <w:multiLevelType w:val="multilevel"/>
    <w:tmpl w:val="3E951E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2306C11"/>
    <w:multiLevelType w:val="multilevel"/>
    <w:tmpl w:val="42306C11"/>
    <w:lvl w:ilvl="0" w:tentative="0">
      <w:start w:val="1"/>
      <w:numFmt w:val="decimal"/>
      <w:suff w:val="space"/>
      <w:lvlText w:val="(%1)"/>
      <w:lvlJc w:val="left"/>
      <w:pPr>
        <w:ind w:left="420"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1">
    <w:nsid w:val="426B39FB"/>
    <w:multiLevelType w:val="multilevel"/>
    <w:tmpl w:val="426B39F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2">
    <w:nsid w:val="4366516F"/>
    <w:multiLevelType w:val="multilevel"/>
    <w:tmpl w:val="4366516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3">
    <w:nsid w:val="4A63731E"/>
    <w:multiLevelType w:val="multilevel"/>
    <w:tmpl w:val="4A63731E"/>
    <w:lvl w:ilvl="0" w:tentative="0">
      <w:start w:val="20"/>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181D19"/>
    <w:multiLevelType w:val="multilevel"/>
    <w:tmpl w:val="4B181D1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5">
    <w:nsid w:val="4C79047B"/>
    <w:multiLevelType w:val="multilevel"/>
    <w:tmpl w:val="4C79047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6">
    <w:nsid w:val="4CC0316D"/>
    <w:multiLevelType w:val="multilevel"/>
    <w:tmpl w:val="4CC0316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7">
    <w:nsid w:val="501C1AE0"/>
    <w:multiLevelType w:val="multilevel"/>
    <w:tmpl w:val="501C1AE0"/>
    <w:lvl w:ilvl="0" w:tentative="0">
      <w:start w:val="1"/>
      <w:numFmt w:val="decimal"/>
      <w:suff w:val="space"/>
      <w:lvlText w:val="第%1章"/>
      <w:lvlJc w:val="left"/>
      <w:pPr>
        <w:ind w:left="0" w:firstLine="0"/>
      </w:pPr>
      <w:rPr>
        <w:rFonts w:hint="default" w:ascii="Calibri Light" w:hAnsi="Calibri Light" w:eastAsia="宋体" w:cs="Calibri Light"/>
      </w:rPr>
    </w:lvl>
    <w:lvl w:ilvl="1" w:tentative="0">
      <w:start w:val="1"/>
      <w:numFmt w:val="decimal"/>
      <w:suff w:val="space"/>
      <w:lvlText w:val="%1.%2"/>
      <w:lvlJc w:val="left"/>
      <w:pPr>
        <w:ind w:left="0" w:firstLine="0"/>
      </w:pPr>
      <w:rPr>
        <w:rFonts w:hint="default" w:ascii="Calibri Light" w:hAnsi="Calibri Light" w:eastAsia="宋体" w:cs="Calibri Light"/>
      </w:rPr>
    </w:lvl>
    <w:lvl w:ilvl="2" w:tentative="0">
      <w:start w:val="1"/>
      <w:numFmt w:val="decimal"/>
      <w:suff w:val="space"/>
      <w:lvlText w:val="%1.%2.%3"/>
      <w:lvlJc w:val="left"/>
      <w:pPr>
        <w:ind w:left="0" w:firstLine="0"/>
      </w:pPr>
      <w:rPr>
        <w:rFonts w:hint="default" w:ascii="Calibri Light" w:hAnsi="Calibri Light" w:eastAsia="宋体" w:cs="Calibri Light"/>
      </w:rPr>
    </w:lvl>
    <w:lvl w:ilvl="3" w:tentative="0">
      <w:start w:val="1"/>
      <w:numFmt w:val="decimal"/>
      <w:suff w:val="space"/>
      <w:lvlText w:val="%1.%2.%3.%4"/>
      <w:lvlJc w:val="left"/>
      <w:pPr>
        <w:ind w:left="0" w:firstLine="0"/>
      </w:pPr>
      <w:rPr>
        <w:rFonts w:hint="default" w:ascii="Calibri Light" w:hAnsi="Calibri Light" w:eastAsia="宋体" w:cs="Calibri Light"/>
      </w:rPr>
    </w:lvl>
    <w:lvl w:ilvl="4" w:tentative="0">
      <w:start w:val="1"/>
      <w:numFmt w:val="decimal"/>
      <w:suff w:val="space"/>
      <w:lvlText w:val="%1.%2.%3.%4.%5"/>
      <w:lvlJc w:val="left"/>
      <w:pPr>
        <w:ind w:left="0" w:firstLine="0"/>
      </w:pPr>
      <w:rPr>
        <w:rFonts w:hint="default" w:ascii="Calibri Light" w:hAnsi="Calibri Light" w:eastAsia="宋体" w:cs="Calibri Light"/>
      </w:rPr>
    </w:lvl>
    <w:lvl w:ilvl="5" w:tentative="0">
      <w:start w:val="1"/>
      <w:numFmt w:val="decimal"/>
      <w:suff w:val="space"/>
      <w:lvlText w:val="%1.%2.%3.%4.%5.%6"/>
      <w:lvlJc w:val="left"/>
      <w:pPr>
        <w:ind w:left="0" w:firstLine="0"/>
      </w:pPr>
      <w:rPr>
        <w:rFonts w:hint="default" w:ascii="Calibri Light" w:hAnsi="Calibri Light" w:eastAsia="宋体" w:cs="Calibri Light"/>
      </w:rPr>
    </w:lvl>
    <w:lvl w:ilvl="6" w:tentative="0">
      <w:start w:val="1"/>
      <w:numFmt w:val="decimal"/>
      <w:suff w:val="space"/>
      <w:lvlText w:val="%1.%2.%3.%4.%5.%6.%7"/>
      <w:lvlJc w:val="left"/>
      <w:pPr>
        <w:ind w:left="0" w:firstLine="0"/>
      </w:pPr>
      <w:rPr>
        <w:rFonts w:hint="default" w:ascii="Calibri Light" w:hAnsi="Calibri Light" w:cs="Calibri Light"/>
      </w:rPr>
    </w:lvl>
    <w:lvl w:ilvl="7" w:tentative="0">
      <w:start w:val="1"/>
      <w:numFmt w:val="decimal"/>
      <w:pStyle w:val="9"/>
      <w:suff w:val="space"/>
      <w:lvlText w:val="%1.%2.%3.%4.%5.%6.%7.%8"/>
      <w:lvlJc w:val="left"/>
      <w:pPr>
        <w:ind w:left="0" w:firstLine="0"/>
      </w:pPr>
      <w:rPr>
        <w:rFonts w:hint="eastAsia" w:ascii="宋体" w:hAnsi="宋体" w:eastAsia="宋体"/>
      </w:rPr>
    </w:lvl>
    <w:lvl w:ilvl="8" w:tentative="0">
      <w:start w:val="1"/>
      <w:numFmt w:val="decimal"/>
      <w:suff w:val="space"/>
      <w:lvlText w:val="%1.%2.%3.%4.%5.%6.%7.%8.%9"/>
      <w:lvlJc w:val="left"/>
      <w:pPr>
        <w:ind w:left="0" w:firstLine="0"/>
      </w:pPr>
      <w:rPr>
        <w:rFonts w:hint="eastAsia" w:ascii="宋体" w:hAnsi="宋体" w:eastAsia="宋体"/>
      </w:rPr>
    </w:lvl>
  </w:abstractNum>
  <w:abstractNum w:abstractNumId="48">
    <w:nsid w:val="506B4DC4"/>
    <w:multiLevelType w:val="multilevel"/>
    <w:tmpl w:val="506B4DC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9">
    <w:nsid w:val="55A30917"/>
    <w:multiLevelType w:val="multilevel"/>
    <w:tmpl w:val="55A3091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0">
    <w:nsid w:val="5B5168D9"/>
    <w:multiLevelType w:val="multilevel"/>
    <w:tmpl w:val="5B5168D9"/>
    <w:lvl w:ilvl="0" w:tentative="0">
      <w:start w:val="1"/>
      <w:numFmt w:val="bullet"/>
      <w:lvlText w:val=""/>
      <w:lvlJc w:val="left"/>
      <w:pPr>
        <w:ind w:left="836" w:hanging="420"/>
      </w:pPr>
      <w:rPr>
        <w:rFonts w:hint="default" w:ascii="Wingdings" w:hAnsi="Wingdings"/>
      </w:rPr>
    </w:lvl>
    <w:lvl w:ilvl="1" w:tentative="0">
      <w:start w:val="1"/>
      <w:numFmt w:val="bullet"/>
      <w:lvlText w:val=""/>
      <w:lvlJc w:val="left"/>
      <w:pPr>
        <w:ind w:left="1256" w:hanging="420"/>
      </w:pPr>
      <w:rPr>
        <w:rFonts w:hint="default" w:ascii="Wingdings" w:hAnsi="Wingdings"/>
      </w:rPr>
    </w:lvl>
    <w:lvl w:ilvl="2" w:tentative="0">
      <w:start w:val="1"/>
      <w:numFmt w:val="bullet"/>
      <w:lvlText w:val=""/>
      <w:lvlJc w:val="left"/>
      <w:pPr>
        <w:ind w:left="1676" w:hanging="420"/>
      </w:pPr>
      <w:rPr>
        <w:rFonts w:hint="default" w:ascii="Wingdings" w:hAnsi="Wingdings"/>
      </w:rPr>
    </w:lvl>
    <w:lvl w:ilvl="3" w:tentative="0">
      <w:start w:val="1"/>
      <w:numFmt w:val="bullet"/>
      <w:lvlText w:val=""/>
      <w:lvlJc w:val="left"/>
      <w:pPr>
        <w:ind w:left="2096" w:hanging="420"/>
      </w:pPr>
      <w:rPr>
        <w:rFonts w:hint="default" w:ascii="Wingdings" w:hAnsi="Wingdings"/>
      </w:rPr>
    </w:lvl>
    <w:lvl w:ilvl="4" w:tentative="0">
      <w:start w:val="1"/>
      <w:numFmt w:val="bullet"/>
      <w:lvlText w:val=""/>
      <w:lvlJc w:val="left"/>
      <w:pPr>
        <w:ind w:left="2516" w:hanging="420"/>
      </w:pPr>
      <w:rPr>
        <w:rFonts w:hint="default" w:ascii="Wingdings" w:hAnsi="Wingdings"/>
      </w:rPr>
    </w:lvl>
    <w:lvl w:ilvl="5" w:tentative="0">
      <w:start w:val="1"/>
      <w:numFmt w:val="bullet"/>
      <w:lvlText w:val=""/>
      <w:lvlJc w:val="left"/>
      <w:pPr>
        <w:ind w:left="2936" w:hanging="420"/>
      </w:pPr>
      <w:rPr>
        <w:rFonts w:hint="default" w:ascii="Wingdings" w:hAnsi="Wingdings"/>
      </w:rPr>
    </w:lvl>
    <w:lvl w:ilvl="6" w:tentative="0">
      <w:start w:val="1"/>
      <w:numFmt w:val="bullet"/>
      <w:lvlText w:val=""/>
      <w:lvlJc w:val="left"/>
      <w:pPr>
        <w:ind w:left="3356" w:hanging="420"/>
      </w:pPr>
      <w:rPr>
        <w:rFonts w:hint="default" w:ascii="Wingdings" w:hAnsi="Wingdings"/>
      </w:rPr>
    </w:lvl>
    <w:lvl w:ilvl="7" w:tentative="0">
      <w:start w:val="1"/>
      <w:numFmt w:val="bullet"/>
      <w:lvlText w:val=""/>
      <w:lvlJc w:val="left"/>
      <w:pPr>
        <w:ind w:left="3776" w:hanging="420"/>
      </w:pPr>
      <w:rPr>
        <w:rFonts w:hint="default" w:ascii="Wingdings" w:hAnsi="Wingdings"/>
      </w:rPr>
    </w:lvl>
    <w:lvl w:ilvl="8" w:tentative="0">
      <w:start w:val="1"/>
      <w:numFmt w:val="bullet"/>
      <w:lvlText w:val=""/>
      <w:lvlJc w:val="left"/>
      <w:pPr>
        <w:ind w:left="4196" w:hanging="420"/>
      </w:pPr>
      <w:rPr>
        <w:rFonts w:hint="default" w:ascii="Wingdings" w:hAnsi="Wingdings"/>
      </w:rPr>
    </w:lvl>
  </w:abstractNum>
  <w:abstractNum w:abstractNumId="51">
    <w:nsid w:val="5E384C59"/>
    <w:multiLevelType w:val="multilevel"/>
    <w:tmpl w:val="5E384C59"/>
    <w:lvl w:ilvl="0" w:tentative="0">
      <w:start w:val="1"/>
      <w:numFmt w:val="bullet"/>
      <w:lvlText w:val=""/>
      <w:lvlJc w:val="left"/>
      <w:pPr>
        <w:ind w:left="420" w:hanging="420"/>
      </w:pPr>
      <w:rPr>
        <w:rFonts w:hint="default" w:ascii="Wingdings" w:hAnsi="Wingdings" w:eastAsia="华文细黑"/>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52">
    <w:nsid w:val="61333025"/>
    <w:multiLevelType w:val="multilevel"/>
    <w:tmpl w:val="6133302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3">
    <w:nsid w:val="627D14F6"/>
    <w:multiLevelType w:val="multilevel"/>
    <w:tmpl w:val="627D14F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4">
    <w:nsid w:val="6382305E"/>
    <w:multiLevelType w:val="multilevel"/>
    <w:tmpl w:val="6382305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5">
    <w:nsid w:val="63D522B7"/>
    <w:multiLevelType w:val="multilevel"/>
    <w:tmpl w:val="63D522B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6">
    <w:nsid w:val="63DF1D98"/>
    <w:multiLevelType w:val="multilevel"/>
    <w:tmpl w:val="63DF1D98"/>
    <w:lvl w:ilvl="0" w:tentative="0">
      <w:start w:val="1"/>
      <w:numFmt w:val="decimal"/>
      <w:pStyle w:val="77"/>
      <w:lvlText w:val="%1"/>
      <w:lvlJc w:val="left"/>
      <w:pPr>
        <w:ind w:left="425" w:hanging="425"/>
      </w:pPr>
      <w:rPr>
        <w:rFonts w:hint="eastAsia"/>
      </w:rPr>
    </w:lvl>
    <w:lvl w:ilvl="1" w:tentative="0">
      <w:start w:val="1"/>
      <w:numFmt w:val="decimal"/>
      <w:pStyle w:val="78"/>
      <w:lvlText w:val="%1.%2"/>
      <w:lvlJc w:val="left"/>
      <w:pPr>
        <w:ind w:left="1418" w:hanging="567"/>
      </w:pPr>
      <w:rPr>
        <w:rFonts w:hint="eastAsia"/>
      </w:rPr>
    </w:lvl>
    <w:lvl w:ilvl="2" w:tentative="0">
      <w:start w:val="1"/>
      <w:numFmt w:val="decimal"/>
      <w:pStyle w:val="79"/>
      <w:lvlText w:val="%1.%2.%3"/>
      <w:lvlJc w:val="left"/>
      <w:pPr>
        <w:ind w:left="1275" w:hanging="567"/>
      </w:pPr>
      <w:rPr>
        <w:rFonts w:hint="eastAsia"/>
      </w:rPr>
    </w:lvl>
    <w:lvl w:ilvl="3" w:tentative="0">
      <w:start w:val="1"/>
      <w:numFmt w:val="decimal"/>
      <w:pStyle w:val="80"/>
      <w:lvlText w:val="%1.%2.%3.%4"/>
      <w:lvlJc w:val="left"/>
      <w:pPr>
        <w:ind w:left="1416" w:hanging="708"/>
      </w:pPr>
      <w:rPr>
        <w:rFonts w:hint="eastAsia"/>
      </w:rPr>
    </w:lvl>
    <w:lvl w:ilvl="4" w:tentative="0">
      <w:start w:val="1"/>
      <w:numFmt w:val="decimal"/>
      <w:lvlText w:val="%1.%2.%3.%4.%5"/>
      <w:lvlJc w:val="left"/>
      <w:pPr>
        <w:ind w:left="2267"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7">
    <w:nsid w:val="6BBF4FBD"/>
    <w:multiLevelType w:val="multilevel"/>
    <w:tmpl w:val="6BBF4FB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8">
    <w:nsid w:val="6DF10086"/>
    <w:multiLevelType w:val="multilevel"/>
    <w:tmpl w:val="6DF10086"/>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59">
    <w:nsid w:val="708E427A"/>
    <w:multiLevelType w:val="multilevel"/>
    <w:tmpl w:val="708E42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0">
    <w:nsid w:val="70EE2568"/>
    <w:multiLevelType w:val="multilevel"/>
    <w:tmpl w:val="70EE256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1">
    <w:nsid w:val="72980647"/>
    <w:multiLevelType w:val="multilevel"/>
    <w:tmpl w:val="7298064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2">
    <w:nsid w:val="77EA216A"/>
    <w:multiLevelType w:val="multilevel"/>
    <w:tmpl w:val="77EA216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63">
    <w:nsid w:val="7C971018"/>
    <w:multiLevelType w:val="multilevel"/>
    <w:tmpl w:val="7C97101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64">
    <w:nsid w:val="7EE31BF3"/>
    <w:multiLevelType w:val="multilevel"/>
    <w:tmpl w:val="7EE31BF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47"/>
  </w:num>
  <w:num w:numId="2">
    <w:abstractNumId w:val="56"/>
  </w:num>
  <w:num w:numId="3">
    <w:abstractNumId w:val="6"/>
  </w:num>
  <w:num w:numId="4">
    <w:abstractNumId w:val="37"/>
  </w:num>
  <w:num w:numId="5">
    <w:abstractNumId w:val="2"/>
  </w:num>
  <w:num w:numId="6">
    <w:abstractNumId w:val="0"/>
  </w:num>
  <w:num w:numId="7">
    <w:abstractNumId w:val="5"/>
  </w:num>
  <w:num w:numId="8">
    <w:abstractNumId w:val="7"/>
  </w:num>
  <w:num w:numId="9">
    <w:abstractNumId w:val="11"/>
  </w:num>
  <w:num w:numId="10">
    <w:abstractNumId w:val="32"/>
  </w:num>
  <w:num w:numId="11">
    <w:abstractNumId w:val="43"/>
  </w:num>
  <w:num w:numId="12">
    <w:abstractNumId w:val="39"/>
  </w:num>
  <w:num w:numId="13">
    <w:abstractNumId w:val="14"/>
  </w:num>
  <w:num w:numId="14">
    <w:abstractNumId w:val="1"/>
  </w:num>
  <w:num w:numId="15">
    <w:abstractNumId w:val="12"/>
  </w:num>
  <w:num w:numId="16">
    <w:abstractNumId w:val="36"/>
  </w:num>
  <w:num w:numId="17">
    <w:abstractNumId w:val="63"/>
  </w:num>
  <w:num w:numId="18">
    <w:abstractNumId w:val="49"/>
  </w:num>
  <w:num w:numId="19">
    <w:abstractNumId w:val="34"/>
  </w:num>
  <w:num w:numId="20">
    <w:abstractNumId w:val="51"/>
  </w:num>
  <w:num w:numId="21">
    <w:abstractNumId w:val="62"/>
  </w:num>
  <w:num w:numId="22">
    <w:abstractNumId w:val="64"/>
  </w:num>
  <w:num w:numId="23">
    <w:abstractNumId w:val="29"/>
  </w:num>
  <w:num w:numId="24">
    <w:abstractNumId w:val="54"/>
  </w:num>
  <w:num w:numId="25">
    <w:abstractNumId w:val="58"/>
  </w:num>
  <w:num w:numId="26">
    <w:abstractNumId w:val="16"/>
  </w:num>
  <w:num w:numId="27">
    <w:abstractNumId w:val="22"/>
  </w:num>
  <w:num w:numId="28">
    <w:abstractNumId w:val="48"/>
  </w:num>
  <w:num w:numId="29">
    <w:abstractNumId w:val="20"/>
  </w:num>
  <w:num w:numId="30">
    <w:abstractNumId w:val="25"/>
  </w:num>
  <w:num w:numId="31">
    <w:abstractNumId w:val="10"/>
  </w:num>
  <w:num w:numId="32">
    <w:abstractNumId w:val="28"/>
  </w:num>
  <w:num w:numId="33">
    <w:abstractNumId w:val="42"/>
  </w:num>
  <w:num w:numId="34">
    <w:abstractNumId w:val="38"/>
  </w:num>
  <w:num w:numId="35">
    <w:abstractNumId w:val="27"/>
  </w:num>
  <w:num w:numId="36">
    <w:abstractNumId w:val="8"/>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num>
  <w:num w:numId="40">
    <w:abstractNumId w:val="52"/>
  </w:num>
  <w:num w:numId="41">
    <w:abstractNumId w:val="57"/>
  </w:num>
  <w:num w:numId="42">
    <w:abstractNumId w:val="53"/>
  </w:num>
  <w:num w:numId="43">
    <w:abstractNumId w:val="21"/>
  </w:num>
  <w:num w:numId="44">
    <w:abstractNumId w:val="23"/>
  </w:num>
  <w:num w:numId="45">
    <w:abstractNumId w:val="59"/>
  </w:num>
  <w:num w:numId="46">
    <w:abstractNumId w:val="35"/>
  </w:num>
  <w:num w:numId="47">
    <w:abstractNumId w:val="31"/>
  </w:num>
  <w:num w:numId="48">
    <w:abstractNumId w:val="44"/>
  </w:num>
  <w:num w:numId="49">
    <w:abstractNumId w:val="18"/>
  </w:num>
  <w:num w:numId="50">
    <w:abstractNumId w:val="17"/>
  </w:num>
  <w:num w:numId="51">
    <w:abstractNumId w:val="46"/>
  </w:num>
  <w:num w:numId="52">
    <w:abstractNumId w:val="60"/>
  </w:num>
  <w:num w:numId="53">
    <w:abstractNumId w:val="15"/>
  </w:num>
  <w:num w:numId="54">
    <w:abstractNumId w:val="33"/>
  </w:num>
  <w:num w:numId="55">
    <w:abstractNumId w:val="30"/>
  </w:num>
  <w:num w:numId="56">
    <w:abstractNumId w:val="55"/>
  </w:num>
  <w:num w:numId="57">
    <w:abstractNumId w:val="26"/>
  </w:num>
  <w:num w:numId="58">
    <w:abstractNumId w:val="19"/>
  </w:num>
  <w:num w:numId="59">
    <w:abstractNumId w:val="41"/>
  </w:num>
  <w:num w:numId="60">
    <w:abstractNumId w:val="24"/>
  </w:num>
  <w:num w:numId="61">
    <w:abstractNumId w:val="45"/>
  </w:num>
  <w:num w:numId="62">
    <w:abstractNumId w:val="61"/>
  </w:num>
  <w:num w:numId="63">
    <w:abstractNumId w:val="13"/>
  </w:num>
  <w:num w:numId="64">
    <w:abstractNumId w:val="50"/>
  </w:num>
  <w:num w:numId="65">
    <w:abstractNumId w:val="3"/>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s>
  <w:rsids>
    <w:rsidRoot w:val="19341EB2"/>
    <w:rsid w:val="000463A9"/>
    <w:rsid w:val="003250E8"/>
    <w:rsid w:val="003B643A"/>
    <w:rsid w:val="00574E4C"/>
    <w:rsid w:val="005D760C"/>
    <w:rsid w:val="01527EDF"/>
    <w:rsid w:val="01651067"/>
    <w:rsid w:val="01822573"/>
    <w:rsid w:val="024617F2"/>
    <w:rsid w:val="02D54924"/>
    <w:rsid w:val="02DA5A7A"/>
    <w:rsid w:val="043B190D"/>
    <w:rsid w:val="056075D1"/>
    <w:rsid w:val="057E6E41"/>
    <w:rsid w:val="05A66A19"/>
    <w:rsid w:val="06170092"/>
    <w:rsid w:val="069A2461"/>
    <w:rsid w:val="069E2D2B"/>
    <w:rsid w:val="07C531B9"/>
    <w:rsid w:val="08295284"/>
    <w:rsid w:val="091C14FF"/>
    <w:rsid w:val="09812938"/>
    <w:rsid w:val="09E244F6"/>
    <w:rsid w:val="0A2D3298"/>
    <w:rsid w:val="0AFA52EB"/>
    <w:rsid w:val="0B917E49"/>
    <w:rsid w:val="0B972A16"/>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F96855"/>
    <w:rsid w:val="10911D17"/>
    <w:rsid w:val="11C33CC1"/>
    <w:rsid w:val="121A73FA"/>
    <w:rsid w:val="12212400"/>
    <w:rsid w:val="123D31C5"/>
    <w:rsid w:val="125D09B5"/>
    <w:rsid w:val="127533B2"/>
    <w:rsid w:val="12884AE6"/>
    <w:rsid w:val="129F0AAB"/>
    <w:rsid w:val="137572E1"/>
    <w:rsid w:val="13A44936"/>
    <w:rsid w:val="13AE269A"/>
    <w:rsid w:val="13D03611"/>
    <w:rsid w:val="14B8631E"/>
    <w:rsid w:val="14E85A38"/>
    <w:rsid w:val="14F20AAB"/>
    <w:rsid w:val="15215471"/>
    <w:rsid w:val="153951E6"/>
    <w:rsid w:val="159B19FD"/>
    <w:rsid w:val="159D506B"/>
    <w:rsid w:val="15B14CB7"/>
    <w:rsid w:val="164E0764"/>
    <w:rsid w:val="16F413C5"/>
    <w:rsid w:val="171125C2"/>
    <w:rsid w:val="173D7210"/>
    <w:rsid w:val="174B576F"/>
    <w:rsid w:val="17A41E86"/>
    <w:rsid w:val="17CF3BE0"/>
    <w:rsid w:val="189D0AFE"/>
    <w:rsid w:val="18E64881"/>
    <w:rsid w:val="19066BDD"/>
    <w:rsid w:val="192C224B"/>
    <w:rsid w:val="19341EB2"/>
    <w:rsid w:val="194E2416"/>
    <w:rsid w:val="197C5623"/>
    <w:rsid w:val="19AE38FB"/>
    <w:rsid w:val="1ACC4407"/>
    <w:rsid w:val="1B0818E3"/>
    <w:rsid w:val="1B724FAE"/>
    <w:rsid w:val="1BE22A05"/>
    <w:rsid w:val="1BF33808"/>
    <w:rsid w:val="1C6F00EA"/>
    <w:rsid w:val="1CB321DB"/>
    <w:rsid w:val="1CF70F42"/>
    <w:rsid w:val="1D903E12"/>
    <w:rsid w:val="1E6A5646"/>
    <w:rsid w:val="1E710329"/>
    <w:rsid w:val="1E8269F2"/>
    <w:rsid w:val="1EBD71B4"/>
    <w:rsid w:val="1EDA3596"/>
    <w:rsid w:val="1EE9133A"/>
    <w:rsid w:val="1F200027"/>
    <w:rsid w:val="202A40A9"/>
    <w:rsid w:val="20631BE8"/>
    <w:rsid w:val="207D067D"/>
    <w:rsid w:val="208E2217"/>
    <w:rsid w:val="20DC60D3"/>
    <w:rsid w:val="20F63C58"/>
    <w:rsid w:val="213E4C31"/>
    <w:rsid w:val="216058A9"/>
    <w:rsid w:val="21A47E8B"/>
    <w:rsid w:val="21E27E7A"/>
    <w:rsid w:val="21F11323"/>
    <w:rsid w:val="22735A87"/>
    <w:rsid w:val="22DD74E4"/>
    <w:rsid w:val="23890369"/>
    <w:rsid w:val="239C7C69"/>
    <w:rsid w:val="24793641"/>
    <w:rsid w:val="248024EA"/>
    <w:rsid w:val="25292B82"/>
    <w:rsid w:val="257C7CE0"/>
    <w:rsid w:val="25D72E99"/>
    <w:rsid w:val="25F22A45"/>
    <w:rsid w:val="26064C71"/>
    <w:rsid w:val="2653256E"/>
    <w:rsid w:val="26965073"/>
    <w:rsid w:val="27620F96"/>
    <w:rsid w:val="27D6009F"/>
    <w:rsid w:val="285A12A4"/>
    <w:rsid w:val="28C66939"/>
    <w:rsid w:val="295834A8"/>
    <w:rsid w:val="2AAF18E7"/>
    <w:rsid w:val="2ABF56F1"/>
    <w:rsid w:val="2B0B1533"/>
    <w:rsid w:val="2B397896"/>
    <w:rsid w:val="2B557A02"/>
    <w:rsid w:val="2B6A7A50"/>
    <w:rsid w:val="2D483DC1"/>
    <w:rsid w:val="2E8568E5"/>
    <w:rsid w:val="2E913546"/>
    <w:rsid w:val="2EBE40D1"/>
    <w:rsid w:val="2FA43479"/>
    <w:rsid w:val="319375DC"/>
    <w:rsid w:val="31BC2B22"/>
    <w:rsid w:val="32425283"/>
    <w:rsid w:val="328412EF"/>
    <w:rsid w:val="32D10452"/>
    <w:rsid w:val="3310632C"/>
    <w:rsid w:val="332359AB"/>
    <w:rsid w:val="339C2F4E"/>
    <w:rsid w:val="33EA0182"/>
    <w:rsid w:val="34186C1D"/>
    <w:rsid w:val="34B16F7C"/>
    <w:rsid w:val="34BB14AD"/>
    <w:rsid w:val="35286238"/>
    <w:rsid w:val="35805AE3"/>
    <w:rsid w:val="35E26818"/>
    <w:rsid w:val="35EC661E"/>
    <w:rsid w:val="369D6F2B"/>
    <w:rsid w:val="37D03331"/>
    <w:rsid w:val="3850506D"/>
    <w:rsid w:val="38724B29"/>
    <w:rsid w:val="392E030F"/>
    <w:rsid w:val="3966323C"/>
    <w:rsid w:val="3A0B0EB5"/>
    <w:rsid w:val="3A0D4081"/>
    <w:rsid w:val="3A916DA7"/>
    <w:rsid w:val="3AE645DF"/>
    <w:rsid w:val="3B521AB5"/>
    <w:rsid w:val="3B561310"/>
    <w:rsid w:val="3B6E0E96"/>
    <w:rsid w:val="3B877BE0"/>
    <w:rsid w:val="3BCA6DE9"/>
    <w:rsid w:val="3CA7631A"/>
    <w:rsid w:val="3D5C1507"/>
    <w:rsid w:val="3D605E62"/>
    <w:rsid w:val="3D6F3F89"/>
    <w:rsid w:val="3DAA037C"/>
    <w:rsid w:val="3DD84FD9"/>
    <w:rsid w:val="3E682515"/>
    <w:rsid w:val="3EBD68AE"/>
    <w:rsid w:val="3F522D8B"/>
    <w:rsid w:val="3FE913C2"/>
    <w:rsid w:val="40095632"/>
    <w:rsid w:val="405D1F09"/>
    <w:rsid w:val="408F4F3C"/>
    <w:rsid w:val="412E5AFB"/>
    <w:rsid w:val="41320BB8"/>
    <w:rsid w:val="4153263F"/>
    <w:rsid w:val="41A748ED"/>
    <w:rsid w:val="42284BF1"/>
    <w:rsid w:val="42562684"/>
    <w:rsid w:val="42C03C74"/>
    <w:rsid w:val="4312332C"/>
    <w:rsid w:val="43261592"/>
    <w:rsid w:val="43651FF1"/>
    <w:rsid w:val="438007AE"/>
    <w:rsid w:val="439C056B"/>
    <w:rsid w:val="43C27B28"/>
    <w:rsid w:val="440B2CAD"/>
    <w:rsid w:val="45597D01"/>
    <w:rsid w:val="45B45B9B"/>
    <w:rsid w:val="45CE5535"/>
    <w:rsid w:val="463227AE"/>
    <w:rsid w:val="464F7B16"/>
    <w:rsid w:val="4663242F"/>
    <w:rsid w:val="46675C6A"/>
    <w:rsid w:val="479043D1"/>
    <w:rsid w:val="483F35B5"/>
    <w:rsid w:val="488E13FF"/>
    <w:rsid w:val="48B3461A"/>
    <w:rsid w:val="49AC0A59"/>
    <w:rsid w:val="49B83040"/>
    <w:rsid w:val="49FF71D1"/>
    <w:rsid w:val="4A1C48DA"/>
    <w:rsid w:val="4A8F6E81"/>
    <w:rsid w:val="4AB30993"/>
    <w:rsid w:val="4C964ED6"/>
    <w:rsid w:val="4D1D096E"/>
    <w:rsid w:val="4E680789"/>
    <w:rsid w:val="4EA50115"/>
    <w:rsid w:val="4EF94AC3"/>
    <w:rsid w:val="4F2853F2"/>
    <w:rsid w:val="4F425B45"/>
    <w:rsid w:val="4F7A20A8"/>
    <w:rsid w:val="50870FD5"/>
    <w:rsid w:val="50B76522"/>
    <w:rsid w:val="510B6295"/>
    <w:rsid w:val="51337B5A"/>
    <w:rsid w:val="51403806"/>
    <w:rsid w:val="51AB4FAD"/>
    <w:rsid w:val="51B67533"/>
    <w:rsid w:val="51FD52C0"/>
    <w:rsid w:val="52166DB8"/>
    <w:rsid w:val="52452A9B"/>
    <w:rsid w:val="526F21EC"/>
    <w:rsid w:val="52AA49F1"/>
    <w:rsid w:val="52D34D3E"/>
    <w:rsid w:val="52E361B6"/>
    <w:rsid w:val="52E75090"/>
    <w:rsid w:val="531D470D"/>
    <w:rsid w:val="532B103B"/>
    <w:rsid w:val="537A4BCC"/>
    <w:rsid w:val="53CD28D8"/>
    <w:rsid w:val="54A74986"/>
    <w:rsid w:val="55130E1D"/>
    <w:rsid w:val="55821CB6"/>
    <w:rsid w:val="55E0078B"/>
    <w:rsid w:val="56023682"/>
    <w:rsid w:val="562A1363"/>
    <w:rsid w:val="56A310EE"/>
    <w:rsid w:val="56A96DCF"/>
    <w:rsid w:val="56CE6A6E"/>
    <w:rsid w:val="579241B3"/>
    <w:rsid w:val="579700CC"/>
    <w:rsid w:val="57E52089"/>
    <w:rsid w:val="57E75C98"/>
    <w:rsid w:val="58563CA2"/>
    <w:rsid w:val="586E0C41"/>
    <w:rsid w:val="58883F57"/>
    <w:rsid w:val="58E42340"/>
    <w:rsid w:val="58FD05B3"/>
    <w:rsid w:val="59101387"/>
    <w:rsid w:val="594B0611"/>
    <w:rsid w:val="59617814"/>
    <w:rsid w:val="599902CF"/>
    <w:rsid w:val="5A056588"/>
    <w:rsid w:val="5AE81382"/>
    <w:rsid w:val="5BC16969"/>
    <w:rsid w:val="5BF30DF5"/>
    <w:rsid w:val="5C041660"/>
    <w:rsid w:val="5C26185D"/>
    <w:rsid w:val="5C384E7D"/>
    <w:rsid w:val="5CAB4F78"/>
    <w:rsid w:val="5D027237"/>
    <w:rsid w:val="5D0E4E2A"/>
    <w:rsid w:val="5E2C2C48"/>
    <w:rsid w:val="5ED544E5"/>
    <w:rsid w:val="5EFB7C7E"/>
    <w:rsid w:val="5FDA072E"/>
    <w:rsid w:val="5FE01AB3"/>
    <w:rsid w:val="5FE61094"/>
    <w:rsid w:val="60125EE4"/>
    <w:rsid w:val="60A650B5"/>
    <w:rsid w:val="60BA613F"/>
    <w:rsid w:val="61BF394A"/>
    <w:rsid w:val="61E35820"/>
    <w:rsid w:val="623A0F6B"/>
    <w:rsid w:val="62745CBE"/>
    <w:rsid w:val="631E34E4"/>
    <w:rsid w:val="632546A4"/>
    <w:rsid w:val="634803BC"/>
    <w:rsid w:val="636B4573"/>
    <w:rsid w:val="637A21B5"/>
    <w:rsid w:val="63B66322"/>
    <w:rsid w:val="63BD210C"/>
    <w:rsid w:val="63EF7881"/>
    <w:rsid w:val="63F939CE"/>
    <w:rsid w:val="64836EB1"/>
    <w:rsid w:val="64F77DDD"/>
    <w:rsid w:val="65663596"/>
    <w:rsid w:val="65920D9F"/>
    <w:rsid w:val="65A310C5"/>
    <w:rsid w:val="65D22AFB"/>
    <w:rsid w:val="66635DA6"/>
    <w:rsid w:val="66842731"/>
    <w:rsid w:val="674A49FE"/>
    <w:rsid w:val="677B47B7"/>
    <w:rsid w:val="67F9528D"/>
    <w:rsid w:val="683F428D"/>
    <w:rsid w:val="691D1B6E"/>
    <w:rsid w:val="6965127B"/>
    <w:rsid w:val="69A41E18"/>
    <w:rsid w:val="6A3346F2"/>
    <w:rsid w:val="6A4837CF"/>
    <w:rsid w:val="6A534528"/>
    <w:rsid w:val="6A721CC7"/>
    <w:rsid w:val="6A7E0A7E"/>
    <w:rsid w:val="6B0A3E88"/>
    <w:rsid w:val="6B6C2E6F"/>
    <w:rsid w:val="6B832849"/>
    <w:rsid w:val="6C2A779B"/>
    <w:rsid w:val="6C9E63AA"/>
    <w:rsid w:val="6CDF15D5"/>
    <w:rsid w:val="6D572D6A"/>
    <w:rsid w:val="6D57537F"/>
    <w:rsid w:val="6D604233"/>
    <w:rsid w:val="6DBB0A76"/>
    <w:rsid w:val="6E0A419F"/>
    <w:rsid w:val="6E4C5987"/>
    <w:rsid w:val="6E5969B2"/>
    <w:rsid w:val="6EA0458C"/>
    <w:rsid w:val="6ED22F0F"/>
    <w:rsid w:val="6ED8429D"/>
    <w:rsid w:val="6F8D6FCC"/>
    <w:rsid w:val="6FD838D9"/>
    <w:rsid w:val="6FDE1E67"/>
    <w:rsid w:val="6FE729EA"/>
    <w:rsid w:val="6FFE53A0"/>
    <w:rsid w:val="702D62AF"/>
    <w:rsid w:val="70983097"/>
    <w:rsid w:val="70AC3977"/>
    <w:rsid w:val="713D6842"/>
    <w:rsid w:val="71B60849"/>
    <w:rsid w:val="723062CA"/>
    <w:rsid w:val="730E3259"/>
    <w:rsid w:val="74123DAE"/>
    <w:rsid w:val="747373DB"/>
    <w:rsid w:val="7479678C"/>
    <w:rsid w:val="74F20AD2"/>
    <w:rsid w:val="75A16179"/>
    <w:rsid w:val="75A4312B"/>
    <w:rsid w:val="75B0387E"/>
    <w:rsid w:val="762D4FEF"/>
    <w:rsid w:val="765842C1"/>
    <w:rsid w:val="7664140C"/>
    <w:rsid w:val="775841CD"/>
    <w:rsid w:val="777055CC"/>
    <w:rsid w:val="77E01A81"/>
    <w:rsid w:val="77FF29BC"/>
    <w:rsid w:val="78015A34"/>
    <w:rsid w:val="78A376CA"/>
    <w:rsid w:val="793E110C"/>
    <w:rsid w:val="79A1361E"/>
    <w:rsid w:val="79D4584F"/>
    <w:rsid w:val="7A1349CC"/>
    <w:rsid w:val="7A2A4089"/>
    <w:rsid w:val="7A974E26"/>
    <w:rsid w:val="7AF34EC0"/>
    <w:rsid w:val="7B227C26"/>
    <w:rsid w:val="7B453444"/>
    <w:rsid w:val="7B6C46EB"/>
    <w:rsid w:val="7B6F5FC1"/>
    <w:rsid w:val="7C4A2190"/>
    <w:rsid w:val="7C793B6A"/>
    <w:rsid w:val="7D3A1093"/>
    <w:rsid w:val="7D470F6C"/>
    <w:rsid w:val="7D8950E1"/>
    <w:rsid w:val="7D964613"/>
    <w:rsid w:val="7E975BBB"/>
    <w:rsid w:val="7EBC200D"/>
    <w:rsid w:val="7EF75F50"/>
    <w:rsid w:val="7F3D7FEF"/>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1"/>
    <w:pPr>
      <w:ind w:right="158"/>
      <w:jc w:val="center"/>
      <w:outlineLvl w:val="4"/>
    </w:pPr>
    <w:rPr>
      <w:rFonts w:ascii="仿宋" w:hAnsi="仿宋" w:eastAsia="仿宋" w:cs="仿宋"/>
      <w:b/>
      <w:bCs/>
      <w:sz w:val="28"/>
      <w:szCs w:val="28"/>
      <w:lang w:val="zh-CN" w:bidi="zh-CN"/>
    </w:rPr>
  </w:style>
  <w:style w:type="paragraph" w:styleId="7">
    <w:name w:val="heading 6"/>
    <w:basedOn w:val="1"/>
    <w:next w:val="1"/>
    <w:autoRedefine/>
    <w:qFormat/>
    <w:uiPriority w:val="1"/>
    <w:pPr>
      <w:spacing w:before="61"/>
      <w:outlineLvl w:val="5"/>
    </w:pPr>
    <w:rPr>
      <w:rFonts w:ascii="仿宋" w:hAnsi="仿宋" w:eastAsia="仿宋" w:cs="仿宋"/>
      <w:sz w:val="28"/>
      <w:szCs w:val="28"/>
      <w:lang w:val="zh-CN" w:bidi="zh-CN"/>
    </w:rPr>
  </w:style>
  <w:style w:type="paragraph" w:styleId="8">
    <w:name w:val="heading 7"/>
    <w:basedOn w:val="1"/>
    <w:next w:val="1"/>
    <w:autoRedefine/>
    <w:qFormat/>
    <w:uiPriority w:val="1"/>
    <w:pPr>
      <w:ind w:left="360"/>
      <w:outlineLvl w:val="6"/>
    </w:pPr>
    <w:rPr>
      <w:rFonts w:ascii="仿宋" w:hAnsi="仿宋" w:eastAsia="仿宋" w:cs="仿宋"/>
      <w:b/>
      <w:bCs/>
      <w:sz w:val="24"/>
      <w:lang w:val="zh-CN" w:bidi="zh-CN"/>
    </w:rPr>
  </w:style>
  <w:style w:type="paragraph" w:styleId="9">
    <w:name w:val="heading 8"/>
    <w:basedOn w:val="1"/>
    <w:next w:val="1"/>
    <w:autoRedefine/>
    <w:unhideWhenUsed/>
    <w:qFormat/>
    <w:uiPriority w:val="0"/>
    <w:pPr>
      <w:keepNext/>
      <w:keepLines/>
      <w:numPr>
        <w:ilvl w:val="7"/>
        <w:numId w:val="1"/>
      </w:numPr>
      <w:adjustRightInd w:val="0"/>
      <w:snapToGrid w:val="0"/>
      <w:spacing w:before="240" w:after="240" w:line="240" w:lineRule="auto"/>
      <w:outlineLvl w:val="7"/>
    </w:pPr>
    <w:rPr>
      <w:rFonts w:ascii="Cambria" w:hAnsi="Cambria" w:cs="Times New Roman"/>
      <w:b/>
      <w:sz w:val="28"/>
      <w:szCs w:val="24"/>
    </w:rPr>
  </w:style>
  <w:style w:type="character" w:default="1" w:styleId="29">
    <w:name w:val="Default Paragraph Font"/>
    <w:autoRedefine/>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1">
    <w:name w:val="caption"/>
    <w:basedOn w:val="1"/>
    <w:next w:val="1"/>
    <w:autoRedefine/>
    <w:unhideWhenUsed/>
    <w:qFormat/>
    <w:uiPriority w:val="0"/>
    <w:pPr>
      <w:jc w:val="center"/>
    </w:pPr>
    <w:rPr>
      <w:rFonts w:ascii="宋体" w:hAnsi="宋体" w:cstheme="majorBidi"/>
      <w:sz w:val="21"/>
      <w:szCs w:val="21"/>
    </w:rPr>
  </w:style>
  <w:style w:type="paragraph" w:styleId="12">
    <w:name w:val="toa heading"/>
    <w:basedOn w:val="1"/>
    <w:next w:val="1"/>
    <w:autoRedefine/>
    <w:qFormat/>
    <w:uiPriority w:val="0"/>
    <w:pPr>
      <w:spacing w:before="120"/>
    </w:pPr>
    <w:rPr>
      <w:rFonts w:ascii="Arial" w:hAnsi="Arial"/>
      <w:sz w:val="24"/>
    </w:rPr>
  </w:style>
  <w:style w:type="paragraph" w:styleId="13">
    <w:name w:val="annotation text"/>
    <w:basedOn w:val="1"/>
    <w:autoRedefine/>
    <w:semiHidden/>
    <w:qFormat/>
    <w:uiPriority w:val="0"/>
    <w:pPr>
      <w:jc w:val="left"/>
    </w:pPr>
  </w:style>
  <w:style w:type="paragraph" w:styleId="14">
    <w:name w:val="index 6"/>
    <w:basedOn w:val="1"/>
    <w:next w:val="1"/>
    <w:autoRedefine/>
    <w:qFormat/>
    <w:uiPriority w:val="99"/>
    <w:pPr>
      <w:ind w:left="2100"/>
    </w:pPr>
  </w:style>
  <w:style w:type="paragraph" w:styleId="15">
    <w:name w:val="Body Text"/>
    <w:basedOn w:val="1"/>
    <w:next w:val="1"/>
    <w:autoRedefine/>
    <w:qFormat/>
    <w:uiPriority w:val="1"/>
    <w:rPr>
      <w:rFonts w:ascii="楷体" w:hAnsi="楷体" w:eastAsia="楷体" w:cs="楷体"/>
      <w:sz w:val="24"/>
      <w:lang w:val="zh-CN" w:bidi="zh-CN"/>
    </w:rPr>
  </w:style>
  <w:style w:type="paragraph" w:styleId="16">
    <w:name w:val="Body Text Indent"/>
    <w:basedOn w:val="1"/>
    <w:next w:val="17"/>
    <w:autoRedefine/>
    <w:qFormat/>
    <w:uiPriority w:val="0"/>
    <w:pPr>
      <w:spacing w:line="500" w:lineRule="exact"/>
      <w:ind w:left="1588" w:leftChars="832" w:firstLine="433" w:firstLineChars="196"/>
    </w:pPr>
    <w:rPr>
      <w:rFonts w:ascii="Times New Roman" w:hAnsi="Times New Roman"/>
      <w:sz w:val="24"/>
    </w:rPr>
  </w:style>
  <w:style w:type="paragraph" w:customStyle="1" w:styleId="17">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8">
    <w:name w:val="Plain Text"/>
    <w:basedOn w:val="1"/>
    <w:autoRedefine/>
    <w:qFormat/>
    <w:uiPriority w:val="0"/>
    <w:rPr>
      <w:rFonts w:ascii="宋体" w:hAnsi="Courier New"/>
      <w:szCs w:val="22"/>
    </w:rPr>
  </w:style>
  <w:style w:type="paragraph" w:styleId="19">
    <w:name w:val="footer"/>
    <w:basedOn w:val="1"/>
    <w:autoRedefine/>
    <w:qFormat/>
    <w:uiPriority w:val="99"/>
    <w:pPr>
      <w:tabs>
        <w:tab w:val="center" w:pos="4153"/>
        <w:tab w:val="right" w:pos="8306"/>
      </w:tabs>
      <w:snapToGrid w:val="0"/>
      <w:jc w:val="left"/>
    </w:pPr>
    <w:rPr>
      <w:sz w:val="18"/>
      <w:szCs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39"/>
    <w:pPr>
      <w:tabs>
        <w:tab w:val="right" w:leader="dot" w:pos="9628"/>
      </w:tabs>
      <w:spacing w:line="440" w:lineRule="exact"/>
      <w:jc w:val="center"/>
    </w:pPr>
    <w:rPr>
      <w:rFonts w:ascii="仿宋" w:hAnsi="仿宋" w:eastAsia="仿宋"/>
      <w:b/>
      <w:sz w:val="44"/>
      <w:szCs w:val="44"/>
    </w:rPr>
  </w:style>
  <w:style w:type="paragraph" w:styleId="22">
    <w:name w:val="footnote text"/>
    <w:basedOn w:val="1"/>
    <w:autoRedefine/>
    <w:unhideWhenUsed/>
    <w:qFormat/>
    <w:uiPriority w:val="99"/>
    <w:pPr>
      <w:snapToGrid w:val="0"/>
      <w:jc w:val="left"/>
    </w:pPr>
    <w:rPr>
      <w:rFonts w:ascii="Calibri" w:hAnsi="Calibri" w:eastAsia="宋体" w:cs="Times New Roman"/>
      <w:sz w:val="18"/>
    </w:rPr>
  </w:style>
  <w:style w:type="paragraph" w:styleId="23">
    <w:name w:val="Normal (Web)"/>
    <w:basedOn w:val="1"/>
    <w:autoRedefine/>
    <w:qFormat/>
    <w:uiPriority w:val="0"/>
    <w:pPr>
      <w:spacing w:beforeAutospacing="1" w:afterAutospacing="1"/>
      <w:jc w:val="left"/>
    </w:pPr>
    <w:rPr>
      <w:rFonts w:cs="Times New Roman"/>
      <w:kern w:val="0"/>
      <w:sz w:val="24"/>
    </w:rPr>
  </w:style>
  <w:style w:type="paragraph" w:styleId="24">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paragraph" w:styleId="25">
    <w:name w:val="Body Text First Indent"/>
    <w:basedOn w:val="15"/>
    <w:next w:val="1"/>
    <w:autoRedefine/>
    <w:unhideWhenUsed/>
    <w:qFormat/>
    <w:uiPriority w:val="99"/>
    <w:pPr>
      <w:spacing w:after="120" w:line="360" w:lineRule="auto"/>
      <w:ind w:firstLine="420" w:firstLineChars="100"/>
    </w:pPr>
    <w:rPr>
      <w:rFonts w:ascii="Calibri" w:hAnsi="Calibri" w:eastAsia="仿宋"/>
      <w:sz w:val="28"/>
    </w:rPr>
  </w:style>
  <w:style w:type="paragraph" w:styleId="26">
    <w:name w:val="Body Text First Indent 2"/>
    <w:basedOn w:val="16"/>
    <w:autoRedefine/>
    <w:qFormat/>
    <w:uiPriority w:val="0"/>
    <w:pPr>
      <w:ind w:left="0" w:leftChars="0" w:firstLine="0" w:firstLineChars="0"/>
    </w:pPr>
    <w:rPr>
      <w:rFonts w:ascii="仿宋" w:hAnsi="仿宋" w:eastAsia="仿宋" w:cs="仿宋"/>
      <w:b/>
      <w:bCs/>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rFonts w:ascii="仿宋_GB2312" w:hAnsi="Calibri" w:eastAsia="仿宋_GB2312" w:cs="Times New Roman"/>
      <w:bCs/>
      <w:sz w:val="32"/>
      <w:szCs w:val="32"/>
    </w:rPr>
  </w:style>
  <w:style w:type="character" w:styleId="31">
    <w:name w:val="page number"/>
    <w:basedOn w:val="29"/>
    <w:autoRedefine/>
    <w:qFormat/>
    <w:uiPriority w:val="0"/>
  </w:style>
  <w:style w:type="character" w:styleId="32">
    <w:name w:val="Hyperlink"/>
    <w:autoRedefine/>
    <w:qFormat/>
    <w:uiPriority w:val="99"/>
    <w:rPr>
      <w:color w:val="136EC2"/>
      <w:u w:val="single"/>
    </w:rPr>
  </w:style>
  <w:style w:type="character" w:styleId="33">
    <w:name w:val="HTML Sample"/>
    <w:basedOn w:val="29"/>
    <w:autoRedefine/>
    <w:qFormat/>
    <w:uiPriority w:val="0"/>
    <w:rPr>
      <w:rFonts w:ascii="Courier New" w:hAnsi="Courier New"/>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5">
    <w:name w:val="NormalCharacter"/>
    <w:link w:val="36"/>
    <w:autoRedefine/>
    <w:qFormat/>
    <w:uiPriority w:val="0"/>
  </w:style>
  <w:style w:type="paragraph" w:customStyle="1" w:styleId="36">
    <w:name w:val="UserStyle_461"/>
    <w:basedOn w:val="1"/>
    <w:link w:val="35"/>
    <w:autoRedefine/>
    <w:qFormat/>
    <w:uiPriority w:val="0"/>
    <w:pPr>
      <w:widowControl/>
      <w:textAlignment w:val="baseline"/>
    </w:pPr>
    <w:rPr>
      <w:rFonts w:ascii="仿宋_GB2312" w:hAnsi="Calibri" w:eastAsia="仿宋_GB2312" w:cs="Times New Roman"/>
      <w:b/>
      <w:sz w:val="32"/>
      <w:szCs w:val="32"/>
    </w:rPr>
  </w:style>
  <w:style w:type="paragraph" w:customStyle="1" w:styleId="37">
    <w:name w:val="UserStyle_5"/>
    <w:basedOn w:val="1"/>
    <w:link w:val="35"/>
    <w:autoRedefine/>
    <w:qFormat/>
    <w:uiPriority w:val="0"/>
    <w:pPr>
      <w:widowControl/>
      <w:spacing w:after="160" w:line="240" w:lineRule="exact"/>
      <w:jc w:val="left"/>
      <w:textAlignment w:val="baseline"/>
    </w:pPr>
  </w:style>
  <w:style w:type="paragraph" w:customStyle="1" w:styleId="38">
    <w:name w:val="Default"/>
    <w:basedOn w:val="24"/>
    <w:next w:val="2"/>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autoRedefine/>
    <w:qFormat/>
    <w:uiPriority w:val="0"/>
    <w:pPr>
      <w:wordWrap w:val="0"/>
      <w:spacing w:before="360" w:after="360"/>
      <w:ind w:left="950" w:right="950"/>
      <w:jc w:val="center"/>
    </w:pPr>
    <w:rPr>
      <w:rFonts w:ascii="Times New Roman" w:hAnsi="Times New Roman" w:eastAsia="宋体" w:cs="Times New Roman"/>
      <w:i/>
    </w:rPr>
  </w:style>
  <w:style w:type="paragraph" w:customStyle="1" w:styleId="40">
    <w:name w:val="表格文字2"/>
    <w:basedOn w:val="41"/>
    <w:autoRedefine/>
    <w:qFormat/>
    <w:uiPriority w:val="99"/>
    <w:pPr>
      <w:spacing w:before="25" w:after="25"/>
      <w:jc w:val="left"/>
    </w:pPr>
    <w:rPr>
      <w:bCs/>
      <w:spacing w:val="10"/>
      <w:kern w:val="0"/>
    </w:rPr>
  </w:style>
  <w:style w:type="paragraph" w:customStyle="1" w:styleId="4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42">
    <w:name w:val="List Paragraph"/>
    <w:basedOn w:val="1"/>
    <w:autoRedefine/>
    <w:qFormat/>
    <w:uiPriority w:val="34"/>
    <w:pPr>
      <w:ind w:firstLine="420" w:firstLineChars="200"/>
    </w:pPr>
  </w:style>
  <w:style w:type="paragraph" w:customStyle="1" w:styleId="43">
    <w:name w:val="正文_3_0"/>
    <w:basedOn w:val="44"/>
    <w:next w:val="45"/>
    <w:autoRedefine/>
    <w:qFormat/>
    <w:uiPriority w:val="0"/>
    <w:rPr>
      <w:rFonts w:ascii="Calibri" w:hAnsi="Calibri" w:cs="Calibri"/>
      <w:szCs w:val="21"/>
    </w:rPr>
  </w:style>
  <w:style w:type="paragraph" w:customStyle="1" w:styleId="4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页脚_2"/>
    <w:basedOn w:val="46"/>
    <w:autoRedefine/>
    <w:unhideWhenUsed/>
    <w:qFormat/>
    <w:uiPriority w:val="0"/>
    <w:pPr>
      <w:tabs>
        <w:tab w:val="center" w:pos="4153"/>
        <w:tab w:val="right" w:pos="8306"/>
      </w:tabs>
      <w:snapToGrid w:val="0"/>
      <w:jc w:val="left"/>
    </w:pPr>
    <w:rPr>
      <w:sz w:val="18"/>
      <w:szCs w:val="18"/>
    </w:rPr>
  </w:style>
  <w:style w:type="paragraph" w:customStyle="1" w:styleId="4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页脚_0"/>
    <w:basedOn w:val="44"/>
    <w:autoRedefine/>
    <w:unhideWhenUsed/>
    <w:qFormat/>
    <w:uiPriority w:val="99"/>
    <w:pPr>
      <w:tabs>
        <w:tab w:val="center" w:pos="4153"/>
        <w:tab w:val="right" w:pos="8306"/>
      </w:tabs>
      <w:snapToGrid w:val="0"/>
      <w:jc w:val="left"/>
    </w:pPr>
    <w:rPr>
      <w:rFonts w:ascii="Calibri" w:hAnsi="Calibri"/>
      <w:sz w:val="18"/>
      <w:szCs w:val="18"/>
    </w:rPr>
  </w:style>
  <w:style w:type="paragraph" w:customStyle="1" w:styleId="4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1"/>
    <w:basedOn w:val="50"/>
    <w:next w:val="50"/>
    <w:autoRedefine/>
    <w:qFormat/>
    <w:uiPriority w:val="0"/>
    <w:rPr>
      <w:szCs w:val="21"/>
    </w:rPr>
  </w:style>
  <w:style w:type="paragraph" w:customStyle="1" w:styleId="5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Table Paragraph"/>
    <w:basedOn w:val="1"/>
    <w:autoRedefine/>
    <w:qFormat/>
    <w:uiPriority w:val="1"/>
    <w:rPr>
      <w:rFonts w:ascii="楷体" w:hAnsi="楷体" w:eastAsia="楷体" w:cs="楷体"/>
      <w:lang w:val="zh-CN" w:bidi="zh-CN"/>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正文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b/>
      <w:bCs/>
    </w:rPr>
  </w:style>
  <w:style w:type="paragraph" w:customStyle="1" w:styleId="56">
    <w:name w:val="正文_1_0"/>
    <w:next w:val="57"/>
    <w:autoRedefine/>
    <w:qFormat/>
    <w:uiPriority w:val="0"/>
    <w:pPr>
      <w:widowControl w:val="0"/>
      <w:jc w:val="both"/>
    </w:pPr>
    <w:rPr>
      <w:rFonts w:ascii="Times New Roman" w:hAnsi="Times New Roman" w:eastAsia="宋体" w:cs="Times New Roman"/>
      <w:lang w:val="en-US" w:eastAsia="zh-CN" w:bidi="ar-SA"/>
    </w:rPr>
  </w:style>
  <w:style w:type="paragraph" w:customStyle="1" w:styleId="57">
    <w:name w:val="正文首行缩进1"/>
    <w:basedOn w:val="58"/>
    <w:autoRedefine/>
    <w:unhideWhenUsed/>
    <w:qFormat/>
    <w:uiPriority w:val="99"/>
    <w:pPr>
      <w:ind w:firstLine="420" w:firstLineChars="100"/>
    </w:pPr>
    <w:rPr>
      <w:szCs w:val="22"/>
    </w:rPr>
  </w:style>
  <w:style w:type="paragraph" w:customStyle="1" w:styleId="58">
    <w:name w:val="正文文本_0_0"/>
    <w:basedOn w:val="59"/>
    <w:autoRedefine/>
    <w:qFormat/>
    <w:uiPriority w:val="99"/>
    <w:rPr>
      <w:rFonts w:eastAsia="黑体"/>
      <w:kern w:val="0"/>
      <w:sz w:val="36"/>
      <w:szCs w:val="24"/>
    </w:rPr>
  </w:style>
  <w:style w:type="paragraph" w:customStyle="1" w:styleId="59">
    <w:name w:val="正文_1_0_0_0"/>
    <w:basedOn w:val="60"/>
    <w:autoRedefine/>
    <w:qFormat/>
    <w:uiPriority w:val="0"/>
    <w:rPr>
      <w:rFonts w:ascii="Calibri" w:hAnsi="Calibri"/>
      <w:sz w:val="28"/>
      <w:szCs w:val="22"/>
    </w:rPr>
  </w:style>
  <w:style w:type="paragraph" w:customStyle="1" w:styleId="60">
    <w:name w:val="正文_2_0_0_0"/>
    <w:basedOn w:val="61"/>
    <w:next w:val="63"/>
    <w:autoRedefine/>
    <w:qFormat/>
    <w:uiPriority w:val="0"/>
    <w:rPr>
      <w:rFonts w:ascii="Times New Roman" w:hAnsi="Times New Roman" w:cs="Times New Roman"/>
    </w:rPr>
  </w:style>
  <w:style w:type="paragraph" w:customStyle="1" w:styleId="61">
    <w:name w:val="正文_2_0_0"/>
    <w:basedOn w:val="62"/>
    <w:autoRedefine/>
    <w:qFormat/>
    <w:uiPriority w:val="0"/>
    <w:rPr>
      <w:rFonts w:ascii="Calibri" w:hAnsi="Calibri" w:cs="宋体"/>
      <w:szCs w:val="21"/>
    </w:rPr>
  </w:style>
  <w:style w:type="paragraph" w:customStyle="1" w:styleId="62">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引文目录标题_0_0_0"/>
    <w:basedOn w:val="64"/>
    <w:next w:val="64"/>
    <w:autoRedefine/>
    <w:qFormat/>
    <w:uiPriority w:val="0"/>
    <w:pPr>
      <w:spacing w:before="120"/>
    </w:pPr>
    <w:rPr>
      <w:rFonts w:ascii="Cambria" w:hAnsi="Cambria"/>
      <w:sz w:val="28"/>
    </w:rPr>
  </w:style>
  <w:style w:type="paragraph" w:customStyle="1" w:styleId="64">
    <w:name w:val="正文_4_0"/>
    <w:next w:val="6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文本_2_0"/>
    <w:basedOn w:val="64"/>
    <w:autoRedefine/>
    <w:unhideWhenUsed/>
    <w:qFormat/>
    <w:uiPriority w:val="0"/>
    <w:pPr>
      <w:spacing w:after="120"/>
    </w:pPr>
  </w:style>
  <w:style w:type="paragraph" w:customStyle="1" w:styleId="66">
    <w:name w:val="正文_4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列出段落1"/>
    <w:basedOn w:val="1"/>
    <w:autoRedefine/>
    <w:qFormat/>
    <w:uiPriority w:val="34"/>
    <w:pPr>
      <w:ind w:firstLine="420" w:firstLineChars="200"/>
    </w:pPr>
  </w:style>
  <w:style w:type="paragraph" w:customStyle="1" w:styleId="68">
    <w:name w:val="正文_3_0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9">
    <w:name w:val="Style1"/>
    <w:basedOn w:val="1"/>
    <w:autoRedefine/>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70">
    <w:name w:val="paragraph"/>
    <w:basedOn w:val="1"/>
    <w:autoRedefine/>
    <w:qFormat/>
    <w:uiPriority w:val="0"/>
    <w:pPr>
      <w:widowControl/>
      <w:spacing w:before="100" w:beforeAutospacing="1" w:after="100" w:afterAutospacing="1"/>
    </w:pPr>
    <w:rPr>
      <w:rFonts w:ascii="宋体" w:hAnsi="宋体" w:eastAsia="宋体" w:cs="宋体"/>
      <w:kern w:val="0"/>
      <w:sz w:val="24"/>
    </w:rPr>
  </w:style>
  <w:style w:type="character" w:customStyle="1" w:styleId="71">
    <w:name w:val="UserStyle_2"/>
    <w:autoRedefine/>
    <w:semiHidden/>
    <w:qFormat/>
    <w:uiPriority w:val="0"/>
  </w:style>
  <w:style w:type="character" w:customStyle="1" w:styleId="72">
    <w:name w:val="font31"/>
    <w:basedOn w:val="29"/>
    <w:autoRedefine/>
    <w:qFormat/>
    <w:uiPriority w:val="0"/>
    <w:rPr>
      <w:rFonts w:hint="eastAsia" w:ascii="宋体" w:hAnsi="宋体" w:eastAsia="宋体" w:cs="宋体"/>
      <w:color w:val="000000"/>
      <w:sz w:val="22"/>
      <w:szCs w:val="22"/>
      <w:u w:val="none"/>
    </w:rPr>
  </w:style>
  <w:style w:type="paragraph" w:customStyle="1" w:styleId="7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4">
    <w:name w:val="_Style 2"/>
    <w:basedOn w:val="1"/>
    <w:autoRedefine/>
    <w:qFormat/>
    <w:uiPriority w:val="99"/>
    <w:pPr>
      <w:ind w:firstLine="420" w:firstLineChars="200"/>
    </w:pPr>
    <w:rPr>
      <w:rFonts w:ascii="Calibri" w:hAnsi="Calibri" w:eastAsia="宋体" w:cs="Times New Roman"/>
    </w:r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Table Text"/>
    <w:basedOn w:val="1"/>
    <w:autoRedefine/>
    <w:semiHidden/>
    <w:qFormat/>
    <w:uiPriority w:val="0"/>
    <w:rPr>
      <w:rFonts w:ascii="宋体" w:hAnsi="宋体" w:eastAsia="宋体" w:cs="宋体"/>
      <w:szCs w:val="21"/>
      <w:lang w:eastAsia="en-US"/>
    </w:rPr>
  </w:style>
  <w:style w:type="paragraph" w:customStyle="1" w:styleId="77">
    <w:name w:val="样式1"/>
    <w:basedOn w:val="2"/>
    <w:next w:val="15"/>
    <w:autoRedefine/>
    <w:qFormat/>
    <w:uiPriority w:val="0"/>
    <w:pPr>
      <w:widowControl/>
      <w:numPr>
        <w:ilvl w:val="0"/>
        <w:numId w:val="2"/>
      </w:numPr>
      <w:spacing w:before="480" w:after="0" w:line="276" w:lineRule="auto"/>
      <w:jc w:val="left"/>
    </w:pPr>
    <w:rPr>
      <w:rFonts w:ascii="Cambria" w:hAnsi="Cambria" w:eastAsia="宋体" w:cs="Times New Roman"/>
      <w:kern w:val="0"/>
      <w:sz w:val="30"/>
      <w:szCs w:val="28"/>
      <w:lang w:val="zh-CN" w:eastAsia="zh-CN"/>
    </w:rPr>
  </w:style>
  <w:style w:type="paragraph" w:customStyle="1" w:styleId="78">
    <w:name w:val="样式2"/>
    <w:basedOn w:val="3"/>
    <w:next w:val="1"/>
    <w:autoRedefine/>
    <w:qFormat/>
    <w:uiPriority w:val="0"/>
    <w:pPr>
      <w:widowControl/>
      <w:numPr>
        <w:ilvl w:val="1"/>
        <w:numId w:val="2"/>
      </w:numPr>
      <w:spacing w:before="200" w:after="0" w:line="360" w:lineRule="auto"/>
      <w:jc w:val="left"/>
    </w:pPr>
    <w:rPr>
      <w:rFonts w:ascii="宋体" w:hAnsi="宋体" w:eastAsia="宋体" w:cs="Times New Roman"/>
      <w:kern w:val="0"/>
      <w:sz w:val="28"/>
      <w:szCs w:val="28"/>
      <w:lang w:val="zh-CN" w:eastAsia="zh-CN"/>
    </w:rPr>
  </w:style>
  <w:style w:type="paragraph" w:customStyle="1" w:styleId="79">
    <w:name w:val="样式3"/>
    <w:basedOn w:val="4"/>
    <w:next w:val="1"/>
    <w:autoRedefine/>
    <w:qFormat/>
    <w:uiPriority w:val="0"/>
    <w:pPr>
      <w:widowControl/>
      <w:numPr>
        <w:ilvl w:val="2"/>
        <w:numId w:val="2"/>
      </w:numPr>
      <w:spacing w:before="200" w:after="0" w:line="276" w:lineRule="auto"/>
      <w:jc w:val="left"/>
    </w:pPr>
    <w:rPr>
      <w:rFonts w:ascii="Cambria" w:hAnsi="Cambria" w:eastAsia="宋体" w:cs="Times New Roman"/>
      <w:kern w:val="0"/>
      <w:sz w:val="24"/>
      <w:szCs w:val="20"/>
      <w:lang w:val="zh-CN" w:eastAsia="zh-CN"/>
    </w:rPr>
  </w:style>
  <w:style w:type="paragraph" w:customStyle="1" w:styleId="80">
    <w:name w:val="样式4"/>
    <w:basedOn w:val="5"/>
    <w:next w:val="1"/>
    <w:autoRedefine/>
    <w:qFormat/>
    <w:uiPriority w:val="0"/>
    <w:pPr>
      <w:widowControl/>
      <w:numPr>
        <w:ilvl w:val="3"/>
        <w:numId w:val="2"/>
      </w:numPr>
      <w:spacing w:before="200" w:after="0" w:line="276" w:lineRule="auto"/>
      <w:jc w:val="left"/>
    </w:pPr>
    <w:rPr>
      <w:rFonts w:ascii="Cambria" w:hAnsi="Cambria" w:eastAsia="宋体" w:cs="Times New Roman"/>
      <w:iCs/>
      <w:kern w:val="0"/>
      <w:sz w:val="24"/>
      <w:szCs w:val="20"/>
      <w:lang w:val="zh-CN" w:eastAsia="zh-CN"/>
    </w:rPr>
  </w:style>
  <w:style w:type="paragraph" w:customStyle="1" w:styleId="81">
    <w:name w:val="标准正文样式"/>
    <w:basedOn w:val="1"/>
    <w:autoRedefine/>
    <w:qFormat/>
    <w:uiPriority w:val="0"/>
    <w:pPr>
      <w:widowControl w:val="0"/>
      <w:ind w:firstLine="20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163</Pages>
  <Words>3540</Words>
  <Characters>4061</Characters>
  <Lines>335</Lines>
  <Paragraphs>94</Paragraphs>
  <TotalTime>15</TotalTime>
  <ScaleCrop>false</ScaleCrop>
  <LinksUpToDate>false</LinksUpToDate>
  <CharactersWithSpaces>4099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晨～曦</cp:lastModifiedBy>
  <cp:lastPrinted>2024-07-04T08:45:00Z</cp:lastPrinted>
  <dcterms:modified xsi:type="dcterms:W3CDTF">2024-10-24T08:18:20Z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FED05F7073CF46D48AEF3DB17EBC5304_13</vt:lpwstr>
  </property>
  <property fmtid="{D5CDD505-2E9C-101B-9397-08002B2CF9AE}" pid="4" name="KSOSaveFontToCloudKey">
    <vt:lpwstr>340659104_cloud</vt:lpwstr>
  </property>
</Properties>
</file>