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FCD5B">
      <w:pPr>
        <w:rPr>
          <w:rFonts w:hint="eastAsia" w:ascii="仿宋" w:hAnsi="仿宋" w:eastAsia="仿宋" w:cs="仿宋"/>
          <w:color w:val="auto"/>
          <w:highlight w:val="none"/>
        </w:rPr>
      </w:pPr>
      <w:r>
        <w:rPr>
          <w:rFonts w:hint="eastAsia" w:ascii="仿宋" w:hAnsi="仿宋" w:eastAsia="仿宋" w:cs="仿宋"/>
          <w:color w:val="auto"/>
          <w:highlight w:val="none"/>
        </w:rPr>
        <w:drawing>
          <wp:inline distT="0" distB="0" distL="0" distR="0">
            <wp:extent cx="2324100" cy="933450"/>
            <wp:effectExtent l="0" t="0" r="0" b="0"/>
            <wp:docPr id="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
                    <pic:cNvPicPr>
                      <a:picLocks noChangeAspect="1" noChangeArrowheads="1"/>
                    </pic:cNvPicPr>
                  </pic:nvPicPr>
                  <pic:blipFill>
                    <a:blip r:embed="rId13" cstate="print"/>
                    <a:srcRect/>
                    <a:stretch>
                      <a:fillRect/>
                    </a:stretch>
                  </pic:blipFill>
                  <pic:spPr>
                    <a:xfrm>
                      <a:off x="0" y="0"/>
                      <a:ext cx="2324100" cy="933450"/>
                    </a:xfrm>
                    <a:prstGeom prst="rect">
                      <a:avLst/>
                    </a:prstGeom>
                    <a:noFill/>
                    <a:ln w="9525">
                      <a:noFill/>
                      <a:miter lim="800000"/>
                      <a:headEnd/>
                      <a:tailEnd/>
                    </a:ln>
                  </pic:spPr>
                </pic:pic>
              </a:graphicData>
            </a:graphic>
          </wp:inline>
        </w:drawing>
      </w:r>
    </w:p>
    <w:p w14:paraId="4DFD08C8">
      <w:pPr>
        <w:rPr>
          <w:rFonts w:hint="eastAsia" w:ascii="仿宋" w:hAnsi="仿宋" w:eastAsia="仿宋" w:cs="仿宋"/>
          <w:color w:val="auto"/>
          <w:highlight w:val="none"/>
        </w:rPr>
      </w:pPr>
    </w:p>
    <w:p w14:paraId="6AAD07CB">
      <w:pPr>
        <w:rPr>
          <w:rFonts w:hint="eastAsia" w:ascii="仿宋" w:hAnsi="仿宋" w:eastAsia="仿宋" w:cs="仿宋"/>
          <w:color w:val="auto"/>
          <w:highlight w:val="none"/>
        </w:rPr>
      </w:pPr>
    </w:p>
    <w:p w14:paraId="5A8D4689">
      <w:pPr>
        <w:jc w:val="center"/>
        <w:rPr>
          <w:rFonts w:hint="eastAsia" w:ascii="仿宋" w:hAnsi="仿宋" w:eastAsia="仿宋" w:cs="仿宋"/>
          <w:b/>
          <w:color w:val="auto"/>
          <w:sz w:val="52"/>
          <w:highlight w:val="none"/>
        </w:rPr>
      </w:pPr>
    </w:p>
    <w:p w14:paraId="151950F1">
      <w:pPr>
        <w:jc w:val="center"/>
        <w:rPr>
          <w:rFonts w:hint="eastAsia" w:ascii="仿宋" w:hAnsi="仿宋" w:eastAsia="仿宋" w:cs="仿宋"/>
          <w:color w:val="auto"/>
          <w:sz w:val="48"/>
          <w:highlight w:val="none"/>
        </w:rPr>
      </w:pPr>
      <w:r>
        <w:rPr>
          <w:rFonts w:hint="eastAsia" w:ascii="仿宋" w:hAnsi="仿宋" w:eastAsia="仿宋" w:cs="仿宋"/>
          <w:color w:val="auto"/>
          <w:sz w:val="120"/>
          <w:szCs w:val="120"/>
          <w:highlight w:val="none"/>
        </w:rPr>
        <w:t>招 标 文 件</w:t>
      </w:r>
    </w:p>
    <w:p w14:paraId="6C03E857">
      <w:pPr>
        <w:rPr>
          <w:rFonts w:hint="eastAsia" w:ascii="仿宋" w:hAnsi="仿宋" w:eastAsia="仿宋" w:cs="仿宋"/>
          <w:color w:val="auto"/>
          <w:sz w:val="48"/>
          <w:highlight w:val="none"/>
        </w:rPr>
      </w:pPr>
    </w:p>
    <w:p w14:paraId="4A49DED1">
      <w:pPr>
        <w:pStyle w:val="34"/>
        <w:ind w:left="2341" w:leftChars="258" w:hanging="1800" w:hangingChars="500"/>
        <w:rPr>
          <w:rFonts w:hint="eastAsia" w:ascii="仿宋" w:hAnsi="仿宋" w:eastAsia="仿宋" w:cs="仿宋"/>
          <w:color w:val="auto"/>
          <w:sz w:val="36"/>
          <w:szCs w:val="36"/>
          <w:highlight w:val="none"/>
          <w:lang w:eastAsia="zh-CN"/>
        </w:rPr>
      </w:pPr>
      <w:r>
        <w:rPr>
          <w:rFonts w:hint="eastAsia" w:ascii="仿宋" w:hAnsi="仿宋" w:eastAsia="仿宋" w:cs="仿宋"/>
          <w:color w:val="auto"/>
          <w:sz w:val="36"/>
          <w:szCs w:val="36"/>
          <w:highlight w:val="none"/>
        </w:rPr>
        <w:t>项目编号：</w:t>
      </w:r>
      <w:r>
        <w:rPr>
          <w:rFonts w:hint="eastAsia" w:ascii="仿宋" w:hAnsi="仿宋" w:eastAsia="仿宋" w:cs="仿宋"/>
          <w:color w:val="auto"/>
          <w:sz w:val="36"/>
          <w:szCs w:val="36"/>
          <w:highlight w:val="none"/>
          <w:lang w:eastAsia="zh-CN"/>
        </w:rPr>
        <w:t xml:space="preserve">XZJ259-033-ZK  </w:t>
      </w:r>
    </w:p>
    <w:p w14:paraId="2E99BB4C">
      <w:pPr>
        <w:pStyle w:val="34"/>
        <w:ind w:left="2341" w:leftChars="258" w:hanging="1800" w:hangingChars="500"/>
        <w:rPr>
          <w:rFonts w:hint="eastAsia" w:ascii="仿宋" w:hAnsi="仿宋" w:eastAsia="仿宋" w:cs="仿宋"/>
          <w:color w:val="auto"/>
          <w:sz w:val="36"/>
          <w:szCs w:val="36"/>
          <w:highlight w:val="none"/>
          <w:lang w:eastAsia="zh-CN"/>
        </w:rPr>
      </w:pPr>
      <w:r>
        <w:rPr>
          <w:rFonts w:hint="eastAsia" w:ascii="仿宋" w:hAnsi="仿宋" w:eastAsia="仿宋" w:cs="仿宋"/>
          <w:color w:val="auto"/>
          <w:sz w:val="36"/>
          <w:szCs w:val="36"/>
          <w:highlight w:val="none"/>
        </w:rPr>
        <w:t>项目名称：</w:t>
      </w:r>
      <w:r>
        <w:rPr>
          <w:rFonts w:hint="eastAsia" w:ascii="仿宋" w:hAnsi="仿宋" w:eastAsia="仿宋" w:cs="仿宋"/>
          <w:color w:val="auto"/>
          <w:sz w:val="36"/>
          <w:szCs w:val="36"/>
          <w:highlight w:val="none"/>
          <w:lang w:eastAsia="zh-CN"/>
        </w:rPr>
        <w:t>新疆医科大学第二附属医院检验试剂（包36病理科试剂）采购项目</w:t>
      </w:r>
    </w:p>
    <w:p w14:paraId="48310108">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招标人：新疆医科大学第二附属医院</w:t>
      </w:r>
    </w:p>
    <w:p w14:paraId="398EBF4A">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地址：乌鲁木齐市南湖东路北二巷38号</w:t>
      </w:r>
    </w:p>
    <w:p w14:paraId="2E6E544C">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联系人：韩玺梅 董玮</w:t>
      </w:r>
    </w:p>
    <w:p w14:paraId="267779EA">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联系电话：0991-4609126</w:t>
      </w:r>
    </w:p>
    <w:p w14:paraId="56226101">
      <w:pPr>
        <w:pStyle w:val="34"/>
        <w:ind w:left="2341" w:leftChars="258" w:hanging="1800" w:hangingChars="500"/>
        <w:rPr>
          <w:rFonts w:hint="eastAsia" w:ascii="仿宋" w:hAnsi="仿宋" w:eastAsia="仿宋" w:cs="仿宋"/>
          <w:color w:val="auto"/>
          <w:sz w:val="36"/>
          <w:szCs w:val="36"/>
          <w:highlight w:val="none"/>
        </w:rPr>
      </w:pPr>
    </w:p>
    <w:p w14:paraId="16E06DFD">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招标代理机构：新疆新之建工程咨询有限公司</w:t>
      </w:r>
    </w:p>
    <w:p w14:paraId="511CAE38">
      <w:pPr>
        <w:pStyle w:val="34"/>
        <w:ind w:left="541" w:leftChars="258" w:firstLine="0" w:firstLineChars="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地址：乌鲁木齐市沙依巴克区克西街618号亚欣国际酒店五楼</w:t>
      </w:r>
    </w:p>
    <w:p w14:paraId="0B0B020D">
      <w:pPr>
        <w:pStyle w:val="34"/>
        <w:ind w:left="2341" w:leftChars="258" w:hanging="1800" w:hangingChars="500"/>
        <w:rPr>
          <w:rFonts w:hint="eastAsia" w:ascii="仿宋" w:hAnsi="仿宋" w:eastAsia="仿宋" w:cs="仿宋"/>
          <w:color w:val="auto"/>
          <w:sz w:val="36"/>
          <w:szCs w:val="36"/>
          <w:highlight w:val="none"/>
          <w:lang w:val="en-US" w:eastAsia="zh-CN"/>
        </w:rPr>
      </w:pPr>
      <w:r>
        <w:rPr>
          <w:rFonts w:hint="eastAsia" w:ascii="仿宋" w:hAnsi="仿宋" w:eastAsia="仿宋" w:cs="仿宋"/>
          <w:color w:val="auto"/>
          <w:sz w:val="36"/>
          <w:szCs w:val="36"/>
          <w:highlight w:val="none"/>
        </w:rPr>
        <w:t>项目联系人：李雪 任素仙</w:t>
      </w:r>
    </w:p>
    <w:p w14:paraId="708AEF5A">
      <w:pPr>
        <w:pStyle w:val="34"/>
        <w:ind w:left="2341" w:leftChars="258" w:hanging="1800" w:hangingChars="500"/>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联系方式：0991-8852576</w:t>
      </w:r>
    </w:p>
    <w:p w14:paraId="4920B1AC">
      <w:pPr>
        <w:jc w:val="center"/>
        <w:rPr>
          <w:rFonts w:hint="eastAsia" w:ascii="仿宋" w:hAnsi="仿宋" w:eastAsia="仿宋" w:cs="仿宋"/>
          <w:color w:val="auto"/>
          <w:sz w:val="32"/>
          <w:szCs w:val="32"/>
          <w:highlight w:val="none"/>
        </w:rPr>
      </w:pPr>
    </w:p>
    <w:p w14:paraId="3C5A86B3">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新疆新之建工程咨询有限公司</w:t>
      </w:r>
    </w:p>
    <w:p w14:paraId="44553B63">
      <w:pPr>
        <w:jc w:val="center"/>
        <w:rPr>
          <w:rFonts w:hint="eastAsia" w:ascii="仿宋" w:hAnsi="仿宋" w:eastAsia="仿宋" w:cs="仿宋"/>
          <w:b/>
          <w:color w:val="auto"/>
          <w:sz w:val="44"/>
          <w:szCs w:val="44"/>
          <w:highlight w:val="none"/>
        </w:rPr>
        <w:sectPr>
          <w:pgSz w:w="11906" w:h="16838"/>
          <w:pgMar w:top="1247" w:right="1134" w:bottom="1247" w:left="1134" w:header="851" w:footer="851" w:gutter="0"/>
          <w:cols w:space="720" w:num="1"/>
          <w:docGrid w:type="linesAndChars" w:linePitch="312" w:charSpace="0"/>
        </w:sectPr>
      </w:pP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03</w:t>
      </w:r>
      <w:r>
        <w:rPr>
          <w:rFonts w:hint="eastAsia" w:ascii="仿宋" w:hAnsi="仿宋" w:eastAsia="仿宋" w:cs="仿宋"/>
          <w:color w:val="auto"/>
          <w:sz w:val="32"/>
          <w:szCs w:val="32"/>
          <w:highlight w:val="none"/>
        </w:rPr>
        <w:t>月</w:t>
      </w:r>
    </w:p>
    <w:p w14:paraId="06267CB8">
      <w:pPr>
        <w:tabs>
          <w:tab w:val="left" w:pos="2700"/>
        </w:tabs>
        <w:spacing w:before="624" w:beforeLines="200" w:line="360" w:lineRule="atLeast"/>
        <w:rPr>
          <w:rFonts w:hint="eastAsia" w:ascii="仿宋" w:hAnsi="仿宋" w:eastAsia="仿宋" w:cs="仿宋"/>
          <w:b/>
          <w:color w:val="auto"/>
          <w:sz w:val="44"/>
          <w:szCs w:val="44"/>
          <w:highlight w:val="none"/>
        </w:rPr>
        <w:sectPr>
          <w:headerReference r:id="rId4" w:type="default"/>
          <w:footerReference r:id="rId5" w:type="default"/>
          <w:type w:val="continuous"/>
          <w:pgSz w:w="11906" w:h="16838"/>
          <w:pgMar w:top="1247" w:right="1134" w:bottom="1247" w:left="1134" w:header="851" w:footer="851" w:gutter="0"/>
          <w:pgNumType w:start="0"/>
          <w:cols w:space="720" w:num="1"/>
          <w:titlePg/>
          <w:docGrid w:type="linesAndChars" w:linePitch="312" w:charSpace="0"/>
        </w:sectPr>
      </w:pPr>
    </w:p>
    <w:p w14:paraId="59F19B92">
      <w:pPr>
        <w:tabs>
          <w:tab w:val="left" w:pos="2700"/>
        </w:tabs>
        <w:spacing w:before="624" w:beforeLines="200" w:line="360" w:lineRule="atLeast"/>
        <w:jc w:val="center"/>
        <w:rPr>
          <w:rFonts w:hint="eastAsia" w:ascii="仿宋" w:hAnsi="仿宋" w:eastAsia="仿宋" w:cs="仿宋"/>
          <w:color w:val="auto"/>
          <w:sz w:val="44"/>
          <w:szCs w:val="44"/>
          <w:highlight w:val="none"/>
        </w:rPr>
      </w:pPr>
      <w:r>
        <w:rPr>
          <w:rFonts w:hint="eastAsia" w:ascii="仿宋" w:hAnsi="仿宋" w:eastAsia="仿宋" w:cs="仿宋"/>
          <w:b/>
          <w:color w:val="auto"/>
          <w:sz w:val="44"/>
          <w:szCs w:val="44"/>
          <w:highlight w:val="none"/>
        </w:rPr>
        <w:t>目    录</w:t>
      </w:r>
    </w:p>
    <w:p w14:paraId="3CBB62BA">
      <w:pPr>
        <w:pStyle w:val="19"/>
        <w:tabs>
          <w:tab w:val="right" w:leader="dot" w:pos="9288"/>
        </w:tabs>
        <w:ind w:firstLine="416" w:firstLineChars="139"/>
        <w:rPr>
          <w:rFonts w:hint="eastAsia" w:ascii="仿宋" w:hAnsi="仿宋" w:eastAsia="仿宋" w:cs="仿宋"/>
          <w:b w:val="0"/>
          <w:bCs w:val="0"/>
          <w:caps w:val="0"/>
          <w:color w:val="auto"/>
          <w:sz w:val="30"/>
          <w:szCs w:val="30"/>
          <w:highlight w:val="none"/>
        </w:rPr>
      </w:pPr>
      <w:r>
        <w:rPr>
          <w:rFonts w:hint="eastAsia" w:ascii="仿宋" w:hAnsi="仿宋" w:eastAsia="仿宋" w:cs="仿宋"/>
          <w:b w:val="0"/>
          <w:color w:val="auto"/>
          <w:sz w:val="30"/>
          <w:szCs w:val="30"/>
          <w:highlight w:val="none"/>
        </w:rPr>
        <w:fldChar w:fldCharType="begin"/>
      </w:r>
      <w:r>
        <w:rPr>
          <w:rFonts w:hint="eastAsia" w:ascii="仿宋" w:hAnsi="仿宋" w:eastAsia="仿宋" w:cs="仿宋"/>
          <w:b w:val="0"/>
          <w:color w:val="auto"/>
          <w:sz w:val="30"/>
          <w:szCs w:val="30"/>
          <w:highlight w:val="none"/>
        </w:rPr>
        <w:instrText xml:space="preserve"> TOC \o "1-3" \h \z \u </w:instrText>
      </w:r>
      <w:r>
        <w:rPr>
          <w:rFonts w:hint="eastAsia" w:ascii="仿宋" w:hAnsi="仿宋" w:eastAsia="仿宋" w:cs="仿宋"/>
          <w:b w:val="0"/>
          <w:color w:val="auto"/>
          <w:sz w:val="30"/>
          <w:szCs w:val="30"/>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"_Toc5987693" </w:instrText>
      </w:r>
      <w:r>
        <w:rPr>
          <w:rFonts w:hint="eastAsia" w:ascii="仿宋" w:hAnsi="仿宋" w:eastAsia="仿宋" w:cs="仿宋"/>
          <w:color w:val="auto"/>
          <w:highlight w:val="none"/>
        </w:rPr>
        <w:fldChar w:fldCharType="separate"/>
      </w:r>
      <w:r>
        <w:rPr>
          <w:rStyle w:val="27"/>
          <w:rFonts w:hint="eastAsia" w:ascii="仿宋" w:hAnsi="仿宋" w:eastAsia="仿宋" w:cs="仿宋"/>
          <w:b w:val="0"/>
          <w:color w:val="auto"/>
          <w:sz w:val="30"/>
          <w:szCs w:val="30"/>
          <w:highlight w:val="none"/>
        </w:rPr>
        <w:t>投标须知前附表</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fldChar w:fldCharType="begin"/>
      </w:r>
      <w:r>
        <w:rPr>
          <w:rFonts w:hint="eastAsia" w:ascii="仿宋" w:hAnsi="仿宋" w:eastAsia="仿宋" w:cs="仿宋"/>
          <w:b w:val="0"/>
          <w:color w:val="auto"/>
          <w:sz w:val="30"/>
          <w:szCs w:val="30"/>
          <w:highlight w:val="none"/>
        </w:rPr>
        <w:instrText xml:space="preserve"> PAGEREF _Toc5987693 \h </w:instrText>
      </w:r>
      <w:r>
        <w:rPr>
          <w:rFonts w:hint="eastAsia" w:ascii="仿宋" w:hAnsi="仿宋" w:eastAsia="仿宋" w:cs="仿宋"/>
          <w:b w:val="0"/>
          <w:color w:val="auto"/>
          <w:sz w:val="30"/>
          <w:szCs w:val="30"/>
          <w:highlight w:val="none"/>
        </w:rPr>
        <w:fldChar w:fldCharType="separate"/>
      </w:r>
      <w:r>
        <w:rPr>
          <w:rFonts w:hint="eastAsia" w:ascii="仿宋" w:hAnsi="仿宋" w:eastAsia="仿宋" w:cs="仿宋"/>
          <w:b w:val="0"/>
          <w:color w:val="auto"/>
          <w:sz w:val="30"/>
          <w:szCs w:val="30"/>
          <w:highlight w:val="none"/>
        </w:rPr>
        <w:t>1</w:t>
      </w:r>
      <w:r>
        <w:rPr>
          <w:rFonts w:hint="eastAsia" w:ascii="仿宋" w:hAnsi="仿宋" w:eastAsia="仿宋" w:cs="仿宋"/>
          <w:b w:val="0"/>
          <w:color w:val="auto"/>
          <w:sz w:val="30"/>
          <w:szCs w:val="30"/>
          <w:highlight w:val="none"/>
        </w:rPr>
        <w:fldChar w:fldCharType="end"/>
      </w:r>
      <w:r>
        <w:rPr>
          <w:rFonts w:hint="eastAsia" w:ascii="仿宋" w:hAnsi="仿宋" w:eastAsia="仿宋" w:cs="仿宋"/>
          <w:b w:val="0"/>
          <w:color w:val="auto"/>
          <w:sz w:val="30"/>
          <w:szCs w:val="30"/>
          <w:highlight w:val="none"/>
        </w:rPr>
        <w:fldChar w:fldCharType="end"/>
      </w:r>
    </w:p>
    <w:p w14:paraId="32652DA3">
      <w:pPr>
        <w:pStyle w:val="19"/>
        <w:tabs>
          <w:tab w:val="right" w:leader="dot" w:pos="9288"/>
        </w:tabs>
        <w:ind w:firstLine="402"/>
        <w:rPr>
          <w:rFonts w:hint="eastAsia" w:ascii="仿宋" w:hAnsi="仿宋" w:eastAsia="仿宋" w:cs="仿宋"/>
          <w:b w:val="0"/>
          <w:bCs w:val="0"/>
          <w:caps w:val="0"/>
          <w:color w:val="auto"/>
          <w:sz w:val="30"/>
          <w:szCs w:val="30"/>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"_Toc5987694" </w:instrText>
      </w:r>
      <w:r>
        <w:rPr>
          <w:rFonts w:hint="eastAsia" w:ascii="仿宋" w:hAnsi="仿宋" w:eastAsia="仿宋" w:cs="仿宋"/>
          <w:color w:val="auto"/>
          <w:highlight w:val="none"/>
        </w:rPr>
        <w:fldChar w:fldCharType="separate"/>
      </w:r>
      <w:r>
        <w:rPr>
          <w:rStyle w:val="27"/>
          <w:rFonts w:hint="eastAsia" w:ascii="仿宋" w:hAnsi="仿宋" w:eastAsia="仿宋" w:cs="仿宋"/>
          <w:b w:val="0"/>
          <w:color w:val="auto"/>
          <w:sz w:val="30"/>
          <w:szCs w:val="30"/>
          <w:highlight w:val="none"/>
        </w:rPr>
        <w:t>第一章招标公告</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t>5</w:t>
      </w:r>
      <w:r>
        <w:rPr>
          <w:rFonts w:hint="eastAsia" w:ascii="仿宋" w:hAnsi="仿宋" w:eastAsia="仿宋" w:cs="仿宋"/>
          <w:b w:val="0"/>
          <w:color w:val="auto"/>
          <w:sz w:val="30"/>
          <w:szCs w:val="30"/>
          <w:highlight w:val="none"/>
        </w:rPr>
        <w:fldChar w:fldCharType="end"/>
      </w:r>
    </w:p>
    <w:p w14:paraId="0CB997DF">
      <w:pPr>
        <w:pStyle w:val="19"/>
        <w:tabs>
          <w:tab w:val="right" w:leader="dot" w:pos="9288"/>
        </w:tabs>
        <w:ind w:firstLine="402"/>
        <w:rPr>
          <w:rFonts w:hint="eastAsia" w:ascii="仿宋" w:hAnsi="仿宋" w:eastAsia="仿宋" w:cs="仿宋"/>
          <w:b w:val="0"/>
          <w:bCs w:val="0"/>
          <w:caps w:val="0"/>
          <w:color w:val="auto"/>
          <w:sz w:val="30"/>
          <w:szCs w:val="30"/>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"_Toc5987695" </w:instrText>
      </w:r>
      <w:r>
        <w:rPr>
          <w:rFonts w:hint="eastAsia" w:ascii="仿宋" w:hAnsi="仿宋" w:eastAsia="仿宋" w:cs="仿宋"/>
          <w:color w:val="auto"/>
          <w:highlight w:val="none"/>
        </w:rPr>
        <w:fldChar w:fldCharType="separate"/>
      </w:r>
      <w:r>
        <w:rPr>
          <w:rStyle w:val="27"/>
          <w:rFonts w:hint="eastAsia" w:ascii="仿宋" w:hAnsi="仿宋" w:eastAsia="仿宋" w:cs="仿宋"/>
          <w:b w:val="0"/>
          <w:color w:val="auto"/>
          <w:sz w:val="30"/>
          <w:szCs w:val="30"/>
          <w:highlight w:val="none"/>
        </w:rPr>
        <w:t>第二章投标须知</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fldChar w:fldCharType="end"/>
      </w:r>
      <w:r>
        <w:rPr>
          <w:rFonts w:hint="eastAsia" w:ascii="仿宋" w:hAnsi="仿宋" w:eastAsia="仿宋" w:cs="仿宋"/>
          <w:b w:val="0"/>
          <w:color w:val="auto"/>
          <w:sz w:val="30"/>
          <w:szCs w:val="30"/>
          <w:highlight w:val="none"/>
        </w:rPr>
        <w:t>10</w:t>
      </w:r>
    </w:p>
    <w:p w14:paraId="1489EE2C">
      <w:pPr>
        <w:pStyle w:val="19"/>
        <w:tabs>
          <w:tab w:val="right" w:leader="dot" w:pos="9288"/>
        </w:tabs>
        <w:ind w:firstLine="402"/>
        <w:rPr>
          <w:rFonts w:hint="eastAsia" w:ascii="仿宋" w:hAnsi="仿宋" w:eastAsia="仿宋" w:cs="仿宋"/>
          <w:b w:val="0"/>
          <w:bCs w:val="0"/>
          <w:caps w:val="0"/>
          <w:color w:val="auto"/>
          <w:sz w:val="30"/>
          <w:szCs w:val="30"/>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"_Toc5987696" </w:instrText>
      </w:r>
      <w:r>
        <w:rPr>
          <w:rFonts w:hint="eastAsia" w:ascii="仿宋" w:hAnsi="仿宋" w:eastAsia="仿宋" w:cs="仿宋"/>
          <w:color w:val="auto"/>
          <w:highlight w:val="none"/>
        </w:rPr>
        <w:fldChar w:fldCharType="separate"/>
      </w:r>
      <w:r>
        <w:rPr>
          <w:rStyle w:val="27"/>
          <w:rFonts w:hint="eastAsia" w:ascii="仿宋" w:hAnsi="仿宋" w:eastAsia="仿宋" w:cs="仿宋"/>
          <w:b w:val="0"/>
          <w:color w:val="auto"/>
          <w:sz w:val="30"/>
          <w:szCs w:val="30"/>
          <w:highlight w:val="none"/>
        </w:rPr>
        <w:t>第三章招标内容及技术要求</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fldChar w:fldCharType="end"/>
      </w:r>
      <w:r>
        <w:rPr>
          <w:rFonts w:hint="eastAsia" w:ascii="仿宋" w:hAnsi="仿宋" w:eastAsia="仿宋" w:cs="仿宋"/>
          <w:b w:val="0"/>
          <w:color w:val="auto"/>
          <w:sz w:val="30"/>
          <w:szCs w:val="30"/>
          <w:highlight w:val="none"/>
        </w:rPr>
        <w:t>29</w:t>
      </w:r>
    </w:p>
    <w:p w14:paraId="617C08EC">
      <w:pPr>
        <w:pStyle w:val="19"/>
        <w:tabs>
          <w:tab w:val="right" w:leader="dot" w:pos="9288"/>
        </w:tabs>
        <w:ind w:firstLine="402"/>
        <w:rPr>
          <w:rFonts w:hint="eastAsia" w:ascii="仿宋" w:hAnsi="仿宋" w:eastAsia="仿宋" w:cs="仿宋"/>
          <w:b w:val="0"/>
          <w:bCs w:val="0"/>
          <w:caps w:val="0"/>
          <w:color w:val="auto"/>
          <w:sz w:val="30"/>
          <w:szCs w:val="30"/>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"_Toc5987697" </w:instrText>
      </w:r>
      <w:r>
        <w:rPr>
          <w:rFonts w:hint="eastAsia" w:ascii="仿宋" w:hAnsi="仿宋" w:eastAsia="仿宋" w:cs="仿宋"/>
          <w:color w:val="auto"/>
          <w:highlight w:val="none"/>
        </w:rPr>
        <w:fldChar w:fldCharType="separate"/>
      </w:r>
      <w:r>
        <w:rPr>
          <w:rStyle w:val="27"/>
          <w:rFonts w:hint="eastAsia" w:ascii="仿宋" w:hAnsi="仿宋" w:eastAsia="仿宋" w:cs="仿宋"/>
          <w:b w:val="0"/>
          <w:color w:val="auto"/>
          <w:sz w:val="30"/>
          <w:szCs w:val="30"/>
          <w:highlight w:val="none"/>
        </w:rPr>
        <w:t>第四章合同条款及格式</w:t>
      </w:r>
      <w:r>
        <w:rPr>
          <w:rFonts w:hint="eastAsia" w:ascii="仿宋" w:hAnsi="仿宋" w:eastAsia="仿宋" w:cs="仿宋"/>
          <w:b w:val="0"/>
          <w:color w:val="auto"/>
          <w:sz w:val="30"/>
          <w:szCs w:val="30"/>
          <w:highlight w:val="none"/>
        </w:rPr>
        <w:tab/>
      </w:r>
      <w:r>
        <w:rPr>
          <w:rFonts w:hint="eastAsia" w:ascii="仿宋" w:hAnsi="仿宋" w:eastAsia="仿宋" w:cs="仿宋"/>
          <w:b w:val="0"/>
          <w:color w:val="auto"/>
          <w:sz w:val="30"/>
          <w:szCs w:val="30"/>
          <w:highlight w:val="none"/>
        </w:rPr>
        <w:fldChar w:fldCharType="end"/>
      </w:r>
      <w:r>
        <w:rPr>
          <w:rFonts w:hint="eastAsia" w:ascii="仿宋" w:hAnsi="仿宋" w:eastAsia="仿宋" w:cs="仿宋"/>
          <w:b w:val="0"/>
          <w:color w:val="auto"/>
          <w:sz w:val="30"/>
          <w:szCs w:val="30"/>
          <w:highlight w:val="none"/>
        </w:rPr>
        <w:t>40</w:t>
      </w:r>
    </w:p>
    <w:p w14:paraId="59C5F461">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30"/>
          <w:szCs w:val="30"/>
          <w:highlight w:val="none"/>
        </w:rPr>
        <w:fldChar w:fldCharType="end"/>
      </w:r>
      <w:r>
        <w:rPr>
          <w:rFonts w:hint="eastAsia" w:ascii="仿宋" w:hAnsi="仿宋" w:eastAsia="仿宋" w:cs="仿宋"/>
          <w:color w:val="auto"/>
          <w:sz w:val="28"/>
          <w:highlight w:val="none"/>
        </w:rPr>
        <w:t>附件：（投标书格式）</w:t>
      </w:r>
    </w:p>
    <w:p w14:paraId="38D05CC9">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附件一 投标书</w:t>
      </w:r>
    </w:p>
    <w:p w14:paraId="23EF64B5">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附件二 法定代表人资格证明书（格式）/法定代表人授权委托书（格式）</w:t>
      </w:r>
    </w:p>
    <w:p w14:paraId="6356227A">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附件三 供应商关于投标文件的声明函</w:t>
      </w:r>
    </w:p>
    <w:p w14:paraId="51195CB1">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附件四 供应商诚信投标承诺书</w:t>
      </w:r>
    </w:p>
    <w:p w14:paraId="5426639B">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附件五 供应商反商业贿赂承诺书</w:t>
      </w:r>
    </w:p>
    <w:p w14:paraId="300C5E9F">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附件六 开标一览表</w:t>
      </w:r>
    </w:p>
    <w:p w14:paraId="01D09BC0">
      <w:pPr>
        <w:pStyle w:val="35"/>
        <w:spacing w:line="540" w:lineRule="exact"/>
        <w:ind w:firstLine="560"/>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 xml:space="preserve">附件七 </w:t>
      </w:r>
      <w:r>
        <w:rPr>
          <w:rFonts w:hint="eastAsia" w:ascii="仿宋" w:hAnsi="仿宋" w:eastAsia="仿宋" w:cs="仿宋"/>
          <w:color w:val="auto"/>
          <w:sz w:val="28"/>
          <w:highlight w:val="none"/>
          <w:lang w:eastAsia="zh-CN"/>
        </w:rPr>
        <w:t>报价单项明细表（含试剂/耗材名称、数量、规格等）</w:t>
      </w:r>
    </w:p>
    <w:p w14:paraId="7194356F">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附件八 技术规格偏离表</w:t>
      </w:r>
    </w:p>
    <w:p w14:paraId="1192546C">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附件九 商务所有条款偏离表</w:t>
      </w:r>
    </w:p>
    <w:p w14:paraId="2D9ED1C1">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 投标产品近三年类似销售业绩表</w:t>
      </w:r>
    </w:p>
    <w:p w14:paraId="5E351D05">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附件十一 中小企业声明函(货物)</w:t>
      </w:r>
    </w:p>
    <w:p w14:paraId="6A32F077">
      <w:pPr>
        <w:spacing w:line="480" w:lineRule="auto"/>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附件十二 投标保证金退还信息表</w:t>
      </w:r>
    </w:p>
    <w:p w14:paraId="3F197412">
      <w:pPr>
        <w:tabs>
          <w:tab w:val="left" w:pos="6262"/>
        </w:tabs>
        <w:spacing w:line="480" w:lineRule="auto"/>
        <w:ind w:firstLine="560" w:firstLineChars="200"/>
        <w:rPr>
          <w:rFonts w:hint="eastAsia" w:ascii="仿宋" w:hAnsi="仿宋" w:eastAsia="仿宋" w:cs="仿宋"/>
          <w:color w:val="auto"/>
          <w:sz w:val="28"/>
          <w:highlight w:val="none"/>
        </w:rPr>
      </w:pPr>
    </w:p>
    <w:p w14:paraId="662FA8A0">
      <w:pPr>
        <w:snapToGrid w:val="0"/>
        <w:spacing w:line="360" w:lineRule="auto"/>
        <w:ind w:firstLine="561"/>
        <w:rPr>
          <w:rFonts w:hint="eastAsia" w:ascii="仿宋" w:hAnsi="仿宋" w:eastAsia="仿宋" w:cs="仿宋"/>
          <w:color w:val="auto"/>
          <w:sz w:val="28"/>
          <w:highlight w:val="none"/>
        </w:rPr>
      </w:pPr>
    </w:p>
    <w:p w14:paraId="027A6AEF">
      <w:pPr>
        <w:pStyle w:val="3"/>
        <w:rPr>
          <w:rFonts w:hint="eastAsia" w:ascii="仿宋" w:hAnsi="仿宋" w:eastAsia="仿宋" w:cs="仿宋"/>
          <w:color w:val="auto"/>
          <w:kern w:val="0"/>
          <w:sz w:val="28"/>
          <w:szCs w:val="28"/>
          <w:highlight w:val="none"/>
        </w:rPr>
      </w:pPr>
    </w:p>
    <w:p w14:paraId="2EBB6979">
      <w:pPr>
        <w:pStyle w:val="3"/>
        <w:ind w:left="0" w:firstLine="0"/>
        <w:rPr>
          <w:rFonts w:hint="eastAsia" w:ascii="仿宋" w:hAnsi="仿宋" w:eastAsia="仿宋" w:cs="仿宋"/>
          <w:color w:val="auto"/>
          <w:sz w:val="36"/>
          <w:highlight w:val="none"/>
        </w:rPr>
        <w:sectPr>
          <w:footerReference r:id="rId7" w:type="first"/>
          <w:footerReference r:id="rId6" w:type="default"/>
          <w:pgSz w:w="11906" w:h="16838"/>
          <w:pgMar w:top="1247" w:right="1134" w:bottom="1247" w:left="1134" w:header="851" w:footer="851" w:gutter="0"/>
          <w:pgNumType w:start="0"/>
          <w:cols w:space="720" w:num="1"/>
          <w:titlePg/>
          <w:docGrid w:type="linesAndChars" w:linePitch="312" w:charSpace="0"/>
        </w:sectPr>
      </w:pPr>
      <w:bookmarkStart w:id="0" w:name="_Toc5987693"/>
    </w:p>
    <w:p w14:paraId="7D38485D">
      <w:pPr>
        <w:pStyle w:val="3"/>
        <w:ind w:left="0" w:firstLine="0"/>
        <w:rPr>
          <w:rFonts w:hint="eastAsia" w:ascii="仿宋" w:hAnsi="仿宋" w:eastAsia="仿宋" w:cs="仿宋"/>
          <w:color w:val="auto"/>
          <w:sz w:val="36"/>
          <w:highlight w:val="none"/>
        </w:rPr>
      </w:pPr>
      <w:r>
        <w:rPr>
          <w:rFonts w:hint="eastAsia" w:ascii="仿宋" w:hAnsi="仿宋" w:eastAsia="仿宋" w:cs="仿宋"/>
          <w:color w:val="auto"/>
          <w:sz w:val="36"/>
          <w:highlight w:val="none"/>
        </w:rPr>
        <w:t>投标须知前附表</w:t>
      </w:r>
      <w:bookmarkEnd w:id="0"/>
    </w:p>
    <w:tbl>
      <w:tblPr>
        <w:tblStyle w:val="22"/>
        <w:tblW w:w="992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9099"/>
      </w:tblGrid>
      <w:tr w14:paraId="3A55D7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2" w:hRule="atLeast"/>
          <w:tblHeader/>
          <w:jc w:val="center"/>
        </w:trPr>
        <w:tc>
          <w:tcPr>
            <w:tcW w:w="824" w:type="dxa"/>
            <w:tcMar>
              <w:top w:w="57" w:type="dxa"/>
              <w:bottom w:w="57" w:type="dxa"/>
            </w:tcMar>
            <w:vAlign w:val="center"/>
          </w:tcPr>
          <w:p w14:paraId="22A7E0E1">
            <w:pPr>
              <w:pStyle w:val="34"/>
              <w:snapToGrid w:val="0"/>
              <w:spacing w:line="24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9099" w:type="dxa"/>
            <w:tcMar>
              <w:top w:w="57" w:type="dxa"/>
              <w:bottom w:w="57" w:type="dxa"/>
            </w:tcMar>
            <w:vAlign w:val="center"/>
          </w:tcPr>
          <w:p w14:paraId="6BCF48B7">
            <w:pPr>
              <w:pStyle w:val="34"/>
              <w:snapToGrid w:val="0"/>
              <w:spacing w:line="24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     容</w:t>
            </w:r>
          </w:p>
        </w:tc>
      </w:tr>
      <w:tr w14:paraId="074ED5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80" w:hRule="atLeast"/>
          <w:jc w:val="center"/>
        </w:trPr>
        <w:tc>
          <w:tcPr>
            <w:tcW w:w="824" w:type="dxa"/>
            <w:tcMar>
              <w:top w:w="57" w:type="dxa"/>
              <w:bottom w:w="57" w:type="dxa"/>
            </w:tcMar>
            <w:vAlign w:val="center"/>
          </w:tcPr>
          <w:p w14:paraId="2C9670A6">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9099" w:type="dxa"/>
            <w:tcBorders>
              <w:bottom w:val="single" w:color="auto" w:sz="4" w:space="0"/>
            </w:tcBorders>
            <w:tcMar>
              <w:top w:w="57" w:type="dxa"/>
              <w:bottom w:w="57" w:type="dxa"/>
            </w:tcMar>
            <w:vAlign w:val="center"/>
          </w:tcPr>
          <w:p w14:paraId="7123FB19">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新疆医科大学第二附属医院检验试剂（包36病理科试剂）采购项目</w:t>
            </w:r>
          </w:p>
          <w:p w14:paraId="4062E03D">
            <w:pPr>
              <w:pStyle w:val="34"/>
              <w:spacing w:line="420" w:lineRule="exact"/>
              <w:ind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eastAsia="zh-CN"/>
              </w:rPr>
              <w:t xml:space="preserve">XZJ259-033-ZK  </w:t>
            </w:r>
          </w:p>
          <w:p w14:paraId="6B301536">
            <w:pPr>
              <w:pStyle w:val="34"/>
              <w:spacing w:line="420" w:lineRule="exact"/>
              <w:ind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招标内容：</w:t>
            </w:r>
            <w:r>
              <w:rPr>
                <w:rFonts w:hint="eastAsia" w:ascii="仿宋" w:hAnsi="仿宋" w:eastAsia="仿宋" w:cs="仿宋"/>
                <w:color w:val="auto"/>
                <w:sz w:val="24"/>
                <w:szCs w:val="24"/>
                <w:highlight w:val="none"/>
                <w:lang w:eastAsia="zh-CN"/>
              </w:rPr>
              <w:t>检验试剂（包36病理科试剂）</w:t>
            </w:r>
          </w:p>
        </w:tc>
      </w:tr>
      <w:tr w14:paraId="2AA033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0" w:hRule="atLeast"/>
          <w:jc w:val="center"/>
        </w:trPr>
        <w:tc>
          <w:tcPr>
            <w:tcW w:w="824" w:type="dxa"/>
            <w:tcMar>
              <w:top w:w="57" w:type="dxa"/>
              <w:bottom w:w="57" w:type="dxa"/>
            </w:tcMar>
            <w:vAlign w:val="center"/>
          </w:tcPr>
          <w:p w14:paraId="0FF71A93">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9099" w:type="dxa"/>
            <w:tcMar>
              <w:top w:w="57" w:type="dxa"/>
              <w:bottom w:w="57" w:type="dxa"/>
            </w:tcMar>
            <w:vAlign w:val="center"/>
          </w:tcPr>
          <w:p w14:paraId="2A2C138E">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项目采购预算：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万元。</w:t>
            </w:r>
          </w:p>
          <w:p w14:paraId="5875F00E">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b/>
                <w:color w:val="auto"/>
                <w:kern w:val="0"/>
                <w:sz w:val="24"/>
                <w:szCs w:val="24"/>
                <w:highlight w:val="none"/>
              </w:rPr>
              <w:t>投标人投标报价不得高于预算单价（每个单品种单价）及预算总价（每个单品种合价），否则其投标将被否决。</w:t>
            </w:r>
          </w:p>
        </w:tc>
      </w:tr>
      <w:tr w14:paraId="48F1F0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9" w:hRule="atLeast"/>
          <w:jc w:val="center"/>
        </w:trPr>
        <w:tc>
          <w:tcPr>
            <w:tcW w:w="824" w:type="dxa"/>
            <w:tcMar>
              <w:top w:w="57" w:type="dxa"/>
              <w:bottom w:w="57" w:type="dxa"/>
            </w:tcMar>
            <w:vAlign w:val="center"/>
          </w:tcPr>
          <w:p w14:paraId="50603C30">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9099" w:type="dxa"/>
            <w:tcMar>
              <w:top w:w="57" w:type="dxa"/>
              <w:bottom w:w="57" w:type="dxa"/>
            </w:tcMar>
            <w:vAlign w:val="center"/>
          </w:tcPr>
          <w:p w14:paraId="3D80D224">
            <w:pPr>
              <w:pStyle w:val="34"/>
              <w:spacing w:line="420" w:lineRule="exact"/>
              <w:ind w:firstLine="0"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采购人：新疆医科大学第二附属医院</w:t>
            </w:r>
          </w:p>
          <w:p w14:paraId="7AB08095">
            <w:pPr>
              <w:pStyle w:val="34"/>
              <w:spacing w:line="420" w:lineRule="exact"/>
              <w:ind w:firstLine="0"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联系人：韩玺梅 董玮</w:t>
            </w:r>
          </w:p>
          <w:p w14:paraId="15EB78CD">
            <w:pPr>
              <w:pStyle w:val="34"/>
              <w:spacing w:line="420" w:lineRule="exact"/>
              <w:ind w:firstLine="0"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联系电话：0991-4609126</w:t>
            </w:r>
          </w:p>
        </w:tc>
      </w:tr>
      <w:tr w14:paraId="3CC3D6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14:paraId="3A6EAE74">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9099" w:type="dxa"/>
            <w:tcMar>
              <w:top w:w="57" w:type="dxa"/>
              <w:bottom w:w="57" w:type="dxa"/>
            </w:tcMar>
            <w:vAlign w:val="center"/>
          </w:tcPr>
          <w:p w14:paraId="66D7F4F6">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采购代理机构：新疆新之建工程咨询有限公司。</w:t>
            </w:r>
          </w:p>
          <w:p w14:paraId="3E433AE2">
            <w:pPr>
              <w:pStyle w:val="34"/>
              <w:spacing w:line="420" w:lineRule="exact"/>
              <w:ind w:firstLine="0" w:firstLineChars="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地址：乌鲁木齐市沙依巴克区克西街618号亚欣国际酒店五楼。</w:t>
            </w:r>
          </w:p>
        </w:tc>
      </w:tr>
      <w:tr w14:paraId="3B9034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jc w:val="center"/>
        </w:trPr>
        <w:tc>
          <w:tcPr>
            <w:tcW w:w="824" w:type="dxa"/>
            <w:tcMar>
              <w:top w:w="57" w:type="dxa"/>
              <w:bottom w:w="57" w:type="dxa"/>
            </w:tcMar>
            <w:vAlign w:val="center"/>
          </w:tcPr>
          <w:p w14:paraId="1B9E0D16">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9099" w:type="dxa"/>
            <w:tcMar>
              <w:top w:w="57" w:type="dxa"/>
              <w:bottom w:w="57" w:type="dxa"/>
            </w:tcMar>
            <w:vAlign w:val="center"/>
          </w:tcPr>
          <w:p w14:paraId="64D07DCD">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（1）投标保证金金额：</w:t>
            </w:r>
            <w:r>
              <w:rPr>
                <w:rFonts w:hint="eastAsia" w:ascii="仿宋" w:hAnsi="仿宋" w:eastAsia="仿宋" w:cs="仿宋"/>
                <w:color w:val="auto"/>
                <w:sz w:val="24"/>
                <w:szCs w:val="24"/>
                <w:highlight w:val="none"/>
                <w:lang w:val="en-US" w:eastAsia="zh-CN"/>
              </w:rPr>
              <w:t>600</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陆佰元整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p w14:paraId="3EB6227C">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投标保证金以非现金形式的银行转账（网银或电汇转账的形式由供应商的基本账户汇出）、保函、支票、汇票、本票方式提交。</w:t>
            </w:r>
          </w:p>
          <w:p w14:paraId="46E7BFEF">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自主选择电子保函系统中任意一家担保机构开具电子保函，针对具体项目做到“一项目一保函”。担保机构（含银行、保险公司和担保公司）应具备在线受理开立电子保函申请、在线签发电子保函、在线接受索赔申请及更新理赔状态的能力，严格履行服务承诺。供应商在电子保函的申请、使用、查看应用过程中遇见问题可咨询技术支撑方：400-903-9583。</w:t>
            </w:r>
          </w:p>
          <w:p w14:paraId="24EB7BFA">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（4）供应商缴纳投标保证金时，需备注项目编号、项目名称（或项目简称）及包号，于投标文件上传截止时间前交至招标代理机构指定账户（以实际到账时间为准，逾期无效），公示期结束后予以退还。</w:t>
            </w:r>
          </w:p>
          <w:p w14:paraId="0E428BA5">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bCs/>
                <w:color w:val="auto"/>
                <w:sz w:val="24"/>
                <w:szCs w:val="24"/>
                <w:highlight w:val="none"/>
              </w:rPr>
              <w:t>投标保证金未按规定时间缴纳或提交金额不足的，其投标将被否决，供应商应充分考虑资金在途时间；</w:t>
            </w:r>
          </w:p>
        </w:tc>
      </w:tr>
      <w:tr w14:paraId="67C100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3" w:hRule="atLeast"/>
          <w:jc w:val="center"/>
        </w:trPr>
        <w:tc>
          <w:tcPr>
            <w:tcW w:w="824" w:type="dxa"/>
            <w:tcMar>
              <w:top w:w="57" w:type="dxa"/>
              <w:bottom w:w="57" w:type="dxa"/>
            </w:tcMar>
            <w:vAlign w:val="center"/>
          </w:tcPr>
          <w:p w14:paraId="23B65A96">
            <w:pPr>
              <w:pStyle w:val="35"/>
              <w:snapToGrid w:val="0"/>
              <w:spacing w:line="288" w:lineRule="auto"/>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6</w:t>
            </w:r>
          </w:p>
        </w:tc>
        <w:tc>
          <w:tcPr>
            <w:tcW w:w="9099" w:type="dxa"/>
            <w:tcMar>
              <w:top w:w="57" w:type="dxa"/>
              <w:bottom w:w="57" w:type="dxa"/>
            </w:tcMar>
            <w:vAlign w:val="center"/>
          </w:tcPr>
          <w:p w14:paraId="00BED9EF">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资格要求：</w:t>
            </w:r>
          </w:p>
          <w:p w14:paraId="08A828F6">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1、满足《中华人民共和国政府采购法》第二十二条规定；</w:t>
            </w:r>
          </w:p>
          <w:p w14:paraId="54F2FA0B">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2、落实政府采购政策需满足的资格要求：</w:t>
            </w:r>
          </w:p>
          <w:p w14:paraId="24162C13">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2.1、所采购产品需符合国家节能环保要求。结合本项目具体情况，根据财政部的相关规定符合政府采购促进中小企业发展政策的供应商为小、微型企业，产品有环境标志认证证书或节能标志认证证书的依据规定给予评审优惠。</w:t>
            </w:r>
          </w:p>
          <w:p w14:paraId="647F0A18">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2.2、监狱企业及残疾人福利性单位视同小型、微型企业，享受预留份额、评审中价格扣除等政府采购促进中小企业发展的政府采购政策。</w:t>
            </w:r>
          </w:p>
          <w:p w14:paraId="65A39037">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2.3、中华人民共和国财政部、中华人民共和国工业和信息化部《政府采购促进中小企业发展管理办法》（财库〔2020〕46号）文件、《关于落实好政府采购支持中小企业发展的通知》（新财购〔2022〕22号）文件的规定，本项目全部面向中小微企业：货物类投标单位提供的投标产品的制造商须为中小微企业，提供《中小企业声明函》；（产品由中小微企业生产且使用该中小微企业商号或者注册商标）。</w:t>
            </w:r>
          </w:p>
          <w:p w14:paraId="25FFCD3E">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3、有效的工商营业执照副本、税务登记证副本、组织机构代码证副本或“三证合一”的营业执照副本。</w:t>
            </w:r>
          </w:p>
          <w:p w14:paraId="74D56496">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4、法定代表人投标需提供法定代表人证明书（原件）及法定代表人身份证（原件），委托代理人投标需提供法定代表人授权委托书（原件）及委托代理人身份证（原件）。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2300553C">
            <w:pPr>
              <w:pStyle w:val="35"/>
              <w:snapToGrid w:val="0"/>
              <w:spacing w:line="288" w:lineRule="auto"/>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6、投标人不得为“信用中国”网站（www.creditchina.gov.cn ）中列入重大税收违法失信主体，不得为“中国执行信息公开网”（http://zxgk.court.gov.cn/）中列入失信被执行人，不得为“中国政府采购网”（www.ccgp.gov.cn ）政府采购严重违法失信行为记录名单中被财政部门禁止参加政府采购活动的供应商（处罚决定规定的时间和地域范围内）。信用信息截止时点为开标当日。</w:t>
            </w:r>
          </w:p>
          <w:p w14:paraId="009B06C3">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7、本项目的特定资格要求：</w:t>
            </w:r>
          </w:p>
          <w:p w14:paraId="029D5BA9">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7.1、所投产品属于第二类医疗器械的，还需提供有效的行政主管部门颁发的医疗器械经营备案凭证（或医疗器械生产许可证或医疗器械经营许可证，经营范围需包含本次项目的内容）；所投产品属于第三类医疗器械的，还需提供有效的行政主管部门颁发的医疗器械生产许可证（或医疗器械经营许可证，经营范围需包含本次项目的内容）；</w:t>
            </w:r>
          </w:p>
          <w:p w14:paraId="594AC42D">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8、本项目不接受联合体投标。</w:t>
            </w:r>
          </w:p>
        </w:tc>
      </w:tr>
      <w:tr w14:paraId="205846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4" w:hRule="atLeast"/>
          <w:jc w:val="center"/>
        </w:trPr>
        <w:tc>
          <w:tcPr>
            <w:tcW w:w="824" w:type="dxa"/>
            <w:tcMar>
              <w:top w:w="57" w:type="dxa"/>
              <w:bottom w:w="57" w:type="dxa"/>
            </w:tcMar>
            <w:vAlign w:val="center"/>
          </w:tcPr>
          <w:p w14:paraId="074F572B">
            <w:pPr>
              <w:pStyle w:val="35"/>
              <w:snapToGrid w:val="0"/>
              <w:spacing w:line="288" w:lineRule="auto"/>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7</w:t>
            </w:r>
          </w:p>
        </w:tc>
        <w:tc>
          <w:tcPr>
            <w:tcW w:w="9099" w:type="dxa"/>
            <w:tcMar>
              <w:top w:w="57" w:type="dxa"/>
              <w:bottom w:w="57" w:type="dxa"/>
            </w:tcMar>
            <w:vAlign w:val="center"/>
          </w:tcPr>
          <w:p w14:paraId="46E04F43">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投标文件有效期：供应商同意投标书在招标文件规定的投标截止日期届满后立即对供应商产生法律约束力，投标有效期截至开标日后90日历天。</w:t>
            </w:r>
          </w:p>
        </w:tc>
      </w:tr>
      <w:tr w14:paraId="067961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tcMar>
              <w:top w:w="57" w:type="dxa"/>
              <w:bottom w:w="57" w:type="dxa"/>
            </w:tcMar>
            <w:vAlign w:val="center"/>
          </w:tcPr>
          <w:p w14:paraId="5DD3C314">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9099" w:type="dxa"/>
            <w:tcMar>
              <w:top w:w="57" w:type="dxa"/>
              <w:bottom w:w="57" w:type="dxa"/>
            </w:tcMar>
            <w:vAlign w:val="center"/>
          </w:tcPr>
          <w:p w14:paraId="61F26BA4">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投标报价：供应商应在开标一览表中标明其提供的所有货物及相关工作范围内所有费用的总价。</w:t>
            </w:r>
          </w:p>
        </w:tc>
      </w:tr>
      <w:tr w14:paraId="4CDC02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tcMar>
              <w:top w:w="57" w:type="dxa"/>
              <w:bottom w:w="57" w:type="dxa"/>
            </w:tcMar>
            <w:vAlign w:val="center"/>
          </w:tcPr>
          <w:p w14:paraId="4DD9CD31">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9099" w:type="dxa"/>
            <w:tcMar>
              <w:top w:w="57" w:type="dxa"/>
              <w:bottom w:w="57" w:type="dxa"/>
            </w:tcMar>
            <w:vAlign w:val="center"/>
          </w:tcPr>
          <w:p w14:paraId="3228D7F6">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投标截止时间：</w:t>
            </w:r>
            <w:r>
              <w:rPr>
                <w:rFonts w:hint="eastAsia" w:ascii="仿宋" w:hAnsi="仿宋" w:eastAsia="仿宋" w:cs="仿宋"/>
                <w:color w:val="auto"/>
                <w:sz w:val="24"/>
                <w:szCs w:val="24"/>
                <w:highlight w:val="none"/>
                <w:lang w:eastAsia="zh-CN"/>
              </w:rPr>
              <w:t>2025年04月01日10:30</w:t>
            </w:r>
            <w:r>
              <w:rPr>
                <w:rFonts w:hint="eastAsia" w:ascii="仿宋" w:hAnsi="仿宋" w:eastAsia="仿宋" w:cs="仿宋"/>
                <w:color w:val="auto"/>
                <w:sz w:val="24"/>
                <w:szCs w:val="24"/>
                <w:highlight w:val="none"/>
              </w:rPr>
              <w:t>（北京时间）</w:t>
            </w:r>
          </w:p>
        </w:tc>
      </w:tr>
      <w:tr w14:paraId="7DFD73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tcMar>
              <w:top w:w="57" w:type="dxa"/>
              <w:bottom w:w="57" w:type="dxa"/>
            </w:tcMar>
            <w:vAlign w:val="center"/>
          </w:tcPr>
          <w:p w14:paraId="478B634C">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9099" w:type="dxa"/>
            <w:tcMar>
              <w:top w:w="57" w:type="dxa"/>
              <w:bottom w:w="57" w:type="dxa"/>
            </w:tcMar>
            <w:vAlign w:val="center"/>
          </w:tcPr>
          <w:p w14:paraId="44CDA112">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投标文件上传至：政采云平台http://www.zcygov.cn，逾期上传的投标文件将被拒收。</w:t>
            </w:r>
          </w:p>
        </w:tc>
      </w:tr>
      <w:tr w14:paraId="19B3FB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jc w:val="center"/>
        </w:trPr>
        <w:tc>
          <w:tcPr>
            <w:tcW w:w="824" w:type="dxa"/>
            <w:tcMar>
              <w:top w:w="57" w:type="dxa"/>
              <w:bottom w:w="57" w:type="dxa"/>
            </w:tcMar>
            <w:vAlign w:val="center"/>
          </w:tcPr>
          <w:p w14:paraId="3A0D6A92">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9099" w:type="dxa"/>
            <w:tcMar>
              <w:top w:w="57" w:type="dxa"/>
              <w:bottom w:w="57" w:type="dxa"/>
            </w:tcMar>
            <w:vAlign w:val="center"/>
          </w:tcPr>
          <w:p w14:paraId="3B14BCE4">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w:t>
            </w:r>
            <w:r>
              <w:rPr>
                <w:rFonts w:hint="eastAsia" w:ascii="仿宋" w:hAnsi="仿宋" w:eastAsia="仿宋" w:cs="仿宋"/>
                <w:color w:val="auto"/>
                <w:sz w:val="24"/>
                <w:szCs w:val="24"/>
                <w:highlight w:val="none"/>
                <w:lang w:eastAsia="zh-CN"/>
              </w:rPr>
              <w:t>2025年04月01日10:30</w:t>
            </w:r>
            <w:r>
              <w:rPr>
                <w:rFonts w:hint="eastAsia" w:ascii="仿宋" w:hAnsi="仿宋" w:eastAsia="仿宋" w:cs="仿宋"/>
                <w:color w:val="auto"/>
                <w:sz w:val="24"/>
                <w:szCs w:val="24"/>
                <w:highlight w:val="none"/>
              </w:rPr>
              <w:t>（北京时间），逾期上传的投标文件将被拒收。</w:t>
            </w:r>
          </w:p>
        </w:tc>
      </w:tr>
      <w:tr w14:paraId="40E821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824" w:type="dxa"/>
            <w:tcMar>
              <w:top w:w="57" w:type="dxa"/>
              <w:bottom w:w="57" w:type="dxa"/>
            </w:tcMar>
            <w:vAlign w:val="center"/>
          </w:tcPr>
          <w:p w14:paraId="58FB89AB">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w:t>
            </w:r>
          </w:p>
        </w:tc>
        <w:tc>
          <w:tcPr>
            <w:tcW w:w="9099" w:type="dxa"/>
            <w:tcMar>
              <w:top w:w="57" w:type="dxa"/>
              <w:bottom w:w="57" w:type="dxa"/>
            </w:tcMar>
            <w:vAlign w:val="center"/>
          </w:tcPr>
          <w:p w14:paraId="194FDAE0">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开标地点：政采云平台https：//www.zcygov.cn/（供应商网上使用CA锁远程操作开标；并确保网络环境流畅，否则代理机构不负任何责任。）</w:t>
            </w:r>
          </w:p>
        </w:tc>
      </w:tr>
      <w:tr w14:paraId="3CA3D7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14:paraId="405743C8">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w:t>
            </w:r>
          </w:p>
        </w:tc>
        <w:tc>
          <w:tcPr>
            <w:tcW w:w="9099" w:type="dxa"/>
            <w:tcMar>
              <w:top w:w="57" w:type="dxa"/>
              <w:bottom w:w="57" w:type="dxa"/>
            </w:tcMar>
            <w:vAlign w:val="center"/>
          </w:tcPr>
          <w:p w14:paraId="1A5ADB9A">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数量调整：投标总价的±10%，详见第二章投标须知第31条。</w:t>
            </w:r>
          </w:p>
        </w:tc>
      </w:tr>
      <w:tr w14:paraId="307852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14:paraId="38526F49">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w:t>
            </w:r>
          </w:p>
        </w:tc>
        <w:tc>
          <w:tcPr>
            <w:tcW w:w="9099" w:type="dxa"/>
            <w:tcMar>
              <w:top w:w="57" w:type="dxa"/>
              <w:bottom w:w="57" w:type="dxa"/>
            </w:tcMar>
            <w:vAlign w:val="center"/>
          </w:tcPr>
          <w:p w14:paraId="1B22B5DD">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供货周期：</w:t>
            </w:r>
            <w:r>
              <w:rPr>
                <w:rFonts w:hint="eastAsia" w:ascii="仿宋" w:hAnsi="仿宋" w:eastAsia="仿宋" w:cs="仿宋"/>
                <w:color w:val="auto"/>
                <w:sz w:val="24"/>
                <w:szCs w:val="24"/>
                <w:highlight w:val="none"/>
                <w:lang w:eastAsia="zh-CN"/>
              </w:rPr>
              <w:t>1年</w:t>
            </w:r>
            <w:r>
              <w:rPr>
                <w:rFonts w:hint="eastAsia" w:ascii="仿宋" w:hAnsi="仿宋" w:eastAsia="仿宋" w:cs="仿宋"/>
                <w:color w:val="auto"/>
                <w:sz w:val="24"/>
                <w:szCs w:val="24"/>
                <w:highlight w:val="none"/>
              </w:rPr>
              <w:t>；</w:t>
            </w:r>
          </w:p>
        </w:tc>
      </w:tr>
      <w:tr w14:paraId="1A949A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2" w:hRule="atLeast"/>
          <w:jc w:val="center"/>
        </w:trPr>
        <w:tc>
          <w:tcPr>
            <w:tcW w:w="824" w:type="dxa"/>
            <w:tcMar>
              <w:top w:w="57" w:type="dxa"/>
              <w:bottom w:w="57" w:type="dxa"/>
            </w:tcMar>
            <w:vAlign w:val="center"/>
          </w:tcPr>
          <w:p w14:paraId="5C5A299F">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9099" w:type="dxa"/>
            <w:tcMar>
              <w:top w:w="57" w:type="dxa"/>
              <w:bottom w:w="57" w:type="dxa"/>
            </w:tcMar>
            <w:vAlign w:val="center"/>
          </w:tcPr>
          <w:p w14:paraId="4838C5CF">
            <w:pPr>
              <w:pStyle w:val="35"/>
              <w:spacing w:line="420" w:lineRule="exact"/>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交货期：</w:t>
            </w:r>
            <w:r>
              <w:rPr>
                <w:rFonts w:hint="eastAsia" w:ascii="仿宋" w:hAnsi="仿宋" w:eastAsia="仿宋" w:cs="仿宋"/>
                <w:color w:val="auto"/>
                <w:szCs w:val="24"/>
                <w:highlight w:val="none"/>
                <w:lang w:eastAsia="zh-CN"/>
              </w:rPr>
              <w:t>供货商接到我院供货通知时，必须第一时间安排送货，急救或紧急情况下使用的配送不应超过4小时，一般品种的配送不应超过24小时。因供货不及时造成工作影响，院方有权单方取消供货商供货资格及以后投标资格</w:t>
            </w:r>
            <w:r>
              <w:rPr>
                <w:rFonts w:hint="eastAsia" w:ascii="仿宋" w:hAnsi="仿宋" w:eastAsia="仿宋" w:cs="仿宋"/>
                <w:color w:val="auto"/>
                <w:szCs w:val="24"/>
                <w:highlight w:val="none"/>
              </w:rPr>
              <w:t>。</w:t>
            </w:r>
          </w:p>
        </w:tc>
      </w:tr>
      <w:tr w14:paraId="2A1321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2" w:hRule="atLeast"/>
          <w:jc w:val="center"/>
        </w:trPr>
        <w:tc>
          <w:tcPr>
            <w:tcW w:w="824" w:type="dxa"/>
            <w:tcMar>
              <w:top w:w="57" w:type="dxa"/>
              <w:bottom w:w="57" w:type="dxa"/>
            </w:tcMar>
            <w:vAlign w:val="center"/>
          </w:tcPr>
          <w:p w14:paraId="401C7CA3">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w:t>
            </w:r>
          </w:p>
        </w:tc>
        <w:tc>
          <w:tcPr>
            <w:tcW w:w="9099" w:type="dxa"/>
            <w:tcMar>
              <w:top w:w="57" w:type="dxa"/>
              <w:bottom w:w="57" w:type="dxa"/>
            </w:tcMar>
            <w:vAlign w:val="center"/>
          </w:tcPr>
          <w:p w14:paraId="774C8ADA">
            <w:pPr>
              <w:pStyle w:val="35"/>
              <w:spacing w:line="420" w:lineRule="exact"/>
              <w:jc w:val="both"/>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付款方式：</w:t>
            </w:r>
            <w:r>
              <w:rPr>
                <w:rFonts w:hint="eastAsia" w:ascii="仿宋" w:hAnsi="仿宋" w:eastAsia="仿宋" w:cs="仿宋"/>
                <w:color w:val="auto"/>
                <w:szCs w:val="24"/>
                <w:highlight w:val="none"/>
                <w:lang w:eastAsia="zh-CN"/>
              </w:rPr>
              <w:t>甲方收到乙方交付的货物并经甲方书面验收合格，产品无质量问题及其他纠纷的情况下，在该批次货品用完之后每半年按一定比例以汇票、转账支票或电汇等方式向乙方支付货款,或根据甲方现有财务状况双方协商付款。如遇特殊情况，双方协商解决。</w:t>
            </w:r>
          </w:p>
        </w:tc>
      </w:tr>
      <w:tr w14:paraId="00FB13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1" w:hRule="atLeast"/>
          <w:jc w:val="center"/>
        </w:trPr>
        <w:tc>
          <w:tcPr>
            <w:tcW w:w="824" w:type="dxa"/>
            <w:tcMar>
              <w:top w:w="57" w:type="dxa"/>
              <w:bottom w:w="57" w:type="dxa"/>
            </w:tcMar>
            <w:vAlign w:val="center"/>
          </w:tcPr>
          <w:p w14:paraId="7D559AF0">
            <w:pPr>
              <w:pStyle w:val="34"/>
              <w:spacing w:line="420" w:lineRule="exact"/>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w:t>
            </w:r>
          </w:p>
        </w:tc>
        <w:tc>
          <w:tcPr>
            <w:tcW w:w="9099" w:type="dxa"/>
            <w:tcMar>
              <w:top w:w="57" w:type="dxa"/>
              <w:bottom w:w="57" w:type="dxa"/>
            </w:tcMar>
            <w:vAlign w:val="center"/>
          </w:tcPr>
          <w:p w14:paraId="5868838D">
            <w:pPr>
              <w:pStyle w:val="35"/>
              <w:spacing w:line="420" w:lineRule="exact"/>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质保期：</w:t>
            </w:r>
            <w:r>
              <w:rPr>
                <w:rFonts w:hint="eastAsia" w:ascii="仿宋" w:hAnsi="仿宋" w:eastAsia="仿宋" w:cs="仿宋"/>
                <w:color w:val="auto"/>
                <w:szCs w:val="24"/>
                <w:highlight w:val="none"/>
                <w:lang w:eastAsia="zh-CN"/>
              </w:rPr>
              <w:t>保质期（有效期）不足半年的禁止入库（特殊情况除外），在院方使用期间内，投标人应对所提供医疗耗材的质量和由于医疗耗材质量原因而造成的后果负责。若出现质量问题的，投标人应及时予以退、换等处理。经退换后仍存有质量问题的，院方可向有关部门报告，经查实无误后，院方有权终止合同并视情况提出索赔</w:t>
            </w:r>
            <w:r>
              <w:rPr>
                <w:rFonts w:hint="eastAsia" w:ascii="仿宋" w:hAnsi="仿宋" w:eastAsia="仿宋" w:cs="仿宋"/>
                <w:color w:val="auto"/>
                <w:szCs w:val="24"/>
                <w:highlight w:val="none"/>
              </w:rPr>
              <w:t>。</w:t>
            </w:r>
          </w:p>
        </w:tc>
      </w:tr>
      <w:tr w14:paraId="651429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24" w:hRule="atLeast"/>
          <w:jc w:val="center"/>
        </w:trPr>
        <w:tc>
          <w:tcPr>
            <w:tcW w:w="824" w:type="dxa"/>
            <w:tcMar>
              <w:top w:w="57" w:type="dxa"/>
              <w:bottom w:w="57" w:type="dxa"/>
            </w:tcMar>
            <w:vAlign w:val="center"/>
          </w:tcPr>
          <w:p w14:paraId="6FBDF35D">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w:t>
            </w:r>
          </w:p>
        </w:tc>
        <w:tc>
          <w:tcPr>
            <w:tcW w:w="9099" w:type="dxa"/>
            <w:tcMar>
              <w:top w:w="57" w:type="dxa"/>
              <w:bottom w:w="57" w:type="dxa"/>
            </w:tcMar>
            <w:vAlign w:val="center"/>
          </w:tcPr>
          <w:p w14:paraId="44BE3BB0">
            <w:pPr>
              <w:pStyle w:val="35"/>
              <w:snapToGrid w:val="0"/>
              <w:spacing w:line="288" w:lineRule="auto"/>
              <w:jc w:val="both"/>
              <w:rPr>
                <w:rFonts w:hint="eastAsia" w:ascii="仿宋" w:hAnsi="仿宋" w:eastAsia="仿宋" w:cs="仿宋"/>
                <w:color w:val="auto"/>
                <w:szCs w:val="24"/>
                <w:highlight w:val="none"/>
              </w:rPr>
            </w:pPr>
            <w:r>
              <w:rPr>
                <w:rFonts w:hint="eastAsia" w:ascii="仿宋" w:hAnsi="仿宋" w:eastAsia="仿宋" w:cs="仿宋"/>
                <w:b/>
                <w:color w:val="auto"/>
                <w:szCs w:val="24"/>
                <w:highlight w:val="none"/>
              </w:rPr>
              <w:t>政府采购强制采购：</w:t>
            </w:r>
            <w:r>
              <w:rPr>
                <w:rFonts w:hint="eastAsia" w:ascii="仿宋" w:hAnsi="仿宋" w:eastAsia="仿宋" w:cs="仿宋"/>
                <w:color w:val="auto"/>
                <w:szCs w:val="24"/>
                <w:highlight w:val="none"/>
              </w:rPr>
              <w:t>(1)标记符号的节能产品；(2)其他。</w:t>
            </w:r>
          </w:p>
          <w:p w14:paraId="5A01DDF7">
            <w:pPr>
              <w:pStyle w:val="35"/>
              <w:snapToGrid w:val="0"/>
              <w:spacing w:line="288" w:lineRule="auto"/>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采购最新一期《节能产品政府采购清单》的产品。</w:t>
            </w:r>
          </w:p>
          <w:p w14:paraId="1EE8C2BE">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b/>
                <w:color w:val="auto"/>
                <w:szCs w:val="24"/>
                <w:highlight w:val="none"/>
              </w:rPr>
              <w:t>政府采购优先采购：</w:t>
            </w:r>
            <w:r>
              <w:rPr>
                <w:rFonts w:hint="eastAsia" w:ascii="仿宋" w:hAnsi="仿宋" w:eastAsia="仿宋" w:cs="仿宋"/>
                <w:color w:val="auto"/>
                <w:szCs w:val="24"/>
                <w:highlight w:val="none"/>
              </w:rPr>
              <w:t>(1)非标记符号的节能产品；(2)环境标志产品；</w:t>
            </w:r>
          </w:p>
          <w:p w14:paraId="31A8988A">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采购产品为《节能产品政府采购清单》(最新期)内非标记符号的节能产品及《环境标志产品政府采购清单》(最新期)内的产品：</w:t>
            </w:r>
          </w:p>
          <w:p w14:paraId="6CBE57EB">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14:paraId="7B8C89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9" w:hRule="atLeast"/>
          <w:jc w:val="center"/>
        </w:trPr>
        <w:tc>
          <w:tcPr>
            <w:tcW w:w="824" w:type="dxa"/>
            <w:tcMar>
              <w:top w:w="57" w:type="dxa"/>
              <w:bottom w:w="57" w:type="dxa"/>
            </w:tcMar>
            <w:vAlign w:val="center"/>
          </w:tcPr>
          <w:p w14:paraId="49F6CA3A">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w:t>
            </w:r>
          </w:p>
        </w:tc>
        <w:tc>
          <w:tcPr>
            <w:tcW w:w="9099" w:type="dxa"/>
            <w:tcMar>
              <w:top w:w="57" w:type="dxa"/>
              <w:bottom w:w="57" w:type="dxa"/>
            </w:tcMar>
            <w:vAlign w:val="center"/>
          </w:tcPr>
          <w:p w14:paraId="4CF3EA87">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特别提示：</w:t>
            </w:r>
          </w:p>
          <w:p w14:paraId="25BC6246">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1、超过200万元的货物和服务采购项目、超过400万元的工程采购项目中适宜由中小企业提供的，预留该部分采购项目预算总额的30%以上专门面向中小企业采购，其中预留给小微企业的比例不低于60%。</w:t>
            </w:r>
          </w:p>
          <w:p w14:paraId="1F3728D3">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77CB1AC7">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0A45CE28">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4、未预留份额专门面向中小企业的采购项目，以及预留份额项目中的非预留部分采购包，对符合规定的小微企业报价给予10%扣除。</w:t>
            </w:r>
          </w:p>
          <w:p w14:paraId="15B993E9">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5、本项目采购标的对应的中小企业划分标准所属行业：工业。</w:t>
            </w:r>
          </w:p>
          <w:p w14:paraId="53D5242C">
            <w:pPr>
              <w:pStyle w:val="35"/>
              <w:snapToGrid w:val="0"/>
              <w:spacing w:line="288"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6、</w:t>
            </w:r>
            <w:r>
              <w:rPr>
                <w:rFonts w:hint="eastAsia" w:ascii="仿宋" w:hAnsi="仿宋" w:eastAsia="仿宋" w:cs="仿宋"/>
                <w:color w:val="auto"/>
                <w:szCs w:val="24"/>
                <w:highlight w:val="none"/>
                <w:lang w:val="en-US" w:eastAsia="zh-CN"/>
              </w:rPr>
              <w:t>中小企业预留情况：</w:t>
            </w:r>
            <w:r>
              <w:rPr>
                <w:rFonts w:hint="eastAsia" w:ascii="仿宋" w:hAnsi="仿宋" w:eastAsia="仿宋" w:cs="仿宋"/>
                <w:color w:val="auto"/>
                <w:szCs w:val="24"/>
                <w:highlight w:val="none"/>
              </w:rPr>
              <w:t>本项目全部面向中小微企业</w:t>
            </w:r>
            <w:r>
              <w:rPr>
                <w:rFonts w:hint="eastAsia" w:ascii="仿宋" w:hAnsi="仿宋" w:eastAsia="仿宋" w:cs="仿宋"/>
                <w:color w:val="auto"/>
                <w:szCs w:val="24"/>
                <w:highlight w:val="none"/>
                <w:lang w:val="en-US" w:eastAsia="zh-CN"/>
              </w:rPr>
              <w:t>。</w:t>
            </w:r>
          </w:p>
        </w:tc>
      </w:tr>
      <w:tr w14:paraId="5F6306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24" w:type="dxa"/>
            <w:tcMar>
              <w:top w:w="57" w:type="dxa"/>
              <w:bottom w:w="57" w:type="dxa"/>
            </w:tcMar>
            <w:vAlign w:val="center"/>
          </w:tcPr>
          <w:p w14:paraId="7C17A859">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w:t>
            </w:r>
          </w:p>
        </w:tc>
        <w:tc>
          <w:tcPr>
            <w:tcW w:w="9099" w:type="dxa"/>
            <w:tcMar>
              <w:top w:w="57" w:type="dxa"/>
              <w:bottom w:w="57" w:type="dxa"/>
            </w:tcMar>
            <w:vAlign w:val="center"/>
          </w:tcPr>
          <w:p w14:paraId="522366C2">
            <w:pPr>
              <w:pStyle w:val="35"/>
              <w:spacing w:line="420" w:lineRule="exact"/>
              <w:jc w:val="both"/>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供应商须仔细阅读本招标文件的所有条款：</w:t>
            </w:r>
          </w:p>
          <w:p w14:paraId="170350FF">
            <w:pPr>
              <w:pStyle w:val="35"/>
              <w:spacing w:line="420" w:lineRule="exact"/>
              <w:jc w:val="both"/>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1、供应商应对字体置黑的条款、注有“投标无效”字样的条款、以及商务条款中加注“*”号的条款引起重视，如不满足此类条款的规定，其后果由供应商自行承担。</w:t>
            </w:r>
          </w:p>
          <w:p w14:paraId="282AD754">
            <w:pPr>
              <w:pStyle w:val="35"/>
              <w:spacing w:line="420" w:lineRule="exact"/>
              <w:jc w:val="both"/>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2、技术参数中“*”号项不是废标项，是重要技术参数。</w:t>
            </w:r>
          </w:p>
        </w:tc>
      </w:tr>
      <w:tr w14:paraId="5276E1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9" w:hRule="atLeast"/>
          <w:jc w:val="center"/>
        </w:trPr>
        <w:tc>
          <w:tcPr>
            <w:tcW w:w="824" w:type="dxa"/>
            <w:tcMar>
              <w:top w:w="57" w:type="dxa"/>
              <w:bottom w:w="57" w:type="dxa"/>
            </w:tcMar>
            <w:vAlign w:val="center"/>
          </w:tcPr>
          <w:p w14:paraId="0B217E27">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p>
        </w:tc>
        <w:tc>
          <w:tcPr>
            <w:tcW w:w="9099" w:type="dxa"/>
            <w:tcMar>
              <w:top w:w="57" w:type="dxa"/>
              <w:bottom w:w="57" w:type="dxa"/>
            </w:tcMar>
            <w:vAlign w:val="center"/>
          </w:tcPr>
          <w:p w14:paraId="4A66AD26">
            <w:pPr>
              <w:pStyle w:val="35"/>
              <w:spacing w:line="420" w:lineRule="exact"/>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rPr>
              <w:t>在评标过程直至签订合同前的任何时间，如经证实发现供应商提供虚假投标资料或信息骗取中标的，或者未按本招标文件要求提交履约保证金的（如有要求），将取消其中标资格，没收其投标保证金，并报主管部门备案。</w:t>
            </w:r>
          </w:p>
        </w:tc>
      </w:tr>
      <w:tr w14:paraId="05B724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tcMar>
              <w:top w:w="57" w:type="dxa"/>
              <w:bottom w:w="57" w:type="dxa"/>
            </w:tcMar>
            <w:vAlign w:val="center"/>
          </w:tcPr>
          <w:p w14:paraId="751A3CDC">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p>
        </w:tc>
        <w:tc>
          <w:tcPr>
            <w:tcW w:w="9099" w:type="dxa"/>
            <w:tcMar>
              <w:top w:w="57" w:type="dxa"/>
              <w:bottom w:w="57" w:type="dxa"/>
            </w:tcMar>
            <w:vAlign w:val="center"/>
          </w:tcPr>
          <w:p w14:paraId="79A6C54F">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注：供应商认为采购文件、采购过程、中标或者成交结果使自己的权益受到损害的，可以在知道或者应知其权益受到损害之日起7个工作日内，以书面形式向采购人、采购代理机构提出质疑。</w:t>
            </w:r>
            <w:r>
              <w:rPr>
                <w:rFonts w:hint="eastAsia" w:ascii="仿宋" w:hAnsi="仿宋" w:eastAsia="仿宋" w:cs="仿宋"/>
                <w:color w:val="auto"/>
                <w:sz w:val="24"/>
                <w:szCs w:val="24"/>
                <w:highlight w:val="none"/>
                <w:lang w:val="zh-CN"/>
              </w:rPr>
              <w:t>供应商应当在法定质疑期内一次性提出针对同一采购程序环节的质疑。</w:t>
            </w:r>
          </w:p>
        </w:tc>
      </w:tr>
      <w:tr w14:paraId="50D8EC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6" w:hRule="atLeast"/>
          <w:jc w:val="center"/>
        </w:trPr>
        <w:tc>
          <w:tcPr>
            <w:tcW w:w="824" w:type="dxa"/>
            <w:tcMar>
              <w:top w:w="57" w:type="dxa"/>
              <w:bottom w:w="57" w:type="dxa"/>
            </w:tcMar>
            <w:vAlign w:val="center"/>
          </w:tcPr>
          <w:p w14:paraId="46B11BDE">
            <w:pPr>
              <w:spacing w:line="420" w:lineRule="exact"/>
              <w:ind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w:t>
            </w:r>
          </w:p>
        </w:tc>
        <w:tc>
          <w:tcPr>
            <w:tcW w:w="9099" w:type="dxa"/>
            <w:tcMar>
              <w:top w:w="57" w:type="dxa"/>
              <w:bottom w:w="57" w:type="dxa"/>
            </w:tcMar>
            <w:vAlign w:val="center"/>
          </w:tcPr>
          <w:p w14:paraId="120DA19B">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银行信息：</w:t>
            </w:r>
          </w:p>
          <w:p w14:paraId="79889286">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账户名称：新疆新之建工程咨询有限公司</w:t>
            </w:r>
          </w:p>
          <w:p w14:paraId="40C8943A">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开户行名称：交通银行乌鲁木齐光明路支行</w:t>
            </w:r>
          </w:p>
          <w:p w14:paraId="35595EEA">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账号：651651034013001779607</w:t>
            </w:r>
          </w:p>
          <w:p w14:paraId="305DF744">
            <w:pPr>
              <w:pStyle w:val="34"/>
              <w:spacing w:line="42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行号：301881000286</w:t>
            </w:r>
          </w:p>
        </w:tc>
      </w:tr>
    </w:tbl>
    <w:p w14:paraId="4D1268F1">
      <w:pPr>
        <w:pStyle w:val="35"/>
        <w:snapToGrid w:val="0"/>
        <w:spacing w:line="312" w:lineRule="auto"/>
        <w:ind w:firstLine="560"/>
        <w:jc w:val="center"/>
        <w:rPr>
          <w:rFonts w:hint="eastAsia" w:ascii="仿宋" w:hAnsi="仿宋" w:eastAsia="仿宋" w:cs="仿宋"/>
          <w:b/>
          <w:color w:val="auto"/>
          <w:sz w:val="36"/>
          <w:szCs w:val="36"/>
          <w:highlight w:val="none"/>
          <w:lang w:eastAsia="zh-CN"/>
        </w:rPr>
      </w:pPr>
      <w:r>
        <w:rPr>
          <w:rFonts w:hint="eastAsia" w:ascii="仿宋" w:hAnsi="仿宋" w:eastAsia="仿宋" w:cs="仿宋"/>
          <w:color w:val="auto"/>
          <w:sz w:val="31"/>
          <w:highlight w:val="none"/>
        </w:rPr>
        <w:br w:type="page"/>
      </w:r>
      <w:bookmarkStart w:id="1" w:name="_Toc5896489"/>
      <w:bookmarkStart w:id="2" w:name="_Toc5987695"/>
      <w:bookmarkStart w:id="3" w:name="_Toc399523005"/>
      <w:r>
        <w:rPr>
          <w:rFonts w:hint="eastAsia" w:ascii="仿宋" w:hAnsi="仿宋" w:eastAsia="仿宋" w:cs="仿宋"/>
          <w:b/>
          <w:bCs/>
          <w:color w:val="auto"/>
          <w:sz w:val="36"/>
          <w:szCs w:val="36"/>
          <w:highlight w:val="none"/>
        </w:rPr>
        <w:t xml:space="preserve">第一章 </w:t>
      </w:r>
      <w:r>
        <w:rPr>
          <w:rFonts w:hint="eastAsia" w:ascii="仿宋" w:hAnsi="仿宋" w:eastAsia="仿宋" w:cs="仿宋"/>
          <w:b/>
          <w:color w:val="auto"/>
          <w:sz w:val="36"/>
          <w:szCs w:val="36"/>
          <w:highlight w:val="none"/>
        </w:rPr>
        <w:t>招标公告</w:t>
      </w:r>
    </w:p>
    <w:p w14:paraId="74C8F282">
      <w:pPr>
        <w:pStyle w:val="21"/>
        <w:spacing w:before="75" w:beforeAutospacing="0" w:after="75" w:afterAutospacing="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项目概况</w:t>
      </w:r>
    </w:p>
    <w:p w14:paraId="5A16AD38">
      <w:pPr>
        <w:pStyle w:val="21"/>
        <w:wordWrap w:val="0"/>
        <w:spacing w:before="75" w:beforeAutospacing="0" w:after="75" w:afterAutospacing="0"/>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highlight w:val="none"/>
          <w:u w:val="single"/>
          <w:lang w:eastAsia="zh-CN"/>
        </w:rPr>
        <w:t>新疆医科大学第二附属医院检验试剂（包36病理科试剂）采购项目</w:t>
      </w:r>
      <w:r>
        <w:rPr>
          <w:rFonts w:hint="eastAsia" w:ascii="仿宋" w:hAnsi="仿宋" w:eastAsia="仿宋" w:cs="仿宋"/>
          <w:color w:val="auto"/>
          <w:sz w:val="28"/>
          <w:szCs w:val="28"/>
          <w:highlight w:val="none"/>
        </w:rPr>
        <w:t>的潜在投标人应在</w:t>
      </w:r>
      <w:r>
        <w:rPr>
          <w:rFonts w:hint="eastAsia" w:ascii="仿宋" w:hAnsi="仿宋" w:eastAsia="仿宋" w:cs="仿宋"/>
          <w:color w:val="auto"/>
          <w:sz w:val="28"/>
          <w:szCs w:val="28"/>
          <w:highlight w:val="none"/>
          <w:u w:val="single"/>
        </w:rPr>
        <w:t>政采云平台（https://www.zcygov.cn/）在线申请获取采购文件（进入“项目采购”应用，在获取采购文件菜单中选择项目，</w:t>
      </w:r>
      <w:r>
        <w:rPr>
          <w:rFonts w:hint="eastAsia" w:ascii="仿宋" w:hAnsi="仿宋" w:eastAsia="仿宋" w:cs="仿宋"/>
          <w:color w:val="auto"/>
          <w:sz w:val="28"/>
          <w:szCs w:val="28"/>
          <w:highlight w:val="none"/>
        </w:rPr>
        <w:t>获取（下载）招标文件，并于</w:t>
      </w:r>
      <w:r>
        <w:rPr>
          <w:rFonts w:hint="eastAsia" w:ascii="仿宋" w:hAnsi="仿宋" w:eastAsia="仿宋" w:cs="仿宋"/>
          <w:color w:val="auto"/>
          <w:sz w:val="28"/>
          <w:szCs w:val="28"/>
          <w:highlight w:val="none"/>
          <w:lang w:eastAsia="zh-CN"/>
        </w:rPr>
        <w:t>2025年04月01日10:30</w:t>
      </w:r>
      <w:r>
        <w:rPr>
          <w:rFonts w:hint="eastAsia" w:ascii="仿宋" w:hAnsi="仿宋" w:eastAsia="仿宋" w:cs="仿宋"/>
          <w:color w:val="auto"/>
          <w:sz w:val="28"/>
          <w:szCs w:val="28"/>
          <w:highlight w:val="none"/>
        </w:rPr>
        <w:t>时（北京时间）前递交（上传）投标文件。</w:t>
      </w:r>
    </w:p>
    <w:p w14:paraId="13BC1FCC">
      <w:pPr>
        <w:pStyle w:val="35"/>
        <w:spacing w:line="540" w:lineRule="exact"/>
        <w:ind w:firstLine="560"/>
        <w:jc w:val="both"/>
        <w:rPr>
          <w:rFonts w:hint="eastAsia" w:ascii="仿宋" w:hAnsi="仿宋" w:eastAsia="仿宋" w:cs="仿宋"/>
          <w:b/>
          <w:color w:val="auto"/>
          <w:sz w:val="28"/>
          <w:highlight w:val="none"/>
        </w:rPr>
      </w:pPr>
      <w:r>
        <w:rPr>
          <w:rStyle w:val="25"/>
          <w:rFonts w:hint="eastAsia" w:ascii="仿宋" w:hAnsi="仿宋" w:eastAsia="仿宋" w:cs="仿宋"/>
          <w:color w:val="auto"/>
          <w:sz w:val="28"/>
          <w:szCs w:val="28"/>
          <w:highlight w:val="none"/>
        </w:rPr>
        <w:t>一、</w:t>
      </w:r>
      <w:r>
        <w:rPr>
          <w:rFonts w:hint="eastAsia" w:ascii="仿宋" w:hAnsi="仿宋" w:eastAsia="仿宋" w:cs="仿宋"/>
          <w:b/>
          <w:color w:val="auto"/>
          <w:sz w:val="28"/>
          <w:highlight w:val="none"/>
        </w:rPr>
        <w:t>项目基本情况</w:t>
      </w:r>
    </w:p>
    <w:p w14:paraId="6A9ECFCF">
      <w:pPr>
        <w:pStyle w:val="35"/>
        <w:spacing w:line="540" w:lineRule="exact"/>
        <w:ind w:firstLine="560"/>
        <w:jc w:val="both"/>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项目编号：</w:t>
      </w:r>
      <w:r>
        <w:rPr>
          <w:rFonts w:hint="eastAsia" w:ascii="仿宋" w:hAnsi="仿宋" w:eastAsia="仿宋" w:cs="仿宋"/>
          <w:color w:val="auto"/>
          <w:sz w:val="28"/>
          <w:highlight w:val="none"/>
          <w:lang w:eastAsia="zh-CN"/>
        </w:rPr>
        <w:t xml:space="preserve">XZJ259-033-ZK  </w:t>
      </w:r>
    </w:p>
    <w:p w14:paraId="61EBF6D5">
      <w:pPr>
        <w:pStyle w:val="35"/>
        <w:spacing w:line="540" w:lineRule="exact"/>
        <w:ind w:firstLine="560"/>
        <w:jc w:val="both"/>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项目名称：</w:t>
      </w:r>
      <w:r>
        <w:rPr>
          <w:rFonts w:hint="eastAsia" w:ascii="仿宋" w:hAnsi="仿宋" w:eastAsia="仿宋" w:cs="仿宋"/>
          <w:color w:val="auto"/>
          <w:sz w:val="28"/>
          <w:highlight w:val="none"/>
          <w:lang w:eastAsia="zh-CN"/>
        </w:rPr>
        <w:t>新疆医科大学第二附属医院检验试剂（包36病理科试剂）采购项目</w:t>
      </w:r>
    </w:p>
    <w:p w14:paraId="0875CA7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采购方式：公开招标</w:t>
      </w:r>
    </w:p>
    <w:p w14:paraId="4E3CA54F">
      <w:pPr>
        <w:pStyle w:val="35"/>
        <w:spacing w:line="540" w:lineRule="exact"/>
        <w:ind w:firstLine="560"/>
        <w:jc w:val="both"/>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rPr>
        <w:t>预算金额（元）：</w:t>
      </w:r>
      <w:r>
        <w:rPr>
          <w:rFonts w:hint="eastAsia" w:ascii="仿宋" w:hAnsi="仿宋" w:eastAsia="仿宋" w:cs="仿宋"/>
          <w:color w:val="auto"/>
          <w:sz w:val="28"/>
          <w:highlight w:val="none"/>
          <w:lang w:val="en-US" w:eastAsia="zh-CN"/>
        </w:rPr>
        <w:t>60000.00</w:t>
      </w:r>
    </w:p>
    <w:p w14:paraId="09AF026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最高限价（元）：/</w:t>
      </w:r>
    </w:p>
    <w:p w14:paraId="161FBD2E">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采购需求：</w:t>
      </w:r>
    </w:p>
    <w:p w14:paraId="40CFEEF6">
      <w:pPr>
        <w:pStyle w:val="35"/>
        <w:spacing w:line="540" w:lineRule="exact"/>
        <w:ind w:firstLine="560"/>
        <w:jc w:val="both"/>
        <w:rPr>
          <w:rFonts w:hint="eastAsia" w:ascii="仿宋" w:hAnsi="仿宋" w:eastAsia="仿宋" w:cs="仿宋"/>
          <w:color w:val="auto"/>
          <w:sz w:val="28"/>
          <w:highlight w:val="none"/>
        </w:rPr>
      </w:pPr>
    </w:p>
    <w:p w14:paraId="75F6930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标项一：</w:t>
      </w:r>
    </w:p>
    <w:p w14:paraId="14C594C2">
      <w:pPr>
        <w:pStyle w:val="35"/>
        <w:spacing w:line="540" w:lineRule="exact"/>
        <w:ind w:firstLine="560"/>
        <w:jc w:val="both"/>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标项名称：</w:t>
      </w:r>
      <w:r>
        <w:rPr>
          <w:rFonts w:hint="eastAsia" w:ascii="仿宋" w:hAnsi="仿宋" w:eastAsia="仿宋" w:cs="仿宋"/>
          <w:color w:val="auto"/>
          <w:sz w:val="28"/>
          <w:highlight w:val="none"/>
          <w:lang w:eastAsia="zh-CN"/>
        </w:rPr>
        <w:t>检验试剂（包36病理科试剂）</w:t>
      </w:r>
    </w:p>
    <w:p w14:paraId="6E09DDF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数量：1批</w:t>
      </w:r>
    </w:p>
    <w:p w14:paraId="3A518AF3">
      <w:pPr>
        <w:pStyle w:val="35"/>
        <w:spacing w:line="540" w:lineRule="exact"/>
        <w:ind w:firstLine="560"/>
        <w:jc w:val="both"/>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rPr>
        <w:t>预算金额（元）：</w:t>
      </w:r>
      <w:r>
        <w:rPr>
          <w:rFonts w:hint="eastAsia" w:ascii="仿宋" w:hAnsi="仿宋" w:eastAsia="仿宋" w:cs="仿宋"/>
          <w:color w:val="auto"/>
          <w:sz w:val="28"/>
          <w:highlight w:val="none"/>
          <w:lang w:val="en-US" w:eastAsia="zh-CN"/>
        </w:rPr>
        <w:t>60000.00</w:t>
      </w:r>
    </w:p>
    <w:p w14:paraId="05E7DF6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简要规格描述或项目基本概况介绍、用途：具体采购要求详见招标文件</w:t>
      </w:r>
    </w:p>
    <w:p w14:paraId="524FE81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备注：</w:t>
      </w:r>
    </w:p>
    <w:p w14:paraId="5D72938D">
      <w:pPr>
        <w:pStyle w:val="35"/>
        <w:spacing w:line="540" w:lineRule="exact"/>
        <w:ind w:firstLine="560"/>
        <w:jc w:val="both"/>
        <w:rPr>
          <w:rFonts w:hint="eastAsia" w:ascii="仿宋" w:hAnsi="仿宋" w:eastAsia="仿宋" w:cs="仿宋"/>
          <w:color w:val="auto"/>
          <w:sz w:val="28"/>
          <w:highlight w:val="none"/>
        </w:rPr>
      </w:pPr>
    </w:p>
    <w:p w14:paraId="519876E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合同履约期限：</w:t>
      </w:r>
      <w:r>
        <w:rPr>
          <w:rFonts w:hint="eastAsia" w:ascii="仿宋" w:hAnsi="仿宋" w:eastAsia="仿宋" w:cs="仿宋"/>
          <w:color w:val="auto"/>
          <w:sz w:val="28"/>
          <w:highlight w:val="none"/>
          <w:lang w:eastAsia="zh-CN"/>
        </w:rPr>
        <w:t>1年</w:t>
      </w:r>
      <w:r>
        <w:rPr>
          <w:rFonts w:hint="eastAsia" w:ascii="仿宋" w:hAnsi="仿宋" w:eastAsia="仿宋" w:cs="仿宋"/>
          <w:color w:val="auto"/>
          <w:sz w:val="28"/>
          <w:highlight w:val="none"/>
        </w:rPr>
        <w:t>。</w:t>
      </w:r>
    </w:p>
    <w:p w14:paraId="11ACA55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本项目不接受联合体投标。</w:t>
      </w:r>
    </w:p>
    <w:p w14:paraId="34F0AC32">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二、申请人的资格要求：</w:t>
      </w:r>
    </w:p>
    <w:p w14:paraId="6AA20A8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1.满足《中华人民共和国政府采购法》第二十二条规定；</w:t>
      </w:r>
    </w:p>
    <w:p w14:paraId="6FA587C0">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2.落实政府采购政策需满足的资格要求：</w:t>
      </w:r>
    </w:p>
    <w:p w14:paraId="4420285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①所采购产品需符合国家节能环保要求。结合本项目具体情况，根据财政部的相关规定符合政府采购促进中小企业发展政策的供应商为小、微型企业，产品有环境标志认证证书或节能标志认证证书的依据规定给予评审优惠。</w:t>
      </w:r>
    </w:p>
    <w:p w14:paraId="30FF785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②监狱企业及残疾人福利性单位视同小型、微型企业，享受预留份额、评审中价格扣除等政府采购促进中小企业发展的政府采购政策。</w:t>
      </w:r>
    </w:p>
    <w:p w14:paraId="7217DDE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③中华人民共和国财政部、中华人民共和国工业和信息化部《政府采购促进中小企业发展管理办法》（财库〔2020〕46号）文件、《关于落实好政府采购支持中小企业发展的通知》（新财购〔2022〕22号）文件的规定，本项目全部面向中小微企业：货物类投标单位提供的投标产品的制造商须为中小微企业，提供《中小企业声明函》；（产品由中小微企业生产且使用该中小微企业商号或者注册商标）。</w:t>
      </w:r>
    </w:p>
    <w:p w14:paraId="5E1B44F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3.有效的工商营业执照副本、税务登记证副本、组织机构代码证副本或“三证合一”的营业执照副本。</w:t>
      </w:r>
    </w:p>
    <w:p w14:paraId="3D5ECA6E">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4.法定代表人投标需提供法定代表人证明书（原件）及法定代表人身份证（原件），委托代理人投标需提供法定代表人授权委托书（原件）及委托代理人身份证（原件）。</w:t>
      </w:r>
    </w:p>
    <w:p w14:paraId="7B656FF4">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5.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42368A3">
      <w:pPr>
        <w:pStyle w:val="35"/>
        <w:wordWrap w:val="0"/>
        <w:spacing w:line="54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6.投标人在“信用中国”（www.creditchina.gov.cn）未被列入重大税收违法失信主体、“中国执行信息公开网”（http://zxgk.court.gov.cn/）未被列入失信被执行人、“中国政府采购网”（www.ccgp.gov.cn）网站上未被列入政府采购严重违法失信行为记录名单。</w:t>
      </w:r>
    </w:p>
    <w:p w14:paraId="71DE022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7.本项目的特定资格要求：</w:t>
      </w:r>
    </w:p>
    <w:p w14:paraId="494B2F2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①所投产品属于第二类医疗器械的，还需提供有效的行政主管部门颁发的医疗器械经营备案凭证（或医疗器械生产许可证或医疗器械经营许可证，经营范围需包含本次项目的内容）；所投产品属于第三类医疗器械的，还需提供有效的行政主管部门颁发的医疗器械生产许可证（或医疗器械经营许可证，经营范围需包含本次项目的内容）。</w:t>
      </w:r>
    </w:p>
    <w:p w14:paraId="4889A563">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三、获取招标文件</w:t>
      </w:r>
    </w:p>
    <w:p w14:paraId="6084685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时间：</w:t>
      </w:r>
      <w:r>
        <w:rPr>
          <w:rFonts w:hint="eastAsia" w:ascii="仿宋" w:hAnsi="仿宋" w:eastAsia="仿宋" w:cs="仿宋"/>
          <w:color w:val="auto"/>
          <w:sz w:val="28"/>
          <w:highlight w:val="none"/>
          <w:lang w:eastAsia="zh-CN"/>
        </w:rPr>
        <w:t>2025年0</w:t>
      </w:r>
      <w:r>
        <w:rPr>
          <w:rFonts w:hint="eastAsia" w:ascii="仿宋" w:hAnsi="仿宋" w:eastAsia="仿宋" w:cs="仿宋"/>
          <w:color w:val="auto"/>
          <w:sz w:val="28"/>
          <w:highlight w:val="none"/>
          <w:lang w:val="en-US" w:eastAsia="zh-CN"/>
        </w:rPr>
        <w:t>3</w:t>
      </w:r>
      <w:r>
        <w:rPr>
          <w:rFonts w:hint="eastAsia" w:ascii="仿宋" w:hAnsi="仿宋" w:eastAsia="仿宋" w:cs="仿宋"/>
          <w:color w:val="auto"/>
          <w:sz w:val="28"/>
          <w:highlight w:val="none"/>
          <w:lang w:eastAsia="zh-CN"/>
        </w:rPr>
        <w:t>月1</w:t>
      </w:r>
      <w:r>
        <w:rPr>
          <w:rFonts w:hint="eastAsia" w:ascii="仿宋" w:hAnsi="仿宋" w:eastAsia="仿宋" w:cs="仿宋"/>
          <w:color w:val="auto"/>
          <w:sz w:val="28"/>
          <w:highlight w:val="none"/>
          <w:lang w:val="en-US" w:eastAsia="zh-CN"/>
        </w:rPr>
        <w:t>1</w:t>
      </w:r>
      <w:r>
        <w:rPr>
          <w:rFonts w:hint="eastAsia" w:ascii="仿宋" w:hAnsi="仿宋" w:eastAsia="仿宋" w:cs="仿宋"/>
          <w:color w:val="auto"/>
          <w:sz w:val="28"/>
          <w:highlight w:val="none"/>
          <w:lang w:eastAsia="zh-CN"/>
        </w:rPr>
        <w:t>日至2025年0</w:t>
      </w:r>
      <w:r>
        <w:rPr>
          <w:rFonts w:hint="eastAsia" w:ascii="仿宋" w:hAnsi="仿宋" w:eastAsia="仿宋" w:cs="仿宋"/>
          <w:color w:val="auto"/>
          <w:sz w:val="28"/>
          <w:highlight w:val="none"/>
          <w:lang w:val="en-US" w:eastAsia="zh-CN"/>
        </w:rPr>
        <w:t>3</w:t>
      </w:r>
      <w:r>
        <w:rPr>
          <w:rFonts w:hint="eastAsia" w:ascii="仿宋" w:hAnsi="仿宋" w:eastAsia="仿宋" w:cs="仿宋"/>
          <w:color w:val="auto"/>
          <w:sz w:val="28"/>
          <w:highlight w:val="none"/>
          <w:lang w:eastAsia="zh-CN"/>
        </w:rPr>
        <w:t>月</w:t>
      </w:r>
      <w:r>
        <w:rPr>
          <w:rFonts w:hint="eastAsia" w:ascii="仿宋" w:hAnsi="仿宋" w:eastAsia="仿宋" w:cs="仿宋"/>
          <w:color w:val="auto"/>
          <w:sz w:val="28"/>
          <w:highlight w:val="none"/>
          <w:lang w:val="en-US" w:eastAsia="zh-CN"/>
        </w:rPr>
        <w:t>18</w:t>
      </w:r>
      <w:r>
        <w:rPr>
          <w:rFonts w:hint="eastAsia" w:ascii="仿宋" w:hAnsi="仿宋" w:eastAsia="仿宋" w:cs="仿宋"/>
          <w:color w:val="auto"/>
          <w:sz w:val="28"/>
          <w:highlight w:val="none"/>
          <w:lang w:eastAsia="zh-CN"/>
        </w:rPr>
        <w:t>日</w:t>
      </w:r>
      <w:r>
        <w:rPr>
          <w:rFonts w:hint="eastAsia" w:ascii="仿宋" w:hAnsi="仿宋" w:eastAsia="仿宋" w:cs="仿宋"/>
          <w:color w:val="auto"/>
          <w:sz w:val="28"/>
          <w:highlight w:val="none"/>
        </w:rPr>
        <w:t>，每天上午00:00至12:00，下午12:00至23:59（北京时间，法定节假日除外）</w:t>
      </w:r>
    </w:p>
    <w:p w14:paraId="69B8932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地点：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4800452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方式：线上获取。</w:t>
      </w:r>
    </w:p>
    <w:p w14:paraId="30A8E263">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售价（元）：0元/份。</w:t>
      </w:r>
    </w:p>
    <w:p w14:paraId="710FC494">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四、提交投标文件截止时间、开标时间和地点</w:t>
      </w:r>
    </w:p>
    <w:p w14:paraId="1A28BBD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提交投标文件截止时间：</w:t>
      </w:r>
      <w:r>
        <w:rPr>
          <w:rFonts w:hint="eastAsia" w:ascii="仿宋" w:hAnsi="仿宋" w:eastAsia="仿宋" w:cs="仿宋"/>
          <w:color w:val="auto"/>
          <w:sz w:val="28"/>
          <w:highlight w:val="none"/>
          <w:lang w:eastAsia="zh-CN"/>
        </w:rPr>
        <w:t>2025年04月01日10:30</w:t>
      </w:r>
      <w:r>
        <w:rPr>
          <w:rFonts w:hint="eastAsia" w:ascii="仿宋" w:hAnsi="仿宋" w:eastAsia="仿宋" w:cs="仿宋"/>
          <w:color w:val="auto"/>
          <w:sz w:val="28"/>
          <w:highlight w:val="none"/>
        </w:rPr>
        <w:t>（北京时间）</w:t>
      </w:r>
    </w:p>
    <w:p w14:paraId="490004D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投标地点：政采云www.zcygov.cn，逾期上传的投标文件将被拒收。</w:t>
      </w:r>
    </w:p>
    <w:p w14:paraId="1EEE12A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开标时间：</w:t>
      </w:r>
      <w:r>
        <w:rPr>
          <w:rFonts w:hint="eastAsia" w:ascii="仿宋" w:hAnsi="仿宋" w:eastAsia="仿宋" w:cs="仿宋"/>
          <w:color w:val="auto"/>
          <w:sz w:val="28"/>
          <w:highlight w:val="none"/>
          <w:lang w:eastAsia="zh-CN"/>
        </w:rPr>
        <w:t>2025年04月01日10:30</w:t>
      </w:r>
      <w:r>
        <w:rPr>
          <w:rFonts w:hint="eastAsia" w:ascii="仿宋" w:hAnsi="仿宋" w:eastAsia="仿宋" w:cs="仿宋"/>
          <w:color w:val="auto"/>
          <w:sz w:val="28"/>
          <w:highlight w:val="none"/>
        </w:rPr>
        <w:t>（北京时间）</w:t>
      </w:r>
    </w:p>
    <w:p w14:paraId="48CBAD47">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highlight w:val="none"/>
        </w:rPr>
        <w:t>开标地点：</w:t>
      </w:r>
      <w:r>
        <w:rPr>
          <w:rFonts w:hint="eastAsia" w:ascii="仿宋" w:hAnsi="仿宋" w:eastAsia="仿宋" w:cs="仿宋"/>
          <w:color w:val="auto"/>
          <w:sz w:val="28"/>
          <w:szCs w:val="28"/>
          <w:highlight w:val="none"/>
        </w:rPr>
        <w:t>投标人登录政采云平台https://www.zcygov.cn/，进入“项目采购-开标评标-右边选择对应项目点击“进入项目”进入开标大厅。</w:t>
      </w:r>
    </w:p>
    <w:p w14:paraId="397BD964">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五、公告期限</w:t>
      </w:r>
    </w:p>
    <w:p w14:paraId="36E24982">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自本公告发布之日起5个工作日。</w:t>
      </w:r>
    </w:p>
    <w:p w14:paraId="16194509">
      <w:pPr>
        <w:pStyle w:val="35"/>
        <w:numPr>
          <w:ilvl w:val="0"/>
          <w:numId w:val="1"/>
        </w:numPr>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其他补充事宜</w:t>
      </w:r>
    </w:p>
    <w:p w14:paraId="3886E17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1、本项目实行网上投标，采用电子投标文件。</w:t>
      </w:r>
    </w:p>
    <w:p w14:paraId="4953AA6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4AB9C79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3、供应商将政采云电子交易客户端下载、安装完成后，可通过账号密码或CA登录客户端进行投标文件的制作。在使用政采云投标客户端时，建议使用WIN7及以上操作系统。</w:t>
      </w:r>
    </w:p>
    <w:p w14:paraId="3ED481A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特别提示：</w:t>
      </w:r>
    </w:p>
    <w:p w14:paraId="400FFB4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1、超过200万元的货物和服务采购项目、超过400万元的工程采购项目中适宜由中小企业提供的，预留该部分采购项目预算总额的30%以上专门面向中小企业采购，其中预留给小微企业的比例不低于60%。</w:t>
      </w:r>
    </w:p>
    <w:p w14:paraId="38ED520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0F921360">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color w:val="auto"/>
          <w:sz w:val="28"/>
          <w:highlight w:val="none"/>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3559CAB">
      <w:pPr>
        <w:pStyle w:val="35"/>
        <w:spacing w:line="540" w:lineRule="exact"/>
        <w:ind w:firstLine="56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七、对本次采购提出询问，请按以下方式联系</w:t>
      </w:r>
    </w:p>
    <w:p w14:paraId="14FB2AB3">
      <w:pPr>
        <w:pStyle w:val="35"/>
        <w:spacing w:line="50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1.采购人信息</w:t>
      </w:r>
    </w:p>
    <w:p w14:paraId="50F2D45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名 称：新疆医科大学第二附属医院</w:t>
      </w:r>
    </w:p>
    <w:p w14:paraId="51F11592">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地 址：乌鲁木齐市水磨沟区南湖东路北二巷38号</w:t>
      </w:r>
    </w:p>
    <w:p w14:paraId="24E3DCBE">
      <w:pPr>
        <w:pStyle w:val="35"/>
        <w:spacing w:line="50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联系人：韩玺梅 董玮</w:t>
      </w:r>
    </w:p>
    <w:p w14:paraId="22DD4577">
      <w:pPr>
        <w:pStyle w:val="35"/>
        <w:spacing w:line="50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联系电话：0991-4609126</w:t>
      </w:r>
    </w:p>
    <w:p w14:paraId="40D443EB">
      <w:pPr>
        <w:pStyle w:val="35"/>
        <w:spacing w:line="500" w:lineRule="exact"/>
        <w:ind w:firstLine="561"/>
        <w:jc w:val="both"/>
        <w:rPr>
          <w:rFonts w:hint="eastAsia" w:ascii="仿宋" w:hAnsi="仿宋" w:eastAsia="仿宋" w:cs="仿宋"/>
          <w:color w:val="auto"/>
          <w:sz w:val="28"/>
          <w:highlight w:val="none"/>
        </w:rPr>
      </w:pPr>
    </w:p>
    <w:p w14:paraId="309D9400">
      <w:pPr>
        <w:pStyle w:val="35"/>
        <w:spacing w:line="46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2.采购代理机构信息</w:t>
      </w:r>
    </w:p>
    <w:p w14:paraId="452D8C6B">
      <w:pPr>
        <w:pStyle w:val="35"/>
        <w:spacing w:line="46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名 称：新疆新之建工程咨询有限公司</w:t>
      </w:r>
    </w:p>
    <w:p w14:paraId="06BF4F09">
      <w:pPr>
        <w:pStyle w:val="35"/>
        <w:spacing w:line="46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地 址：乌鲁木齐市沙依巴克区克西街618号亚欣国际酒店五楼</w:t>
      </w:r>
    </w:p>
    <w:p w14:paraId="7B3F14CF">
      <w:pPr>
        <w:pStyle w:val="35"/>
        <w:spacing w:line="460" w:lineRule="exact"/>
        <w:ind w:firstLine="561"/>
        <w:jc w:val="both"/>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rPr>
        <w:t>项目联系人：李雪 任素仙</w:t>
      </w:r>
    </w:p>
    <w:p w14:paraId="65F1FBC3">
      <w:pPr>
        <w:pStyle w:val="35"/>
        <w:spacing w:line="500" w:lineRule="exact"/>
        <w:ind w:firstLine="561"/>
        <w:jc w:val="both"/>
        <w:rPr>
          <w:rFonts w:hint="eastAsia" w:ascii="仿宋" w:hAnsi="仿宋" w:eastAsia="仿宋" w:cs="仿宋"/>
          <w:color w:val="auto"/>
          <w:highlight w:val="none"/>
        </w:rPr>
      </w:pPr>
      <w:r>
        <w:rPr>
          <w:rFonts w:hint="eastAsia" w:ascii="仿宋" w:hAnsi="仿宋" w:eastAsia="仿宋" w:cs="仿宋"/>
          <w:color w:val="auto"/>
          <w:sz w:val="28"/>
          <w:highlight w:val="none"/>
        </w:rPr>
        <w:t>联系方式：0991-8852576</w:t>
      </w:r>
    </w:p>
    <w:p w14:paraId="6FDC9F3A">
      <w:pPr>
        <w:rPr>
          <w:rFonts w:hint="eastAsia" w:ascii="仿宋" w:hAnsi="仿宋" w:eastAsia="仿宋" w:cs="仿宋"/>
          <w:b/>
          <w:bCs/>
          <w:color w:val="auto"/>
          <w:sz w:val="36"/>
          <w:highlight w:val="none"/>
        </w:rPr>
      </w:pPr>
      <w:r>
        <w:rPr>
          <w:rFonts w:hint="eastAsia" w:ascii="仿宋" w:hAnsi="仿宋" w:eastAsia="仿宋" w:cs="仿宋"/>
          <w:b/>
          <w:bCs/>
          <w:color w:val="auto"/>
          <w:sz w:val="36"/>
          <w:highlight w:val="none"/>
        </w:rPr>
        <w:br w:type="page"/>
      </w:r>
    </w:p>
    <w:p w14:paraId="4C3D98E3">
      <w:pPr>
        <w:pStyle w:val="35"/>
        <w:snapToGrid w:val="0"/>
        <w:spacing w:line="312" w:lineRule="auto"/>
        <w:ind w:firstLine="720" w:firstLineChars="200"/>
        <w:jc w:val="center"/>
        <w:rPr>
          <w:rFonts w:hint="eastAsia" w:ascii="仿宋" w:hAnsi="仿宋" w:eastAsia="仿宋" w:cs="仿宋"/>
          <w:b/>
          <w:bCs/>
          <w:color w:val="auto"/>
          <w:sz w:val="36"/>
          <w:highlight w:val="none"/>
        </w:rPr>
      </w:pPr>
      <w:r>
        <w:rPr>
          <w:rFonts w:hint="eastAsia" w:ascii="仿宋" w:hAnsi="仿宋" w:eastAsia="仿宋" w:cs="仿宋"/>
          <w:b/>
          <w:bCs/>
          <w:color w:val="auto"/>
          <w:sz w:val="36"/>
          <w:highlight w:val="none"/>
        </w:rPr>
        <w:t>第二章  投 标 须 知</w:t>
      </w:r>
      <w:bookmarkEnd w:id="1"/>
      <w:bookmarkEnd w:id="2"/>
    </w:p>
    <w:p w14:paraId="161B0BAE">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一、总 则</w:t>
      </w:r>
    </w:p>
    <w:p w14:paraId="7E2C790F">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 合格的供应商</w:t>
      </w:r>
    </w:p>
    <w:p w14:paraId="68A8585F">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1.1 凡符合《中华人民共和国政府采购法》第二十二条款规定的、有提供招标货物和服务的资格和能力，技术规范，安装调试能力强，并具有有效的营业执照（实行生产许可证制度的产品须持有生产许可证）、相关资质证书的国内货物制造商、经销商，符合本项目招标公告资质要求的，承认和履行招标文件中的各项规定者，均可参加投标。</w:t>
      </w:r>
    </w:p>
    <w:p w14:paraId="1F9BD368">
      <w:pPr>
        <w:pStyle w:val="35"/>
        <w:spacing w:line="540" w:lineRule="exact"/>
        <w:ind w:firstLine="562"/>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1.2 凡参加投标的制造商必须具有国际或国内相应的招标货物制造资质等级，信誉可靠，且应具有履行本招标文件规定的有关义务的能力。</w:t>
      </w:r>
    </w:p>
    <w:p w14:paraId="1C3E7DDA">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1.3 供应商在本次招标活动中，必须遵循《中华人民共和国政府采购法》及其实施条例（658号令）、《政府采购货物和服务招标投标管理办法》（财政部87号令）的规定。</w:t>
      </w:r>
    </w:p>
    <w:p w14:paraId="12327CF3">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1.4 本项目不接受联合体投标。</w:t>
      </w:r>
    </w:p>
    <w:p w14:paraId="66213F64">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1.5 不符合1.1、1.2、1.3、1.4条款规定的供应商，其投标将被拒绝。</w:t>
      </w:r>
    </w:p>
    <w:p w14:paraId="6B05E966">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 定义</w:t>
      </w:r>
    </w:p>
    <w:p w14:paraId="51F047C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2.1“采购代理机构”系指新疆新之建工程咨询有限公司。</w:t>
      </w:r>
    </w:p>
    <w:p w14:paraId="586A8F3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2.2“供应商”系指向采购代理机构提交投标文件的货物制造商、经销商。</w:t>
      </w:r>
    </w:p>
    <w:p w14:paraId="7B62FE4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2.3“货物”系指卖方按合同要求，须向买方提供的设计文件、货物、机械、材料、备品、手册及其他技术资料和材料。</w:t>
      </w:r>
    </w:p>
    <w:p w14:paraId="4B77F15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2.4“服务”系指按合同规定卖方须承担的运输、装卸、安装调试、技术协助、培训和交付使用后质保期内应履行的义务及售后服务等其他类似的义务。</w:t>
      </w:r>
    </w:p>
    <w:p w14:paraId="76877C6E">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2.5“卖方”系指提供合同货物和服务的经济实体。本次招标指有关中标人。</w:t>
      </w:r>
    </w:p>
    <w:p w14:paraId="3DA180BC">
      <w:pPr>
        <w:pStyle w:val="35"/>
        <w:spacing w:line="54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2.6“买方”系指购买货物和服务的单位，即为本次招标的采购人。</w:t>
      </w:r>
    </w:p>
    <w:p w14:paraId="71943D7F">
      <w:pPr>
        <w:pStyle w:val="35"/>
        <w:spacing w:line="540" w:lineRule="exact"/>
        <w:ind w:firstLine="561"/>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2.7“节能产品”或者“环保产品”是指财政部发布的《节能产品政府采购清单》或者《环境标志产品政府采购清单》的产品。 </w:t>
      </w:r>
    </w:p>
    <w:p w14:paraId="71493344">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2.8“进口产品”是指通过中国海关报关验放进入中国境内且产自关境外的产品，详见《关于政府采购进口产品管理有关问题的通知》(财库[2007]119号)、《关于政府采购进口产品管理有关问题的通知财办库》（财库[2008]﹞248号）。</w:t>
      </w:r>
    </w:p>
    <w:p w14:paraId="7F0773CA">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 其他要求</w:t>
      </w:r>
    </w:p>
    <w:p w14:paraId="08D20A06">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3.1 供应商应自行承担所有与本次招标投标有关的费用，而不论投标的结果如何。</w:t>
      </w:r>
    </w:p>
    <w:p w14:paraId="6D72F544">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3.2 政府采购政策支持</w:t>
      </w:r>
    </w:p>
    <w:p w14:paraId="1F0FE3E3">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投标须知前附表。</w:t>
      </w:r>
    </w:p>
    <w:p w14:paraId="638BEE50">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3.2.2 同一项目中部分产品属于优先采购政策的，评审时只对该部分产品的报价实行价格优惠。</w:t>
      </w:r>
    </w:p>
    <w:p w14:paraId="45CAD8A5">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3.2.3 为推进政府采购诚信体系建设，供应商在签署相关承诺，提供相关信息前，应认真阅读财政部门相关政策规定。</w:t>
      </w:r>
    </w:p>
    <w:p w14:paraId="25640F7C">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二、 招 标 文 件</w:t>
      </w:r>
    </w:p>
    <w:p w14:paraId="246144E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4. 招标文件</w:t>
      </w:r>
    </w:p>
    <w:p w14:paraId="2D4E6272">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4.1 招标文件用以阐明所需货物和服务、招标投标程序和合同条款。包括：</w:t>
      </w:r>
    </w:p>
    <w:p w14:paraId="57FDD646">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投标须知前附表</w:t>
      </w:r>
    </w:p>
    <w:p w14:paraId="4AA1AEAB">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第一章  招标公告</w:t>
      </w:r>
    </w:p>
    <w:p w14:paraId="3BF351B7">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第二章  投标须知</w:t>
      </w:r>
    </w:p>
    <w:p w14:paraId="3756553D">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第三章  招标内容及技术要求</w:t>
      </w:r>
    </w:p>
    <w:p w14:paraId="36E8FE5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第四章  合同条款及格式</w:t>
      </w:r>
    </w:p>
    <w:p w14:paraId="7D2FD461">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附件：（投标书格式）</w:t>
      </w:r>
    </w:p>
    <w:p w14:paraId="3BE2CBEF">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附件一 投标书</w:t>
      </w:r>
    </w:p>
    <w:p w14:paraId="6E662914">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附件二 法定代表人资格证明书（格式）/法定代表人授权委托书（格式）</w:t>
      </w:r>
    </w:p>
    <w:p w14:paraId="52011AFA">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附件三 供应商关于投标文件的声明函</w:t>
      </w:r>
    </w:p>
    <w:p w14:paraId="0C313758">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附件四 供应商诚信投标承诺书</w:t>
      </w:r>
    </w:p>
    <w:p w14:paraId="4042958A">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附件五 供应商反商业贿赂承诺书</w:t>
      </w:r>
    </w:p>
    <w:p w14:paraId="4B69ECE6">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附件六 开标一览表</w:t>
      </w:r>
    </w:p>
    <w:p w14:paraId="58C14AB5">
      <w:pPr>
        <w:pStyle w:val="35"/>
        <w:spacing w:line="540" w:lineRule="exact"/>
        <w:ind w:firstLine="560"/>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 xml:space="preserve">附件七 </w:t>
      </w:r>
      <w:r>
        <w:rPr>
          <w:rFonts w:hint="eastAsia" w:ascii="仿宋" w:hAnsi="仿宋" w:eastAsia="仿宋" w:cs="仿宋"/>
          <w:color w:val="auto"/>
          <w:sz w:val="28"/>
          <w:highlight w:val="none"/>
          <w:lang w:eastAsia="zh-CN"/>
        </w:rPr>
        <w:t>报价单项明细表（含试剂/耗材名称、数量、规格等）</w:t>
      </w:r>
    </w:p>
    <w:p w14:paraId="3B767246">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附件八 技术规格偏离表</w:t>
      </w:r>
    </w:p>
    <w:p w14:paraId="7027A5C3">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附件九 商务所有条款偏离表</w:t>
      </w:r>
    </w:p>
    <w:p w14:paraId="63EE1F3A">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 投标产品近三年类似销售业绩表</w:t>
      </w:r>
    </w:p>
    <w:p w14:paraId="02F6292C">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附件十一 中小企业声明函(货物)</w:t>
      </w:r>
    </w:p>
    <w:p w14:paraId="3142ED70">
      <w:pPr>
        <w:spacing w:line="480" w:lineRule="auto"/>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附件十二 投标保证金退还信息表</w:t>
      </w:r>
    </w:p>
    <w:p w14:paraId="4B3E6C3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4.2  供应商应认真阅读招标文件中所有的事项、格式、条款和规范等要求。如果没有按照招标文件要求提交全部资料或者投标文件没有对招标文件做出实质性响应，其投标将被拒绝。</w:t>
      </w:r>
    </w:p>
    <w:p w14:paraId="441D670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5. 招标文件的澄清和修改</w:t>
      </w:r>
    </w:p>
    <w:p w14:paraId="00A6A4B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5.1 采购人如需对已发出的招标文件进行必要澄清或者修改的，澄清或者修改的内容可能影响到投标文件编制的，采购代理机构应当在投标文件截止时间十五日前，并以书面形式通知所有获取招标文件的潜在供应商。该澄清或者修改的内容为招标文件的组成部分。</w:t>
      </w:r>
    </w:p>
    <w:p w14:paraId="392A7BA2">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三、投标文件的编制</w:t>
      </w:r>
    </w:p>
    <w:p w14:paraId="1EFD909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6. 投标文件的编写</w:t>
      </w:r>
    </w:p>
    <w:p w14:paraId="7B315A1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6.1 供应商应仔细阅读招标文件，了解招标文件的要求，并在充分理解招标文件提出的货物技术规范、服务和商务条款后的基础上制作投标文件。</w:t>
      </w:r>
    </w:p>
    <w:p w14:paraId="2D46BDB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6.2 为了便于查找，请在目录中标明每项内容的起始页码。未提供格式的，由投标人自行编制。</w:t>
      </w:r>
    </w:p>
    <w:p w14:paraId="11958BF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7. 投标的语言及计量单位</w:t>
      </w:r>
    </w:p>
    <w:p w14:paraId="316C92C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7.1 供应商的投标文件以及供应商与采购代理机构就有关招标活动的所有来往函电均应使用中文。如果投标文件或与投标有关的其它文件、信件及来往函电以其它语言书写的，供应商应将其译成中文。</w:t>
      </w:r>
    </w:p>
    <w:p w14:paraId="318AE55E">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7.2 投标文件中所使用的计量单位除招标文件中有特殊规定外，一律使用法定计量单位。</w:t>
      </w:r>
    </w:p>
    <w:p w14:paraId="3708414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8. 投标文件构成</w:t>
      </w:r>
    </w:p>
    <w:p w14:paraId="4463975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8.1.1 资格证明文件(以下文件必须在有效期内)</w:t>
      </w:r>
    </w:p>
    <w:p w14:paraId="78728654">
      <w:pPr>
        <w:pStyle w:val="34"/>
        <w:spacing w:line="500" w:lineRule="exact"/>
        <w:ind w:firstLine="562"/>
        <w:rPr>
          <w:rFonts w:hint="eastAsia" w:ascii="仿宋" w:hAnsi="仿宋" w:eastAsia="仿宋" w:cs="仿宋"/>
          <w:b/>
          <w:color w:val="auto"/>
          <w:highlight w:val="none"/>
        </w:rPr>
      </w:pPr>
      <w:r>
        <w:rPr>
          <w:rFonts w:hint="eastAsia" w:ascii="仿宋" w:hAnsi="仿宋" w:eastAsia="仿宋" w:cs="仿宋"/>
          <w:b/>
          <w:color w:val="auto"/>
          <w:highlight w:val="none"/>
        </w:rPr>
        <w:t>(1)供应商须具有有效的工商营业执照副本、税务登记证副本、组织机构代码证副本或“三证合一”的营业执照副本。</w:t>
      </w:r>
    </w:p>
    <w:p w14:paraId="23B5E59E">
      <w:pPr>
        <w:pStyle w:val="34"/>
        <w:spacing w:line="500" w:lineRule="exact"/>
        <w:ind w:firstLine="562"/>
        <w:rPr>
          <w:rFonts w:hint="eastAsia" w:ascii="仿宋" w:hAnsi="仿宋" w:eastAsia="仿宋" w:cs="仿宋"/>
          <w:b/>
          <w:color w:val="auto"/>
          <w:highlight w:val="none"/>
        </w:rPr>
      </w:pPr>
      <w:r>
        <w:rPr>
          <w:rFonts w:hint="eastAsia" w:ascii="仿宋" w:hAnsi="仿宋" w:eastAsia="仿宋" w:cs="仿宋"/>
          <w:b/>
          <w:color w:val="auto"/>
          <w:highlight w:val="none"/>
        </w:rPr>
        <w:t>(2)所投产品属于第二类医疗器械的须提供有效的行政主管部门颁发的医疗器械经营备案凭证（或医疗器械生产许可证或医疗器械经营许可证，经营范围需包含本次项目的内容）；所投产品属于第三类医疗器械的须提供有效的行政主管部门颁发的医疗器械生产许可证（或医疗器械经营许可证，经营范围需包含本次项目的内容）。</w:t>
      </w:r>
    </w:p>
    <w:p w14:paraId="71406B38">
      <w:pPr>
        <w:pStyle w:val="34"/>
        <w:spacing w:line="500" w:lineRule="exact"/>
        <w:ind w:firstLine="562"/>
        <w:rPr>
          <w:rFonts w:hint="eastAsia" w:ascii="仿宋" w:hAnsi="仿宋" w:eastAsia="仿宋" w:cs="仿宋"/>
          <w:b/>
          <w:color w:val="auto"/>
          <w:highlight w:val="none"/>
        </w:rPr>
      </w:pPr>
      <w:r>
        <w:rPr>
          <w:rFonts w:hint="eastAsia" w:ascii="仿宋" w:hAnsi="仿宋" w:eastAsia="仿宋" w:cs="仿宋"/>
          <w:b/>
          <w:color w:val="auto"/>
          <w:highlight w:val="none"/>
        </w:rPr>
        <w:t>(3)投标代表的授权委托书或法人资格证明书及被授权人身份证（复印件加盖公章)或法人身份证（复印件加盖公章)。授权委托书应由法定代表签名并加盖企业公章，</w:t>
      </w:r>
      <w:r>
        <w:rPr>
          <w:rFonts w:hint="eastAsia" w:ascii="仿宋" w:hAnsi="仿宋" w:eastAsia="仿宋" w:cs="仿宋"/>
          <w:b/>
          <w:color w:val="auto"/>
          <w:highlight w:val="none"/>
          <w:em w:val="dot"/>
        </w:rPr>
        <w:t>私章无效</w:t>
      </w:r>
      <w:r>
        <w:rPr>
          <w:rFonts w:hint="eastAsia" w:ascii="仿宋" w:hAnsi="仿宋" w:eastAsia="仿宋" w:cs="仿宋"/>
          <w:b/>
          <w:color w:val="auto"/>
          <w:highlight w:val="none"/>
        </w:rPr>
        <w:t>。</w:t>
      </w:r>
    </w:p>
    <w:p w14:paraId="75D5A49F">
      <w:pPr>
        <w:pStyle w:val="34"/>
        <w:spacing w:line="520" w:lineRule="exact"/>
        <w:ind w:firstLine="562"/>
        <w:rPr>
          <w:rFonts w:hint="eastAsia" w:ascii="仿宋" w:hAnsi="仿宋" w:eastAsia="仿宋" w:cs="仿宋"/>
          <w:b/>
          <w:color w:val="auto"/>
          <w:highlight w:val="none"/>
        </w:rPr>
      </w:pPr>
      <w:r>
        <w:rPr>
          <w:rFonts w:hint="eastAsia" w:ascii="仿宋" w:hAnsi="仿宋" w:eastAsia="仿宋" w:cs="仿宋"/>
          <w:b/>
          <w:color w:val="auto"/>
          <w:highlight w:val="none"/>
        </w:rPr>
        <w:t>(4)</w:t>
      </w:r>
      <w:r>
        <w:rPr>
          <w:rFonts w:hint="eastAsia" w:ascii="仿宋" w:hAnsi="仿宋" w:eastAsia="仿宋" w:cs="仿宋"/>
          <w:b/>
          <w:bCs/>
          <w:color w:val="auto"/>
          <w:highlight w:val="none"/>
        </w:rPr>
        <w:t>供应商“信用中国”网站(</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"http://www.creditchina.gov.cn" </w:instrText>
      </w:r>
      <w:r>
        <w:rPr>
          <w:rFonts w:hint="eastAsia" w:ascii="仿宋" w:hAnsi="仿宋" w:eastAsia="仿宋" w:cs="仿宋"/>
          <w:color w:val="auto"/>
          <w:highlight w:val="none"/>
        </w:rPr>
        <w:fldChar w:fldCharType="separate"/>
      </w:r>
      <w:r>
        <w:rPr>
          <w:rFonts w:hint="eastAsia" w:ascii="仿宋" w:hAnsi="仿宋" w:eastAsia="仿宋" w:cs="仿宋"/>
          <w:b/>
          <w:bCs/>
          <w:color w:val="auto"/>
          <w:highlight w:val="none"/>
        </w:rPr>
        <w:t>www.creditchina.gov.cn</w:t>
      </w:r>
      <w:r>
        <w:rPr>
          <w:rFonts w:hint="eastAsia" w:ascii="仿宋" w:hAnsi="仿宋" w:eastAsia="仿宋" w:cs="仿宋"/>
          <w:b/>
          <w:bCs/>
          <w:color w:val="auto"/>
          <w:highlight w:val="none"/>
        </w:rPr>
        <w:fldChar w:fldCharType="end"/>
      </w:r>
      <w:r>
        <w:rPr>
          <w:rFonts w:hint="eastAsia" w:ascii="仿宋" w:hAnsi="仿宋" w:eastAsia="仿宋" w:cs="仿宋"/>
          <w:b/>
          <w:bCs/>
          <w:color w:val="auto"/>
          <w:highlight w:val="none"/>
        </w:rPr>
        <w:t>)未被列入重大税收违法失信主体、“中国执行信息公开网”（http://zxgk.court.gov.cn/）未被列入失信被执行人、“中国政府采购”网站（www.ccgp.gov.cn）未被列入政府采购严重违法失信行为记录名单。</w:t>
      </w:r>
    </w:p>
    <w:p w14:paraId="0A60E4FB">
      <w:pPr>
        <w:pStyle w:val="34"/>
        <w:spacing w:line="500" w:lineRule="exact"/>
        <w:ind w:firstLine="562"/>
        <w:rPr>
          <w:rFonts w:hint="eastAsia" w:ascii="仿宋" w:hAnsi="仿宋" w:eastAsia="仿宋" w:cs="仿宋"/>
          <w:b/>
          <w:color w:val="auto"/>
          <w:highlight w:val="none"/>
        </w:rPr>
      </w:pPr>
      <w:r>
        <w:rPr>
          <w:rFonts w:hint="eastAsia" w:ascii="仿宋" w:hAnsi="仿宋" w:eastAsia="仿宋" w:cs="仿宋"/>
          <w:b/>
          <w:color w:val="auto"/>
          <w:highlight w:val="none"/>
        </w:rPr>
        <w:t>(5)投标保证金（被采购代理机构认可的缴纳凭证或保函相关证明资料）。</w:t>
      </w:r>
    </w:p>
    <w:p w14:paraId="7C4C85F9">
      <w:pPr>
        <w:pStyle w:val="34"/>
        <w:spacing w:line="500" w:lineRule="exact"/>
        <w:ind w:firstLine="562"/>
        <w:rPr>
          <w:rFonts w:hint="eastAsia" w:ascii="仿宋" w:hAnsi="仿宋" w:eastAsia="仿宋" w:cs="仿宋"/>
          <w:b/>
          <w:color w:val="auto"/>
          <w:highlight w:val="none"/>
        </w:rPr>
      </w:pPr>
      <w:r>
        <w:rPr>
          <w:rFonts w:hint="eastAsia" w:ascii="仿宋" w:hAnsi="仿宋" w:eastAsia="仿宋" w:cs="仿宋"/>
          <w:b/>
          <w:color w:val="auto"/>
          <w:highlight w:val="none"/>
        </w:rPr>
        <w:t>(6)本项目全部面向中小微企业：货物类投标单位提供的投标产品的制造商须为中小微企业，提供《中小企业声明函》；（产品由中小微企业生产且使用该中小微企业商号或者注册商标）。</w:t>
      </w:r>
    </w:p>
    <w:p w14:paraId="47A09D58">
      <w:pPr>
        <w:pStyle w:val="34"/>
        <w:spacing w:line="520" w:lineRule="exact"/>
        <w:ind w:firstLine="560"/>
        <w:rPr>
          <w:rFonts w:hint="eastAsia" w:ascii="仿宋" w:hAnsi="仿宋" w:eastAsia="仿宋" w:cs="仿宋"/>
          <w:bCs/>
          <w:color w:val="auto"/>
          <w:highlight w:val="none"/>
        </w:rPr>
      </w:pPr>
      <w:r>
        <w:rPr>
          <w:rFonts w:hint="eastAsia" w:ascii="仿宋" w:hAnsi="仿宋" w:eastAsia="仿宋" w:cs="仿宋"/>
          <w:bCs/>
          <w:color w:val="auto"/>
          <w:sz w:val="28"/>
          <w:szCs w:val="21"/>
          <w:highlight w:val="none"/>
        </w:rPr>
        <w:t>(7)</w:t>
      </w:r>
      <w:r>
        <w:rPr>
          <w:rFonts w:hint="eastAsia" w:ascii="仿宋" w:hAnsi="仿宋" w:eastAsia="仿宋" w:cs="仿宋"/>
          <w:bCs/>
          <w:color w:val="auto"/>
          <w:highlight w:val="none"/>
        </w:rPr>
        <w:t>参加政府采购活动近三年内在经营活动中没有重大违法记录的书面声明。</w:t>
      </w:r>
    </w:p>
    <w:p w14:paraId="1EB780EB">
      <w:pPr>
        <w:pStyle w:val="35"/>
        <w:spacing w:line="520" w:lineRule="exact"/>
        <w:ind w:firstLine="562"/>
        <w:jc w:val="both"/>
        <w:rPr>
          <w:rFonts w:hint="eastAsia" w:ascii="仿宋" w:hAnsi="仿宋" w:eastAsia="仿宋" w:cs="仿宋"/>
          <w:color w:val="auto"/>
          <w:sz w:val="28"/>
          <w:highlight w:val="none"/>
        </w:rPr>
      </w:pPr>
      <w:r>
        <w:rPr>
          <w:rFonts w:hint="eastAsia" w:ascii="仿宋" w:hAnsi="仿宋" w:eastAsia="仿宋" w:cs="仿宋"/>
          <w:bCs/>
          <w:color w:val="auto"/>
          <w:sz w:val="28"/>
          <w:szCs w:val="21"/>
          <w:highlight w:val="none"/>
        </w:rPr>
        <w:t>(</w:t>
      </w:r>
      <w:r>
        <w:rPr>
          <w:rFonts w:hint="eastAsia" w:ascii="仿宋" w:hAnsi="仿宋" w:eastAsia="仿宋" w:cs="仿宋"/>
          <w:bCs/>
          <w:color w:val="auto"/>
          <w:sz w:val="28"/>
          <w:szCs w:val="21"/>
          <w:highlight w:val="none"/>
          <w:lang w:val="en-US" w:eastAsia="zh-CN"/>
        </w:rPr>
        <w:t>8</w:t>
      </w:r>
      <w:r>
        <w:rPr>
          <w:rFonts w:hint="eastAsia" w:ascii="仿宋" w:hAnsi="仿宋" w:eastAsia="仿宋" w:cs="仿宋"/>
          <w:bCs/>
          <w:color w:val="auto"/>
          <w:sz w:val="28"/>
          <w:szCs w:val="21"/>
          <w:highlight w:val="none"/>
        </w:rPr>
        <w:t>)</w:t>
      </w:r>
      <w:r>
        <w:rPr>
          <w:rFonts w:hint="eastAsia" w:ascii="仿宋" w:hAnsi="仿宋" w:eastAsia="仿宋" w:cs="仿宋"/>
          <w:color w:val="auto"/>
          <w:sz w:val="28"/>
          <w:highlight w:val="none"/>
        </w:rPr>
        <w:t>供应商认为有必要提供的声明及文件资料。</w:t>
      </w:r>
    </w:p>
    <w:p w14:paraId="7CE7E95D">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color w:val="auto"/>
          <w:sz w:val="28"/>
          <w:highlight w:val="none"/>
        </w:rPr>
        <w:t>8.1.2 商务投标书</w:t>
      </w:r>
    </w:p>
    <w:p w14:paraId="60950EE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b/>
          <w:color w:val="auto"/>
          <w:sz w:val="28"/>
          <w:highlight w:val="none"/>
        </w:rPr>
        <w:t>(1) 投标书</w:t>
      </w:r>
    </w:p>
    <w:p w14:paraId="10014F5B">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 开标一览表</w:t>
      </w:r>
    </w:p>
    <w:p w14:paraId="3A47AC32">
      <w:pPr>
        <w:pStyle w:val="35"/>
        <w:spacing w:line="540" w:lineRule="exact"/>
        <w:ind w:firstLine="548" w:firstLineChars="196"/>
        <w:jc w:val="both"/>
        <w:rPr>
          <w:rFonts w:hint="eastAsia" w:ascii="仿宋" w:hAnsi="仿宋" w:eastAsia="仿宋" w:cs="仿宋"/>
          <w:b/>
          <w:color w:val="auto"/>
          <w:sz w:val="28"/>
          <w:highlight w:val="none"/>
          <w:lang w:eastAsia="zh-CN"/>
        </w:rPr>
      </w:pPr>
      <w:r>
        <w:rPr>
          <w:rFonts w:hint="eastAsia" w:ascii="仿宋" w:hAnsi="仿宋" w:eastAsia="仿宋" w:cs="仿宋"/>
          <w:b/>
          <w:color w:val="auto"/>
          <w:sz w:val="28"/>
          <w:highlight w:val="none"/>
        </w:rPr>
        <w:t xml:space="preserve">(3) </w:t>
      </w:r>
      <w:r>
        <w:rPr>
          <w:rFonts w:hint="eastAsia" w:ascii="仿宋" w:hAnsi="仿宋" w:eastAsia="仿宋" w:cs="仿宋"/>
          <w:b/>
          <w:color w:val="auto"/>
          <w:sz w:val="28"/>
          <w:highlight w:val="none"/>
          <w:lang w:eastAsia="zh-CN"/>
        </w:rPr>
        <w:t>报价单项明细表（含试剂/耗材名称、数量、规格等）</w:t>
      </w:r>
    </w:p>
    <w:p w14:paraId="536D201E">
      <w:pPr>
        <w:pStyle w:val="35"/>
        <w:spacing w:line="540" w:lineRule="exact"/>
        <w:ind w:firstLine="548" w:firstLineChars="196"/>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(4) 商务所有条款偏离表</w:t>
      </w:r>
    </w:p>
    <w:p w14:paraId="50DB9AD5">
      <w:pPr>
        <w:pStyle w:val="35"/>
        <w:spacing w:line="540" w:lineRule="exact"/>
        <w:ind w:firstLine="548" w:firstLineChars="196"/>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(5) 投标产品近三年类似销售业绩表（须提供加盖企业公章的合同或者中标通知书复印件）</w:t>
      </w:r>
    </w:p>
    <w:p w14:paraId="71BE9F44">
      <w:pPr>
        <w:pStyle w:val="35"/>
        <w:spacing w:line="540" w:lineRule="exact"/>
        <w:ind w:firstLine="548" w:firstLineChars="196"/>
        <w:jc w:val="both"/>
        <w:rPr>
          <w:rFonts w:hint="eastAsia" w:ascii="仿宋" w:hAnsi="仿宋" w:eastAsia="仿宋" w:cs="仿宋"/>
          <w:b w:val="0"/>
          <w:bCs/>
          <w:color w:val="auto"/>
          <w:sz w:val="28"/>
          <w:highlight w:val="none"/>
        </w:rPr>
      </w:pPr>
      <w:r>
        <w:rPr>
          <w:rFonts w:hint="eastAsia" w:ascii="仿宋" w:hAnsi="仿宋" w:eastAsia="仿宋" w:cs="仿宋"/>
          <w:b w:val="0"/>
          <w:bCs/>
          <w:color w:val="auto"/>
          <w:sz w:val="28"/>
          <w:highlight w:val="none"/>
        </w:rPr>
        <w:t>(6) 售后服务承诺书及培训计划</w:t>
      </w:r>
    </w:p>
    <w:p w14:paraId="1873AAD1">
      <w:pPr>
        <w:pStyle w:val="34"/>
        <w:spacing w:line="52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(7) 若为进口产品（含主要配件），货到验收时须提供</w:t>
      </w:r>
      <w:r>
        <w:rPr>
          <w:rFonts w:hint="eastAsia" w:ascii="仿宋" w:hAnsi="仿宋" w:eastAsia="仿宋" w:cs="仿宋"/>
          <w:color w:val="auto"/>
          <w:szCs w:val="21"/>
          <w:highlight w:val="none"/>
        </w:rPr>
        <w:t>报关单等相关材料，开箱验收时必须有海关人员在现场；</w:t>
      </w:r>
      <w:r>
        <w:rPr>
          <w:rFonts w:hint="eastAsia" w:ascii="仿宋" w:hAnsi="仿宋" w:eastAsia="仿宋" w:cs="仿宋"/>
          <w:color w:val="auto"/>
          <w:highlight w:val="none"/>
        </w:rPr>
        <w:t>所需的进口机电证（如需要），报关、商检、计量等相关事宜，由供应商负责办理，相关费用由供应商承担。</w:t>
      </w:r>
    </w:p>
    <w:p w14:paraId="475679EC">
      <w:pPr>
        <w:pStyle w:val="34"/>
        <w:ind w:firstLine="560"/>
        <w:rPr>
          <w:rFonts w:hint="eastAsia" w:ascii="仿宋" w:hAnsi="仿宋" w:eastAsia="仿宋" w:cs="仿宋"/>
          <w:color w:val="auto"/>
          <w:highlight w:val="none"/>
        </w:rPr>
      </w:pPr>
      <w:r>
        <w:rPr>
          <w:rFonts w:hint="eastAsia" w:ascii="仿宋" w:hAnsi="仿宋" w:eastAsia="仿宋" w:cs="仿宋"/>
          <w:color w:val="auto"/>
          <w:highlight w:val="none"/>
        </w:rPr>
        <w:t>(8) 供应商认为有必要提供的声明及文件资料。</w:t>
      </w:r>
    </w:p>
    <w:p w14:paraId="4C4E2A0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8.1.3 技术投标书</w:t>
      </w:r>
    </w:p>
    <w:p w14:paraId="34D38806">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 产品的详细技术参数说明：</w:t>
      </w:r>
    </w:p>
    <w:p w14:paraId="644051CF">
      <w:pPr>
        <w:pStyle w:val="35"/>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szCs w:val="24"/>
          <w:highlight w:val="none"/>
        </w:rPr>
        <w:t>提供产品图片资料及产品说明书</w:t>
      </w:r>
      <w:r>
        <w:rPr>
          <w:rFonts w:hint="eastAsia" w:ascii="仿宋" w:hAnsi="仿宋" w:eastAsia="仿宋" w:cs="仿宋"/>
          <w:color w:val="auto"/>
          <w:sz w:val="28"/>
          <w:highlight w:val="none"/>
        </w:rPr>
        <w:t>。对未提供产品图片资料、说明书、模糊不清及不全的均视为未提供。</w:t>
      </w:r>
    </w:p>
    <w:p w14:paraId="62053E79">
      <w:pPr>
        <w:pStyle w:val="35"/>
        <w:snapToGrid w:val="0"/>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 技术规格偏离表（供应商须对第三章所有技术参数条款逐条列明是否响应，如有偏离，须一一列明）。</w:t>
      </w:r>
    </w:p>
    <w:p w14:paraId="3DD78239">
      <w:pPr>
        <w:pStyle w:val="35"/>
        <w:snapToGrid w:val="0"/>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 备品备件及专用工具清单。</w:t>
      </w:r>
    </w:p>
    <w:p w14:paraId="1E6320C7">
      <w:pPr>
        <w:pStyle w:val="35"/>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w:t>
      </w:r>
      <w:r>
        <w:rPr>
          <w:rFonts w:hint="eastAsia" w:ascii="仿宋" w:hAnsi="仿宋" w:eastAsia="仿宋" w:cs="仿宋"/>
          <w:color w:val="auto"/>
          <w:sz w:val="28"/>
          <w:highlight w:val="none"/>
          <w:lang w:val="en-US" w:eastAsia="zh-CN"/>
        </w:rPr>
        <w:t>4</w:t>
      </w:r>
      <w:r>
        <w:rPr>
          <w:rFonts w:hint="eastAsia" w:ascii="仿宋" w:hAnsi="仿宋" w:eastAsia="仿宋" w:cs="仿宋"/>
          <w:color w:val="auto"/>
          <w:sz w:val="28"/>
          <w:highlight w:val="none"/>
        </w:rPr>
        <w:t>) 供应商认为有必要提供的声明及完整文件或技术支持资料。</w:t>
      </w:r>
    </w:p>
    <w:p w14:paraId="68382131">
      <w:pPr>
        <w:pStyle w:val="34"/>
        <w:ind w:firstLine="550"/>
        <w:rPr>
          <w:rFonts w:hint="eastAsia" w:ascii="仿宋" w:hAnsi="仿宋" w:eastAsia="仿宋" w:cs="仿宋"/>
          <w:color w:val="auto"/>
          <w:highlight w:val="none"/>
        </w:rPr>
      </w:pPr>
      <w:r>
        <w:rPr>
          <w:rFonts w:hint="eastAsia" w:ascii="仿宋" w:hAnsi="仿宋" w:eastAsia="仿宋" w:cs="仿宋"/>
          <w:b/>
          <w:color w:val="auto"/>
          <w:spacing w:val="-3"/>
          <w:highlight w:val="none"/>
        </w:rPr>
        <w:t>(</w:t>
      </w:r>
      <w:r>
        <w:rPr>
          <w:rFonts w:hint="eastAsia" w:ascii="仿宋" w:hAnsi="仿宋" w:eastAsia="仿宋" w:cs="仿宋"/>
          <w:b/>
          <w:color w:val="auto"/>
          <w:spacing w:val="-3"/>
          <w:highlight w:val="none"/>
          <w:lang w:val="en-US" w:eastAsia="zh-CN"/>
        </w:rPr>
        <w:t>5</w:t>
      </w:r>
      <w:r>
        <w:rPr>
          <w:rFonts w:hint="eastAsia" w:ascii="仿宋" w:hAnsi="仿宋" w:eastAsia="仿宋" w:cs="仿宋"/>
          <w:b/>
          <w:color w:val="auto"/>
          <w:spacing w:val="-3"/>
          <w:highlight w:val="none"/>
        </w:rPr>
        <w:t>)投标人对招标文件必须做一一对应的响应。</w:t>
      </w:r>
    </w:p>
    <w:p w14:paraId="4CA2CB9C">
      <w:pPr>
        <w:pStyle w:val="35"/>
        <w:wordWrap w:val="0"/>
        <w:snapToGrid w:val="0"/>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8.2 第8.1.1条中第(1)(2)(3)(4)(5)(</w:t>
      </w:r>
      <w:r>
        <w:rPr>
          <w:rFonts w:hint="eastAsia" w:ascii="仿宋" w:hAnsi="仿宋" w:eastAsia="仿宋" w:cs="仿宋"/>
          <w:b/>
          <w:color w:val="auto"/>
          <w:sz w:val="28"/>
          <w:highlight w:val="none"/>
          <w:lang w:val="en-US" w:eastAsia="zh-CN"/>
        </w:rPr>
        <w:t>6</w:t>
      </w:r>
      <w:r>
        <w:rPr>
          <w:rFonts w:hint="eastAsia" w:ascii="仿宋" w:hAnsi="仿宋" w:eastAsia="仿宋" w:cs="仿宋"/>
          <w:b/>
          <w:color w:val="auto"/>
          <w:sz w:val="28"/>
          <w:highlight w:val="none"/>
        </w:rPr>
        <w:t>)项、第8.1.2条中第(1)(2)(3)(4)项、第8.1.3条中第(2)(</w:t>
      </w:r>
      <w:r>
        <w:rPr>
          <w:rFonts w:hint="eastAsia" w:ascii="仿宋" w:hAnsi="仿宋" w:eastAsia="仿宋" w:cs="仿宋"/>
          <w:b/>
          <w:color w:val="auto"/>
          <w:sz w:val="28"/>
          <w:highlight w:val="none"/>
          <w:lang w:val="en-US" w:eastAsia="zh-CN"/>
        </w:rPr>
        <w:t>5</w:t>
      </w:r>
      <w:r>
        <w:rPr>
          <w:rFonts w:hint="eastAsia" w:ascii="仿宋" w:hAnsi="仿宋" w:eastAsia="仿宋" w:cs="仿宋"/>
          <w:b/>
          <w:color w:val="auto"/>
          <w:sz w:val="28"/>
          <w:highlight w:val="none"/>
        </w:rPr>
        <w:t>)项为必备项，供应商在投标文件中必须提供有关材料，如果缺项，或不符合要求，将导致投标无效。</w:t>
      </w:r>
    </w:p>
    <w:p w14:paraId="35132061">
      <w:pPr>
        <w:pStyle w:val="35"/>
        <w:snapToGrid w:val="0"/>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8.3 供应商在投标中违反国家有关法律法规的强制性规定的，其投标按未满足招标文件实质性要求处理。</w:t>
      </w:r>
    </w:p>
    <w:p w14:paraId="4592C35C">
      <w:pPr>
        <w:pStyle w:val="35"/>
        <w:snapToGrid w:val="0"/>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9. 投标书格式</w:t>
      </w:r>
    </w:p>
    <w:p w14:paraId="380E17BD">
      <w:pPr>
        <w:pStyle w:val="35"/>
        <w:snapToGrid w:val="0"/>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9.1 供应商应按招标文件提供的格式完整地填写所提供的货物、服务、数量及价格。</w:t>
      </w:r>
    </w:p>
    <w:p w14:paraId="2D96B1F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 投标报价</w:t>
      </w:r>
    </w:p>
    <w:p w14:paraId="2CD96812">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10.1 供应商应按招标文件所附的《开标一览表》和《投标产品名称、数量、规格明细报价表》中的项目，标明拟提供货物和服务的单价和总价。如单价和总价不符，以单价累计为准。</w:t>
      </w:r>
    </w:p>
    <w:p w14:paraId="1EAEB43D">
      <w:pPr>
        <w:pStyle w:val="35"/>
        <w:spacing w:line="540" w:lineRule="exact"/>
        <w:ind w:firstLine="567"/>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10.2 本标针对每种货物只接受一个报价，不接受备选方案，但不拒绝优惠声明，优惠声明需在《开标一览表》备注中填写。</w:t>
      </w:r>
    </w:p>
    <w:p w14:paraId="57591629">
      <w:pPr>
        <w:pStyle w:val="35"/>
        <w:spacing w:line="540" w:lineRule="exact"/>
        <w:ind w:firstLine="562"/>
        <w:rPr>
          <w:rFonts w:hint="eastAsia" w:ascii="仿宋" w:hAnsi="仿宋" w:eastAsia="仿宋" w:cs="仿宋"/>
          <w:color w:val="auto"/>
          <w:sz w:val="28"/>
          <w:highlight w:val="none"/>
        </w:rPr>
      </w:pPr>
      <w:r>
        <w:rPr>
          <w:rFonts w:hint="eastAsia" w:ascii="仿宋" w:hAnsi="仿宋" w:eastAsia="仿宋" w:cs="仿宋"/>
          <w:color w:val="auto"/>
          <w:sz w:val="28"/>
          <w:highlight w:val="none"/>
        </w:rPr>
        <w:t>10.3 供应商应按招标文件的要求对有关设计、货物及其配套服务的全部内容进行报价。投标报价应包括：</w:t>
      </w:r>
    </w:p>
    <w:p w14:paraId="72AA72F0">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10.3.1 外购、外协、配套件、原材料及功能设计生产制造、检验、油漆、包装、保险、利税、管理、备品备件、专用工具、运杂、安装调试、人员培训等费用。</w:t>
      </w:r>
    </w:p>
    <w:p w14:paraId="76FD7B5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10.3.2 招标文件中特别要求的零、备件费用。</w:t>
      </w:r>
    </w:p>
    <w:p w14:paraId="0726941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10.3.3 分项报价明细表中特别要求的安装、调试、运输及培训费用。</w:t>
      </w:r>
    </w:p>
    <w:p w14:paraId="507853A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10.3.4 所需的进口机电证（如需要），报关、商检、计量等相关事宜，由供应商负责办理，费用由供应商承担。</w:t>
      </w:r>
    </w:p>
    <w:p w14:paraId="08FB1C4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11. 投标货币</w:t>
      </w:r>
    </w:p>
    <w:p w14:paraId="03589B1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11.1 本次投标货币为人民币。</w:t>
      </w:r>
    </w:p>
    <w:p w14:paraId="4CEE03E0">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12. 证明供应商合格和资格的文件</w:t>
      </w:r>
    </w:p>
    <w:p w14:paraId="3AA7020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12.1 按照第8条规定，供应商应提交证明其有资格参加投标和一旦其投标被接受则有能力履行合同的文件，并作为其投标文件的一部分。</w:t>
      </w:r>
    </w:p>
    <w:p w14:paraId="06D74E2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12.2 供应商应填写并提交招标文件所要求的资格证明类文件。</w:t>
      </w:r>
    </w:p>
    <w:p w14:paraId="70E88A5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 证明货物的合格性和符合招标文件规定的文件</w:t>
      </w:r>
    </w:p>
    <w:p w14:paraId="0B35951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13.1 按照第8条规定，供应商应提交招标文件要求的货物及其服务的合格性及符合招标文件规定的证明文件。证明文件可以是手册和资料，并作为投标文件的一部分。</w:t>
      </w:r>
    </w:p>
    <w:p w14:paraId="5615C5CB">
      <w:pPr>
        <w:pStyle w:val="35"/>
        <w:spacing w:line="540" w:lineRule="exact"/>
        <w:ind w:firstLine="560"/>
        <w:rPr>
          <w:rFonts w:hint="eastAsia" w:ascii="仿宋" w:hAnsi="仿宋" w:eastAsia="仿宋" w:cs="仿宋"/>
          <w:b/>
          <w:color w:val="auto"/>
          <w:sz w:val="28"/>
          <w:highlight w:val="none"/>
        </w:rPr>
      </w:pPr>
      <w:r>
        <w:rPr>
          <w:rFonts w:hint="eastAsia" w:ascii="仿宋" w:hAnsi="仿宋" w:eastAsia="仿宋" w:cs="仿宋"/>
          <w:color w:val="auto"/>
          <w:sz w:val="28"/>
          <w:highlight w:val="none"/>
        </w:rPr>
        <w:t>13.2 供应商应逐条阅读招标文件要求的技术规格及商务条款要求，指出自己提供的货物和服务是否对招标文件做出响应，</w:t>
      </w:r>
      <w:r>
        <w:rPr>
          <w:rFonts w:hint="eastAsia" w:ascii="仿宋" w:hAnsi="仿宋" w:eastAsia="仿宋" w:cs="仿宋"/>
          <w:b/>
          <w:color w:val="auto"/>
          <w:sz w:val="28"/>
          <w:highlight w:val="none"/>
        </w:rPr>
        <w:t>并将不能响应之处在招标文件所附的“技术规格偏离表”和“商务所有条款偏离表”中一一列出。</w:t>
      </w:r>
    </w:p>
    <w:p w14:paraId="5C7F656F">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13.3 证明货物的合格性和符合招标文件规定的文件应包括下列内容：</w:t>
      </w:r>
    </w:p>
    <w:p w14:paraId="73087FD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13.3.1 投标货物的试(检)验报告、鉴定证书（复印件）；</w:t>
      </w:r>
    </w:p>
    <w:p w14:paraId="64C6FFB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13.3.2 执行的制造、验收标准；</w:t>
      </w:r>
    </w:p>
    <w:p w14:paraId="765C508E">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13.3.3 荣获产品质量、生产管理等方面的荣誉证书（复印件）；</w:t>
      </w:r>
    </w:p>
    <w:p w14:paraId="4809D2B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13.3.4 有关的产品样册、手册和资料；</w:t>
      </w:r>
    </w:p>
    <w:p w14:paraId="050D6BF8">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13.3.5 供应商认为有必要提供的其它证明文件；</w:t>
      </w:r>
    </w:p>
    <w:p w14:paraId="3A6BE3C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14. 投标文件的有效期</w:t>
      </w:r>
    </w:p>
    <w:p w14:paraId="0A4FF41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14.1 投标文件从实际开标之日起</w:t>
      </w:r>
      <w:r>
        <w:rPr>
          <w:rFonts w:hint="eastAsia" w:ascii="仿宋" w:hAnsi="仿宋" w:eastAsia="仿宋" w:cs="仿宋"/>
          <w:color w:val="auto"/>
          <w:sz w:val="28"/>
          <w:highlight w:val="none"/>
          <w:u w:val="single"/>
        </w:rPr>
        <w:t xml:space="preserve"> 90 </w:t>
      </w:r>
      <w:r>
        <w:rPr>
          <w:rFonts w:hint="eastAsia" w:ascii="仿宋" w:hAnsi="仿宋" w:eastAsia="仿宋" w:cs="仿宋"/>
          <w:color w:val="auto"/>
          <w:sz w:val="28"/>
          <w:highlight w:val="none"/>
        </w:rPr>
        <w:t>天内有效。</w:t>
      </w:r>
    </w:p>
    <w:p w14:paraId="4C497BD2">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14.2 在特殊情况下，在原投标有效期届满之前，采购代理机构可与投标单位协商延长投标文件的有效期，并经投标方确认。</w:t>
      </w:r>
    </w:p>
    <w:p w14:paraId="21C378A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15. 投标文件的书写要求及签署。</w:t>
      </w:r>
    </w:p>
    <w:p w14:paraId="6397C7A7">
      <w:pPr>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15.1 投标文件的书写应清楚工整，修改处应由供应商授权代表签字或盖章。</w:t>
      </w:r>
    </w:p>
    <w:p w14:paraId="4E8B0E7B">
      <w:pPr>
        <w:pStyle w:val="35"/>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15.2 未实质性对应响应招标文件、或者关键字迹潦草、关键内容表达不清、或者未按要求填写或可能导致非唯一理解的投标文件将不能通过符合性检查，按重大偏离处理。</w:t>
      </w:r>
    </w:p>
    <w:p w14:paraId="420A8AC6">
      <w:pPr>
        <w:pStyle w:val="35"/>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15.3 投标文件应由企业法人或法人授权代表在所有规定签章处逐一签署及加盖单位的公章。</w:t>
      </w:r>
    </w:p>
    <w:p w14:paraId="6EFFC3A1">
      <w:pPr>
        <w:pStyle w:val="35"/>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15.4 明显不符合招标文件关于对投标货物技术规格和标准的要求；投标文件载明的供货范围、货物包装方式、检验标准和方法等不符合招标文件的要求；</w:t>
      </w:r>
    </w:p>
    <w:p w14:paraId="2B775877">
      <w:pPr>
        <w:pStyle w:val="35"/>
        <w:spacing w:line="54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lang w:val="en-US" w:eastAsia="zh-CN"/>
        </w:rPr>
        <w:t xml:space="preserve">15.5 </w:t>
      </w:r>
      <w:r>
        <w:rPr>
          <w:rFonts w:hint="eastAsia" w:ascii="仿宋" w:hAnsi="仿宋" w:eastAsia="仿宋" w:cs="仿宋"/>
          <w:b/>
          <w:color w:val="auto"/>
          <w:sz w:val="28"/>
          <w:highlight w:val="none"/>
        </w:rPr>
        <w:t>如果虚假应标将会导致废标，并将虚假应标投标公司及生产厂家上报政府采购部门并列入黑名单。</w:t>
      </w:r>
    </w:p>
    <w:p w14:paraId="06AD5E25">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16. 投标保证金</w:t>
      </w:r>
    </w:p>
    <w:p w14:paraId="075092ED">
      <w:pPr>
        <w:pStyle w:val="34"/>
        <w:spacing w:line="54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16.1 投标保证金金</w:t>
      </w:r>
      <w:r>
        <w:rPr>
          <w:rFonts w:hint="eastAsia" w:ascii="仿宋" w:hAnsi="仿宋" w:eastAsia="仿宋" w:cs="仿宋"/>
          <w:color w:val="auto"/>
          <w:szCs w:val="22"/>
          <w:highlight w:val="none"/>
        </w:rPr>
        <w:t>额</w:t>
      </w:r>
      <w:r>
        <w:rPr>
          <w:rFonts w:hint="eastAsia" w:ascii="仿宋" w:hAnsi="仿宋" w:eastAsia="仿宋" w:cs="仿宋"/>
          <w:color w:val="auto"/>
          <w:highlight w:val="none"/>
        </w:rPr>
        <w:t>：按照投标须知前附表第5条规定金额缴纳；投标保证金以非现金形式的银行转账（网银或电汇转账的形式由供应商的基本账户汇出）、保函、支票、汇票、本票方式提交，需备注项目编号、项目名称（或项目简称）及包号，于投标文件提交截止时间前交至招标代理机构指定账户（以实际到账时间为准，逾期无效），公示期结束后予以退还。</w:t>
      </w:r>
    </w:p>
    <w:p w14:paraId="2221A15A">
      <w:pPr>
        <w:pStyle w:val="34"/>
        <w:spacing w:line="54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16.2 投标保证金用于保护本次招标免受供应商的违规、违约行为而引起的风险。</w:t>
      </w:r>
    </w:p>
    <w:p w14:paraId="5B85BC13">
      <w:pPr>
        <w:pStyle w:val="35"/>
        <w:snapToGrid w:val="0"/>
        <w:spacing w:line="520" w:lineRule="exact"/>
        <w:ind w:firstLine="567"/>
        <w:jc w:val="both"/>
        <w:rPr>
          <w:rFonts w:hint="eastAsia" w:ascii="仿宋" w:hAnsi="仿宋" w:eastAsia="仿宋" w:cs="仿宋"/>
          <w:b/>
          <w:color w:val="auto"/>
          <w:sz w:val="28"/>
          <w:highlight w:val="none"/>
        </w:rPr>
      </w:pPr>
      <w:r>
        <w:rPr>
          <w:rFonts w:hint="eastAsia" w:ascii="仿宋" w:hAnsi="仿宋" w:eastAsia="仿宋" w:cs="仿宋"/>
          <w:color w:val="auto"/>
          <w:sz w:val="28"/>
          <w:highlight w:val="none"/>
        </w:rPr>
        <w:t>16.3 投标保证金应用人民币，由投标人按“投标须知前附表”中规定的银行、帐号，按16.1条要求的数额办理，于投标截止时间前交招标代理机构。</w:t>
      </w:r>
      <w:r>
        <w:rPr>
          <w:rFonts w:hint="eastAsia" w:ascii="仿宋" w:hAnsi="仿宋" w:eastAsia="仿宋" w:cs="仿宋"/>
          <w:b/>
          <w:bCs/>
          <w:color w:val="auto"/>
          <w:sz w:val="28"/>
          <w:highlight w:val="none"/>
        </w:rPr>
        <w:t>对未按要求提交投标保证金的，其投标无效。</w:t>
      </w:r>
    </w:p>
    <w:p w14:paraId="09604DA5">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16.4 投标保证金的退还</w:t>
      </w:r>
    </w:p>
    <w:p w14:paraId="72A7B2EF">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各投标供应商请将以下退还投标保证金资料制作在投标文件内，我司将在项目中标结果公示期满后按照法律法规规定期限予以退还。</w:t>
      </w:r>
    </w:p>
    <w:p w14:paraId="71F93E1C">
      <w:pPr>
        <w:pStyle w:val="35"/>
        <w:spacing w:line="540" w:lineRule="exac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16.5 发生以下情况投标保证金可能被没收：</w:t>
      </w:r>
    </w:p>
    <w:p w14:paraId="20255921">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16.5.1 如果供应商在投标有效期内撤销投标；</w:t>
      </w:r>
    </w:p>
    <w:p w14:paraId="176745F8">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16.5.2 如果供应商串通投标的；</w:t>
      </w:r>
    </w:p>
    <w:p w14:paraId="3942FC21">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16.5.3 如果中标人未能做到：</w:t>
      </w:r>
    </w:p>
    <w:p w14:paraId="1E895961">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a. 按29条规定签定合同；</w:t>
      </w:r>
    </w:p>
    <w:p w14:paraId="3CB57895">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b. 第32条有关缴纳中标服务费的规定；</w:t>
      </w:r>
    </w:p>
    <w:p w14:paraId="7F9F4E39">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四、投标文件的上传</w:t>
      </w:r>
    </w:p>
    <w:p w14:paraId="244754B7">
      <w:pPr>
        <w:spacing w:line="50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17 本项目使用政采云平台采用全流程电子招投标。供应商根据招标文件及政采云电子招投标供应商操作手册要求编制、生成并提交（上传）电子投标文件。采购人及采购代理机构拒绝接受通过电子交易平台以外的任何形式提交（上传）的投标文件。</w:t>
      </w:r>
    </w:p>
    <w:p w14:paraId="08EF7324">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18. 投标文件上传的截止日期</w:t>
      </w:r>
    </w:p>
    <w:p w14:paraId="19093A9A">
      <w:pPr>
        <w:pStyle w:val="35"/>
        <w:spacing w:line="540" w:lineRule="exact"/>
        <w:ind w:firstLine="560" w:firstLineChars="200"/>
        <w:jc w:val="both"/>
        <w:rPr>
          <w:rFonts w:hint="eastAsia" w:ascii="仿宋" w:hAnsi="仿宋" w:eastAsia="仿宋" w:cs="仿宋"/>
          <w:color w:val="auto"/>
          <w:sz w:val="28"/>
          <w:highlight w:val="none"/>
          <w:u w:val="single"/>
        </w:rPr>
      </w:pPr>
      <w:r>
        <w:rPr>
          <w:rFonts w:hint="eastAsia" w:ascii="仿宋" w:hAnsi="仿宋" w:eastAsia="仿宋" w:cs="仿宋"/>
          <w:color w:val="auto"/>
          <w:sz w:val="28"/>
          <w:highlight w:val="none"/>
        </w:rPr>
        <w:t>18.1 供应商必须在《投标须知前附表》中规定的时间之前将投标文件上传到规定的地点。</w:t>
      </w:r>
    </w:p>
    <w:p w14:paraId="2DED5126">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18.2 超过招标文件规定的投标截止时间上传的投标文件将不予接受。</w:t>
      </w:r>
    </w:p>
    <w:p w14:paraId="63B068A0">
      <w:pPr>
        <w:pStyle w:val="35"/>
        <w:spacing w:line="540" w:lineRule="exact"/>
        <w:ind w:firstLine="560" w:firstLineChars="200"/>
        <w:jc w:val="both"/>
        <w:rPr>
          <w:rFonts w:hint="eastAsia" w:ascii="仿宋" w:hAnsi="仿宋" w:eastAsia="仿宋" w:cs="仿宋"/>
          <w:b/>
          <w:bCs/>
          <w:color w:val="auto"/>
          <w:sz w:val="28"/>
          <w:highlight w:val="none"/>
        </w:rPr>
      </w:pPr>
      <w:r>
        <w:rPr>
          <w:rFonts w:hint="eastAsia" w:ascii="仿宋" w:hAnsi="仿宋" w:eastAsia="仿宋" w:cs="仿宋"/>
          <w:b/>
          <w:bCs/>
          <w:color w:val="auto"/>
          <w:sz w:val="28"/>
          <w:highlight w:val="none"/>
        </w:rPr>
        <w:t>18.3 供应商开标时无需到达现场，远程解密，开标（未办理CA的供应商可自主通过新疆CA申领渠道“新疆政务通”申请政采云平台可使用的CA设备，如原有兵团或公共资源使用的CA，可与新疆CA联系，申请增加电子证书即可，无需重复申领。）未按本须知要上传的投标文件，采购代理机构不对其后果负责。</w:t>
      </w:r>
    </w:p>
    <w:p w14:paraId="1C33293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19. 投标文件的修改、撤回和撤销</w:t>
      </w:r>
    </w:p>
    <w:p w14:paraId="67DAC094">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19.1.提交投标文件截止时间前，供应商可以通过电子交易平台对所提交（上传）的投标文件进行补充、修改或者撤回。</w:t>
      </w:r>
    </w:p>
    <w:p w14:paraId="330B2E6E">
      <w:pPr>
        <w:pStyle w:val="37"/>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19.2 供应商不得在投标截止时间起至投标文件有效期满前撤销投标文件，否则其投标保证金将被没收。</w:t>
      </w:r>
    </w:p>
    <w:p w14:paraId="78B09652">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20.有下列情形之一的，视为供应商串通投标，其投标无效：</w:t>
      </w:r>
    </w:p>
    <w:p w14:paraId="2D2153CF">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⑴ 不同供应商的投标文件由同一单位或者个人编制;</w:t>
      </w:r>
    </w:p>
    <w:p w14:paraId="620B94D8">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⑵ 不同供应商委托同一单位或者个人办理投标事宜;</w:t>
      </w:r>
    </w:p>
    <w:p w14:paraId="66C758A8">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⑶ 不同供应商的投标文件载明的项目管理成员或者联系人员为同一人;</w:t>
      </w:r>
    </w:p>
    <w:p w14:paraId="20A7A661">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⑷ 不同供应商的投标文件异常一致或者投标报价呈规律性差异;</w:t>
      </w:r>
    </w:p>
    <w:p w14:paraId="462BDC96">
      <w:pPr>
        <w:pStyle w:val="37"/>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⑸ 不同供应商的投标文件相互混装;</w:t>
      </w:r>
    </w:p>
    <w:p w14:paraId="2811ED83">
      <w:pPr>
        <w:pStyle w:val="37"/>
        <w:spacing w:line="540" w:lineRule="exact"/>
        <w:ind w:firstLine="560"/>
        <w:jc w:val="both"/>
        <w:rPr>
          <w:rFonts w:hint="eastAsia" w:ascii="仿宋" w:hAnsi="仿宋" w:eastAsia="仿宋" w:cs="仿宋"/>
          <w:b/>
          <w:color w:val="auto"/>
          <w:sz w:val="23"/>
          <w:szCs w:val="23"/>
          <w:highlight w:val="none"/>
        </w:rPr>
      </w:pPr>
      <w:r>
        <w:rPr>
          <w:rFonts w:hint="eastAsia" w:ascii="仿宋" w:hAnsi="仿宋" w:eastAsia="仿宋" w:cs="仿宋"/>
          <w:b/>
          <w:color w:val="auto"/>
          <w:sz w:val="28"/>
          <w:highlight w:val="none"/>
        </w:rPr>
        <w:t>⑹ 不同供应商的投标保证金从同一单位或者个人的账户转出</w:t>
      </w:r>
      <w:r>
        <w:rPr>
          <w:rFonts w:hint="eastAsia" w:ascii="仿宋" w:hAnsi="仿宋" w:eastAsia="仿宋" w:cs="仿宋"/>
          <w:b/>
          <w:color w:val="auto"/>
          <w:sz w:val="23"/>
          <w:szCs w:val="23"/>
          <w:highlight w:val="none"/>
        </w:rPr>
        <w:t>。</w:t>
      </w:r>
    </w:p>
    <w:p w14:paraId="552A4DB6">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五、开标</w:t>
      </w:r>
    </w:p>
    <w:p w14:paraId="2B787CC9">
      <w:pPr>
        <w:pStyle w:val="37"/>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21. 开标</w:t>
      </w:r>
    </w:p>
    <w:p w14:paraId="2CA0F495">
      <w:pPr>
        <w:pStyle w:val="35"/>
        <w:spacing w:line="540" w:lineRule="exact"/>
        <w:ind w:left="1" w:firstLine="562" w:firstLineChars="201"/>
        <w:jc w:val="both"/>
        <w:rPr>
          <w:rFonts w:hint="eastAsia" w:ascii="仿宋" w:hAnsi="仿宋" w:eastAsia="仿宋" w:cs="仿宋"/>
          <w:color w:val="auto"/>
          <w:sz w:val="28"/>
          <w:highlight w:val="none"/>
          <w:u w:val="single"/>
        </w:rPr>
      </w:pPr>
      <w:r>
        <w:rPr>
          <w:rFonts w:hint="eastAsia" w:ascii="仿宋" w:hAnsi="仿宋" w:eastAsia="仿宋" w:cs="仿宋"/>
          <w:color w:val="auto"/>
          <w:sz w:val="28"/>
          <w:highlight w:val="none"/>
        </w:rPr>
        <w:t>21.1 除非采购代理机构另外书面通知，本项目将按本招标文件《投标须知前附表》中规定的时间和地点开标。</w:t>
      </w:r>
    </w:p>
    <w:p w14:paraId="6B3F55AA">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b/>
          <w:bCs/>
          <w:color w:val="auto"/>
          <w:sz w:val="28"/>
          <w:highlight w:val="none"/>
        </w:rPr>
        <w:t>21.2 开标时，采购人对其资格进行审查。资格审查不合格的，其投标无效</w:t>
      </w:r>
      <w:r>
        <w:rPr>
          <w:rFonts w:hint="eastAsia" w:ascii="仿宋" w:hAnsi="仿宋" w:eastAsia="仿宋" w:cs="仿宋"/>
          <w:color w:val="auto"/>
          <w:sz w:val="28"/>
          <w:highlight w:val="none"/>
        </w:rPr>
        <w:t xml:space="preserve">。 </w:t>
      </w:r>
    </w:p>
    <w:p w14:paraId="224D47DC">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21.3 供应商上传的开标一览表均记录在案，并经各供应商代表、和监标人员签字，作为各供应商投标文件的组成部分。</w:t>
      </w:r>
    </w:p>
    <w:p w14:paraId="015171EB">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六、资格审查</w:t>
      </w:r>
    </w:p>
    <w:p w14:paraId="3906B697">
      <w:pPr>
        <w:pStyle w:val="35"/>
        <w:spacing w:line="540" w:lineRule="exact"/>
        <w:ind w:firstLine="561"/>
        <w:rPr>
          <w:rFonts w:hint="eastAsia" w:ascii="仿宋" w:hAnsi="仿宋" w:eastAsia="仿宋" w:cs="仿宋"/>
          <w:color w:val="auto"/>
          <w:sz w:val="28"/>
          <w:highlight w:val="none"/>
        </w:rPr>
      </w:pPr>
      <w:r>
        <w:rPr>
          <w:rFonts w:hint="eastAsia" w:ascii="仿宋" w:hAnsi="仿宋" w:eastAsia="仿宋" w:cs="仿宋"/>
          <w:color w:val="auto"/>
          <w:sz w:val="28"/>
          <w:highlight w:val="none"/>
        </w:rPr>
        <w:t>22. 资格审查</w:t>
      </w:r>
    </w:p>
    <w:p w14:paraId="0442BD77">
      <w:pPr>
        <w:pStyle w:val="35"/>
        <w:spacing w:line="540" w:lineRule="exact"/>
        <w:ind w:firstLine="561"/>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22.1 开标时，采购人按照本章第8.1.1条中第1-</w:t>
      </w:r>
      <w:r>
        <w:rPr>
          <w:rFonts w:hint="eastAsia" w:ascii="仿宋" w:hAnsi="仿宋" w:eastAsia="仿宋" w:cs="仿宋"/>
          <w:b/>
          <w:color w:val="auto"/>
          <w:sz w:val="28"/>
          <w:highlight w:val="none"/>
          <w:lang w:val="en-US" w:eastAsia="zh-CN"/>
        </w:rPr>
        <w:t>6</w:t>
      </w:r>
      <w:r>
        <w:rPr>
          <w:rFonts w:hint="eastAsia" w:ascii="仿宋" w:hAnsi="仿宋" w:eastAsia="仿宋" w:cs="仿宋"/>
          <w:b/>
          <w:color w:val="auto"/>
          <w:sz w:val="28"/>
          <w:highlight w:val="none"/>
        </w:rPr>
        <w:t>项规定的内容对各供应商的投标文件进行资格审查。资格审查不合格的，其投标无效。</w:t>
      </w:r>
    </w:p>
    <w:p w14:paraId="418E9D81">
      <w:pPr>
        <w:pStyle w:val="35"/>
        <w:spacing w:line="540" w:lineRule="exact"/>
        <w:ind w:firstLine="561"/>
        <w:rPr>
          <w:rFonts w:hint="eastAsia" w:ascii="仿宋" w:hAnsi="仿宋" w:eastAsia="仿宋" w:cs="仿宋"/>
          <w:b/>
          <w:color w:val="auto"/>
          <w:sz w:val="28"/>
          <w:highlight w:val="none"/>
        </w:rPr>
      </w:pPr>
      <w:r>
        <w:rPr>
          <w:rFonts w:hint="eastAsia" w:ascii="仿宋" w:hAnsi="仿宋" w:eastAsia="仿宋" w:cs="仿宋"/>
          <w:color w:val="auto"/>
          <w:sz w:val="28"/>
          <w:highlight w:val="none"/>
        </w:rPr>
        <w:t>22.2 合格供应商不足三家的，不进行评标。</w:t>
      </w:r>
    </w:p>
    <w:p w14:paraId="00BE15F8">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七、评标和定标</w:t>
      </w:r>
    </w:p>
    <w:p w14:paraId="27CAED1A">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 评标原则</w:t>
      </w:r>
    </w:p>
    <w:p w14:paraId="6DD13435">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23.1 本项目的评标遵循公平、公正、科学、择优的原则。</w:t>
      </w:r>
    </w:p>
    <w:p w14:paraId="20CE28BF">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23.2 评标委员会将严格按照《中华人民共和国政府采购法》及其实施条例（658号令）、《政府采购货物和服务招标投标管理办法》（财政部87号令等相关法律法规的规定依法评标，维护招标投标各方当事人的合法权益。</w:t>
      </w:r>
    </w:p>
    <w:p w14:paraId="4BD1DB7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23.3 不徇私情，不明招暗定。</w:t>
      </w:r>
    </w:p>
    <w:p w14:paraId="6FED53C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23.4 资格审查合格的供应商，均有同等机会参加竞争。</w:t>
      </w:r>
    </w:p>
    <w:p w14:paraId="12D9694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23.5 评标人员不得私自泄露评标内容，不得进行旨在影响评标结果公正、公平的任何活动。</w:t>
      </w:r>
    </w:p>
    <w:p w14:paraId="5FCE824D">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 评标方法</w:t>
      </w:r>
    </w:p>
    <w:p w14:paraId="50DBA409">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24.1 采购代理机构将根据有关法律法规的规定组建本次招标的评标委员会。评标委员会成员由本行业相关技术、经济等方面的专家组成。其中，技术、经济等方面的专家不少于成员总人数的三分之二。</w:t>
      </w:r>
    </w:p>
    <w:p w14:paraId="2C95E437">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24.2 评标的依据为招标文件和投标文件。根据相关法律法规的规定，评标委员会不以任何外部证据作为其评标的依据或标准。</w:t>
      </w:r>
    </w:p>
    <w:p w14:paraId="6D95BA34">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24.3 评标过程将严格保密。开标后直到授予中标人合同止，凡是属于审查、澄清、评价和比较的有关评标资料以及授标建议等均不得向供应商或其他无关的人员透露。</w:t>
      </w:r>
    </w:p>
    <w:p w14:paraId="29EB49DB">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24.4 在评标的整个过程中，供应商所进行的旨在影响评标结果的活动，可能导致其投标被拒绝，或者被取消中标资格。</w:t>
      </w:r>
    </w:p>
    <w:p w14:paraId="05E421B4">
      <w:pPr>
        <w:pStyle w:val="35"/>
        <w:spacing w:line="540" w:lineRule="exact"/>
        <w:ind w:firstLine="562"/>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24.5 本次招标采用综合评分法进行评标。评标分符合性审查和详细评审两个阶段。</w:t>
      </w:r>
    </w:p>
    <w:p w14:paraId="633C18B3">
      <w:pPr>
        <w:pStyle w:val="51"/>
        <w:spacing w:line="540" w:lineRule="exact"/>
        <w:ind w:firstLine="562"/>
        <w:jc w:val="both"/>
        <w:rPr>
          <w:rStyle w:val="49"/>
          <w:rFonts w:hint="eastAsia" w:ascii="仿宋" w:hAnsi="仿宋" w:eastAsia="仿宋" w:cs="仿宋"/>
          <w:b/>
          <w:color w:val="auto"/>
          <w:sz w:val="28"/>
          <w:highlight w:val="none"/>
        </w:rPr>
      </w:pPr>
      <w:r>
        <w:rPr>
          <w:rStyle w:val="49"/>
          <w:rFonts w:hint="eastAsia" w:ascii="仿宋" w:hAnsi="仿宋" w:eastAsia="仿宋" w:cs="仿宋"/>
          <w:b/>
          <w:color w:val="auto"/>
          <w:sz w:val="28"/>
          <w:highlight w:val="none"/>
        </w:rPr>
        <w:t>24.5.1 只有通过符合性审查的投标文件才可进入详细评审阶段。</w:t>
      </w:r>
    </w:p>
    <w:p w14:paraId="26CE4604">
      <w:pPr>
        <w:pStyle w:val="35"/>
        <w:spacing w:line="540" w:lineRule="exact"/>
        <w:ind w:firstLine="562"/>
        <w:jc w:val="both"/>
        <w:rPr>
          <w:rFonts w:hint="eastAsia" w:ascii="仿宋" w:hAnsi="仿宋" w:eastAsia="仿宋" w:cs="仿宋"/>
          <w:color w:val="auto"/>
          <w:sz w:val="28"/>
          <w:highlight w:val="none"/>
        </w:rPr>
      </w:pPr>
      <w:r>
        <w:rPr>
          <w:rStyle w:val="49"/>
          <w:rFonts w:hint="eastAsia" w:ascii="仿宋" w:hAnsi="仿宋" w:eastAsia="仿宋" w:cs="仿宋"/>
          <w:b/>
          <w:color w:val="auto"/>
          <w:sz w:val="28"/>
          <w:highlight w:val="none"/>
        </w:rPr>
        <w:t>24.5.2 详细评审分为商务评审和技术评审两个部分。</w:t>
      </w:r>
    </w:p>
    <w:p w14:paraId="4B2D4383">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24.6 符合性审查</w:t>
      </w:r>
    </w:p>
    <w:p w14:paraId="53E47A74">
      <w:pPr>
        <w:pStyle w:val="35"/>
        <w:spacing w:line="540" w:lineRule="exact"/>
        <w:ind w:firstLine="560"/>
        <w:jc w:val="both"/>
        <w:rPr>
          <w:rFonts w:hint="eastAsia" w:ascii="仿宋" w:hAnsi="仿宋" w:eastAsia="仿宋" w:cs="仿宋"/>
          <w:b/>
          <w:color w:val="auto"/>
          <w:sz w:val="28"/>
          <w:highlight w:val="none"/>
        </w:rPr>
      </w:pPr>
      <w:r>
        <w:rPr>
          <w:rFonts w:hint="eastAsia" w:ascii="仿宋" w:hAnsi="仿宋" w:eastAsia="仿宋" w:cs="仿宋"/>
          <w:color w:val="auto"/>
          <w:sz w:val="28"/>
          <w:highlight w:val="none"/>
        </w:rPr>
        <w:t>评标委员会对符合资格的供应商的投标文件进行符合性审查，以确定其是否满足招标文件的实质性要求，是否存在重大偏离。重大偏离系指投标文件的有效性、真实性、合同的供货范围、质量、性能和规格等内容在实质上与招标文件形成了重大的不一致，而这种不一致可能限制了买方的权力和供应商的义务，纠正或承认这些偏离将会对该供应商和其它供应商合理的竞争地位产生不公正的影响。</w:t>
      </w:r>
      <w:r>
        <w:rPr>
          <w:rFonts w:hint="eastAsia" w:ascii="仿宋" w:hAnsi="仿宋" w:eastAsia="仿宋" w:cs="仿宋"/>
          <w:b/>
          <w:color w:val="auto"/>
          <w:sz w:val="28"/>
          <w:highlight w:val="none"/>
        </w:rPr>
        <w:t>与招标文件有重大偏离的投标文件将被拒绝，投标无效。具体评审内容系指：</w:t>
      </w:r>
    </w:p>
    <w:p w14:paraId="145A2BB3">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24.6.1 投标文件组成不完整，主要内容未能按招标文件规定的内容、格式填写、上传；</w:t>
      </w:r>
    </w:p>
    <w:p w14:paraId="557F7C41">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24.6.2 投标文件的有效期不满足招标文件的规定；</w:t>
      </w:r>
    </w:p>
    <w:p w14:paraId="3357127B">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24.6.3 投标代表授权书未能由法定代表人签署</w:t>
      </w:r>
      <w:r>
        <w:rPr>
          <w:rStyle w:val="49"/>
          <w:rFonts w:hint="eastAsia" w:ascii="仿宋" w:hAnsi="仿宋" w:eastAsia="仿宋" w:cs="仿宋"/>
          <w:b/>
          <w:color w:val="auto"/>
          <w:kern w:val="0"/>
          <w:sz w:val="28"/>
          <w:highlight w:val="none"/>
          <w:lang w:val="zh-CN"/>
        </w:rPr>
        <w:t>并加盖公章</w:t>
      </w:r>
      <w:r>
        <w:rPr>
          <w:rStyle w:val="49"/>
          <w:rFonts w:hint="eastAsia" w:ascii="仿宋" w:hAnsi="仿宋" w:eastAsia="仿宋" w:cs="仿宋"/>
          <w:b/>
          <w:color w:val="auto"/>
          <w:kern w:val="0"/>
          <w:sz w:val="28"/>
          <w:highlight w:val="none"/>
        </w:rPr>
        <w:t>；</w:t>
      </w:r>
    </w:p>
    <w:p w14:paraId="4198772F">
      <w:pPr>
        <w:pStyle w:val="51"/>
        <w:spacing w:line="540" w:lineRule="exact"/>
        <w:ind w:firstLine="560" w:firstLineChars="200"/>
        <w:jc w:val="both"/>
        <w:rPr>
          <w:rStyle w:val="49"/>
          <w:rFonts w:hint="eastAsia" w:ascii="仿宋" w:hAnsi="仿宋" w:eastAsia="仿宋" w:cs="仿宋"/>
          <w:b/>
          <w:color w:val="auto"/>
          <w:sz w:val="28"/>
          <w:highlight w:val="none"/>
        </w:rPr>
      </w:pPr>
      <w:r>
        <w:rPr>
          <w:rStyle w:val="49"/>
          <w:rFonts w:hint="eastAsia" w:ascii="仿宋" w:hAnsi="仿宋" w:eastAsia="仿宋" w:cs="仿宋"/>
          <w:b/>
          <w:color w:val="auto"/>
          <w:sz w:val="28"/>
          <w:highlight w:val="none"/>
        </w:rPr>
        <w:t>24.6.4 投标文件没有按照规定在应由企业法人或法人授权代表在所有规定签章处逐一签署及加盖单位公章的；</w:t>
      </w:r>
    </w:p>
    <w:p w14:paraId="1963DB66">
      <w:pPr>
        <w:pStyle w:val="51"/>
        <w:spacing w:line="540" w:lineRule="exact"/>
        <w:ind w:firstLine="560" w:firstLineChars="20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24.6.5 投标文件针对同一种货物出现了两个或两个以上的报价；</w:t>
      </w:r>
    </w:p>
    <w:p w14:paraId="3F95F580">
      <w:pPr>
        <w:pStyle w:val="51"/>
        <w:spacing w:line="540" w:lineRule="exact"/>
        <w:ind w:left="558" w:leftChars="266"/>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24.6.6 投标文件载明的投标交货期限超过招标文件规定的期限；</w:t>
      </w:r>
    </w:p>
    <w:p w14:paraId="656E59E9">
      <w:pPr>
        <w:pStyle w:val="51"/>
        <w:spacing w:line="540" w:lineRule="exact"/>
        <w:ind w:firstLine="560"/>
        <w:jc w:val="both"/>
        <w:rPr>
          <w:rStyle w:val="49"/>
          <w:rFonts w:hint="eastAsia" w:ascii="仿宋" w:hAnsi="仿宋" w:eastAsia="仿宋" w:cs="仿宋"/>
          <w:b/>
          <w:color w:val="auto"/>
          <w:sz w:val="28"/>
          <w:highlight w:val="none"/>
        </w:rPr>
      </w:pPr>
      <w:r>
        <w:rPr>
          <w:rStyle w:val="49"/>
          <w:rFonts w:hint="eastAsia" w:ascii="仿宋" w:hAnsi="仿宋" w:eastAsia="仿宋" w:cs="仿宋"/>
          <w:b/>
          <w:color w:val="auto"/>
          <w:kern w:val="0"/>
          <w:sz w:val="28"/>
          <w:highlight w:val="none"/>
        </w:rPr>
        <w:t xml:space="preserve">24.6.7 </w:t>
      </w:r>
      <w:r>
        <w:rPr>
          <w:rStyle w:val="49"/>
          <w:rFonts w:hint="eastAsia" w:ascii="仿宋" w:hAnsi="仿宋" w:eastAsia="仿宋" w:cs="仿宋"/>
          <w:b/>
          <w:color w:val="auto"/>
          <w:sz w:val="28"/>
          <w:highlight w:val="none"/>
        </w:rPr>
        <w:t>供应商的报价（每个单品种单价及合计总价）超过预算价或最高限价；</w:t>
      </w:r>
    </w:p>
    <w:p w14:paraId="6E93B049">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24.6.8 投标文件含有采购人不能接受的附加条件；</w:t>
      </w:r>
    </w:p>
    <w:p w14:paraId="3CED836C">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w:t>
      </w:r>
      <w:r>
        <w:rPr>
          <w:rStyle w:val="49"/>
          <w:rFonts w:hint="eastAsia" w:ascii="仿宋" w:hAnsi="仿宋" w:eastAsia="仿宋" w:cs="仿宋"/>
          <w:b/>
          <w:color w:val="auto"/>
          <w:kern w:val="0"/>
          <w:sz w:val="28"/>
          <w:highlight w:val="none"/>
          <w:lang w:val="en-US"/>
        </w:rPr>
        <w:t>9</w:t>
      </w:r>
      <w:r>
        <w:rPr>
          <w:rStyle w:val="49"/>
          <w:rFonts w:hint="eastAsia" w:ascii="仿宋" w:hAnsi="仿宋" w:eastAsia="仿宋" w:cs="仿宋"/>
          <w:b/>
          <w:color w:val="auto"/>
          <w:kern w:val="0"/>
          <w:sz w:val="28"/>
          <w:highlight w:val="none"/>
        </w:rPr>
        <w:t xml:space="preserve"> 没有实质性响应招标文件（商务条款）规定的；</w:t>
      </w:r>
    </w:p>
    <w:p w14:paraId="25991370">
      <w:pPr>
        <w:pStyle w:val="51"/>
        <w:spacing w:line="540" w:lineRule="exact"/>
        <w:ind w:firstLine="560"/>
        <w:jc w:val="both"/>
        <w:rPr>
          <w:rStyle w:val="49"/>
          <w:rFonts w:hint="eastAsia" w:ascii="仿宋" w:hAnsi="仿宋" w:eastAsia="仿宋" w:cs="仿宋"/>
          <w:b/>
          <w:color w:val="auto"/>
          <w:kern w:val="0"/>
          <w:sz w:val="28"/>
          <w:highlight w:val="none"/>
        </w:rPr>
      </w:pPr>
      <w:r>
        <w:rPr>
          <w:rStyle w:val="49"/>
          <w:rFonts w:hint="eastAsia" w:ascii="仿宋" w:hAnsi="仿宋" w:eastAsia="仿宋" w:cs="仿宋"/>
          <w:b/>
          <w:color w:val="auto"/>
          <w:kern w:val="0"/>
          <w:sz w:val="28"/>
          <w:highlight w:val="none"/>
        </w:rPr>
        <w:t>24.6.1</w:t>
      </w:r>
      <w:r>
        <w:rPr>
          <w:rStyle w:val="49"/>
          <w:rFonts w:hint="eastAsia" w:ascii="仿宋" w:hAnsi="仿宋" w:eastAsia="仿宋" w:cs="仿宋"/>
          <w:b/>
          <w:color w:val="auto"/>
          <w:kern w:val="0"/>
          <w:sz w:val="28"/>
          <w:highlight w:val="none"/>
          <w:lang w:val="en-US"/>
        </w:rPr>
        <w:t xml:space="preserve">0 </w:t>
      </w:r>
      <w:r>
        <w:rPr>
          <w:rStyle w:val="49"/>
          <w:rFonts w:hint="eastAsia" w:ascii="仿宋" w:hAnsi="仿宋" w:eastAsia="仿宋" w:cs="仿宋"/>
          <w:b/>
          <w:color w:val="auto"/>
          <w:kern w:val="0"/>
          <w:sz w:val="28"/>
          <w:highlight w:val="none"/>
        </w:rPr>
        <w:t>不符合法律、法规和招标文件中规定的其他实质性要求。</w:t>
      </w:r>
    </w:p>
    <w:p w14:paraId="4572093D">
      <w:pPr>
        <w:pStyle w:val="34"/>
        <w:spacing w:line="54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24.7 对通过符合性审查的投标文件，评标委员会将对其进行算术性修正。算术性修正是指对投标文件报价出现前后不一致的进行校核，并对其算术上和运算上的差错给予修正。修正的原则如下：</w:t>
      </w:r>
    </w:p>
    <w:p w14:paraId="0081AF8B">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24.7.1 投标文件中开标一览表内容与投标文件中相应内容不一致的，以开标一览表为准；</w:t>
      </w:r>
    </w:p>
    <w:p w14:paraId="62E451F1">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24.7.2 投标文件的大写金额和小写金额不一致的，以大写金额为准；</w:t>
      </w:r>
    </w:p>
    <w:p w14:paraId="3F73439C">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24.7.3 单价金额小数点或者百分比有明显错位的，以开标一览表的总价为准，并修改单价；</w:t>
      </w:r>
    </w:p>
    <w:p w14:paraId="15128F81">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24.7.4 总价金额与按单价汇总金额不一致的，以单价金额计算结果为准。</w:t>
      </w:r>
    </w:p>
    <w:p w14:paraId="70386980">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24.7.5 同时出现两种以上不一致的，按照上述规定的顺序修正。</w:t>
      </w:r>
      <w:r>
        <w:rPr>
          <w:rFonts w:hint="eastAsia" w:ascii="仿宋" w:hAnsi="仿宋" w:eastAsia="仿宋" w:cs="仿宋"/>
          <w:b/>
          <w:color w:val="auto"/>
          <w:sz w:val="28"/>
          <w:highlight w:val="none"/>
        </w:rPr>
        <w:t>修正后的报价须供应商确认，如果供应商拒绝确认，其投标无效。</w:t>
      </w:r>
    </w:p>
    <w:p w14:paraId="694D097F">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24.7.6 对不同文字文本投标文件的解释发生异议的，以中文文本为准。</w:t>
      </w:r>
    </w:p>
    <w:p w14:paraId="70BC951C">
      <w:pPr>
        <w:pStyle w:val="21"/>
        <w:spacing w:before="0" w:beforeAutospacing="0" w:after="0" w:afterAutospacing="0"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24.7.7 评标委员会将拒绝被定为实质上非响应性的投标，供应商不能通过修正或撤销不符之处而使其投标成为响应性投标。</w:t>
      </w:r>
    </w:p>
    <w:p w14:paraId="173446D1">
      <w:pPr>
        <w:pStyle w:val="21"/>
        <w:spacing w:before="0" w:beforeAutospacing="0" w:after="0" w:afterAutospacing="0"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color w:val="auto"/>
          <w:sz w:val="28"/>
          <w:highlight w:val="none"/>
        </w:rPr>
        <w:t>24.7.8 评标委员会将允许投标中有微小的不正规、不一致或不规则，而该微小之处不构成重大偏离。</w:t>
      </w:r>
    </w:p>
    <w:p w14:paraId="6D9D571C">
      <w:pPr>
        <w:pStyle w:val="38"/>
        <w:spacing w:line="540" w:lineRule="exact"/>
        <w:ind w:firstLine="560"/>
        <w:jc w:val="both"/>
        <w:rPr>
          <w:rFonts w:hint="eastAsia" w:ascii="仿宋" w:hAnsi="仿宋" w:eastAsia="仿宋" w:cs="仿宋"/>
          <w:b w:val="0"/>
          <w:color w:val="auto"/>
          <w:kern w:val="0"/>
          <w:sz w:val="28"/>
          <w:highlight w:val="none"/>
        </w:rPr>
      </w:pPr>
      <w:r>
        <w:rPr>
          <w:rFonts w:hint="eastAsia" w:ascii="仿宋" w:hAnsi="仿宋" w:eastAsia="仿宋" w:cs="仿宋"/>
          <w:b w:val="0"/>
          <w:color w:val="auto"/>
          <w:kern w:val="0"/>
          <w:sz w:val="28"/>
          <w:highlight w:val="none"/>
        </w:rPr>
        <w:t>24.8 详细评审</w:t>
      </w:r>
    </w:p>
    <w:p w14:paraId="2C9A1743">
      <w:pPr>
        <w:pStyle w:val="38"/>
        <w:spacing w:line="540" w:lineRule="exact"/>
        <w:ind w:firstLine="560"/>
        <w:jc w:val="both"/>
        <w:rPr>
          <w:rFonts w:hint="eastAsia" w:ascii="仿宋" w:hAnsi="仿宋" w:eastAsia="仿宋" w:cs="仿宋"/>
          <w:b w:val="0"/>
          <w:color w:val="auto"/>
          <w:kern w:val="0"/>
          <w:sz w:val="28"/>
          <w:highlight w:val="none"/>
        </w:rPr>
      </w:pPr>
      <w:r>
        <w:rPr>
          <w:rFonts w:hint="eastAsia" w:ascii="仿宋" w:hAnsi="仿宋" w:eastAsia="仿宋" w:cs="仿宋"/>
          <w:b w:val="0"/>
          <w:color w:val="auto"/>
          <w:kern w:val="0"/>
          <w:sz w:val="28"/>
          <w:highlight w:val="none"/>
        </w:rPr>
        <w:t>24.8.1 评标委员会对符合性审查合格的投标文件进行商务和技术评审，综合比较与评价。以投标文件能最大限度地满足招标文件中规定的各项评价标准为依据，独立地对各投标文件进行评审和打分。</w:t>
      </w:r>
    </w:p>
    <w:p w14:paraId="73E05DE2">
      <w:pPr>
        <w:pStyle w:val="38"/>
        <w:spacing w:line="540" w:lineRule="exact"/>
        <w:ind w:firstLine="562"/>
        <w:jc w:val="left"/>
        <w:rPr>
          <w:rFonts w:hint="eastAsia" w:ascii="仿宋" w:hAnsi="仿宋" w:eastAsia="仿宋" w:cs="仿宋"/>
          <w:color w:val="auto"/>
          <w:sz w:val="28"/>
          <w:highlight w:val="none"/>
        </w:rPr>
      </w:pPr>
      <w:r>
        <w:rPr>
          <w:rFonts w:hint="eastAsia" w:ascii="仿宋" w:hAnsi="仿宋" w:eastAsia="仿宋" w:cs="仿宋"/>
          <w:color w:val="auto"/>
          <w:sz w:val="28"/>
          <w:highlight w:val="none"/>
        </w:rPr>
        <w:t>24.8.2 评标委员会将对下述评审因素进行量化，并根据评委会每个成员对投标文件的评审和理解进行打分，满分为100分。商务部分权重占40%，其中价格满分为30分，商务条件满分为10分；技术部分权重占60%，满分为60分。供应商两部分的分值相加，即为该供应商的综合评估分。</w:t>
      </w:r>
    </w:p>
    <w:p w14:paraId="01F95E3B">
      <w:pPr>
        <w:pStyle w:val="38"/>
        <w:spacing w:line="540" w:lineRule="exact"/>
        <w:ind w:firstLine="562"/>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具体分值见下表：</w:t>
      </w:r>
    </w:p>
    <w:p w14:paraId="14BB0A11">
      <w:pPr>
        <w:pStyle w:val="52"/>
        <w:numPr>
          <w:ilvl w:val="0"/>
          <w:numId w:val="2"/>
        </w:numPr>
        <w:spacing w:after="156" w:line="540" w:lineRule="exact"/>
        <w:ind w:firstLineChars="0"/>
        <w:jc w:val="left"/>
        <w:rPr>
          <w:rStyle w:val="49"/>
          <w:rFonts w:hint="eastAsia" w:ascii="仿宋" w:hAnsi="仿宋" w:eastAsia="仿宋" w:cs="仿宋"/>
          <w:b w:val="0"/>
          <w:color w:val="auto"/>
          <w:sz w:val="28"/>
          <w:highlight w:val="none"/>
        </w:rPr>
      </w:pPr>
      <w:r>
        <w:rPr>
          <w:rStyle w:val="49"/>
          <w:rFonts w:hint="eastAsia" w:ascii="仿宋" w:hAnsi="仿宋" w:eastAsia="仿宋" w:cs="仿宋"/>
          <w:b w:val="0"/>
          <w:color w:val="auto"/>
          <w:sz w:val="28"/>
          <w:highlight w:val="none"/>
        </w:rPr>
        <w:t>商务部分（</w:t>
      </w:r>
      <w:r>
        <w:rPr>
          <w:rStyle w:val="49"/>
          <w:rFonts w:hint="eastAsia" w:ascii="仿宋" w:hAnsi="仿宋" w:eastAsia="仿宋" w:cs="仿宋"/>
          <w:b w:val="0"/>
          <w:color w:val="auto"/>
          <w:sz w:val="24"/>
          <w:highlight w:val="none"/>
        </w:rPr>
        <w:t>40分</w:t>
      </w:r>
      <w:r>
        <w:rPr>
          <w:rStyle w:val="49"/>
          <w:rFonts w:hint="eastAsia" w:ascii="仿宋" w:hAnsi="仿宋" w:eastAsia="仿宋" w:cs="仿宋"/>
          <w:b w:val="0"/>
          <w:color w:val="auto"/>
          <w:sz w:val="28"/>
          <w:highlight w:val="none"/>
        </w:rPr>
        <w:t>）</w:t>
      </w:r>
    </w:p>
    <w:tbl>
      <w:tblPr>
        <w:tblStyle w:val="22"/>
        <w:tblW w:w="98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6"/>
        <w:gridCol w:w="1580"/>
        <w:gridCol w:w="964"/>
        <w:gridCol w:w="5830"/>
      </w:tblGrid>
      <w:tr w14:paraId="64415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38" w:hRule="atLeast"/>
          <w:tblHeader/>
          <w:jc w:val="center"/>
        </w:trPr>
        <w:tc>
          <w:tcPr>
            <w:tcW w:w="3096" w:type="dxa"/>
            <w:gridSpan w:val="2"/>
            <w:tcBorders>
              <w:top w:val="single" w:color="000000" w:sz="4" w:space="0"/>
              <w:left w:val="single" w:color="000000" w:sz="4" w:space="0"/>
              <w:bottom w:val="single" w:color="000000" w:sz="4" w:space="0"/>
              <w:right w:val="single" w:color="000000" w:sz="4" w:space="0"/>
            </w:tcBorders>
            <w:vAlign w:val="center"/>
          </w:tcPr>
          <w:p w14:paraId="741F1C39">
            <w:pPr>
              <w:pStyle w:val="53"/>
              <w:widowControl/>
              <w:spacing w:line="360" w:lineRule="exact"/>
              <w:rPr>
                <w:rStyle w:val="49"/>
                <w:rFonts w:hint="eastAsia"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评审项目</w:t>
            </w:r>
          </w:p>
        </w:tc>
        <w:tc>
          <w:tcPr>
            <w:tcW w:w="964" w:type="dxa"/>
            <w:tcBorders>
              <w:top w:val="single" w:color="000000" w:sz="4" w:space="0"/>
              <w:left w:val="single" w:color="000000" w:sz="4" w:space="0"/>
              <w:bottom w:val="single" w:color="000000" w:sz="4" w:space="0"/>
              <w:right w:val="single" w:color="000000" w:sz="4" w:space="0"/>
            </w:tcBorders>
            <w:vAlign w:val="center"/>
          </w:tcPr>
          <w:p w14:paraId="03B58899">
            <w:pPr>
              <w:pStyle w:val="53"/>
              <w:widowControl/>
              <w:spacing w:line="360" w:lineRule="exact"/>
              <w:rPr>
                <w:rStyle w:val="49"/>
                <w:rFonts w:hint="eastAsia"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分值</w:t>
            </w:r>
          </w:p>
        </w:tc>
        <w:tc>
          <w:tcPr>
            <w:tcW w:w="5830" w:type="dxa"/>
            <w:tcBorders>
              <w:top w:val="single" w:color="000000" w:sz="4" w:space="0"/>
              <w:left w:val="single" w:color="000000" w:sz="4" w:space="0"/>
              <w:bottom w:val="single" w:color="000000" w:sz="4" w:space="0"/>
              <w:right w:val="single" w:color="000000" w:sz="4" w:space="0"/>
            </w:tcBorders>
            <w:vAlign w:val="center"/>
          </w:tcPr>
          <w:p w14:paraId="11ADEB4A">
            <w:pPr>
              <w:pStyle w:val="53"/>
              <w:widowControl/>
              <w:spacing w:line="360" w:lineRule="exact"/>
              <w:rPr>
                <w:rStyle w:val="49"/>
                <w:rFonts w:hint="eastAsia"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内    容</w:t>
            </w:r>
          </w:p>
        </w:tc>
      </w:tr>
      <w:tr w14:paraId="57CAE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03" w:hRule="atLeast"/>
          <w:jc w:val="center"/>
        </w:trPr>
        <w:tc>
          <w:tcPr>
            <w:tcW w:w="3096" w:type="dxa"/>
            <w:gridSpan w:val="2"/>
            <w:tcBorders>
              <w:top w:val="single" w:color="000000" w:sz="4" w:space="0"/>
              <w:left w:val="single" w:color="000000" w:sz="4" w:space="0"/>
              <w:bottom w:val="single" w:color="000000" w:sz="4" w:space="0"/>
              <w:right w:val="single" w:color="000000" w:sz="4" w:space="0"/>
            </w:tcBorders>
            <w:vAlign w:val="center"/>
          </w:tcPr>
          <w:p w14:paraId="65C2B93E">
            <w:pPr>
              <w:pStyle w:val="53"/>
              <w:widowControl/>
              <w:spacing w:line="360" w:lineRule="exact"/>
              <w:rPr>
                <w:rStyle w:val="49"/>
                <w:rFonts w:hint="eastAsia"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价格</w:t>
            </w:r>
          </w:p>
        </w:tc>
        <w:tc>
          <w:tcPr>
            <w:tcW w:w="964" w:type="dxa"/>
            <w:tcBorders>
              <w:top w:val="single" w:color="000000" w:sz="4" w:space="0"/>
              <w:left w:val="single" w:color="000000" w:sz="4" w:space="0"/>
              <w:bottom w:val="single" w:color="000000" w:sz="4" w:space="0"/>
              <w:right w:val="single" w:color="000000" w:sz="4" w:space="0"/>
            </w:tcBorders>
            <w:vAlign w:val="center"/>
          </w:tcPr>
          <w:p w14:paraId="53B044F7">
            <w:pPr>
              <w:pStyle w:val="53"/>
              <w:widowControl/>
              <w:spacing w:line="360" w:lineRule="exact"/>
              <w:rPr>
                <w:rStyle w:val="49"/>
                <w:rFonts w:hint="eastAsia"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30分</w:t>
            </w:r>
          </w:p>
        </w:tc>
        <w:tc>
          <w:tcPr>
            <w:tcW w:w="5830" w:type="dxa"/>
            <w:tcBorders>
              <w:top w:val="single" w:color="000000" w:sz="4" w:space="0"/>
              <w:left w:val="single" w:color="000000" w:sz="4" w:space="0"/>
              <w:bottom w:val="single" w:color="000000" w:sz="4" w:space="0"/>
              <w:right w:val="single" w:color="000000" w:sz="4" w:space="0"/>
            </w:tcBorders>
            <w:vAlign w:val="center"/>
          </w:tcPr>
          <w:p w14:paraId="5151C9A1">
            <w:pPr>
              <w:widowControl/>
              <w:spacing w:line="360" w:lineRule="exact"/>
              <w:textAlignment w:val="baseline"/>
              <w:rPr>
                <w:rStyle w:val="49"/>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投标报价得分=(评标基准价／投标报价)×30%×100</w:t>
            </w:r>
          </w:p>
        </w:tc>
      </w:tr>
      <w:tr w14:paraId="3D676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6" w:hRule="atLeast"/>
          <w:jc w:val="center"/>
        </w:trPr>
        <w:tc>
          <w:tcPr>
            <w:tcW w:w="1516" w:type="dxa"/>
            <w:tcBorders>
              <w:top w:val="single" w:color="000000" w:sz="4" w:space="0"/>
              <w:left w:val="single" w:color="000000" w:sz="4" w:space="0"/>
              <w:bottom w:val="single" w:color="000000" w:sz="4" w:space="0"/>
              <w:right w:val="single" w:color="000000" w:sz="4" w:space="0"/>
            </w:tcBorders>
            <w:vAlign w:val="center"/>
          </w:tcPr>
          <w:p w14:paraId="1E75110F">
            <w:pPr>
              <w:pStyle w:val="53"/>
              <w:widowControl/>
              <w:spacing w:line="360" w:lineRule="exact"/>
              <w:rPr>
                <w:rStyle w:val="49"/>
                <w:rFonts w:hint="eastAsia" w:ascii="仿宋" w:hAnsi="仿宋" w:eastAsia="仿宋" w:cs="仿宋"/>
                <w:b w:val="0"/>
                <w:color w:val="auto"/>
                <w:kern w:val="0"/>
                <w:sz w:val="24"/>
                <w:highlight w:val="none"/>
              </w:rPr>
            </w:pPr>
            <w:r>
              <w:rPr>
                <w:rStyle w:val="49"/>
                <w:rFonts w:hint="eastAsia" w:ascii="仿宋" w:hAnsi="仿宋" w:eastAsia="仿宋" w:cs="仿宋"/>
                <w:b w:val="0"/>
                <w:color w:val="auto"/>
                <w:kern w:val="0"/>
                <w:sz w:val="24"/>
                <w:highlight w:val="none"/>
              </w:rPr>
              <w:t>商务条件</w:t>
            </w:r>
          </w:p>
        </w:tc>
        <w:tc>
          <w:tcPr>
            <w:tcW w:w="1580" w:type="dxa"/>
            <w:tcBorders>
              <w:top w:val="single" w:color="000000" w:sz="4" w:space="0"/>
              <w:left w:val="single" w:color="000000" w:sz="4" w:space="0"/>
              <w:bottom w:val="single" w:color="000000" w:sz="4" w:space="0"/>
              <w:right w:val="single" w:color="000000" w:sz="4" w:space="0"/>
            </w:tcBorders>
            <w:vAlign w:val="center"/>
          </w:tcPr>
          <w:p w14:paraId="29A1CE31">
            <w:pPr>
              <w:pStyle w:val="53"/>
              <w:widowControl/>
              <w:spacing w:line="460" w:lineRule="exact"/>
              <w:rPr>
                <w:rFonts w:hint="eastAsia" w:ascii="仿宋" w:hAnsi="仿宋" w:eastAsia="仿宋" w:cs="仿宋"/>
                <w:b w:val="0"/>
                <w:color w:val="auto"/>
                <w:sz w:val="24"/>
                <w:szCs w:val="24"/>
                <w:highlight w:val="none"/>
              </w:rPr>
            </w:pPr>
            <w:r>
              <w:rPr>
                <w:rStyle w:val="49"/>
                <w:rFonts w:hint="eastAsia" w:ascii="仿宋" w:hAnsi="仿宋" w:eastAsia="仿宋" w:cs="仿宋"/>
                <w:b w:val="0"/>
                <w:color w:val="auto"/>
                <w:sz w:val="24"/>
                <w:highlight w:val="none"/>
              </w:rPr>
              <w:t>业绩</w:t>
            </w:r>
          </w:p>
        </w:tc>
        <w:tc>
          <w:tcPr>
            <w:tcW w:w="964" w:type="dxa"/>
            <w:tcBorders>
              <w:top w:val="single" w:color="000000" w:sz="4" w:space="0"/>
              <w:left w:val="single" w:color="000000" w:sz="4" w:space="0"/>
              <w:bottom w:val="single" w:color="000000" w:sz="4" w:space="0"/>
              <w:right w:val="single" w:color="000000" w:sz="4" w:space="0"/>
            </w:tcBorders>
            <w:vAlign w:val="center"/>
          </w:tcPr>
          <w:p w14:paraId="67D498C2">
            <w:pPr>
              <w:pStyle w:val="53"/>
              <w:widowControl/>
              <w:spacing w:line="460" w:lineRule="exact"/>
              <w:rPr>
                <w:rFonts w:hint="eastAsia" w:ascii="仿宋" w:hAnsi="仿宋" w:eastAsia="仿宋" w:cs="仿宋"/>
                <w:b w:val="0"/>
                <w:color w:val="auto"/>
                <w:sz w:val="24"/>
                <w:szCs w:val="24"/>
                <w:highlight w:val="none"/>
              </w:rPr>
            </w:pPr>
            <w:r>
              <w:rPr>
                <w:rStyle w:val="49"/>
                <w:rFonts w:hint="eastAsia" w:ascii="仿宋" w:hAnsi="仿宋" w:eastAsia="仿宋" w:cs="仿宋"/>
                <w:b w:val="0"/>
                <w:color w:val="auto"/>
                <w:sz w:val="24"/>
                <w:highlight w:val="none"/>
              </w:rPr>
              <w:t>10分</w:t>
            </w:r>
          </w:p>
        </w:tc>
        <w:tc>
          <w:tcPr>
            <w:tcW w:w="5830" w:type="dxa"/>
            <w:tcBorders>
              <w:top w:val="single" w:color="000000" w:sz="4" w:space="0"/>
              <w:left w:val="single" w:color="000000" w:sz="4" w:space="0"/>
              <w:bottom w:val="single" w:color="000000" w:sz="4" w:space="0"/>
              <w:right w:val="single" w:color="000000" w:sz="4" w:space="0"/>
            </w:tcBorders>
            <w:vAlign w:val="center"/>
          </w:tcPr>
          <w:p w14:paraId="6EBFFDAD">
            <w:pPr>
              <w:spacing w:line="360" w:lineRule="exact"/>
              <w:rPr>
                <w:rFonts w:hint="eastAsia" w:ascii="仿宋" w:hAnsi="仿宋" w:eastAsia="仿宋" w:cs="仿宋"/>
                <w:color w:val="auto"/>
                <w:kern w:val="0"/>
                <w:sz w:val="24"/>
                <w:szCs w:val="24"/>
                <w:highlight w:val="none"/>
              </w:rPr>
            </w:pPr>
            <w:r>
              <w:rPr>
                <w:rStyle w:val="49"/>
                <w:rFonts w:hint="eastAsia" w:ascii="仿宋" w:hAnsi="仿宋" w:eastAsia="仿宋" w:cs="仿宋"/>
                <w:bCs/>
                <w:color w:val="auto"/>
                <w:kern w:val="0"/>
                <w:sz w:val="24"/>
                <w:highlight w:val="none"/>
              </w:rPr>
              <w:t>提供全部所投产品业绩的得10分；提供所投产品</w:t>
            </w:r>
            <w:r>
              <w:rPr>
                <w:rStyle w:val="49"/>
                <w:rFonts w:hint="eastAsia" w:ascii="仿宋" w:hAnsi="仿宋" w:eastAsia="仿宋" w:cs="仿宋"/>
                <w:bCs/>
                <w:color w:val="auto"/>
                <w:kern w:val="0"/>
                <w:sz w:val="24"/>
                <w:highlight w:val="none"/>
                <w:lang w:val="en-US"/>
              </w:rPr>
              <w:t>95</w:t>
            </w:r>
            <w:r>
              <w:rPr>
                <w:rStyle w:val="49"/>
                <w:rFonts w:hint="eastAsia" w:ascii="仿宋" w:hAnsi="仿宋" w:eastAsia="仿宋" w:cs="仿宋"/>
                <w:bCs/>
                <w:color w:val="auto"/>
                <w:kern w:val="0"/>
                <w:sz w:val="24"/>
                <w:highlight w:val="none"/>
              </w:rPr>
              <w:t>%以上的业绩得7分；提供所投产品</w:t>
            </w:r>
            <w:r>
              <w:rPr>
                <w:rStyle w:val="49"/>
                <w:rFonts w:hint="eastAsia" w:ascii="仿宋" w:hAnsi="仿宋" w:eastAsia="仿宋" w:cs="仿宋"/>
                <w:bCs/>
                <w:color w:val="auto"/>
                <w:kern w:val="0"/>
                <w:sz w:val="24"/>
                <w:highlight w:val="none"/>
                <w:lang w:val="en-US"/>
              </w:rPr>
              <w:t>90</w:t>
            </w:r>
            <w:r>
              <w:rPr>
                <w:rStyle w:val="49"/>
                <w:rFonts w:hint="eastAsia" w:ascii="仿宋" w:hAnsi="仿宋" w:eastAsia="仿宋" w:cs="仿宋"/>
                <w:bCs/>
                <w:color w:val="auto"/>
                <w:kern w:val="0"/>
                <w:sz w:val="24"/>
                <w:highlight w:val="none"/>
              </w:rPr>
              <w:t>%以上的业绩得4分；提供所投产品</w:t>
            </w:r>
            <w:r>
              <w:rPr>
                <w:rStyle w:val="49"/>
                <w:rFonts w:hint="eastAsia" w:ascii="仿宋" w:hAnsi="仿宋" w:eastAsia="仿宋" w:cs="仿宋"/>
                <w:bCs/>
                <w:color w:val="auto"/>
                <w:kern w:val="0"/>
                <w:sz w:val="24"/>
                <w:highlight w:val="none"/>
                <w:lang w:val="en-US"/>
              </w:rPr>
              <w:t>80</w:t>
            </w:r>
            <w:r>
              <w:rPr>
                <w:rStyle w:val="49"/>
                <w:rFonts w:hint="eastAsia" w:ascii="仿宋" w:hAnsi="仿宋" w:eastAsia="仿宋" w:cs="仿宋"/>
                <w:bCs/>
                <w:color w:val="auto"/>
                <w:kern w:val="0"/>
                <w:sz w:val="24"/>
                <w:highlight w:val="none"/>
              </w:rPr>
              <w:t>%以下或者未提供的不得分。提供业绩证明资料如合同或者中标通知书复印件为准，未提供证明资料或无效的，不计分。</w:t>
            </w:r>
          </w:p>
        </w:tc>
      </w:tr>
    </w:tbl>
    <w:p w14:paraId="787EE40A">
      <w:pPr>
        <w:pStyle w:val="52"/>
        <w:widowControl/>
        <w:spacing w:before="156" w:after="156" w:line="460" w:lineRule="exact"/>
        <w:ind w:firstLine="560"/>
        <w:jc w:val="left"/>
        <w:rPr>
          <w:rStyle w:val="49"/>
          <w:rFonts w:hint="eastAsia" w:ascii="仿宋" w:hAnsi="仿宋" w:eastAsia="仿宋" w:cs="仿宋"/>
          <w:b w:val="0"/>
          <w:color w:val="auto"/>
          <w:sz w:val="28"/>
          <w:highlight w:val="none"/>
        </w:rPr>
      </w:pPr>
      <w:r>
        <w:rPr>
          <w:rStyle w:val="49"/>
          <w:rFonts w:hint="eastAsia" w:ascii="仿宋" w:hAnsi="仿宋" w:eastAsia="仿宋" w:cs="仿宋"/>
          <w:b w:val="0"/>
          <w:color w:val="auto"/>
          <w:sz w:val="28"/>
          <w:highlight w:val="none"/>
        </w:rPr>
        <w:t>B、技术部分（</w:t>
      </w:r>
      <w:r>
        <w:rPr>
          <w:rStyle w:val="49"/>
          <w:rFonts w:hint="eastAsia" w:ascii="仿宋" w:hAnsi="仿宋" w:eastAsia="仿宋" w:cs="仿宋"/>
          <w:b w:val="0"/>
          <w:color w:val="auto"/>
          <w:sz w:val="24"/>
          <w:highlight w:val="none"/>
        </w:rPr>
        <w:t>60分</w:t>
      </w:r>
      <w:r>
        <w:rPr>
          <w:rStyle w:val="49"/>
          <w:rFonts w:hint="eastAsia" w:ascii="仿宋" w:hAnsi="仿宋" w:eastAsia="仿宋" w:cs="仿宋"/>
          <w:b w:val="0"/>
          <w:color w:val="auto"/>
          <w:sz w:val="28"/>
          <w:highlight w:val="none"/>
        </w:rPr>
        <w:t>）</w:t>
      </w:r>
    </w:p>
    <w:tbl>
      <w:tblPr>
        <w:tblStyle w:val="22"/>
        <w:tblW w:w="99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3"/>
        <w:gridCol w:w="704"/>
        <w:gridCol w:w="7382"/>
      </w:tblGrid>
      <w:tr w14:paraId="3852B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14:paraId="106F0935">
            <w:pPr>
              <w:pStyle w:val="53"/>
              <w:widowControl/>
              <w:snapToGrid w:val="0"/>
              <w:rPr>
                <w:rStyle w:val="49"/>
                <w:rFonts w:hint="eastAsia" w:ascii="仿宋" w:hAnsi="仿宋" w:eastAsia="仿宋" w:cs="仿宋"/>
                <w:b w:val="0"/>
                <w:color w:val="auto"/>
                <w:sz w:val="24"/>
                <w:highlight w:val="none"/>
              </w:rPr>
            </w:pPr>
            <w:r>
              <w:rPr>
                <w:rStyle w:val="49"/>
                <w:rFonts w:hint="eastAsia" w:ascii="仿宋" w:hAnsi="仿宋" w:eastAsia="仿宋" w:cs="仿宋"/>
                <w:b w:val="0"/>
                <w:color w:val="auto"/>
                <w:sz w:val="24"/>
                <w:highlight w:val="none"/>
              </w:rPr>
              <w:t>评审项目</w:t>
            </w:r>
          </w:p>
        </w:tc>
        <w:tc>
          <w:tcPr>
            <w:tcW w:w="704" w:type="dxa"/>
            <w:tcBorders>
              <w:top w:val="single" w:color="000000" w:sz="4" w:space="0"/>
              <w:left w:val="single" w:color="000000" w:sz="4" w:space="0"/>
              <w:bottom w:val="single" w:color="000000" w:sz="4" w:space="0"/>
              <w:right w:val="single" w:color="000000" w:sz="4" w:space="0"/>
            </w:tcBorders>
            <w:vAlign w:val="center"/>
          </w:tcPr>
          <w:p w14:paraId="09BCE99C">
            <w:pPr>
              <w:pStyle w:val="53"/>
              <w:widowControl/>
              <w:snapToGrid w:val="0"/>
              <w:rPr>
                <w:rStyle w:val="49"/>
                <w:rFonts w:hint="eastAsia" w:ascii="仿宋" w:hAnsi="仿宋" w:eastAsia="仿宋" w:cs="仿宋"/>
                <w:b w:val="0"/>
                <w:color w:val="auto"/>
                <w:sz w:val="24"/>
                <w:highlight w:val="none"/>
              </w:rPr>
            </w:pPr>
            <w:r>
              <w:rPr>
                <w:rStyle w:val="49"/>
                <w:rFonts w:hint="eastAsia" w:ascii="仿宋" w:hAnsi="仿宋" w:eastAsia="仿宋" w:cs="仿宋"/>
                <w:b w:val="0"/>
                <w:color w:val="auto"/>
                <w:sz w:val="24"/>
                <w:highlight w:val="none"/>
              </w:rPr>
              <w:t>分值</w:t>
            </w:r>
          </w:p>
        </w:tc>
        <w:tc>
          <w:tcPr>
            <w:tcW w:w="7382" w:type="dxa"/>
            <w:tcBorders>
              <w:top w:val="single" w:color="000000" w:sz="4" w:space="0"/>
              <w:left w:val="single" w:color="000000" w:sz="4" w:space="0"/>
              <w:bottom w:val="single" w:color="000000" w:sz="4" w:space="0"/>
              <w:right w:val="single" w:color="000000" w:sz="4" w:space="0"/>
            </w:tcBorders>
            <w:vAlign w:val="center"/>
          </w:tcPr>
          <w:p w14:paraId="7B5722A9">
            <w:pPr>
              <w:pStyle w:val="53"/>
              <w:widowControl/>
              <w:snapToGrid w:val="0"/>
              <w:rPr>
                <w:rStyle w:val="49"/>
                <w:rFonts w:hint="eastAsia" w:ascii="仿宋" w:hAnsi="仿宋" w:eastAsia="仿宋" w:cs="仿宋"/>
                <w:b w:val="0"/>
                <w:color w:val="auto"/>
                <w:sz w:val="24"/>
                <w:highlight w:val="none"/>
              </w:rPr>
            </w:pPr>
            <w:r>
              <w:rPr>
                <w:rStyle w:val="49"/>
                <w:rFonts w:hint="eastAsia" w:ascii="仿宋" w:hAnsi="仿宋" w:eastAsia="仿宋" w:cs="仿宋"/>
                <w:b w:val="0"/>
                <w:color w:val="auto"/>
                <w:sz w:val="24"/>
                <w:highlight w:val="none"/>
              </w:rPr>
              <w:t>内     容</w:t>
            </w:r>
          </w:p>
        </w:tc>
      </w:tr>
      <w:tr w14:paraId="007DE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14:paraId="2CBEB46A">
            <w:pPr>
              <w:pStyle w:val="68"/>
              <w:widowControl/>
              <w:ind w:firstLine="0" w:firstLineChars="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技术规格的响应程度</w:t>
            </w:r>
          </w:p>
        </w:tc>
        <w:tc>
          <w:tcPr>
            <w:tcW w:w="704" w:type="dxa"/>
            <w:tcBorders>
              <w:top w:val="single" w:color="000000" w:sz="4" w:space="0"/>
              <w:left w:val="single" w:color="000000" w:sz="4" w:space="0"/>
              <w:bottom w:val="single" w:color="000000" w:sz="4" w:space="0"/>
              <w:right w:val="single" w:color="000000" w:sz="4" w:space="0"/>
            </w:tcBorders>
            <w:vAlign w:val="center"/>
          </w:tcPr>
          <w:p w14:paraId="615AFEEB">
            <w:pPr>
              <w:pStyle w:val="68"/>
              <w:widowControl/>
              <w:ind w:firstLine="0" w:firstLineChars="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30分</w:t>
            </w:r>
          </w:p>
        </w:tc>
        <w:tc>
          <w:tcPr>
            <w:tcW w:w="7382" w:type="dxa"/>
            <w:tcBorders>
              <w:top w:val="single" w:color="000000" w:sz="4" w:space="0"/>
              <w:left w:val="single" w:color="000000" w:sz="4" w:space="0"/>
              <w:bottom w:val="single" w:color="000000" w:sz="4" w:space="0"/>
              <w:right w:val="single" w:color="000000" w:sz="4" w:space="0"/>
            </w:tcBorders>
            <w:vAlign w:val="center"/>
          </w:tcPr>
          <w:p w14:paraId="4A6C2F07">
            <w:pPr>
              <w:jc w:val="left"/>
              <w:rPr>
                <w:rStyle w:val="49"/>
                <w:rFonts w:hint="eastAsia" w:ascii="仿宋" w:hAnsi="仿宋" w:eastAsia="仿宋" w:cs="仿宋"/>
                <w:bCs/>
                <w:color w:val="auto"/>
                <w:kern w:val="0"/>
                <w:sz w:val="24"/>
                <w:highlight w:val="none"/>
              </w:rPr>
            </w:pPr>
            <w:r>
              <w:rPr>
                <w:rStyle w:val="49"/>
                <w:rFonts w:hint="eastAsia" w:ascii="仿宋" w:hAnsi="仿宋" w:eastAsia="仿宋" w:cs="仿宋"/>
                <w:bCs/>
                <w:color w:val="auto"/>
                <w:kern w:val="0"/>
                <w:sz w:val="24"/>
                <w:highlight w:val="none"/>
              </w:rPr>
              <w:t>技术规格参数满足招标文件要求的得30分；技术条款每偏离一条扣除</w:t>
            </w:r>
            <w:r>
              <w:rPr>
                <w:rStyle w:val="49"/>
                <w:rFonts w:hint="eastAsia" w:ascii="仿宋" w:hAnsi="仿宋" w:eastAsia="仿宋" w:cs="仿宋"/>
                <w:bCs/>
                <w:color w:val="auto"/>
                <w:kern w:val="0"/>
                <w:sz w:val="24"/>
                <w:highlight w:val="none"/>
                <w:lang w:val="en-US"/>
              </w:rPr>
              <w:t>1</w:t>
            </w:r>
            <w:r>
              <w:rPr>
                <w:rStyle w:val="49"/>
                <w:rFonts w:hint="eastAsia" w:ascii="仿宋" w:hAnsi="仿宋" w:eastAsia="仿宋" w:cs="仿宋"/>
                <w:bCs/>
                <w:color w:val="auto"/>
                <w:kern w:val="0"/>
                <w:sz w:val="24"/>
                <w:highlight w:val="none"/>
              </w:rPr>
              <w:t>分，最低得0分，最高得30分。</w:t>
            </w:r>
          </w:p>
        </w:tc>
      </w:tr>
      <w:tr w14:paraId="266D7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1"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14:paraId="258D4693">
            <w:pPr>
              <w:pStyle w:val="53"/>
              <w:widowControl/>
              <w:snapToGrid w:val="0"/>
              <w:rPr>
                <w:rFonts w:hint="eastAsia" w:ascii="仿宋" w:hAnsi="仿宋" w:eastAsia="仿宋" w:cs="仿宋"/>
                <w:color w:val="auto"/>
                <w:sz w:val="24"/>
                <w:highlight w:val="none"/>
              </w:rPr>
            </w:pPr>
            <w:r>
              <w:rPr>
                <w:rStyle w:val="49"/>
                <w:rFonts w:hint="eastAsia" w:ascii="仿宋" w:hAnsi="仿宋" w:eastAsia="仿宋" w:cs="仿宋"/>
                <w:b w:val="0"/>
                <w:color w:val="auto"/>
                <w:sz w:val="24"/>
                <w:highlight w:val="none"/>
              </w:rPr>
              <w:t>产品说明书</w:t>
            </w:r>
          </w:p>
        </w:tc>
        <w:tc>
          <w:tcPr>
            <w:tcW w:w="704" w:type="dxa"/>
            <w:tcBorders>
              <w:top w:val="single" w:color="000000" w:sz="4" w:space="0"/>
              <w:left w:val="single" w:color="000000" w:sz="4" w:space="0"/>
              <w:bottom w:val="single" w:color="000000" w:sz="4" w:space="0"/>
              <w:right w:val="single" w:color="000000" w:sz="4" w:space="0"/>
            </w:tcBorders>
            <w:vAlign w:val="center"/>
          </w:tcPr>
          <w:p w14:paraId="1D3611FD">
            <w:pPr>
              <w:pStyle w:val="53"/>
              <w:widowControl/>
              <w:snapToGrid w:val="0"/>
              <w:rPr>
                <w:rFonts w:hint="eastAsia" w:ascii="仿宋" w:hAnsi="仿宋" w:eastAsia="仿宋" w:cs="仿宋"/>
                <w:color w:val="auto"/>
                <w:sz w:val="24"/>
                <w:highlight w:val="none"/>
              </w:rPr>
            </w:pPr>
            <w:r>
              <w:rPr>
                <w:rStyle w:val="49"/>
                <w:rFonts w:hint="eastAsia" w:ascii="仿宋" w:hAnsi="仿宋" w:eastAsia="仿宋" w:cs="仿宋"/>
                <w:b w:val="0"/>
                <w:color w:val="auto"/>
                <w:sz w:val="24"/>
                <w:highlight w:val="none"/>
              </w:rPr>
              <w:t>10分</w:t>
            </w:r>
          </w:p>
        </w:tc>
        <w:tc>
          <w:tcPr>
            <w:tcW w:w="7382" w:type="dxa"/>
            <w:tcBorders>
              <w:top w:val="single" w:color="000000" w:sz="4" w:space="0"/>
              <w:left w:val="single" w:color="000000" w:sz="4" w:space="0"/>
              <w:bottom w:val="single" w:color="000000" w:sz="4" w:space="0"/>
              <w:right w:val="single" w:color="000000" w:sz="4" w:space="0"/>
            </w:tcBorders>
            <w:vAlign w:val="center"/>
          </w:tcPr>
          <w:p w14:paraId="7D76C6A3">
            <w:pPr>
              <w:spacing w:line="360" w:lineRule="exact"/>
              <w:rPr>
                <w:rStyle w:val="49"/>
                <w:rFonts w:hint="eastAsia" w:ascii="仿宋" w:hAnsi="仿宋" w:eastAsia="仿宋" w:cs="仿宋"/>
                <w:bCs/>
                <w:color w:val="auto"/>
                <w:kern w:val="0"/>
                <w:sz w:val="24"/>
                <w:highlight w:val="none"/>
              </w:rPr>
            </w:pPr>
            <w:r>
              <w:rPr>
                <w:rStyle w:val="49"/>
                <w:rFonts w:hint="eastAsia" w:ascii="仿宋" w:hAnsi="仿宋" w:eastAsia="仿宋" w:cs="仿宋"/>
                <w:bCs/>
                <w:color w:val="auto"/>
                <w:kern w:val="0"/>
                <w:sz w:val="24"/>
                <w:highlight w:val="none"/>
              </w:rPr>
              <w:t>提供全部产品说明书且符合参数要求的得10分；提供超过</w:t>
            </w:r>
            <w:r>
              <w:rPr>
                <w:rStyle w:val="49"/>
                <w:rFonts w:hint="eastAsia" w:ascii="仿宋" w:hAnsi="仿宋" w:eastAsia="仿宋" w:cs="仿宋"/>
                <w:bCs/>
                <w:color w:val="auto"/>
                <w:kern w:val="0"/>
                <w:sz w:val="24"/>
                <w:highlight w:val="none"/>
                <w:lang w:val="en-US"/>
              </w:rPr>
              <w:t>95</w:t>
            </w:r>
            <w:r>
              <w:rPr>
                <w:rStyle w:val="49"/>
                <w:rFonts w:hint="eastAsia" w:ascii="仿宋" w:hAnsi="仿宋" w:eastAsia="仿宋" w:cs="仿宋"/>
                <w:bCs/>
                <w:color w:val="auto"/>
                <w:kern w:val="0"/>
                <w:sz w:val="24"/>
                <w:highlight w:val="none"/>
              </w:rPr>
              <w:t>%以上产品的产品说明书的得7分；提供超过</w:t>
            </w:r>
            <w:r>
              <w:rPr>
                <w:rStyle w:val="49"/>
                <w:rFonts w:hint="eastAsia" w:ascii="仿宋" w:hAnsi="仿宋" w:eastAsia="仿宋" w:cs="仿宋"/>
                <w:bCs/>
                <w:color w:val="auto"/>
                <w:kern w:val="0"/>
                <w:sz w:val="24"/>
                <w:highlight w:val="none"/>
                <w:lang w:val="en-US"/>
              </w:rPr>
              <w:t>90</w:t>
            </w:r>
            <w:r>
              <w:rPr>
                <w:rStyle w:val="49"/>
                <w:rFonts w:hint="eastAsia" w:ascii="仿宋" w:hAnsi="仿宋" w:eastAsia="仿宋" w:cs="仿宋"/>
                <w:bCs/>
                <w:color w:val="auto"/>
                <w:kern w:val="0"/>
                <w:sz w:val="24"/>
                <w:highlight w:val="none"/>
              </w:rPr>
              <w:t>%以上产品的产品说明书的得4分；</w:t>
            </w:r>
            <w:r>
              <w:rPr>
                <w:rStyle w:val="49"/>
                <w:rFonts w:hint="eastAsia" w:ascii="仿宋" w:hAnsi="仿宋" w:eastAsia="仿宋" w:cs="仿宋"/>
                <w:bCs/>
                <w:color w:val="auto"/>
                <w:kern w:val="0"/>
                <w:sz w:val="24"/>
                <w:highlight w:val="none"/>
                <w:lang w:val="en-US"/>
              </w:rPr>
              <w:t>80</w:t>
            </w:r>
            <w:r>
              <w:rPr>
                <w:rStyle w:val="49"/>
                <w:rFonts w:hint="eastAsia" w:ascii="仿宋" w:hAnsi="仿宋" w:eastAsia="仿宋" w:cs="仿宋"/>
                <w:bCs/>
                <w:color w:val="auto"/>
                <w:kern w:val="0"/>
                <w:sz w:val="24"/>
                <w:highlight w:val="none"/>
              </w:rPr>
              <w:t>%以下或者未提供的不得分。</w:t>
            </w:r>
          </w:p>
        </w:tc>
      </w:tr>
      <w:tr w14:paraId="09ABF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14:paraId="474E5B9A">
            <w:pPr>
              <w:pStyle w:val="68"/>
              <w:widowControl/>
              <w:ind w:firstLine="0" w:firstLineChars="0"/>
              <w:jc w:val="center"/>
              <w:rPr>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货源质量保证</w:t>
            </w:r>
          </w:p>
        </w:tc>
        <w:tc>
          <w:tcPr>
            <w:tcW w:w="704" w:type="dxa"/>
            <w:tcBorders>
              <w:top w:val="single" w:color="000000" w:sz="4" w:space="0"/>
              <w:left w:val="single" w:color="000000" w:sz="4" w:space="0"/>
              <w:bottom w:val="single" w:color="000000" w:sz="4" w:space="0"/>
              <w:right w:val="single" w:color="000000" w:sz="4" w:space="0"/>
            </w:tcBorders>
            <w:vAlign w:val="center"/>
          </w:tcPr>
          <w:p w14:paraId="33D42810">
            <w:pPr>
              <w:pStyle w:val="68"/>
              <w:widowControl/>
              <w:ind w:firstLine="0" w:firstLineChars="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4分</w:t>
            </w:r>
          </w:p>
        </w:tc>
        <w:tc>
          <w:tcPr>
            <w:tcW w:w="7382" w:type="dxa"/>
            <w:tcBorders>
              <w:top w:val="single" w:color="000000" w:sz="4" w:space="0"/>
              <w:left w:val="single" w:color="000000" w:sz="4" w:space="0"/>
              <w:bottom w:val="single" w:color="000000" w:sz="4" w:space="0"/>
              <w:right w:val="single" w:color="000000" w:sz="4" w:space="0"/>
            </w:tcBorders>
            <w:vAlign w:val="center"/>
          </w:tcPr>
          <w:p w14:paraId="6E7A5F96">
            <w:pPr>
              <w:spacing w:line="360" w:lineRule="exact"/>
              <w:jc w:val="left"/>
              <w:rPr>
                <w:rStyle w:val="49"/>
                <w:rFonts w:hint="eastAsia" w:ascii="仿宋" w:hAnsi="仿宋" w:eastAsia="仿宋" w:cs="仿宋"/>
                <w:color w:val="auto"/>
                <w:kern w:val="0"/>
                <w:sz w:val="24"/>
                <w:highlight w:val="none"/>
              </w:rPr>
            </w:pPr>
            <w:r>
              <w:rPr>
                <w:rStyle w:val="49"/>
                <w:rFonts w:hint="eastAsia" w:ascii="仿宋" w:hAnsi="仿宋" w:eastAsia="仿宋" w:cs="仿宋"/>
                <w:bCs/>
                <w:color w:val="auto"/>
                <w:kern w:val="0"/>
                <w:sz w:val="24"/>
                <w:highlight w:val="none"/>
              </w:rPr>
              <w:t>提供全部产品</w:t>
            </w:r>
            <w:r>
              <w:rPr>
                <w:rStyle w:val="49"/>
                <w:rFonts w:hint="eastAsia" w:ascii="仿宋" w:hAnsi="仿宋" w:eastAsia="仿宋" w:cs="仿宋"/>
                <w:color w:val="auto"/>
                <w:kern w:val="0"/>
                <w:sz w:val="24"/>
                <w:highlight w:val="none"/>
              </w:rPr>
              <w:t>生产厂家出具的货源质量保证书的</w:t>
            </w:r>
            <w:r>
              <w:rPr>
                <w:rStyle w:val="49"/>
                <w:rFonts w:hint="eastAsia" w:ascii="仿宋" w:hAnsi="仿宋" w:eastAsia="仿宋" w:cs="仿宋"/>
                <w:bCs/>
                <w:color w:val="auto"/>
                <w:kern w:val="0"/>
                <w:sz w:val="24"/>
                <w:highlight w:val="none"/>
              </w:rPr>
              <w:t>得4分；提供超过</w:t>
            </w:r>
            <w:r>
              <w:rPr>
                <w:rStyle w:val="49"/>
                <w:rFonts w:hint="eastAsia" w:ascii="仿宋" w:hAnsi="仿宋" w:eastAsia="仿宋" w:cs="仿宋"/>
                <w:bCs/>
                <w:color w:val="auto"/>
                <w:kern w:val="0"/>
                <w:sz w:val="24"/>
                <w:highlight w:val="none"/>
                <w:lang w:val="en-US"/>
              </w:rPr>
              <w:t>95</w:t>
            </w:r>
            <w:r>
              <w:rPr>
                <w:rStyle w:val="49"/>
                <w:rFonts w:hint="eastAsia" w:ascii="仿宋" w:hAnsi="仿宋" w:eastAsia="仿宋" w:cs="仿宋"/>
                <w:bCs/>
                <w:color w:val="auto"/>
                <w:kern w:val="0"/>
                <w:sz w:val="24"/>
                <w:highlight w:val="none"/>
              </w:rPr>
              <w:t>%以上产品的</w:t>
            </w:r>
            <w:r>
              <w:rPr>
                <w:rStyle w:val="49"/>
                <w:rFonts w:hint="eastAsia" w:ascii="仿宋" w:hAnsi="仿宋" w:eastAsia="仿宋" w:cs="仿宋"/>
                <w:color w:val="auto"/>
                <w:kern w:val="0"/>
                <w:sz w:val="24"/>
                <w:highlight w:val="none"/>
              </w:rPr>
              <w:t>生产厂家出具的货源质量保证书</w:t>
            </w:r>
            <w:r>
              <w:rPr>
                <w:rStyle w:val="49"/>
                <w:rFonts w:hint="eastAsia" w:ascii="仿宋" w:hAnsi="仿宋" w:eastAsia="仿宋" w:cs="仿宋"/>
                <w:bCs/>
                <w:color w:val="auto"/>
                <w:kern w:val="0"/>
                <w:sz w:val="24"/>
                <w:highlight w:val="none"/>
              </w:rPr>
              <w:t>的得2分；提供</w:t>
            </w:r>
            <w:r>
              <w:rPr>
                <w:rStyle w:val="49"/>
                <w:rFonts w:hint="eastAsia" w:ascii="仿宋" w:hAnsi="仿宋" w:eastAsia="仿宋" w:cs="仿宋"/>
                <w:bCs/>
                <w:color w:val="auto"/>
                <w:kern w:val="0"/>
                <w:sz w:val="24"/>
                <w:highlight w:val="none"/>
                <w:lang w:val="en-US"/>
              </w:rPr>
              <w:t>不足90</w:t>
            </w:r>
            <w:r>
              <w:rPr>
                <w:rStyle w:val="49"/>
                <w:rFonts w:hint="eastAsia" w:ascii="仿宋" w:hAnsi="仿宋" w:eastAsia="仿宋" w:cs="仿宋"/>
                <w:bCs/>
                <w:color w:val="auto"/>
                <w:kern w:val="0"/>
                <w:sz w:val="24"/>
                <w:highlight w:val="none"/>
              </w:rPr>
              <w:t>%产品的</w:t>
            </w:r>
            <w:r>
              <w:rPr>
                <w:rStyle w:val="49"/>
                <w:rFonts w:hint="eastAsia" w:ascii="仿宋" w:hAnsi="仿宋" w:eastAsia="仿宋" w:cs="仿宋"/>
                <w:color w:val="auto"/>
                <w:kern w:val="0"/>
                <w:sz w:val="24"/>
                <w:highlight w:val="none"/>
              </w:rPr>
              <w:t>生产厂家出具的货源质量保证书</w:t>
            </w:r>
            <w:r>
              <w:rPr>
                <w:rStyle w:val="49"/>
                <w:rFonts w:hint="eastAsia" w:ascii="仿宋" w:hAnsi="仿宋" w:eastAsia="仿宋" w:cs="仿宋"/>
                <w:bCs/>
                <w:color w:val="auto"/>
                <w:kern w:val="0"/>
                <w:sz w:val="24"/>
                <w:highlight w:val="none"/>
              </w:rPr>
              <w:t>的得1分；未提供的不得分。</w:t>
            </w:r>
          </w:p>
        </w:tc>
      </w:tr>
      <w:tr w14:paraId="6C467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14:paraId="6AA0CE45">
            <w:pPr>
              <w:pStyle w:val="68"/>
              <w:widowControl/>
              <w:ind w:firstLine="0" w:firstLineChars="0"/>
              <w:jc w:val="center"/>
              <w:rPr>
                <w:rStyle w:val="49"/>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授权</w:t>
            </w:r>
          </w:p>
        </w:tc>
        <w:tc>
          <w:tcPr>
            <w:tcW w:w="704" w:type="dxa"/>
            <w:tcBorders>
              <w:top w:val="single" w:color="000000" w:sz="4" w:space="0"/>
              <w:left w:val="single" w:color="000000" w:sz="4" w:space="0"/>
              <w:bottom w:val="single" w:color="000000" w:sz="4" w:space="0"/>
              <w:right w:val="single" w:color="000000" w:sz="4" w:space="0"/>
            </w:tcBorders>
            <w:vAlign w:val="center"/>
          </w:tcPr>
          <w:p w14:paraId="36DA8048">
            <w:pPr>
              <w:pStyle w:val="68"/>
              <w:widowControl/>
              <w:ind w:firstLine="0" w:firstLineChars="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4分</w:t>
            </w:r>
          </w:p>
        </w:tc>
        <w:tc>
          <w:tcPr>
            <w:tcW w:w="7382" w:type="dxa"/>
            <w:tcBorders>
              <w:top w:val="single" w:color="000000" w:sz="4" w:space="0"/>
              <w:left w:val="single" w:color="000000" w:sz="4" w:space="0"/>
              <w:bottom w:val="single" w:color="000000" w:sz="4" w:space="0"/>
              <w:right w:val="single" w:color="000000" w:sz="4" w:space="0"/>
            </w:tcBorders>
            <w:vAlign w:val="center"/>
          </w:tcPr>
          <w:p w14:paraId="58F589DE">
            <w:pPr>
              <w:spacing w:line="360" w:lineRule="exact"/>
              <w:jc w:val="left"/>
              <w:rPr>
                <w:rStyle w:val="49"/>
                <w:rFonts w:hint="eastAsia" w:ascii="仿宋" w:hAnsi="仿宋" w:eastAsia="仿宋" w:cs="仿宋"/>
                <w:bCs/>
                <w:color w:val="auto"/>
                <w:kern w:val="0"/>
                <w:sz w:val="24"/>
                <w:highlight w:val="none"/>
              </w:rPr>
            </w:pPr>
            <w:r>
              <w:rPr>
                <w:rStyle w:val="49"/>
                <w:rFonts w:hint="eastAsia" w:ascii="仿宋" w:hAnsi="仿宋" w:eastAsia="仿宋" w:cs="仿宋"/>
                <w:bCs/>
                <w:color w:val="auto"/>
                <w:kern w:val="0"/>
                <w:sz w:val="24"/>
                <w:highlight w:val="none"/>
              </w:rPr>
              <w:t>提供全部产品</w:t>
            </w:r>
            <w:r>
              <w:rPr>
                <w:rStyle w:val="49"/>
                <w:rFonts w:hint="eastAsia" w:ascii="仿宋" w:hAnsi="仿宋" w:eastAsia="仿宋" w:cs="仿宋"/>
                <w:color w:val="auto"/>
                <w:kern w:val="0"/>
                <w:sz w:val="24"/>
                <w:highlight w:val="none"/>
              </w:rPr>
              <w:t>生产厂家针对本次项目的唯一授权文件的</w:t>
            </w:r>
            <w:r>
              <w:rPr>
                <w:rStyle w:val="49"/>
                <w:rFonts w:hint="eastAsia" w:ascii="仿宋" w:hAnsi="仿宋" w:eastAsia="仿宋" w:cs="仿宋"/>
                <w:bCs/>
                <w:color w:val="auto"/>
                <w:kern w:val="0"/>
                <w:sz w:val="24"/>
                <w:highlight w:val="none"/>
              </w:rPr>
              <w:t>得4分；提供超过</w:t>
            </w:r>
            <w:r>
              <w:rPr>
                <w:rStyle w:val="49"/>
                <w:rFonts w:hint="eastAsia" w:ascii="仿宋" w:hAnsi="仿宋" w:eastAsia="仿宋" w:cs="仿宋"/>
                <w:bCs/>
                <w:color w:val="auto"/>
                <w:kern w:val="0"/>
                <w:sz w:val="24"/>
                <w:highlight w:val="none"/>
                <w:lang w:val="en-US"/>
              </w:rPr>
              <w:t>95</w:t>
            </w:r>
            <w:r>
              <w:rPr>
                <w:rStyle w:val="49"/>
                <w:rFonts w:hint="eastAsia" w:ascii="仿宋" w:hAnsi="仿宋" w:eastAsia="仿宋" w:cs="仿宋"/>
                <w:bCs/>
                <w:color w:val="auto"/>
                <w:kern w:val="0"/>
                <w:sz w:val="24"/>
                <w:highlight w:val="none"/>
              </w:rPr>
              <w:t>%以上产品的</w:t>
            </w:r>
            <w:r>
              <w:rPr>
                <w:rStyle w:val="49"/>
                <w:rFonts w:hint="eastAsia" w:ascii="仿宋" w:hAnsi="仿宋" w:eastAsia="仿宋" w:cs="仿宋"/>
                <w:color w:val="auto"/>
                <w:kern w:val="0"/>
                <w:sz w:val="24"/>
                <w:highlight w:val="none"/>
              </w:rPr>
              <w:t>生产厂家针对本次项目的唯一授权文件</w:t>
            </w:r>
            <w:r>
              <w:rPr>
                <w:rStyle w:val="49"/>
                <w:rFonts w:hint="eastAsia" w:ascii="仿宋" w:hAnsi="仿宋" w:eastAsia="仿宋" w:cs="仿宋"/>
                <w:bCs/>
                <w:color w:val="auto"/>
                <w:kern w:val="0"/>
                <w:sz w:val="24"/>
                <w:highlight w:val="none"/>
              </w:rPr>
              <w:t>的得2分；提供</w:t>
            </w:r>
            <w:r>
              <w:rPr>
                <w:rStyle w:val="49"/>
                <w:rFonts w:hint="eastAsia" w:ascii="仿宋" w:hAnsi="仿宋" w:eastAsia="仿宋" w:cs="仿宋"/>
                <w:bCs/>
                <w:color w:val="auto"/>
                <w:kern w:val="0"/>
                <w:sz w:val="24"/>
                <w:highlight w:val="none"/>
                <w:lang w:val="en-US"/>
              </w:rPr>
              <w:t>不足9</w:t>
            </w:r>
            <w:r>
              <w:rPr>
                <w:rStyle w:val="49"/>
                <w:rFonts w:hint="eastAsia" w:ascii="仿宋" w:hAnsi="仿宋" w:eastAsia="仿宋" w:cs="仿宋"/>
                <w:bCs/>
                <w:color w:val="auto"/>
                <w:kern w:val="0"/>
                <w:sz w:val="24"/>
                <w:highlight w:val="none"/>
              </w:rPr>
              <w:t>0%产品的</w:t>
            </w:r>
            <w:r>
              <w:rPr>
                <w:rStyle w:val="49"/>
                <w:rFonts w:hint="eastAsia" w:ascii="仿宋" w:hAnsi="仿宋" w:eastAsia="仿宋" w:cs="仿宋"/>
                <w:color w:val="auto"/>
                <w:kern w:val="0"/>
                <w:sz w:val="24"/>
                <w:highlight w:val="none"/>
              </w:rPr>
              <w:t>生产厂家针对本次项目的唯一授权文件</w:t>
            </w:r>
            <w:r>
              <w:rPr>
                <w:rStyle w:val="49"/>
                <w:rFonts w:hint="eastAsia" w:ascii="仿宋" w:hAnsi="仿宋" w:eastAsia="仿宋" w:cs="仿宋"/>
                <w:bCs/>
                <w:color w:val="auto"/>
                <w:kern w:val="0"/>
                <w:sz w:val="24"/>
                <w:highlight w:val="none"/>
              </w:rPr>
              <w:t>的得1分；未提供的不得分。</w:t>
            </w:r>
          </w:p>
        </w:tc>
      </w:tr>
      <w:tr w14:paraId="48DDD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3" w:hRule="atLeast"/>
          <w:jc w:val="center"/>
        </w:trPr>
        <w:tc>
          <w:tcPr>
            <w:tcW w:w="1843" w:type="dxa"/>
            <w:tcBorders>
              <w:top w:val="single" w:color="000000" w:sz="4" w:space="0"/>
              <w:left w:val="single" w:color="000000" w:sz="4" w:space="0"/>
              <w:right w:val="single" w:color="000000" w:sz="4" w:space="0"/>
            </w:tcBorders>
            <w:vAlign w:val="center"/>
          </w:tcPr>
          <w:p w14:paraId="66C86264">
            <w:pPr>
              <w:widowControl/>
              <w:spacing w:line="360" w:lineRule="exact"/>
              <w:jc w:val="center"/>
              <w:textAlignment w:val="baseline"/>
              <w:rPr>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项目实施能力、保障措施及实施计划等</w:t>
            </w:r>
          </w:p>
        </w:tc>
        <w:tc>
          <w:tcPr>
            <w:tcW w:w="704" w:type="dxa"/>
            <w:tcBorders>
              <w:top w:val="single" w:color="000000" w:sz="4" w:space="0"/>
              <w:left w:val="single" w:color="000000" w:sz="4" w:space="0"/>
              <w:right w:val="single" w:color="000000" w:sz="4" w:space="0"/>
            </w:tcBorders>
            <w:vAlign w:val="center"/>
          </w:tcPr>
          <w:p w14:paraId="3C8E983B">
            <w:pPr>
              <w:widowControl/>
              <w:spacing w:line="360" w:lineRule="exact"/>
              <w:jc w:val="center"/>
              <w:textAlignment w:val="baseline"/>
              <w:rPr>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lang w:val="en-US"/>
              </w:rPr>
              <w:t>3</w:t>
            </w:r>
            <w:r>
              <w:rPr>
                <w:rStyle w:val="49"/>
                <w:rFonts w:hint="eastAsia" w:ascii="仿宋" w:hAnsi="仿宋" w:eastAsia="仿宋" w:cs="仿宋"/>
                <w:color w:val="auto"/>
                <w:kern w:val="0"/>
                <w:sz w:val="24"/>
                <w:highlight w:val="none"/>
              </w:rPr>
              <w:t>分</w:t>
            </w:r>
          </w:p>
        </w:tc>
        <w:tc>
          <w:tcPr>
            <w:tcW w:w="7382" w:type="dxa"/>
            <w:tcBorders>
              <w:top w:val="single" w:color="000000" w:sz="4" w:space="0"/>
              <w:left w:val="single" w:color="000000" w:sz="4" w:space="0"/>
              <w:right w:val="single" w:color="000000" w:sz="4" w:space="0"/>
            </w:tcBorders>
            <w:vAlign w:val="center"/>
          </w:tcPr>
          <w:p w14:paraId="1E2944FC">
            <w:pPr>
              <w:widowControl/>
              <w:spacing w:line="360" w:lineRule="exact"/>
              <w:jc w:val="lef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评标委员会根据投标人提供的项目实施能力、保障措施及实施计划等进行综合评分；从①、测试与试运行；②、备品备件库；③、故障修复时间；④、巡检维保服务方案等；</w:t>
            </w:r>
          </w:p>
          <w:p w14:paraId="2E2C8DC6">
            <w:pPr>
              <w:widowControl/>
              <w:spacing w:line="360" w:lineRule="exact"/>
              <w:jc w:val="lef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以上内容均优于采购需求且进行详细说明、提供的项目实施进度内容清晰完善程度、合理性及可操作性优于招标文件要求的得满分</w:t>
            </w:r>
            <w:r>
              <w:rPr>
                <w:rStyle w:val="49"/>
                <w:rFonts w:hint="eastAsia" w:ascii="仿宋" w:hAnsi="仿宋" w:eastAsia="仿宋" w:cs="仿宋"/>
                <w:color w:val="auto"/>
                <w:kern w:val="0"/>
                <w:sz w:val="24"/>
                <w:highlight w:val="none"/>
                <w:lang w:val="en-US"/>
              </w:rPr>
              <w:t>3</w:t>
            </w:r>
            <w:r>
              <w:rPr>
                <w:rStyle w:val="49"/>
                <w:rFonts w:hint="eastAsia" w:ascii="仿宋" w:hAnsi="仿宋" w:eastAsia="仿宋" w:cs="仿宋"/>
                <w:color w:val="auto"/>
                <w:kern w:val="0"/>
                <w:sz w:val="24"/>
                <w:highlight w:val="none"/>
              </w:rPr>
              <w:t>分；</w:t>
            </w:r>
          </w:p>
          <w:p w14:paraId="6DF349FC">
            <w:pPr>
              <w:widowControl/>
              <w:spacing w:line="360" w:lineRule="exact"/>
              <w:jc w:val="lef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以上内容均能满足采购需求且进行详细说明、提供的项目实施进度内容清晰完善程度、合理性及可操作性均能满足招标文件要求的得</w:t>
            </w:r>
            <w:r>
              <w:rPr>
                <w:rStyle w:val="49"/>
                <w:rFonts w:hint="eastAsia" w:ascii="仿宋" w:hAnsi="仿宋" w:eastAsia="仿宋" w:cs="仿宋"/>
                <w:color w:val="auto"/>
                <w:kern w:val="0"/>
                <w:sz w:val="24"/>
                <w:highlight w:val="none"/>
                <w:lang w:val="en-US"/>
              </w:rPr>
              <w:t>2</w:t>
            </w:r>
            <w:r>
              <w:rPr>
                <w:rStyle w:val="49"/>
                <w:rFonts w:hint="eastAsia" w:ascii="仿宋" w:hAnsi="仿宋" w:eastAsia="仿宋" w:cs="仿宋"/>
                <w:color w:val="auto"/>
                <w:kern w:val="0"/>
                <w:sz w:val="24"/>
                <w:highlight w:val="none"/>
              </w:rPr>
              <w:t>分；</w:t>
            </w:r>
          </w:p>
          <w:p w14:paraId="03295AFD">
            <w:pPr>
              <w:widowControl/>
              <w:spacing w:line="360" w:lineRule="exact"/>
              <w:jc w:val="lef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以上内容能基本满足采购需求且进行详细说明的、提供的项目实施进度内容清晰完善程度、合理性及可操作性基本满足招标文件要求得1分；</w:t>
            </w:r>
          </w:p>
          <w:p w14:paraId="41BD4FF5">
            <w:pPr>
              <w:widowControl/>
              <w:spacing w:line="360" w:lineRule="exact"/>
              <w:jc w:val="left"/>
              <w:textAlignment w:val="baseline"/>
              <w:rPr>
                <w:rFonts w:hint="eastAsia" w:ascii="仿宋" w:hAnsi="仿宋" w:eastAsia="仿宋" w:cs="仿宋"/>
                <w:color w:val="auto"/>
                <w:sz w:val="24"/>
                <w:highlight w:val="none"/>
              </w:rPr>
            </w:pPr>
            <w:r>
              <w:rPr>
                <w:rFonts w:hint="eastAsia" w:ascii="仿宋" w:hAnsi="仿宋" w:eastAsia="仿宋" w:cs="宋体"/>
                <w:color w:val="auto"/>
                <w:kern w:val="0"/>
                <w:sz w:val="24"/>
                <w:szCs w:val="24"/>
                <w:highlight w:val="none"/>
              </w:rPr>
              <w:t>方案内容差的</w:t>
            </w:r>
            <w:r>
              <w:rPr>
                <w:rFonts w:hint="eastAsia" w:ascii="仿宋" w:hAnsi="仿宋" w:eastAsia="仿宋"/>
                <w:color w:val="auto"/>
                <w:kern w:val="0"/>
                <w:sz w:val="24"/>
                <w:szCs w:val="24"/>
                <w:highlight w:val="none"/>
              </w:rPr>
              <w:t>及未提供的不得分。</w:t>
            </w:r>
          </w:p>
        </w:tc>
      </w:tr>
      <w:tr w14:paraId="40EE7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1843" w:type="dxa"/>
            <w:tcBorders>
              <w:top w:val="single" w:color="000000" w:sz="4" w:space="0"/>
              <w:left w:val="single" w:color="000000" w:sz="4" w:space="0"/>
              <w:right w:val="single" w:color="000000" w:sz="4" w:space="0"/>
            </w:tcBorders>
            <w:vAlign w:val="center"/>
          </w:tcPr>
          <w:p w14:paraId="694E5619">
            <w:pPr>
              <w:widowControl/>
              <w:spacing w:line="360" w:lineRule="exact"/>
              <w:jc w:val="center"/>
              <w:textAlignment w:val="baseline"/>
              <w:rPr>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应急处理方案</w:t>
            </w:r>
          </w:p>
        </w:tc>
        <w:tc>
          <w:tcPr>
            <w:tcW w:w="704" w:type="dxa"/>
            <w:tcBorders>
              <w:top w:val="single" w:color="000000" w:sz="4" w:space="0"/>
              <w:left w:val="single" w:color="000000" w:sz="4" w:space="0"/>
              <w:right w:val="single" w:color="000000" w:sz="4" w:space="0"/>
            </w:tcBorders>
            <w:vAlign w:val="center"/>
          </w:tcPr>
          <w:p w14:paraId="55FFAA79">
            <w:pPr>
              <w:widowControl/>
              <w:spacing w:line="360" w:lineRule="exact"/>
              <w:jc w:val="center"/>
              <w:textAlignment w:val="baseline"/>
              <w:rPr>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lang w:val="en-US"/>
              </w:rPr>
              <w:t>3</w:t>
            </w:r>
            <w:r>
              <w:rPr>
                <w:rStyle w:val="49"/>
                <w:rFonts w:hint="eastAsia" w:ascii="仿宋" w:hAnsi="仿宋" w:eastAsia="仿宋" w:cs="仿宋"/>
                <w:color w:val="auto"/>
                <w:kern w:val="0"/>
                <w:sz w:val="24"/>
                <w:highlight w:val="none"/>
              </w:rPr>
              <w:t>分</w:t>
            </w:r>
          </w:p>
        </w:tc>
        <w:tc>
          <w:tcPr>
            <w:tcW w:w="7382" w:type="dxa"/>
            <w:tcBorders>
              <w:top w:val="single" w:color="000000" w:sz="4" w:space="0"/>
              <w:left w:val="single" w:color="000000" w:sz="4" w:space="0"/>
              <w:right w:val="single" w:color="000000" w:sz="4" w:space="0"/>
            </w:tcBorders>
            <w:vAlign w:val="top"/>
          </w:tcPr>
          <w:p w14:paraId="7B4CCA6E">
            <w:pPr>
              <w:widowControl/>
              <w:spacing w:line="360" w:lineRule="exact"/>
              <w:textAlignment w:val="baseline"/>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对本项目提供应急预案在安全保障、安全责任落实及事故处理、责任界定及纠纷处理机制等管理模式方面进行综合评分。</w:t>
            </w:r>
          </w:p>
          <w:p w14:paraId="2375B64E">
            <w:pPr>
              <w:widowControl/>
              <w:spacing w:line="360" w:lineRule="exact"/>
              <w:textAlignment w:val="baseline"/>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优秀：方案及预案各项内容详细完善，完全符合本项目要求，层次清晰针对性强，</w:t>
            </w:r>
            <w:r>
              <w:rPr>
                <w:rFonts w:hint="eastAsia" w:ascii="仿宋" w:hAnsi="仿宋" w:eastAsia="仿宋"/>
                <w:color w:val="auto"/>
                <w:kern w:val="0"/>
                <w:sz w:val="24"/>
                <w:szCs w:val="24"/>
                <w:highlight w:val="none"/>
                <w:lang w:val="en-US" w:eastAsia="zh-CN"/>
              </w:rPr>
              <w:t>优于招标文件要求的</w:t>
            </w:r>
            <w:r>
              <w:rPr>
                <w:rFonts w:hint="eastAsia" w:ascii="仿宋" w:hAnsi="仿宋" w:eastAsia="仿宋"/>
                <w:color w:val="auto"/>
                <w:kern w:val="0"/>
                <w:sz w:val="24"/>
                <w:szCs w:val="24"/>
                <w:highlight w:val="none"/>
              </w:rPr>
              <w:t>得</w:t>
            </w:r>
            <w:r>
              <w:rPr>
                <w:rFonts w:hint="eastAsia" w:ascii="仿宋" w:hAnsi="仿宋" w:eastAsia="仿宋"/>
                <w:color w:val="auto"/>
                <w:kern w:val="0"/>
                <w:sz w:val="24"/>
                <w:szCs w:val="24"/>
                <w:highlight w:val="none"/>
                <w:lang w:val="en-US" w:eastAsia="zh-CN"/>
              </w:rPr>
              <w:t>3</w:t>
            </w:r>
            <w:r>
              <w:rPr>
                <w:rFonts w:hint="eastAsia" w:ascii="仿宋" w:hAnsi="仿宋" w:eastAsia="仿宋"/>
                <w:color w:val="auto"/>
                <w:kern w:val="0"/>
                <w:sz w:val="24"/>
                <w:szCs w:val="24"/>
                <w:highlight w:val="none"/>
              </w:rPr>
              <w:t>分；</w:t>
            </w:r>
          </w:p>
          <w:p w14:paraId="212DB68D">
            <w:pPr>
              <w:widowControl/>
              <w:spacing w:line="360" w:lineRule="exact"/>
              <w:textAlignment w:val="baseline"/>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好：方案及预案各项内容合理，较符合本项目要求，比较满足本项目需求，得</w:t>
            </w:r>
            <w:r>
              <w:rPr>
                <w:rFonts w:hint="eastAsia" w:ascii="仿宋" w:hAnsi="仿宋" w:eastAsia="仿宋"/>
                <w:color w:val="auto"/>
                <w:kern w:val="0"/>
                <w:sz w:val="24"/>
                <w:szCs w:val="24"/>
                <w:highlight w:val="none"/>
                <w:lang w:val="en-US" w:eastAsia="zh-CN"/>
              </w:rPr>
              <w:t>2</w:t>
            </w:r>
            <w:r>
              <w:rPr>
                <w:rFonts w:hint="eastAsia" w:ascii="仿宋" w:hAnsi="仿宋" w:eastAsia="仿宋"/>
                <w:color w:val="auto"/>
                <w:kern w:val="0"/>
                <w:sz w:val="24"/>
                <w:szCs w:val="24"/>
                <w:highlight w:val="none"/>
              </w:rPr>
              <w:t>分；</w:t>
            </w:r>
          </w:p>
          <w:p w14:paraId="6308485A">
            <w:pPr>
              <w:widowControl/>
              <w:spacing w:line="360" w:lineRule="exact"/>
              <w:textAlignment w:val="baseline"/>
              <w:rPr>
                <w:rFonts w:ascii="仿宋" w:hAnsi="仿宋" w:eastAsia="仿宋"/>
                <w:color w:val="auto"/>
                <w:kern w:val="0"/>
                <w:sz w:val="24"/>
                <w:szCs w:val="24"/>
                <w:highlight w:val="none"/>
              </w:rPr>
            </w:pPr>
            <w:r>
              <w:rPr>
                <w:rFonts w:hint="eastAsia" w:ascii="仿宋" w:hAnsi="仿宋" w:eastAsia="仿宋"/>
                <w:color w:val="auto"/>
                <w:kern w:val="0"/>
                <w:sz w:val="24"/>
                <w:szCs w:val="24"/>
                <w:highlight w:val="none"/>
              </w:rPr>
              <w:t>较好：方案及预案各项内容基本满足本项目需求但不完整，得1分；</w:t>
            </w:r>
          </w:p>
          <w:p w14:paraId="743A0387">
            <w:pPr>
              <w:widowControl/>
              <w:spacing w:line="360" w:lineRule="exact"/>
              <w:textAlignment w:val="baseline"/>
              <w:rPr>
                <w:rStyle w:val="49"/>
                <w:rFonts w:hint="eastAsia" w:ascii="仿宋" w:hAnsi="仿宋" w:eastAsia="仿宋" w:cs="仿宋"/>
                <w:bCs/>
                <w:color w:val="auto"/>
                <w:kern w:val="0"/>
                <w:sz w:val="24"/>
                <w:highlight w:val="none"/>
              </w:rPr>
            </w:pPr>
            <w:r>
              <w:rPr>
                <w:rFonts w:hint="eastAsia" w:ascii="仿宋" w:hAnsi="仿宋" w:eastAsia="仿宋"/>
                <w:color w:val="auto"/>
                <w:kern w:val="0"/>
                <w:sz w:val="24"/>
                <w:szCs w:val="24"/>
                <w:highlight w:val="none"/>
              </w:rPr>
              <w:t>应急预案方案差的及未提供的不得分。</w:t>
            </w:r>
          </w:p>
        </w:tc>
      </w:tr>
      <w:tr w14:paraId="78023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14:paraId="710D1058">
            <w:pPr>
              <w:widowControl/>
              <w:spacing w:line="360" w:lineRule="exact"/>
              <w:jc w:val="center"/>
              <w:textAlignment w:val="baseline"/>
              <w:rPr>
                <w:rFonts w:hint="eastAsia" w:ascii="仿宋" w:hAnsi="仿宋" w:eastAsia="仿宋" w:cs="仿宋"/>
                <w:color w:val="auto"/>
                <w:sz w:val="24"/>
                <w:highlight w:val="none"/>
              </w:rPr>
            </w:pPr>
            <w:r>
              <w:rPr>
                <w:rStyle w:val="49"/>
                <w:rFonts w:hint="eastAsia" w:ascii="仿宋" w:hAnsi="仿宋" w:eastAsia="仿宋" w:cs="仿宋"/>
                <w:color w:val="auto"/>
                <w:kern w:val="0"/>
                <w:sz w:val="24"/>
                <w:highlight w:val="none"/>
              </w:rPr>
              <w:t>供货方案</w:t>
            </w:r>
            <w:r>
              <w:rPr>
                <w:rStyle w:val="49"/>
                <w:rFonts w:ascii="仿宋" w:hAnsi="仿宋" w:eastAsia="仿宋" w:cs="仿宋"/>
                <w:color w:val="auto"/>
                <w:kern w:val="0"/>
                <w:sz w:val="24"/>
                <w:highlight w:val="none"/>
              </w:rPr>
              <w:t>及技术措施</w:t>
            </w:r>
          </w:p>
        </w:tc>
        <w:tc>
          <w:tcPr>
            <w:tcW w:w="704" w:type="dxa"/>
            <w:tcBorders>
              <w:top w:val="single" w:color="000000" w:sz="4" w:space="0"/>
              <w:left w:val="single" w:color="000000" w:sz="4" w:space="0"/>
              <w:bottom w:val="single" w:color="000000" w:sz="4" w:space="0"/>
              <w:right w:val="single" w:color="000000" w:sz="4" w:space="0"/>
            </w:tcBorders>
            <w:vAlign w:val="center"/>
          </w:tcPr>
          <w:p w14:paraId="6FE7DD29">
            <w:pPr>
              <w:widowControl/>
              <w:spacing w:line="360" w:lineRule="exact"/>
              <w:jc w:val="center"/>
              <w:textAlignment w:val="baseline"/>
              <w:rPr>
                <w:rFonts w:hint="eastAsia" w:ascii="仿宋" w:hAnsi="仿宋" w:eastAsia="仿宋" w:cs="仿宋"/>
                <w:color w:val="auto"/>
                <w:sz w:val="24"/>
                <w:highlight w:val="none"/>
              </w:rPr>
            </w:pPr>
            <w:r>
              <w:rPr>
                <w:rStyle w:val="49"/>
                <w:rFonts w:hint="eastAsia" w:ascii="仿宋" w:hAnsi="仿宋" w:eastAsia="仿宋" w:cs="仿宋"/>
                <w:color w:val="auto"/>
                <w:kern w:val="0"/>
                <w:sz w:val="24"/>
                <w:highlight w:val="none"/>
              </w:rPr>
              <w:t>3分</w:t>
            </w:r>
          </w:p>
        </w:tc>
        <w:tc>
          <w:tcPr>
            <w:tcW w:w="7382" w:type="dxa"/>
            <w:tcBorders>
              <w:top w:val="single" w:color="000000" w:sz="4" w:space="0"/>
              <w:left w:val="single" w:color="000000" w:sz="4" w:space="0"/>
              <w:bottom w:val="single" w:color="000000" w:sz="4" w:space="0"/>
              <w:right w:val="single" w:color="000000" w:sz="4" w:space="0"/>
            </w:tcBorders>
            <w:vAlign w:val="top"/>
          </w:tcPr>
          <w:p w14:paraId="5D683A43">
            <w:pPr>
              <w:widowControl/>
              <w:spacing w:line="360" w:lineRule="exact"/>
              <w:textAlignment w:val="baseline"/>
              <w:rPr>
                <w:rFonts w:ascii="仿宋" w:hAnsi="仿宋" w:eastAsia="仿宋"/>
                <w:color w:val="auto"/>
                <w:kern w:val="0"/>
                <w:sz w:val="24"/>
                <w:szCs w:val="24"/>
                <w:highlight w:val="none"/>
              </w:rPr>
            </w:pPr>
            <w:r>
              <w:rPr>
                <w:rFonts w:ascii="仿宋" w:hAnsi="仿宋" w:eastAsia="仿宋"/>
                <w:color w:val="auto"/>
                <w:kern w:val="0"/>
                <w:sz w:val="24"/>
                <w:szCs w:val="24"/>
                <w:highlight w:val="none"/>
              </w:rPr>
              <w:t>根据投标人提供的供货方案，需包含但不限于以下要点：</w:t>
            </w:r>
          </w:p>
          <w:p w14:paraId="59F8639A">
            <w:pPr>
              <w:widowControl/>
              <w:spacing w:line="360" w:lineRule="exact"/>
              <w:textAlignment w:val="baseline"/>
              <w:rPr>
                <w:rFonts w:ascii="仿宋" w:hAnsi="仿宋" w:eastAsia="仿宋"/>
                <w:color w:val="auto"/>
                <w:kern w:val="0"/>
                <w:sz w:val="24"/>
                <w:szCs w:val="24"/>
                <w:highlight w:val="none"/>
              </w:rPr>
            </w:pPr>
            <w:r>
              <w:rPr>
                <w:rFonts w:ascii="仿宋" w:hAnsi="仿宋" w:eastAsia="仿宋"/>
                <w:color w:val="auto"/>
                <w:kern w:val="0"/>
                <w:sz w:val="24"/>
                <w:szCs w:val="24"/>
                <w:highlight w:val="none"/>
              </w:rPr>
              <w:t>①供货期限是否满足招标文件要求；②交货方式是否切合实际；③供货保障流程是否合理；④供货流程要点是否明确；⑤供货实施步骤是否清晰，进行评议：</w:t>
            </w:r>
          </w:p>
          <w:p w14:paraId="77806C94">
            <w:pPr>
              <w:widowControl/>
              <w:spacing w:line="360" w:lineRule="exact"/>
              <w:jc w:val="lef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提供的供货方案</w:t>
            </w:r>
            <w:r>
              <w:rPr>
                <w:rStyle w:val="49"/>
                <w:rFonts w:ascii="仿宋" w:hAnsi="仿宋" w:eastAsia="仿宋" w:cs="仿宋"/>
                <w:color w:val="auto"/>
                <w:kern w:val="0"/>
                <w:sz w:val="24"/>
                <w:highlight w:val="none"/>
              </w:rPr>
              <w:t>及技术措施</w:t>
            </w:r>
            <w:r>
              <w:rPr>
                <w:rStyle w:val="49"/>
                <w:rFonts w:hint="eastAsia" w:ascii="仿宋" w:hAnsi="仿宋" w:eastAsia="仿宋" w:cs="仿宋"/>
                <w:color w:val="auto"/>
                <w:kern w:val="0"/>
                <w:sz w:val="24"/>
                <w:highlight w:val="none"/>
              </w:rPr>
              <w:t>内容清晰完善、可操作的优于采购需求的得满分3分；</w:t>
            </w:r>
          </w:p>
          <w:p w14:paraId="73E9A188">
            <w:pPr>
              <w:widowControl/>
              <w:spacing w:line="360" w:lineRule="exact"/>
              <w:jc w:val="lef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提供的供货方案</w:t>
            </w:r>
            <w:r>
              <w:rPr>
                <w:rStyle w:val="49"/>
                <w:rFonts w:ascii="仿宋" w:hAnsi="仿宋" w:eastAsia="仿宋" w:cs="仿宋"/>
                <w:color w:val="auto"/>
                <w:kern w:val="0"/>
                <w:sz w:val="24"/>
                <w:highlight w:val="none"/>
              </w:rPr>
              <w:t>及技术措施</w:t>
            </w:r>
            <w:r>
              <w:rPr>
                <w:rStyle w:val="49"/>
                <w:rFonts w:hint="eastAsia" w:ascii="仿宋" w:hAnsi="仿宋" w:eastAsia="仿宋" w:cs="仿宋"/>
                <w:color w:val="auto"/>
                <w:kern w:val="0"/>
                <w:sz w:val="24"/>
                <w:highlight w:val="none"/>
              </w:rPr>
              <w:t>清晰完善、可操作性满足采购需求的得2分；</w:t>
            </w:r>
          </w:p>
          <w:p w14:paraId="5F4CBE6D">
            <w:pPr>
              <w:widowControl/>
              <w:spacing w:line="360" w:lineRule="exact"/>
              <w:textAlignment w:val="baseline"/>
              <w:rPr>
                <w:rFonts w:hint="eastAsia" w:ascii="仿宋" w:hAnsi="仿宋" w:eastAsia="仿宋" w:cs="仿宋"/>
                <w:color w:val="auto"/>
                <w:sz w:val="24"/>
                <w:highlight w:val="none"/>
              </w:rPr>
            </w:pPr>
            <w:r>
              <w:rPr>
                <w:rStyle w:val="49"/>
                <w:rFonts w:hint="eastAsia" w:ascii="仿宋" w:hAnsi="仿宋" w:eastAsia="仿宋" w:cs="仿宋"/>
                <w:color w:val="auto"/>
                <w:kern w:val="0"/>
                <w:sz w:val="24"/>
                <w:highlight w:val="none"/>
              </w:rPr>
              <w:t>提供的供货方案</w:t>
            </w:r>
            <w:r>
              <w:rPr>
                <w:rStyle w:val="49"/>
                <w:rFonts w:ascii="仿宋" w:hAnsi="仿宋" w:eastAsia="仿宋" w:cs="仿宋"/>
                <w:color w:val="auto"/>
                <w:kern w:val="0"/>
                <w:sz w:val="24"/>
                <w:highlight w:val="none"/>
              </w:rPr>
              <w:t>及技术措施</w:t>
            </w:r>
            <w:r>
              <w:rPr>
                <w:rStyle w:val="49"/>
                <w:rFonts w:hint="eastAsia" w:ascii="仿宋" w:hAnsi="仿宋" w:eastAsia="仿宋" w:cs="仿宋"/>
                <w:color w:val="auto"/>
                <w:kern w:val="0"/>
                <w:sz w:val="24"/>
                <w:highlight w:val="none"/>
              </w:rPr>
              <w:t>内容清晰完善、可操作性基本满足采购需求的得1分；</w:t>
            </w:r>
            <w:r>
              <w:rPr>
                <w:rFonts w:ascii="仿宋" w:hAnsi="仿宋" w:eastAsia="仿宋"/>
                <w:color w:val="auto"/>
                <w:kern w:val="0"/>
                <w:sz w:val="24"/>
                <w:szCs w:val="24"/>
                <w:highlight w:val="none"/>
              </w:rPr>
              <w:t>未提供不得分。</w:t>
            </w:r>
          </w:p>
        </w:tc>
      </w:tr>
      <w:tr w14:paraId="3AC5D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14:paraId="4EC50085">
            <w:pPr>
              <w:widowControl/>
              <w:spacing w:line="360" w:lineRule="exact"/>
              <w:jc w:val="center"/>
              <w:textAlignment w:val="baseline"/>
              <w:rPr>
                <w:rStyle w:val="49"/>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售后服务方案</w:t>
            </w:r>
          </w:p>
        </w:tc>
        <w:tc>
          <w:tcPr>
            <w:tcW w:w="704" w:type="dxa"/>
            <w:tcBorders>
              <w:top w:val="single" w:color="000000" w:sz="4" w:space="0"/>
              <w:left w:val="single" w:color="000000" w:sz="4" w:space="0"/>
              <w:bottom w:val="single" w:color="000000" w:sz="4" w:space="0"/>
              <w:right w:val="single" w:color="000000" w:sz="4" w:space="0"/>
            </w:tcBorders>
            <w:vAlign w:val="center"/>
          </w:tcPr>
          <w:p w14:paraId="2C3B2CE1">
            <w:pPr>
              <w:widowControl/>
              <w:spacing w:line="360" w:lineRule="exact"/>
              <w:jc w:val="center"/>
              <w:textAlignment w:val="baseline"/>
              <w:rPr>
                <w:rStyle w:val="49"/>
                <w:rFonts w:hint="eastAsia" w:ascii="仿宋" w:hAnsi="仿宋" w:eastAsia="仿宋" w:cs="仿宋"/>
                <w:color w:val="auto"/>
                <w:kern w:val="0"/>
                <w:sz w:val="24"/>
                <w:highlight w:val="none"/>
                <w:lang w:val="en-US"/>
              </w:rPr>
            </w:pPr>
            <w:r>
              <w:rPr>
                <w:rStyle w:val="49"/>
                <w:rFonts w:hint="eastAsia" w:ascii="仿宋" w:hAnsi="仿宋" w:eastAsia="仿宋" w:cs="仿宋"/>
                <w:color w:val="auto"/>
                <w:kern w:val="0"/>
                <w:sz w:val="24"/>
                <w:highlight w:val="none"/>
              </w:rPr>
              <w:t>3分</w:t>
            </w:r>
          </w:p>
        </w:tc>
        <w:tc>
          <w:tcPr>
            <w:tcW w:w="7382" w:type="dxa"/>
            <w:tcBorders>
              <w:top w:val="single" w:color="000000" w:sz="4" w:space="0"/>
              <w:left w:val="single" w:color="000000" w:sz="4" w:space="0"/>
              <w:bottom w:val="single" w:color="000000" w:sz="4" w:space="0"/>
              <w:right w:val="single" w:color="000000" w:sz="4" w:space="0"/>
            </w:tcBorders>
            <w:vAlign w:val="top"/>
          </w:tcPr>
          <w:p w14:paraId="4D7DBD2B">
            <w:pPr>
              <w:widowControl/>
              <w:spacing w:line="360" w:lineRule="exac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投标人针对本项目提供售后服务方案，内容包含但不限于：①服务方式；②服务响应时间；③技术支持；④服务体系；⑤退换货品承诺，进行评议。</w:t>
            </w:r>
          </w:p>
          <w:p w14:paraId="12E8B1EC">
            <w:pPr>
              <w:widowControl/>
              <w:spacing w:line="360" w:lineRule="exac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以上方案内容完整清晰明确且科学合理、可行性高具有针对性并</w:t>
            </w:r>
            <w:r>
              <w:rPr>
                <w:rStyle w:val="49"/>
                <w:rFonts w:hint="eastAsia" w:ascii="仿宋" w:hAnsi="仿宋" w:eastAsia="仿宋" w:cs="仿宋"/>
                <w:color w:val="auto"/>
                <w:kern w:val="0"/>
                <w:sz w:val="24"/>
                <w:highlight w:val="none"/>
                <w:lang w:val="en-US"/>
              </w:rPr>
              <w:t>优于</w:t>
            </w:r>
            <w:r>
              <w:rPr>
                <w:rStyle w:val="49"/>
                <w:rFonts w:hint="eastAsia" w:ascii="仿宋" w:hAnsi="仿宋" w:eastAsia="仿宋" w:cs="仿宋"/>
                <w:color w:val="auto"/>
                <w:kern w:val="0"/>
                <w:sz w:val="24"/>
                <w:highlight w:val="none"/>
              </w:rPr>
              <w:t>采购需求的得3分；</w:t>
            </w:r>
          </w:p>
          <w:p w14:paraId="30577B55">
            <w:pPr>
              <w:widowControl/>
              <w:spacing w:line="360" w:lineRule="exac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以上方案内容完整清晰明确且科学合理、可行性满足采购需求的得2分；</w:t>
            </w:r>
          </w:p>
          <w:p w14:paraId="6D67B113">
            <w:pPr>
              <w:widowControl/>
              <w:spacing w:line="360" w:lineRule="exact"/>
              <w:textAlignment w:val="baseline"/>
              <w:rPr>
                <w:rStyle w:val="49"/>
                <w:rFonts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以上方案内容完整清晰明确且科学合理、可行性基本满足采购需求的得1分；</w:t>
            </w:r>
          </w:p>
          <w:p w14:paraId="5468BD71">
            <w:pPr>
              <w:widowControl/>
              <w:spacing w:line="360" w:lineRule="exact"/>
              <w:textAlignment w:val="baseline"/>
              <w:rPr>
                <w:rStyle w:val="49"/>
                <w:rFonts w:hint="eastAsia" w:ascii="仿宋" w:hAnsi="仿宋" w:eastAsia="仿宋" w:cs="仿宋"/>
                <w:color w:val="auto"/>
                <w:kern w:val="0"/>
                <w:sz w:val="24"/>
                <w:highlight w:val="none"/>
              </w:rPr>
            </w:pPr>
            <w:r>
              <w:rPr>
                <w:rFonts w:ascii="仿宋" w:hAnsi="仿宋" w:eastAsia="仿宋"/>
                <w:color w:val="auto"/>
                <w:kern w:val="0"/>
                <w:sz w:val="24"/>
                <w:szCs w:val="24"/>
                <w:highlight w:val="none"/>
              </w:rPr>
              <w:t>未提供不得分。</w:t>
            </w:r>
          </w:p>
        </w:tc>
      </w:tr>
    </w:tbl>
    <w:p w14:paraId="764383DD">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24.8.2.1  对于商务部分（投标报价）的评分，按以下方法进行：价格分统一采用低价优先法计算，即满足招标文件要求且评标价格最低的报价为评标基准价，其价格分为满分。其他供应商的价格分统一按照下列公式计算：</w:t>
      </w:r>
    </w:p>
    <w:p w14:paraId="517FE392">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报价得分=(评标基准价／评标价格)×30%×100</w:t>
      </w:r>
    </w:p>
    <w:p w14:paraId="484DA215">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评标价格=供应商的投标报价（经算数性修正的）-政府采购政策优惠价格扣除。</w:t>
      </w:r>
    </w:p>
    <w:p w14:paraId="21EC7290">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未预留份额专门面向中小企业的采购项目，以及预留份额项目中的非预留部分采购包，对符合规定的小微企业报价给予10%的扣除，用扣除后的价格参与评审打分。</w:t>
      </w:r>
    </w:p>
    <w:p w14:paraId="1E3A6D0F">
      <w:pPr>
        <w:adjustRightInd w:val="0"/>
        <w:snapToGrid w:val="0"/>
        <w:spacing w:line="54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若供应商和小微企业产品/服务制造商均符合小微企业条件，并且提供了《中小企业声明函》及加盖单位公章的声明函附件（须说明供应商和产品制造商的从业人员、营业收入、资产总额等相关情况）的，则其评标价格=供应商报价中属于小型和微型企业产品的价格部分×（100%-10%）+供应商报价中不属于小型和微型企业产品的价格部分；否则，其评标价=投标报价。</w:t>
      </w:r>
    </w:p>
    <w:p w14:paraId="065C3C86">
      <w:pPr>
        <w:adjustRightInd w:val="0"/>
        <w:snapToGrid w:val="0"/>
        <w:spacing w:line="540" w:lineRule="exact"/>
        <w:ind w:firstLine="560"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highlight w:val="none"/>
        </w:rPr>
        <w:t>24.8.2.2  在价格评审中，</w:t>
      </w:r>
      <w:r>
        <w:rPr>
          <w:rFonts w:hint="eastAsia" w:ascii="仿宋" w:hAnsi="仿宋" w:eastAsia="仿宋" w:cs="仿宋"/>
          <w:b/>
          <w:color w:val="auto"/>
          <w:sz w:val="28"/>
          <w:szCs w:val="28"/>
          <w:highlight w:val="non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610048B1">
      <w:pPr>
        <w:pStyle w:val="35"/>
        <w:spacing w:line="540" w:lineRule="exact"/>
        <w:ind w:firstLine="56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24.8.2.3 在技术评审中，应当考虑产品的货源质量保证；产品的配送方案；售后服务应当考虑其服务的承诺内容、具体措施及其可行性等因素；业绩应当考虑</w:t>
      </w:r>
      <w:r>
        <w:rPr>
          <w:rFonts w:hint="eastAsia" w:ascii="仿宋" w:hAnsi="仿宋" w:eastAsia="仿宋" w:cs="仿宋"/>
          <w:bCs/>
          <w:color w:val="auto"/>
          <w:sz w:val="28"/>
          <w:highlight w:val="none"/>
        </w:rPr>
        <w:t>投标产品近三年</w:t>
      </w:r>
      <w:r>
        <w:rPr>
          <w:rFonts w:hint="eastAsia" w:ascii="仿宋" w:hAnsi="仿宋" w:eastAsia="仿宋" w:cs="仿宋"/>
          <w:color w:val="auto"/>
          <w:sz w:val="28"/>
          <w:highlight w:val="none"/>
        </w:rPr>
        <w:t>类似销售</w:t>
      </w:r>
      <w:r>
        <w:rPr>
          <w:rFonts w:hint="eastAsia" w:ascii="仿宋" w:hAnsi="仿宋" w:eastAsia="仿宋" w:cs="仿宋"/>
          <w:bCs/>
          <w:color w:val="auto"/>
          <w:sz w:val="28"/>
          <w:highlight w:val="none"/>
        </w:rPr>
        <w:t>业绩</w:t>
      </w:r>
      <w:r>
        <w:rPr>
          <w:rFonts w:hint="eastAsia" w:ascii="仿宋" w:hAnsi="仿宋" w:eastAsia="仿宋" w:cs="仿宋"/>
          <w:color w:val="auto"/>
          <w:sz w:val="28"/>
          <w:highlight w:val="none"/>
        </w:rPr>
        <w:t>，以确定供应商</w:t>
      </w:r>
      <w:r>
        <w:rPr>
          <w:rFonts w:hint="eastAsia" w:ascii="仿宋" w:hAnsi="仿宋" w:eastAsia="仿宋" w:cs="仿宋"/>
          <w:bCs/>
          <w:color w:val="auto"/>
          <w:sz w:val="28"/>
          <w:highlight w:val="none"/>
        </w:rPr>
        <w:t>相同</w:t>
      </w:r>
      <w:r>
        <w:rPr>
          <w:rFonts w:hint="eastAsia" w:ascii="仿宋" w:hAnsi="仿宋" w:eastAsia="仿宋" w:cs="仿宋"/>
          <w:color w:val="auto"/>
          <w:sz w:val="28"/>
          <w:highlight w:val="none"/>
        </w:rPr>
        <w:t>产品的供货经验及组织管理能力等。</w:t>
      </w:r>
    </w:p>
    <w:p w14:paraId="4130EEC9">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涉及政府采购政策优惠的，按投标须知前附表规定调整供应商的技术、价格得分或总得分。</w:t>
      </w:r>
    </w:p>
    <w:p w14:paraId="649FE12C">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涉及多处获得政府采购政策优惠的，涉及调整得分的，按规定调整得分；涉及调整价格的，按规定调整价格。</w:t>
      </w:r>
    </w:p>
    <w:p w14:paraId="64C4772F">
      <w:pPr>
        <w:spacing w:line="52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24.8.2.4 节能、环境标志产品评审优惠内容及加分幅度：</w:t>
      </w:r>
    </w:p>
    <w:p w14:paraId="09716C17">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根据《国务院办公厅关于建立政府强制采购节能产品制度的通知》（国办发[2007]51号）和财政部、发展改革委发布的《节能产品政府采购实施意见》（财库[2004]185号）的规定，本次采购货物中属政府强制采购节能产品的，供应商所投产品必须是《节能产品政府采购清单》内产品，并提供清单内证明材料，否则投标无效。其他产品若属于“节能产品政府采购清单”内产品，在同等条件下，优先采购清单中的产品。</w:t>
      </w:r>
    </w:p>
    <w:p w14:paraId="4E4ED343">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14:paraId="2078E76C">
      <w:pPr>
        <w:adjustRightInd w:val="0"/>
        <w:snapToGrid w:val="0"/>
        <w:spacing w:line="52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价格项加分：</w:t>
      </w:r>
    </w:p>
    <w:p w14:paraId="155D398C">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1、（节能清单部分产品的价格/投标报价）×3%×价格项满分值</w:t>
      </w:r>
    </w:p>
    <w:p w14:paraId="02E8B177">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2、（环境清单部分产品的价格/投标报价）×3%×价格项满分值</w:t>
      </w:r>
    </w:p>
    <w:p w14:paraId="34293D01">
      <w:pPr>
        <w:adjustRightInd w:val="0"/>
        <w:snapToGrid w:val="0"/>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技术项加分：</w:t>
      </w:r>
    </w:p>
    <w:p w14:paraId="78AAFA07">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1、（节能清单部分产品的价格/投标报价）×3%×技术项满分值</w:t>
      </w:r>
    </w:p>
    <w:p w14:paraId="1848880B">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2、（环境清单部分产品的价格/投标报价）×3%×技术项满分值</w:t>
      </w:r>
    </w:p>
    <w:p w14:paraId="135A6683">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注：1、供应商须提供23期《节能产品政府采购清单》关于投标产品当前页的打印件；</w:t>
      </w:r>
    </w:p>
    <w:p w14:paraId="4CE0489F">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2、供应商提供21期《环境标志产品政府采购清单》关于投标产品当前页的打印件；</w:t>
      </w:r>
    </w:p>
    <w:p w14:paraId="2A24061F">
      <w:pPr>
        <w:adjustRightInd w:val="0"/>
        <w:snapToGrid w:val="0"/>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24.8.2.5属于中小企业评审优惠内容及价格扣除幅度：</w:t>
      </w:r>
    </w:p>
    <w:p w14:paraId="1B45F9C7">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根据中华人民共和国财政部、中华人民共和国工业和信息化部《政府采购促进中小企业发展管理办法》（财库〔2020〕46号）文件、《关于落实好政府采购支持中小企业发展的通知》（新财购〔2023〕22号）文件的规定，属于中小企业评审优惠内容及幅度如下：</w:t>
      </w:r>
    </w:p>
    <w:p w14:paraId="215C31A7">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（一）中小企业（含中型、小型、微型企业）应当同时符合以下条件：</w:t>
      </w:r>
    </w:p>
    <w:p w14:paraId="63284FD6">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①符合中小企业划分标准（按《关于印发中小企业划型标准规定的通知》（工信部联企业〔2011〕300号）执行）；</w:t>
      </w:r>
    </w:p>
    <w:p w14:paraId="06509480">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②提供本企业制造的货物、承担的项目或者服务，或者提供其他中小企业制造的货物。本项所称货物不包括使用大型企业注册商标的货物；</w:t>
      </w:r>
    </w:p>
    <w:p w14:paraId="4C3F0A16">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③小型、微型企业提供中型企业制造的货物的，视同为中型企业。</w:t>
      </w:r>
    </w:p>
    <w:p w14:paraId="7FC5EAD5">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（二）价格扣除办法：</w:t>
      </w:r>
    </w:p>
    <w:p w14:paraId="13458C2A">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fldChar w:fldCharType="begin"/>
      </w:r>
      <w:r>
        <w:rPr>
          <w:rFonts w:hint="eastAsia" w:ascii="仿宋" w:hAnsi="仿宋" w:eastAsia="仿宋" w:cs="仿宋"/>
          <w:color w:val="auto"/>
          <w:sz w:val="28"/>
          <w:highlight w:val="none"/>
        </w:rPr>
        <w:instrText xml:space="preserve"> = 1 \* GB3 </w:instrText>
      </w:r>
      <w:r>
        <w:rPr>
          <w:rFonts w:hint="eastAsia" w:ascii="仿宋" w:hAnsi="仿宋" w:eastAsia="仿宋" w:cs="仿宋"/>
          <w:color w:val="auto"/>
          <w:sz w:val="28"/>
          <w:highlight w:val="none"/>
        </w:rPr>
        <w:fldChar w:fldCharType="separate"/>
      </w:r>
      <w:r>
        <w:rPr>
          <w:rFonts w:hint="eastAsia" w:ascii="仿宋" w:hAnsi="仿宋" w:eastAsia="仿宋" w:cs="仿宋"/>
          <w:color w:val="auto"/>
          <w:sz w:val="28"/>
          <w:highlight w:val="none"/>
        </w:rPr>
        <w:t>①</w:t>
      </w:r>
      <w:r>
        <w:rPr>
          <w:rFonts w:hint="eastAsia" w:ascii="仿宋" w:hAnsi="仿宋" w:eastAsia="仿宋" w:cs="仿宋"/>
          <w:color w:val="auto"/>
          <w:sz w:val="28"/>
          <w:highlight w:val="none"/>
        </w:rPr>
        <w:fldChar w:fldCharType="end"/>
      </w:r>
      <w:r>
        <w:rPr>
          <w:rFonts w:hint="eastAsia" w:ascii="仿宋" w:hAnsi="仿宋" w:eastAsia="仿宋" w:cs="仿宋"/>
          <w:color w:val="auto"/>
          <w:sz w:val="28"/>
          <w:highlight w:val="none"/>
        </w:rPr>
        <w:t>对于非专门面向中小企业的项目，对小型和微型企业（或联合体各方均为小型、微型企业的）产品的价格给予10%的扣除，用扣除后的价格参与价格分的评审。</w:t>
      </w:r>
    </w:p>
    <w:p w14:paraId="2BC0A9C4">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（三）小型和微型企业适用价格扣除办法时应提供的相关资料：</w:t>
      </w:r>
    </w:p>
    <w:p w14:paraId="60B4DF61">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fldChar w:fldCharType="begin"/>
      </w:r>
      <w:r>
        <w:rPr>
          <w:rFonts w:hint="eastAsia" w:ascii="仿宋" w:hAnsi="仿宋" w:eastAsia="仿宋" w:cs="仿宋"/>
          <w:color w:val="auto"/>
          <w:sz w:val="28"/>
          <w:highlight w:val="none"/>
        </w:rPr>
        <w:instrText xml:space="preserve"> = 1 \* GB3 </w:instrText>
      </w:r>
      <w:r>
        <w:rPr>
          <w:rFonts w:hint="eastAsia" w:ascii="仿宋" w:hAnsi="仿宋" w:eastAsia="仿宋" w:cs="仿宋"/>
          <w:color w:val="auto"/>
          <w:sz w:val="28"/>
          <w:highlight w:val="none"/>
        </w:rPr>
        <w:fldChar w:fldCharType="separate"/>
      </w:r>
      <w:r>
        <w:rPr>
          <w:rFonts w:hint="eastAsia" w:ascii="仿宋" w:hAnsi="仿宋" w:eastAsia="仿宋" w:cs="仿宋"/>
          <w:color w:val="auto"/>
          <w:sz w:val="28"/>
          <w:highlight w:val="none"/>
        </w:rPr>
        <w:t>①</w:t>
      </w:r>
      <w:r>
        <w:rPr>
          <w:rFonts w:hint="eastAsia" w:ascii="仿宋" w:hAnsi="仿宋" w:eastAsia="仿宋" w:cs="仿宋"/>
          <w:color w:val="auto"/>
          <w:sz w:val="28"/>
          <w:highlight w:val="none"/>
        </w:rPr>
        <w:fldChar w:fldCharType="end"/>
      </w:r>
      <w:r>
        <w:rPr>
          <w:rFonts w:hint="eastAsia" w:ascii="仿宋" w:hAnsi="仿宋" w:eastAsia="仿宋" w:cs="仿宋"/>
          <w:color w:val="auto"/>
          <w:sz w:val="28"/>
          <w:highlight w:val="none"/>
        </w:rPr>
        <w:t>、《中小企业声明函》。</w:t>
      </w:r>
    </w:p>
    <w:p w14:paraId="46B02198">
      <w:pPr>
        <w:adjustRightInd w:val="0"/>
        <w:snapToGri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②、供应商需在投标文件报价部分中“投标分项报价表”中逐项注明所投产品的生产厂家具体名称并备注是否属于小型、微型企业。</w:t>
      </w:r>
    </w:p>
    <w:p w14:paraId="674B0EF2">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若所投标产品为进口产品的，不适用《政府采购促进中小企业发展管理办法》。</w:t>
      </w:r>
    </w:p>
    <w:p w14:paraId="4049A70E">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根据中华人民共和国财政部、中华人民共和国民政部、中国残疾人联合会《关于促进残疾人就业政府采购政策的通知》（财库[2017]141号）文件的规定：残疾人福利性单位视同小型、微型企业。</w:t>
      </w:r>
    </w:p>
    <w:p w14:paraId="35F35D87">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供应商若为残疾人福利性单位，须在投标文件中提供《残疾人福利性单位声明函》，否则将不给予价格扣除。供应商须对其声明的真实性负责，若与事实不符的，将依照《政府采购法》第七十七条第一款的规定追究法律责任。</w:t>
      </w:r>
    </w:p>
    <w:p w14:paraId="35E82DA3">
      <w:pPr>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24.8.3  各评标委员会成员对每个供应商的上述指标的打分（除报价外）的算术平均分，加上经计算的报价得分，即为该供应商的最终综合评审分。评标委员会将按供应商得分顺序由高到低依次排名，得分相同的，按投标报价由低到高顺序排列。得分及报价相同的，按技术指标优劣顺序排列。得分最高的前一至三名供应商将成为中标候选人。</w:t>
      </w:r>
    </w:p>
    <w:p w14:paraId="3374E659">
      <w:pPr>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24.8.4  使用综合评分法的采购项目，提供相同品牌产品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p w14:paraId="729EDA5B">
      <w:pPr>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24.8.5  最低报价不作为评标的唯一依据。采购人不承诺将合同授予报价最低的供应商。</w:t>
      </w:r>
    </w:p>
    <w:p w14:paraId="1BF8A830">
      <w:pPr>
        <w:spacing w:line="540" w:lineRule="exact"/>
        <w:ind w:firstLine="560" w:firstLineChars="20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24.8.6  经评标委员会评议，认为投标报价过高、均超出采购人预算或最高限价的项目，可以不确立中标人，重新组织招标。</w:t>
      </w:r>
    </w:p>
    <w:p w14:paraId="17717915">
      <w:pPr>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25. 投标文件的澄清</w:t>
      </w:r>
    </w:p>
    <w:p w14:paraId="162DA15A">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25.1 评标委员会在评标过程中有权随时请供应商就投标文件中含混之处加以澄清或答疑。</w:t>
      </w:r>
    </w:p>
    <w:p w14:paraId="56E248AF">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25.2 供应商对要求澄清的问题应以书面形式明确答复，并应有法人授权代表的签署。</w:t>
      </w:r>
    </w:p>
    <w:p w14:paraId="76BA231E">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25.3 供应商的澄清文件是投标文件的组成部分，并取代投标文件中被澄清的部分。</w:t>
      </w:r>
    </w:p>
    <w:p w14:paraId="0A712384">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25.4 投标文件的澄清不得改变投标的实质内容。</w:t>
      </w:r>
    </w:p>
    <w:p w14:paraId="6E33D12B">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26．中标人的确定</w:t>
      </w:r>
    </w:p>
    <w:p w14:paraId="45FA99F9">
      <w:pPr>
        <w:autoSpaceDE w:val="0"/>
        <w:autoSpaceDN w:val="0"/>
        <w:adjustRightInd w:val="0"/>
        <w:spacing w:line="54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26.1 评标委员会按照招标文件的评标办法负责向采购人推荐一家或一至三家供应商为中标候选人。</w:t>
      </w:r>
    </w:p>
    <w:p w14:paraId="5B75583C">
      <w:pPr>
        <w:autoSpaceDE w:val="0"/>
        <w:autoSpaceDN w:val="0"/>
        <w:adjustRightInd w:val="0"/>
        <w:spacing w:line="540" w:lineRule="exact"/>
        <w:ind w:firstLine="560" w:firstLineChars="200"/>
        <w:rPr>
          <w:rFonts w:hint="eastAsia" w:ascii="仿宋" w:hAnsi="仿宋" w:eastAsia="仿宋" w:cs="仿宋"/>
          <w:b/>
          <w:color w:val="auto"/>
          <w:kern w:val="0"/>
          <w:sz w:val="28"/>
          <w:highlight w:val="none"/>
        </w:rPr>
      </w:pPr>
      <w:r>
        <w:rPr>
          <w:rFonts w:hint="eastAsia" w:ascii="仿宋" w:hAnsi="仿宋" w:eastAsia="仿宋" w:cs="仿宋"/>
          <w:b/>
          <w:color w:val="auto"/>
          <w:kern w:val="0"/>
          <w:sz w:val="28"/>
          <w:highlight w:val="none"/>
        </w:rPr>
        <w:t>26.2  中标供应商拒绝与采购人签订合同的，采购人可以按照评审报告推荐的中标人名单排序，确定下一候选人为中标人，也可以重新开展政府采购活动。</w:t>
      </w:r>
    </w:p>
    <w:p w14:paraId="5AE4A18A">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27. 中标通知</w:t>
      </w:r>
    </w:p>
    <w:p w14:paraId="0F99BCB2">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27.1 采购代理机构将在中标结果公示发布的同时，以书面形式向中标单位发出《中标通知书》。</w:t>
      </w:r>
    </w:p>
    <w:p w14:paraId="519A9088">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27.2 采购代理机构在《中标通知书》发出后五个工作日内退还未中标人的投标保证金，在采购合同签订后五个工作日内退还中标人的投标保证金。对于所有供应商的投标文件均</w:t>
      </w:r>
      <w:r>
        <w:rPr>
          <w:rFonts w:hint="eastAsia" w:ascii="仿宋" w:hAnsi="仿宋" w:eastAsia="仿宋" w:cs="仿宋"/>
          <w:color w:val="auto"/>
          <w:sz w:val="28"/>
          <w:highlight w:val="none"/>
          <w:shd w:val="clear" w:color="auto" w:fill="FFFFFF"/>
        </w:rPr>
        <w:t>不予以退还，但对其承担保密责任。</w:t>
      </w:r>
    </w:p>
    <w:p w14:paraId="4C4B509D">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28. 拒绝某些或所有投标的权力。</w:t>
      </w:r>
    </w:p>
    <w:p w14:paraId="0BF265E9">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28.1 采购人或采购代理机构有权在《中标通知书》发放之前的任何时候拒绝任何有不正当行为或扰乱正常招标工作的供应商，由此对相关供应商造成的损失不负责任。</w:t>
      </w:r>
    </w:p>
    <w:p w14:paraId="3E03143C">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八、授予合同</w:t>
      </w:r>
    </w:p>
    <w:p w14:paraId="02EBC8EB">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 签订合同</w:t>
      </w:r>
    </w:p>
    <w:p w14:paraId="2823963C">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29.1  中标人收到《中标通知书》后，须按有关规定与招标方签定经济合同。合同的签订一般在《中标通知书》发出后30天内进行，但采购人事先约定的情况除外。</w:t>
      </w:r>
    </w:p>
    <w:p w14:paraId="25AAE5A4">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29.2  合同签订后，卖方应按合同的规定履行合同，未按规定履约的，采购人有权取消合同，并且不退还中标人的投标保证金。</w:t>
      </w:r>
    </w:p>
    <w:p w14:paraId="6A15CAF7">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29.3  中标合同不得转让或分包。如需对合同的非主体部分进行转让或分包，供应商必须在投标文件中予以说明，并需经采购人同意。否则，采购人有权取消中标人的中标资格。</w:t>
      </w:r>
    </w:p>
    <w:p w14:paraId="23ECEF76">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29.4  如中标人未按有关规定与采购人签订合同或提交合同履约保证金的，采购人可以选择其他中标候选人为中标人，并组织中标人和采购人签订经济合同。</w:t>
      </w:r>
    </w:p>
    <w:p w14:paraId="6B1D0881">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29.5  合同履约保证金的形式为银行保函，另有约定的，按照约定条件执行。</w:t>
      </w:r>
    </w:p>
    <w:p w14:paraId="75272DBE">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30. 合同的组成</w:t>
      </w:r>
    </w:p>
    <w:p w14:paraId="14710ECF">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30.1 下列文件均为经济合同不可分割的组成部分：</w:t>
      </w:r>
    </w:p>
    <w:p w14:paraId="43D032DD">
      <w:pPr>
        <w:pStyle w:val="35"/>
        <w:spacing w:line="54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30.1.1 招标文件及其附件、补遗文件；</w:t>
      </w:r>
    </w:p>
    <w:p w14:paraId="56CD61EC">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30.1.2 中标的投标文件及其他附件； </w:t>
      </w:r>
    </w:p>
    <w:p w14:paraId="55F8D7D2">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30.1.3 经确认的答疑记录；</w:t>
      </w:r>
    </w:p>
    <w:p w14:paraId="5681AE77">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30.1.4 中标通知书。</w:t>
      </w:r>
    </w:p>
    <w:p w14:paraId="38AF799A">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九、买方授标时更改采购货物数量的权利</w:t>
      </w:r>
    </w:p>
    <w:p w14:paraId="3AD260F6">
      <w:pPr>
        <w:pStyle w:val="34"/>
        <w:spacing w:before="100" w:after="50" w:line="52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31. 采购人在采购合同履行期间，有权按“投标须知前附表”第14项约定的内容对“货物需求表”中规定的货物数量和服务予以局部增加或减少，但不得对单价或其它实质性内容做任何改变，对增减的数量按同类型中标产品价结算货款。</w:t>
      </w:r>
    </w:p>
    <w:p w14:paraId="653F2344">
      <w:pPr>
        <w:pStyle w:val="36"/>
        <w:spacing w:beforeLines="0" w:afterLines="0" w:line="520" w:lineRule="exact"/>
        <w:rPr>
          <w:rFonts w:hint="eastAsia" w:ascii="仿宋" w:hAnsi="仿宋" w:eastAsia="仿宋" w:cs="仿宋"/>
          <w:color w:val="auto"/>
          <w:kern w:val="0"/>
          <w:sz w:val="28"/>
          <w:szCs w:val="24"/>
          <w:highlight w:val="none"/>
        </w:rPr>
      </w:pPr>
      <w:r>
        <w:rPr>
          <w:rFonts w:hint="eastAsia" w:ascii="仿宋" w:hAnsi="仿宋" w:eastAsia="仿宋" w:cs="仿宋"/>
          <w:color w:val="auto"/>
          <w:kern w:val="0"/>
          <w:sz w:val="28"/>
          <w:szCs w:val="24"/>
          <w:highlight w:val="none"/>
        </w:rPr>
        <w:t>十、其他事项</w:t>
      </w:r>
    </w:p>
    <w:p w14:paraId="49920D9E">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32. 中标服务费</w:t>
      </w:r>
    </w:p>
    <w:p w14:paraId="7A74D2D8">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32.1 中标人应按本招标文件的规定，在《中标通知书》核发时至核发后3天内，向采购代理机构支付中标服务费。其计算标准和方法参照发改价格[2011]534号文件</w:t>
      </w:r>
      <w:r>
        <w:rPr>
          <w:rFonts w:hint="eastAsia" w:ascii="仿宋" w:hAnsi="仿宋" w:eastAsia="仿宋" w:cs="仿宋"/>
          <w:color w:val="auto"/>
          <w:sz w:val="28"/>
          <w:highlight w:val="none"/>
          <w:lang w:val="en-US" w:eastAsia="zh-CN"/>
        </w:rPr>
        <w:t>收取450元</w:t>
      </w:r>
      <w:r>
        <w:rPr>
          <w:rFonts w:hint="eastAsia" w:ascii="仿宋" w:hAnsi="仿宋" w:eastAsia="仿宋" w:cs="仿宋"/>
          <w:color w:val="auto"/>
          <w:sz w:val="28"/>
          <w:highlight w:val="none"/>
        </w:rPr>
        <w:t>。采购代理机构也可直接从中标人的投标保证金内扣除。</w:t>
      </w:r>
    </w:p>
    <w:p w14:paraId="52B98F70">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需要开具增值税专用发票，供应商请提供增值税专用发票开票信息（需加盖财务专用章）；</w:t>
      </w:r>
    </w:p>
    <w:p w14:paraId="14F47CAC">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33. 本招标文件是根据《中华人民共和国政府采购法》及其实施条例（658号令）及《政府采购货物和服务招标投标管理办法》（87号令）规定编制的，解释权属新疆新之建工程咨询有限公司。</w:t>
      </w:r>
    </w:p>
    <w:p w14:paraId="04C04E17">
      <w:pPr>
        <w:pStyle w:val="35"/>
        <w:spacing w:line="520" w:lineRule="exact"/>
        <w:ind w:firstLine="560" w:firstLineChars="200"/>
        <w:jc w:val="both"/>
        <w:rPr>
          <w:rFonts w:hint="eastAsia" w:ascii="仿宋" w:hAnsi="仿宋" w:eastAsia="仿宋" w:cs="仿宋"/>
          <w:b/>
          <w:color w:val="auto"/>
          <w:sz w:val="28"/>
          <w:highlight w:val="none"/>
        </w:rPr>
      </w:pPr>
      <w:r>
        <w:rPr>
          <w:rFonts w:hint="eastAsia" w:ascii="仿宋" w:hAnsi="仿宋" w:eastAsia="仿宋" w:cs="仿宋"/>
          <w:b/>
          <w:color w:val="auto"/>
          <w:sz w:val="28"/>
          <w:highlight w:val="none"/>
        </w:rPr>
        <w:t>34. 为了做好投标工作，供应商应组织有关商务和技术人员，认真解答或澄清评标委员会在评标过程中提出的有关商务和技术问题。</w:t>
      </w:r>
    </w:p>
    <w:p w14:paraId="72230F17">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所有与本标书有关的函电请按下列通讯地址联系：</w:t>
      </w:r>
    </w:p>
    <w:p w14:paraId="7200919D">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采购代理机构：新疆新之建工程咨询有限公司</w:t>
      </w:r>
    </w:p>
    <w:p w14:paraId="7D698B6C">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通讯地址：乌鲁木齐市沙依巴克区克西街618号亚欣国际酒店五楼</w:t>
      </w:r>
    </w:p>
    <w:p w14:paraId="11A5600F">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邮    编：830000</w:t>
      </w:r>
    </w:p>
    <w:p w14:paraId="0E419649">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联 系 人：吴坤</w:t>
      </w:r>
    </w:p>
    <w:p w14:paraId="41254FFE">
      <w:pPr>
        <w:pStyle w:val="35"/>
        <w:spacing w:line="520" w:lineRule="exact"/>
        <w:ind w:firstLine="560" w:firstLineChars="200"/>
        <w:jc w:val="both"/>
        <w:rPr>
          <w:rFonts w:hint="eastAsia" w:ascii="仿宋" w:hAnsi="仿宋" w:eastAsia="仿宋" w:cs="仿宋"/>
          <w:color w:val="auto"/>
          <w:sz w:val="28"/>
          <w:highlight w:val="none"/>
        </w:rPr>
      </w:pPr>
      <w:r>
        <w:rPr>
          <w:rFonts w:hint="eastAsia" w:ascii="仿宋" w:hAnsi="仿宋" w:eastAsia="仿宋" w:cs="仿宋"/>
          <w:color w:val="auto"/>
          <w:sz w:val="28"/>
          <w:highlight w:val="none"/>
        </w:rPr>
        <w:t>电    话：0991-8852576</w:t>
      </w:r>
    </w:p>
    <w:bookmarkEnd w:id="3"/>
    <w:p w14:paraId="55AFE7DF">
      <w:pPr>
        <w:pStyle w:val="3"/>
        <w:ind w:left="0" w:firstLine="0"/>
        <w:rPr>
          <w:rFonts w:hint="eastAsia" w:ascii="仿宋" w:hAnsi="仿宋" w:eastAsia="仿宋" w:cs="仿宋"/>
          <w:color w:val="auto"/>
          <w:sz w:val="36"/>
          <w:highlight w:val="none"/>
        </w:rPr>
      </w:pPr>
      <w:r>
        <w:rPr>
          <w:rFonts w:hint="eastAsia" w:ascii="仿宋" w:hAnsi="仿宋" w:eastAsia="仿宋" w:cs="仿宋"/>
          <w:b w:val="0"/>
          <w:color w:val="auto"/>
          <w:sz w:val="36"/>
          <w:szCs w:val="20"/>
          <w:highlight w:val="none"/>
        </w:rPr>
        <w:br w:type="page"/>
      </w:r>
      <w:bookmarkStart w:id="4" w:name="_Toc5987696"/>
      <w:bookmarkStart w:id="5" w:name="_Toc5987697"/>
      <w:r>
        <w:rPr>
          <w:rFonts w:hint="eastAsia" w:ascii="仿宋" w:hAnsi="仿宋" w:eastAsia="仿宋" w:cs="仿宋"/>
          <w:color w:val="auto"/>
          <w:kern w:val="0"/>
          <w:sz w:val="36"/>
          <w:highlight w:val="none"/>
        </w:rPr>
        <w:t>第三章 招标内容及技术要</w:t>
      </w:r>
      <w:r>
        <w:rPr>
          <w:rFonts w:hint="eastAsia" w:ascii="仿宋" w:hAnsi="仿宋" w:eastAsia="仿宋" w:cs="仿宋"/>
          <w:color w:val="auto"/>
          <w:spacing w:val="1"/>
          <w:kern w:val="0"/>
          <w:sz w:val="36"/>
          <w:highlight w:val="none"/>
        </w:rPr>
        <w:t>求</w:t>
      </w:r>
      <w:bookmarkEnd w:id="4"/>
    </w:p>
    <w:p w14:paraId="0536C223">
      <w:pPr>
        <w:pStyle w:val="3"/>
        <w:ind w:left="0" w:firstLine="0"/>
        <w:rPr>
          <w:rFonts w:hint="eastAsia" w:ascii="仿宋" w:hAnsi="仿宋" w:eastAsia="仿宋" w:cs="仿宋"/>
          <w:color w:val="auto"/>
          <w:kern w:val="0"/>
          <w:highlight w:val="none"/>
        </w:rPr>
      </w:pPr>
      <w:r>
        <w:rPr>
          <w:rFonts w:hint="eastAsia" w:ascii="仿宋" w:hAnsi="仿宋" w:eastAsia="仿宋" w:cs="仿宋"/>
          <w:color w:val="auto"/>
          <w:kern w:val="0"/>
          <w:highlight w:val="none"/>
        </w:rPr>
        <w:t>货物需求一览表</w:t>
      </w:r>
      <w:bookmarkEnd w:id="5"/>
      <w:bookmarkStart w:id="6" w:name="_Toc22654709"/>
    </w:p>
    <w:tbl>
      <w:tblPr>
        <w:tblStyle w:val="23"/>
        <w:tblW w:w="9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3830"/>
        <w:gridCol w:w="1232"/>
        <w:gridCol w:w="1882"/>
        <w:gridCol w:w="794"/>
      </w:tblGrid>
      <w:tr w14:paraId="002B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686" w:type="dxa"/>
            <w:vAlign w:val="center"/>
          </w:tcPr>
          <w:p w14:paraId="0E1E9C8B">
            <w:pPr>
              <w:jc w:val="center"/>
              <w:rPr>
                <w:rFonts w:hint="eastAsia" w:ascii="仿宋" w:hAnsi="仿宋" w:eastAsia="仿宋" w:cs="仿宋"/>
                <w:color w:val="auto"/>
                <w:sz w:val="24"/>
                <w:szCs w:val="24"/>
                <w:highlight w:val="none"/>
              </w:rPr>
            </w:pPr>
            <w:bookmarkStart w:id="7" w:name="OLE_LINK1" w:colFirst="5" w:colLast="7"/>
            <w:r>
              <w:rPr>
                <w:rFonts w:hint="eastAsia" w:ascii="仿宋" w:hAnsi="仿宋" w:eastAsia="仿宋" w:cs="仿宋"/>
                <w:color w:val="auto"/>
                <w:sz w:val="24"/>
                <w:szCs w:val="24"/>
                <w:highlight w:val="none"/>
              </w:rPr>
              <w:t>标项序号</w:t>
            </w:r>
          </w:p>
        </w:tc>
        <w:tc>
          <w:tcPr>
            <w:tcW w:w="3830" w:type="dxa"/>
            <w:vAlign w:val="center"/>
          </w:tcPr>
          <w:p w14:paraId="1EBFF5F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标项名称</w:t>
            </w:r>
          </w:p>
        </w:tc>
        <w:tc>
          <w:tcPr>
            <w:tcW w:w="1232" w:type="dxa"/>
            <w:vAlign w:val="center"/>
          </w:tcPr>
          <w:p w14:paraId="70C3D03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882" w:type="dxa"/>
            <w:vAlign w:val="center"/>
          </w:tcPr>
          <w:p w14:paraId="02B875CE">
            <w:pPr>
              <w:jc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最高限制单价</w:t>
            </w:r>
            <w:r>
              <w:rPr>
                <w:rFonts w:hint="eastAsia" w:ascii="仿宋" w:hAnsi="仿宋" w:eastAsia="仿宋" w:cs="仿宋"/>
                <w:color w:val="auto"/>
                <w:kern w:val="0"/>
                <w:sz w:val="24"/>
                <w:szCs w:val="24"/>
                <w:highlight w:val="none"/>
                <w:lang w:val="en-US" w:eastAsia="zh-CN"/>
              </w:rPr>
              <w:t>合计金额</w:t>
            </w:r>
            <w:r>
              <w:rPr>
                <w:rFonts w:hint="eastAsia" w:ascii="仿宋" w:hAnsi="仿宋" w:eastAsia="仿宋" w:cs="仿宋"/>
                <w:color w:val="auto"/>
                <w:kern w:val="0"/>
                <w:sz w:val="24"/>
                <w:szCs w:val="24"/>
                <w:highlight w:val="none"/>
              </w:rPr>
              <w:t>（元）</w:t>
            </w:r>
          </w:p>
        </w:tc>
        <w:tc>
          <w:tcPr>
            <w:tcW w:w="794" w:type="dxa"/>
            <w:vAlign w:val="center"/>
          </w:tcPr>
          <w:p w14:paraId="0495470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3B1D8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86" w:type="dxa"/>
            <w:vAlign w:val="center"/>
          </w:tcPr>
          <w:p w14:paraId="7C2C8AFE">
            <w:pPr>
              <w:widowControl/>
              <w:jc w:val="center"/>
              <w:textAlignment w:val="top"/>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w:t>
            </w:r>
          </w:p>
        </w:tc>
        <w:tc>
          <w:tcPr>
            <w:tcW w:w="3830" w:type="dxa"/>
            <w:vAlign w:val="center"/>
          </w:tcPr>
          <w:p w14:paraId="00C319BE">
            <w:pP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检验试剂（包36病理科试剂）</w:t>
            </w:r>
          </w:p>
        </w:tc>
        <w:tc>
          <w:tcPr>
            <w:tcW w:w="1232" w:type="dxa"/>
            <w:vAlign w:val="center"/>
          </w:tcPr>
          <w:p w14:paraId="4CA4040A">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批</w:t>
            </w:r>
          </w:p>
        </w:tc>
        <w:tc>
          <w:tcPr>
            <w:tcW w:w="1882" w:type="dxa"/>
            <w:vAlign w:val="center"/>
          </w:tcPr>
          <w:p w14:paraId="3C4ECD41">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9562</w:t>
            </w:r>
          </w:p>
        </w:tc>
        <w:tc>
          <w:tcPr>
            <w:tcW w:w="794" w:type="dxa"/>
            <w:vAlign w:val="center"/>
          </w:tcPr>
          <w:p w14:paraId="31A54CC1">
            <w:pPr>
              <w:jc w:val="center"/>
              <w:rPr>
                <w:rFonts w:hint="eastAsia" w:ascii="仿宋" w:hAnsi="仿宋" w:eastAsia="仿宋" w:cs="仿宋"/>
                <w:color w:val="auto"/>
                <w:sz w:val="24"/>
                <w:szCs w:val="24"/>
                <w:highlight w:val="none"/>
              </w:rPr>
            </w:pPr>
          </w:p>
        </w:tc>
      </w:tr>
      <w:bookmarkEnd w:id="7"/>
    </w:tbl>
    <w:p w14:paraId="11D8F978">
      <w:pPr>
        <w:spacing w:line="360" w:lineRule="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*注：</w:t>
      </w:r>
    </w:p>
    <w:p w14:paraId="5D2BB71B">
      <w:pPr>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rPr>
        <w:t>所有产品为一个整体，不能</w:t>
      </w:r>
      <w:r>
        <w:rPr>
          <w:rFonts w:hint="eastAsia" w:ascii="仿宋" w:hAnsi="仿宋" w:eastAsia="仿宋" w:cs="仿宋"/>
          <w:b/>
          <w:bCs/>
          <w:color w:val="auto"/>
          <w:sz w:val="28"/>
          <w:highlight w:val="none"/>
        </w:rPr>
        <w:t>分包、拆包</w:t>
      </w:r>
      <w:r>
        <w:rPr>
          <w:rFonts w:hint="eastAsia" w:ascii="仿宋" w:hAnsi="仿宋" w:eastAsia="仿宋" w:cs="仿宋"/>
          <w:b/>
          <w:bCs/>
          <w:color w:val="auto"/>
          <w:sz w:val="28"/>
          <w:szCs w:val="28"/>
          <w:highlight w:val="none"/>
        </w:rPr>
        <w:t>。</w:t>
      </w:r>
    </w:p>
    <w:p w14:paraId="6FC32F26">
      <w:pPr>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2、技术参数详见附件。</w:t>
      </w:r>
    </w:p>
    <w:p w14:paraId="10BFF0FC">
      <w:pP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3、核心试剂/耗材：序号25：CD56。</w:t>
      </w:r>
      <w:bookmarkStart w:id="27" w:name="_GoBack"/>
      <w:bookmarkEnd w:id="27"/>
    </w:p>
    <w:p w14:paraId="2B20976A">
      <w:pPr>
        <w:rPr>
          <w:rFonts w:hint="eastAsia" w:ascii="仿宋" w:hAnsi="仿宋" w:eastAsia="仿宋" w:cs="仿宋"/>
          <w:b/>
          <w:bCs/>
          <w:color w:val="auto"/>
          <w:sz w:val="28"/>
          <w:szCs w:val="28"/>
          <w:highlight w:val="none"/>
          <w:lang w:val="en-US" w:eastAsia="zh-CN"/>
        </w:rPr>
      </w:pPr>
    </w:p>
    <w:p w14:paraId="2A6C262B">
      <w:pP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bookmarkEnd w:id="6"/>
    </w:p>
    <w:p w14:paraId="009E8569">
      <w:pPr>
        <w:jc w:val="center"/>
        <w:rPr>
          <w:rFonts w:hint="eastAsia" w:ascii="仿宋" w:hAnsi="仿宋" w:eastAsia="仿宋" w:cs="仿宋"/>
          <w:b/>
          <w:bCs/>
          <w:color w:val="auto"/>
          <w:sz w:val="36"/>
          <w:szCs w:val="36"/>
          <w:highlight w:val="none"/>
        </w:rPr>
        <w:sectPr>
          <w:footerReference r:id="rId8" w:type="default"/>
          <w:pgSz w:w="11906" w:h="16838"/>
          <w:pgMar w:top="1247" w:right="1134" w:bottom="1247" w:left="1134" w:header="851" w:footer="851" w:gutter="0"/>
          <w:cols w:space="720" w:num="1"/>
          <w:docGrid w:type="linesAndChars" w:linePitch="312" w:charSpace="0"/>
        </w:sectPr>
      </w:pPr>
    </w:p>
    <w:p w14:paraId="4F83DAF9">
      <w:pPr>
        <w:spacing w:line="52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t>商务要求：</w:t>
      </w:r>
    </w:p>
    <w:p w14:paraId="5D1D14A6">
      <w:pPr>
        <w:spacing w:line="480" w:lineRule="exact"/>
        <w:outlineLvl w:val="0"/>
        <w:rPr>
          <w:rFonts w:hint="eastAsia" w:ascii="仿宋" w:hAnsi="仿宋" w:eastAsia="仿宋" w:cs="仿宋"/>
          <w:color w:val="auto"/>
          <w:sz w:val="28"/>
          <w:szCs w:val="24"/>
        </w:rPr>
      </w:pPr>
      <w:bookmarkStart w:id="8" w:name="_Toc5209"/>
      <w:r>
        <w:rPr>
          <w:rFonts w:hint="eastAsia" w:ascii="仿宋" w:hAnsi="仿宋" w:eastAsia="仿宋" w:cs="仿宋"/>
          <w:color w:val="auto"/>
          <w:sz w:val="28"/>
          <w:szCs w:val="24"/>
        </w:rPr>
        <w:t>（一）投标产品质量要求:</w:t>
      </w:r>
      <w:bookmarkEnd w:id="8"/>
    </w:p>
    <w:p w14:paraId="63816FAC">
      <w:pPr>
        <w:spacing w:line="480" w:lineRule="exact"/>
        <w:outlineLvl w:val="0"/>
        <w:rPr>
          <w:rFonts w:hint="eastAsia" w:ascii="仿宋" w:hAnsi="仿宋" w:eastAsia="仿宋" w:cs="仿宋"/>
          <w:color w:val="auto"/>
          <w:sz w:val="28"/>
          <w:szCs w:val="24"/>
        </w:rPr>
      </w:pPr>
      <w:bookmarkStart w:id="9" w:name="_Toc26934"/>
      <w:r>
        <w:rPr>
          <w:rFonts w:hint="eastAsia" w:ascii="仿宋" w:hAnsi="仿宋" w:eastAsia="仿宋" w:cs="仿宋"/>
          <w:color w:val="auto"/>
          <w:sz w:val="28"/>
          <w:szCs w:val="24"/>
        </w:rPr>
        <w:t>1、资质证照合法、手续齐全；</w:t>
      </w:r>
      <w:bookmarkEnd w:id="9"/>
    </w:p>
    <w:p w14:paraId="06924FBC">
      <w:pPr>
        <w:spacing w:line="480" w:lineRule="exact"/>
        <w:outlineLvl w:val="0"/>
        <w:rPr>
          <w:rFonts w:hint="eastAsia" w:ascii="仿宋" w:hAnsi="仿宋" w:eastAsia="仿宋" w:cs="仿宋"/>
          <w:color w:val="auto"/>
          <w:sz w:val="28"/>
          <w:szCs w:val="24"/>
        </w:rPr>
      </w:pPr>
      <w:bookmarkStart w:id="10" w:name="_Toc11365"/>
      <w:r>
        <w:rPr>
          <w:rFonts w:hint="eastAsia" w:ascii="仿宋" w:hAnsi="仿宋" w:eastAsia="仿宋" w:cs="仿宋"/>
          <w:color w:val="auto"/>
          <w:sz w:val="28"/>
          <w:szCs w:val="24"/>
        </w:rPr>
        <w:t>2、投标产品实际品牌、规格型号、生产厂家、质量必须与投标书内所投产品描述一致；</w:t>
      </w:r>
      <w:bookmarkEnd w:id="10"/>
    </w:p>
    <w:p w14:paraId="03742C04">
      <w:pPr>
        <w:spacing w:line="480" w:lineRule="exact"/>
        <w:outlineLvl w:val="0"/>
        <w:rPr>
          <w:rFonts w:hint="eastAsia" w:ascii="仿宋" w:hAnsi="仿宋" w:eastAsia="仿宋" w:cs="仿宋"/>
          <w:color w:val="auto"/>
          <w:sz w:val="28"/>
          <w:szCs w:val="24"/>
        </w:rPr>
      </w:pPr>
      <w:bookmarkStart w:id="11" w:name="_Toc6329"/>
      <w:r>
        <w:rPr>
          <w:rFonts w:hint="eastAsia" w:ascii="仿宋" w:hAnsi="仿宋" w:eastAsia="仿宋" w:cs="仿宋"/>
          <w:color w:val="auto"/>
          <w:sz w:val="28"/>
          <w:szCs w:val="24"/>
        </w:rPr>
        <w:t>3、</w:t>
      </w:r>
      <w:r>
        <w:rPr>
          <w:rFonts w:hint="eastAsia" w:ascii="仿宋" w:hAnsi="仿宋" w:eastAsia="仿宋" w:cs="仿宋"/>
          <w:color w:val="auto"/>
          <w:sz w:val="28"/>
          <w:szCs w:val="24"/>
          <w:lang w:eastAsia="zh-CN"/>
        </w:rPr>
        <w:t>保质期（有效期）不足半年的禁止入库（特殊情况除外），在院方使用期间内，投标人应对所提供医疗耗材的质量和由于医疗耗材质量原因而造成的后果负责。若出现质量问题的，投标人应及时予以退、换等处理。经退换后仍存有质量问题的，院方可向有关部门报告，经查实无误后，院方有权终止合同并视情况提出索赔</w:t>
      </w:r>
      <w:r>
        <w:rPr>
          <w:rFonts w:hint="eastAsia" w:ascii="仿宋" w:hAnsi="仿宋" w:eastAsia="仿宋" w:cs="仿宋"/>
          <w:color w:val="auto"/>
          <w:sz w:val="28"/>
          <w:szCs w:val="24"/>
        </w:rPr>
        <w:t>；</w:t>
      </w:r>
      <w:bookmarkEnd w:id="11"/>
    </w:p>
    <w:p w14:paraId="7D3B1866">
      <w:pPr>
        <w:spacing w:line="480" w:lineRule="exact"/>
        <w:outlineLvl w:val="0"/>
        <w:rPr>
          <w:rFonts w:hint="eastAsia" w:ascii="仿宋" w:hAnsi="仿宋" w:eastAsia="仿宋" w:cs="仿宋"/>
          <w:color w:val="auto"/>
          <w:sz w:val="28"/>
          <w:szCs w:val="24"/>
        </w:rPr>
      </w:pPr>
      <w:bookmarkStart w:id="12" w:name="_Toc138"/>
      <w:r>
        <w:rPr>
          <w:rFonts w:hint="eastAsia" w:ascii="仿宋" w:hAnsi="仿宋" w:eastAsia="仿宋" w:cs="仿宋"/>
          <w:color w:val="auto"/>
          <w:sz w:val="28"/>
          <w:szCs w:val="24"/>
        </w:rPr>
        <w:t>4、有足够的物资供应配送能力、较好的售后服务保障能力和支持仪器性能校准验证能力；</w:t>
      </w:r>
      <w:bookmarkEnd w:id="12"/>
    </w:p>
    <w:p w14:paraId="18B63135">
      <w:pPr>
        <w:spacing w:line="480" w:lineRule="exact"/>
        <w:outlineLvl w:val="0"/>
        <w:rPr>
          <w:rFonts w:hint="eastAsia" w:ascii="仿宋" w:hAnsi="仿宋" w:eastAsia="仿宋" w:cs="仿宋"/>
          <w:color w:val="auto"/>
          <w:sz w:val="28"/>
          <w:szCs w:val="24"/>
        </w:rPr>
      </w:pPr>
      <w:bookmarkStart w:id="13" w:name="_Toc5982"/>
      <w:r>
        <w:rPr>
          <w:rFonts w:hint="eastAsia" w:ascii="仿宋" w:hAnsi="仿宋" w:eastAsia="仿宋" w:cs="仿宋"/>
          <w:color w:val="auto"/>
          <w:sz w:val="28"/>
          <w:szCs w:val="24"/>
        </w:rPr>
        <w:t>5、商业信誉良好，在经营活动中无违法记录、无不良销售记录和不规范销售行为记录；</w:t>
      </w:r>
      <w:bookmarkEnd w:id="13"/>
    </w:p>
    <w:p w14:paraId="5C33AC16">
      <w:pPr>
        <w:spacing w:line="480" w:lineRule="exact"/>
        <w:outlineLvl w:val="0"/>
        <w:rPr>
          <w:rFonts w:hint="eastAsia" w:ascii="仿宋" w:hAnsi="仿宋" w:eastAsia="仿宋" w:cs="仿宋"/>
          <w:color w:val="auto"/>
          <w:sz w:val="28"/>
          <w:szCs w:val="24"/>
        </w:rPr>
      </w:pPr>
      <w:bookmarkStart w:id="14" w:name="_Toc10746"/>
      <w:r>
        <w:rPr>
          <w:rFonts w:hint="eastAsia" w:ascii="仿宋" w:hAnsi="仿宋" w:eastAsia="仿宋" w:cs="仿宋"/>
          <w:color w:val="auto"/>
          <w:sz w:val="28"/>
          <w:szCs w:val="24"/>
        </w:rPr>
        <w:t>6、具有合法的产品来源，符合法律法规规定的其它条件。</w:t>
      </w:r>
      <w:bookmarkEnd w:id="14"/>
    </w:p>
    <w:p w14:paraId="1472CF64">
      <w:pPr>
        <w:spacing w:line="480" w:lineRule="exact"/>
        <w:outlineLvl w:val="0"/>
        <w:rPr>
          <w:rFonts w:hint="eastAsia" w:ascii="仿宋" w:hAnsi="仿宋" w:eastAsia="仿宋" w:cs="仿宋"/>
          <w:color w:val="auto"/>
          <w:sz w:val="28"/>
          <w:szCs w:val="24"/>
        </w:rPr>
      </w:pPr>
      <w:bookmarkStart w:id="15" w:name="_Toc26381"/>
      <w:r>
        <w:rPr>
          <w:rFonts w:hint="eastAsia" w:ascii="仿宋" w:hAnsi="仿宋" w:eastAsia="仿宋" w:cs="仿宋"/>
          <w:color w:val="auto"/>
          <w:sz w:val="28"/>
          <w:szCs w:val="24"/>
        </w:rPr>
        <w:t>7、投标人必须提供企业及产品的有效资质证明文件，具备该行业国家规定必备的资质、资格，且符合参投品种的经营范围；</w:t>
      </w:r>
      <w:bookmarkEnd w:id="15"/>
    </w:p>
    <w:p w14:paraId="215734A9">
      <w:pPr>
        <w:spacing w:line="480" w:lineRule="exact"/>
        <w:outlineLvl w:val="0"/>
        <w:rPr>
          <w:rFonts w:hint="eastAsia" w:ascii="仿宋" w:hAnsi="仿宋" w:eastAsia="仿宋" w:cs="仿宋"/>
          <w:color w:val="auto"/>
          <w:sz w:val="28"/>
          <w:szCs w:val="24"/>
        </w:rPr>
      </w:pPr>
      <w:bookmarkStart w:id="16" w:name="_Toc8850"/>
      <w:r>
        <w:rPr>
          <w:rFonts w:hint="eastAsia" w:ascii="仿宋" w:hAnsi="仿宋" w:eastAsia="仿宋" w:cs="仿宋"/>
          <w:color w:val="auto"/>
          <w:sz w:val="28"/>
          <w:szCs w:val="24"/>
        </w:rPr>
        <w:t>8、提供所投产品的检测报告；提供产品图片资料及产品说明书；</w:t>
      </w:r>
      <w:bookmarkEnd w:id="16"/>
      <w:bookmarkStart w:id="17" w:name="_Toc25462"/>
    </w:p>
    <w:p w14:paraId="12ED9F78">
      <w:pPr>
        <w:spacing w:line="480" w:lineRule="exact"/>
        <w:outlineLvl w:val="0"/>
        <w:rPr>
          <w:rFonts w:hint="eastAsia" w:ascii="仿宋" w:hAnsi="仿宋" w:eastAsia="仿宋" w:cs="仿宋"/>
          <w:color w:val="auto"/>
          <w:sz w:val="28"/>
          <w:szCs w:val="24"/>
        </w:rPr>
      </w:pPr>
      <w:r>
        <w:rPr>
          <w:rFonts w:hint="eastAsia" w:ascii="仿宋" w:hAnsi="仿宋" w:eastAsia="仿宋" w:cs="仿宋"/>
          <w:color w:val="auto"/>
          <w:sz w:val="28"/>
          <w:szCs w:val="24"/>
        </w:rPr>
        <w:t>9、</w:t>
      </w:r>
      <w:bookmarkEnd w:id="17"/>
      <w:r>
        <w:rPr>
          <w:rFonts w:hint="eastAsia" w:ascii="仿宋" w:hAnsi="仿宋" w:eastAsia="仿宋" w:cs="仿宋"/>
          <w:color w:val="auto"/>
          <w:sz w:val="28"/>
          <w:szCs w:val="24"/>
        </w:rPr>
        <w:t>合同履行期间，如</w:t>
      </w:r>
      <w:r>
        <w:rPr>
          <w:rFonts w:hint="eastAsia" w:ascii="仿宋" w:hAnsi="仿宋" w:eastAsia="仿宋" w:cs="仿宋"/>
          <w:color w:val="auto"/>
          <w:sz w:val="28"/>
          <w:szCs w:val="24"/>
          <w:lang w:eastAsia="zh-CN"/>
        </w:rPr>
        <w:t>所供产品参加国家集中带量采购</w:t>
      </w:r>
      <w:r>
        <w:rPr>
          <w:rFonts w:hint="eastAsia" w:ascii="仿宋" w:hAnsi="仿宋" w:eastAsia="仿宋" w:cs="仿宋"/>
          <w:color w:val="auto"/>
          <w:sz w:val="28"/>
          <w:szCs w:val="24"/>
          <w:lang w:val="en-US" w:eastAsia="zh-CN"/>
        </w:rPr>
        <w:t>、各类省际联盟带量采购，</w:t>
      </w:r>
      <w:r>
        <w:rPr>
          <w:rFonts w:hint="eastAsia" w:ascii="仿宋" w:hAnsi="仿宋" w:eastAsia="仿宋" w:cs="仿宋"/>
          <w:color w:val="auto"/>
          <w:sz w:val="28"/>
          <w:szCs w:val="24"/>
        </w:rPr>
        <w:t>按</w:t>
      </w:r>
      <w:r>
        <w:rPr>
          <w:rFonts w:hint="eastAsia" w:ascii="仿宋" w:hAnsi="仿宋" w:eastAsia="仿宋" w:cs="仿宋"/>
          <w:color w:val="auto"/>
          <w:sz w:val="28"/>
          <w:szCs w:val="24"/>
          <w:lang w:val="en-US" w:eastAsia="zh-CN"/>
        </w:rPr>
        <w:t>谈判的</w:t>
      </w:r>
      <w:r>
        <w:rPr>
          <w:rFonts w:hint="eastAsia" w:ascii="仿宋" w:hAnsi="仿宋" w:eastAsia="仿宋" w:cs="仿宋"/>
          <w:color w:val="auto"/>
          <w:sz w:val="28"/>
          <w:szCs w:val="24"/>
        </w:rPr>
        <w:t>价格结果进行网上采购；</w:t>
      </w:r>
      <w:r>
        <w:rPr>
          <w:rFonts w:hint="eastAsia" w:ascii="仿宋" w:hAnsi="仿宋" w:eastAsia="仿宋" w:cs="仿宋"/>
          <w:color w:val="auto"/>
          <w:sz w:val="28"/>
          <w:szCs w:val="24"/>
          <w:lang w:eastAsia="zh-CN"/>
        </w:rPr>
        <w:t>如在新疆维吾尔自治区药品和医用耗材招采管理系统挂网或进入“中部联盟”中选目录等符合上级主管部门的政策性要求时，按照相关政策执行。以上项目执行后如</w:t>
      </w:r>
      <w:r>
        <w:rPr>
          <w:rFonts w:hint="eastAsia" w:ascii="仿宋" w:hAnsi="仿宋" w:eastAsia="仿宋" w:cs="仿宋"/>
          <w:color w:val="auto"/>
          <w:sz w:val="28"/>
          <w:szCs w:val="24"/>
        </w:rPr>
        <w:t>遇政策性调价</w:t>
      </w:r>
      <w:r>
        <w:rPr>
          <w:rFonts w:hint="eastAsia" w:ascii="仿宋" w:hAnsi="仿宋" w:eastAsia="仿宋" w:cs="仿宋"/>
          <w:color w:val="auto"/>
          <w:sz w:val="28"/>
          <w:szCs w:val="24"/>
          <w:lang w:eastAsia="zh-CN"/>
        </w:rPr>
        <w:t>等</w:t>
      </w:r>
      <w:r>
        <w:rPr>
          <w:rFonts w:hint="eastAsia" w:ascii="仿宋" w:hAnsi="仿宋" w:eastAsia="仿宋" w:cs="仿宋"/>
          <w:color w:val="auto"/>
          <w:sz w:val="28"/>
          <w:szCs w:val="24"/>
        </w:rPr>
        <w:t>，按更新后的价格执行，尚未履行交付的</w:t>
      </w:r>
      <w:r>
        <w:rPr>
          <w:rFonts w:hint="eastAsia" w:ascii="仿宋" w:hAnsi="仿宋" w:eastAsia="仿宋" w:cs="仿宋"/>
          <w:color w:val="auto"/>
          <w:sz w:val="28"/>
          <w:szCs w:val="24"/>
          <w:lang w:eastAsia="zh-CN"/>
        </w:rPr>
        <w:t>耗材</w:t>
      </w:r>
      <w:r>
        <w:rPr>
          <w:rFonts w:hint="eastAsia" w:ascii="仿宋" w:hAnsi="仿宋" w:eastAsia="仿宋" w:cs="仿宋"/>
          <w:color w:val="auto"/>
          <w:sz w:val="28"/>
          <w:szCs w:val="24"/>
          <w:lang w:val="en-US" w:eastAsia="zh-CN"/>
        </w:rPr>
        <w:t>参照更新后的价格执行</w:t>
      </w:r>
      <w:r>
        <w:rPr>
          <w:rFonts w:hint="eastAsia" w:ascii="仿宋" w:hAnsi="仿宋" w:eastAsia="仿宋" w:cs="仿宋"/>
          <w:color w:val="auto"/>
          <w:sz w:val="28"/>
          <w:szCs w:val="24"/>
        </w:rPr>
        <w:t>。</w:t>
      </w:r>
    </w:p>
    <w:p w14:paraId="684F2A1C">
      <w:pPr>
        <w:spacing w:line="480" w:lineRule="exact"/>
        <w:outlineLvl w:val="0"/>
        <w:rPr>
          <w:rFonts w:hint="eastAsia" w:ascii="仿宋" w:hAnsi="仿宋" w:eastAsia="仿宋" w:cs="仿宋"/>
          <w:color w:val="auto"/>
          <w:sz w:val="28"/>
          <w:szCs w:val="24"/>
        </w:rPr>
      </w:pPr>
    </w:p>
    <w:p w14:paraId="284AC924">
      <w:pPr>
        <w:spacing w:line="480" w:lineRule="exact"/>
        <w:outlineLvl w:val="0"/>
        <w:rPr>
          <w:rFonts w:hint="eastAsia" w:ascii="仿宋" w:hAnsi="仿宋" w:eastAsia="仿宋" w:cs="仿宋"/>
          <w:color w:val="auto"/>
          <w:sz w:val="28"/>
          <w:szCs w:val="24"/>
        </w:rPr>
      </w:pPr>
      <w:bookmarkStart w:id="18" w:name="_Toc1282"/>
      <w:r>
        <w:rPr>
          <w:rFonts w:hint="eastAsia" w:ascii="仿宋" w:hAnsi="仿宋" w:eastAsia="仿宋" w:cs="仿宋"/>
          <w:color w:val="auto"/>
          <w:sz w:val="28"/>
          <w:szCs w:val="24"/>
        </w:rPr>
        <w:t>（二）供货周期及供货量</w:t>
      </w:r>
      <w:bookmarkEnd w:id="18"/>
    </w:p>
    <w:p w14:paraId="17BFB577">
      <w:pPr>
        <w:spacing w:line="480" w:lineRule="exact"/>
        <w:outlineLvl w:val="0"/>
        <w:rPr>
          <w:rFonts w:hint="eastAsia" w:ascii="仿宋" w:hAnsi="仿宋" w:eastAsia="仿宋" w:cs="仿宋"/>
          <w:color w:val="auto"/>
          <w:sz w:val="28"/>
          <w:szCs w:val="24"/>
        </w:rPr>
      </w:pPr>
      <w:bookmarkStart w:id="19" w:name="_Toc24637"/>
      <w:r>
        <w:rPr>
          <w:rFonts w:hint="eastAsia" w:ascii="仿宋" w:hAnsi="仿宋" w:eastAsia="仿宋" w:cs="仿宋"/>
          <w:color w:val="auto"/>
          <w:sz w:val="28"/>
          <w:szCs w:val="24"/>
          <w:lang w:val="en-US" w:eastAsia="zh-CN"/>
        </w:rPr>
        <w:t>1</w:t>
      </w:r>
      <w:r>
        <w:rPr>
          <w:rFonts w:hint="eastAsia" w:ascii="仿宋" w:hAnsi="仿宋" w:eastAsia="仿宋" w:cs="仿宋"/>
          <w:color w:val="auto"/>
          <w:sz w:val="28"/>
          <w:szCs w:val="24"/>
        </w:rPr>
        <w:t>、</w:t>
      </w:r>
      <w:r>
        <w:rPr>
          <w:rFonts w:hint="eastAsia" w:ascii="仿宋" w:hAnsi="仿宋" w:eastAsia="仿宋" w:cs="仿宋"/>
          <w:color w:val="auto"/>
          <w:sz w:val="28"/>
          <w:szCs w:val="24"/>
          <w:lang w:eastAsia="zh-CN"/>
        </w:rPr>
        <w:t>供货周期：</w:t>
      </w:r>
      <w:r>
        <w:rPr>
          <w:rFonts w:hint="eastAsia" w:ascii="仿宋" w:hAnsi="仿宋" w:eastAsia="仿宋" w:cs="仿宋"/>
          <w:color w:val="auto"/>
          <w:sz w:val="28"/>
          <w:szCs w:val="24"/>
          <w:lang w:val="en-US" w:eastAsia="zh-CN"/>
        </w:rPr>
        <w:t>1年</w:t>
      </w:r>
      <w:r>
        <w:rPr>
          <w:rFonts w:hint="eastAsia" w:ascii="仿宋" w:hAnsi="仿宋" w:eastAsia="仿宋" w:cs="仿宋"/>
          <w:color w:val="auto"/>
          <w:sz w:val="28"/>
          <w:szCs w:val="24"/>
        </w:rPr>
        <w:t>；</w:t>
      </w:r>
      <w:bookmarkEnd w:id="19"/>
    </w:p>
    <w:p w14:paraId="6F3F0755">
      <w:pPr>
        <w:spacing w:line="480" w:lineRule="exact"/>
        <w:outlineLvl w:val="0"/>
        <w:rPr>
          <w:rFonts w:hint="eastAsia" w:ascii="仿宋" w:hAnsi="仿宋" w:eastAsia="仿宋" w:cs="仿宋"/>
          <w:color w:val="auto"/>
          <w:sz w:val="28"/>
          <w:szCs w:val="24"/>
        </w:rPr>
      </w:pPr>
      <w:bookmarkStart w:id="20" w:name="_Toc29359"/>
      <w:r>
        <w:rPr>
          <w:rFonts w:hint="eastAsia" w:ascii="仿宋" w:hAnsi="仿宋" w:eastAsia="仿宋" w:cs="仿宋"/>
          <w:color w:val="auto"/>
          <w:sz w:val="28"/>
          <w:szCs w:val="24"/>
          <w:lang w:val="en-US" w:eastAsia="zh-CN"/>
        </w:rPr>
        <w:t>2</w:t>
      </w:r>
      <w:r>
        <w:rPr>
          <w:rFonts w:hint="eastAsia" w:ascii="仿宋" w:hAnsi="仿宋" w:eastAsia="仿宋" w:cs="仿宋"/>
          <w:color w:val="auto"/>
          <w:sz w:val="28"/>
          <w:szCs w:val="24"/>
        </w:rPr>
        <w:t>、供货量按需供应；</w:t>
      </w:r>
      <w:bookmarkEnd w:id="20"/>
    </w:p>
    <w:p w14:paraId="3C8A9087">
      <w:pPr>
        <w:spacing w:line="480" w:lineRule="exact"/>
        <w:outlineLvl w:val="0"/>
        <w:rPr>
          <w:rFonts w:hint="eastAsia" w:ascii="仿宋" w:hAnsi="仿宋" w:eastAsia="仿宋" w:cs="仿宋"/>
          <w:color w:val="auto"/>
          <w:sz w:val="28"/>
          <w:szCs w:val="24"/>
        </w:rPr>
      </w:pPr>
      <w:bookmarkStart w:id="21" w:name="_Toc28027"/>
      <w:r>
        <w:rPr>
          <w:rFonts w:hint="eastAsia" w:ascii="仿宋" w:hAnsi="仿宋" w:eastAsia="仿宋" w:cs="仿宋"/>
          <w:color w:val="auto"/>
          <w:sz w:val="28"/>
          <w:szCs w:val="24"/>
          <w:lang w:val="en-US" w:eastAsia="zh-CN"/>
        </w:rPr>
        <w:t>3</w:t>
      </w:r>
      <w:r>
        <w:rPr>
          <w:rFonts w:hint="eastAsia" w:ascii="仿宋" w:hAnsi="仿宋" w:eastAsia="仿宋" w:cs="仿宋"/>
          <w:color w:val="auto"/>
          <w:sz w:val="28"/>
          <w:szCs w:val="24"/>
        </w:rPr>
        <w:t>、</w:t>
      </w:r>
      <w:r>
        <w:rPr>
          <w:rFonts w:hint="eastAsia" w:ascii="仿宋" w:hAnsi="仿宋" w:eastAsia="仿宋" w:cs="仿宋"/>
          <w:color w:val="auto"/>
          <w:sz w:val="28"/>
          <w:szCs w:val="24"/>
          <w:lang w:eastAsia="zh-CN"/>
        </w:rPr>
        <w:t>供货商接到我院供货通知时，必须第一时间安排送货，急救或紧急情况下使用的配送不应超过4小时，一般品种的配送不应超过24小时。因供货不及时造成工作影响，院方有权单方取消供货商供货资格及以后投标资格</w:t>
      </w:r>
      <w:r>
        <w:rPr>
          <w:rFonts w:hint="eastAsia" w:ascii="仿宋" w:hAnsi="仿宋" w:eastAsia="仿宋" w:cs="仿宋"/>
          <w:color w:val="auto"/>
          <w:sz w:val="28"/>
          <w:szCs w:val="24"/>
        </w:rPr>
        <w:t>；</w:t>
      </w:r>
      <w:bookmarkEnd w:id="21"/>
    </w:p>
    <w:p w14:paraId="46D474C4">
      <w:pPr>
        <w:spacing w:line="480" w:lineRule="exact"/>
        <w:outlineLvl w:val="0"/>
        <w:rPr>
          <w:rFonts w:hint="eastAsia" w:ascii="仿宋" w:hAnsi="仿宋" w:eastAsia="仿宋" w:cs="仿宋"/>
          <w:color w:val="auto"/>
          <w:sz w:val="28"/>
          <w:szCs w:val="24"/>
          <w:lang w:eastAsia="zh-CN"/>
        </w:rPr>
      </w:pPr>
      <w:bookmarkStart w:id="22" w:name="_Toc17375"/>
      <w:r>
        <w:rPr>
          <w:rFonts w:hint="eastAsia" w:ascii="仿宋" w:hAnsi="仿宋" w:eastAsia="仿宋" w:cs="仿宋"/>
          <w:color w:val="auto"/>
          <w:sz w:val="28"/>
          <w:szCs w:val="24"/>
        </w:rPr>
        <w:t>（</w:t>
      </w:r>
      <w:r>
        <w:rPr>
          <w:rFonts w:hint="eastAsia" w:ascii="仿宋" w:hAnsi="仿宋" w:eastAsia="仿宋" w:cs="仿宋"/>
          <w:color w:val="auto"/>
          <w:sz w:val="28"/>
          <w:szCs w:val="24"/>
          <w:lang w:eastAsia="zh-CN"/>
        </w:rPr>
        <w:t>三</w:t>
      </w:r>
      <w:r>
        <w:rPr>
          <w:rFonts w:hint="eastAsia" w:ascii="仿宋" w:hAnsi="仿宋" w:eastAsia="仿宋" w:cs="仿宋"/>
          <w:color w:val="auto"/>
          <w:sz w:val="28"/>
          <w:szCs w:val="24"/>
        </w:rPr>
        <w:t>）付款方式：</w:t>
      </w:r>
      <w:bookmarkEnd w:id="22"/>
      <w:r>
        <w:rPr>
          <w:rFonts w:hint="eastAsia" w:ascii="仿宋" w:hAnsi="仿宋" w:eastAsia="仿宋" w:cs="仿宋"/>
          <w:color w:val="auto"/>
          <w:sz w:val="28"/>
          <w:szCs w:val="24"/>
          <w:lang w:eastAsia="zh-CN"/>
        </w:rPr>
        <w:t>甲方收到乙方交付的货物并经甲方书面验收合格，产品无质量问题及其他纠纷的情况下，在该批次货品用完之后每半年按一定比例以汇票、转账支票或电汇等方式向乙方支付货款,或根据甲方现有财务状况双方协商付款。如遇特殊情况，双方协商解决。</w:t>
      </w:r>
    </w:p>
    <w:p w14:paraId="151F7CCF">
      <w:pPr>
        <w:rPr>
          <w:rFonts w:hint="eastAsia" w:ascii="仿宋" w:hAnsi="仿宋" w:eastAsia="仿宋" w:cs="仿宋"/>
          <w:color w:val="auto"/>
        </w:rPr>
      </w:pPr>
    </w:p>
    <w:p w14:paraId="3AA0A9F8">
      <w:pPr>
        <w:spacing w:line="480" w:lineRule="exact"/>
        <w:outlineLvl w:val="0"/>
        <w:rPr>
          <w:rFonts w:hint="eastAsia" w:ascii="仿宋" w:hAnsi="仿宋" w:eastAsia="仿宋" w:cs="仿宋"/>
          <w:color w:val="auto"/>
          <w:sz w:val="28"/>
          <w:szCs w:val="24"/>
          <w:highlight w:val="none"/>
        </w:rPr>
      </w:pPr>
    </w:p>
    <w:p w14:paraId="3F8C08C4">
      <w:pP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br w:type="page"/>
      </w:r>
    </w:p>
    <w:p w14:paraId="6F481321">
      <w:pPr>
        <w:spacing w:line="480" w:lineRule="exact"/>
        <w:jc w:val="center"/>
        <w:outlineLvl w:val="0"/>
        <w:rPr>
          <w:rFonts w:hint="eastAsia" w:ascii="仿宋" w:hAnsi="仿宋" w:eastAsia="仿宋" w:cs="仿宋"/>
          <w:b/>
          <w:color w:val="auto"/>
          <w:sz w:val="36"/>
          <w:highlight w:val="none"/>
        </w:rPr>
      </w:pPr>
      <w:r>
        <w:rPr>
          <w:rFonts w:hint="eastAsia" w:ascii="仿宋" w:hAnsi="仿宋" w:eastAsia="仿宋" w:cs="仿宋"/>
          <w:b/>
          <w:color w:val="auto"/>
          <w:sz w:val="36"/>
          <w:highlight w:val="none"/>
        </w:rPr>
        <w:t>第四章 合同条款及格式</w:t>
      </w:r>
      <w:bookmarkStart w:id="23" w:name="_Toc20669"/>
    </w:p>
    <w:bookmarkEnd w:id="23"/>
    <w:p w14:paraId="463444A0">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（具体以实际签订合同为主）</w:t>
      </w:r>
    </w:p>
    <w:p w14:paraId="17BBEDDF">
      <w:pPr>
        <w:spacing w:line="560" w:lineRule="exact"/>
        <w:rPr>
          <w:rFonts w:hint="eastAsia" w:ascii="仿宋" w:hAnsi="仿宋" w:eastAsia="仿宋" w:cs="仿宋"/>
          <w:color w:val="auto"/>
          <w:highlight w:val="none"/>
        </w:rPr>
      </w:pPr>
    </w:p>
    <w:p w14:paraId="0127AE7B">
      <w:pPr>
        <w:spacing w:line="560" w:lineRule="exact"/>
        <w:rPr>
          <w:rFonts w:hint="eastAsia" w:ascii="仿宋" w:hAnsi="仿宋" w:eastAsia="仿宋" w:cs="仿宋"/>
          <w:b/>
          <w:color w:val="auto"/>
          <w:sz w:val="44"/>
          <w:szCs w:val="44"/>
          <w:highlight w:val="none"/>
        </w:rPr>
      </w:pPr>
      <w:r>
        <w:rPr>
          <w:rFonts w:hint="eastAsia" w:ascii="仿宋" w:hAnsi="仿宋" w:eastAsia="仿宋" w:cs="仿宋"/>
          <w:color w:val="auto"/>
          <w:highlight w:val="none"/>
        </w:rPr>
        <w:t xml:space="preserve">                    </w:t>
      </w:r>
      <w:r>
        <w:rPr>
          <w:rFonts w:hint="eastAsia" w:ascii="仿宋" w:hAnsi="仿宋" w:eastAsia="仿宋" w:cs="仿宋"/>
          <w:b/>
          <w:color w:val="auto"/>
          <w:sz w:val="44"/>
          <w:szCs w:val="44"/>
          <w:highlight w:val="none"/>
        </w:rPr>
        <w:t>新疆医科大学第二附属医院</w:t>
      </w:r>
    </w:p>
    <w:p w14:paraId="13B03E2F">
      <w:pPr>
        <w:spacing w:line="560" w:lineRule="exact"/>
        <w:ind w:firstLine="601"/>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采购合同书</w:t>
      </w:r>
    </w:p>
    <w:p w14:paraId="0D41CD9A">
      <w:pPr>
        <w:spacing w:line="560" w:lineRule="exact"/>
        <w:ind w:firstLine="601"/>
        <w:jc w:val="center"/>
        <w:rPr>
          <w:rFonts w:hint="eastAsia" w:ascii="仿宋" w:hAnsi="仿宋" w:eastAsia="仿宋" w:cs="仿宋"/>
          <w:b/>
          <w:color w:val="auto"/>
          <w:sz w:val="32"/>
          <w:szCs w:val="32"/>
          <w:highlight w:val="none"/>
        </w:rPr>
      </w:pPr>
    </w:p>
    <w:p w14:paraId="2FB6CB0F">
      <w:pPr>
        <w:spacing w:line="560" w:lineRule="exact"/>
        <w:rPr>
          <w:rFonts w:hint="eastAsia" w:ascii="仿宋" w:hAnsi="仿宋" w:eastAsia="仿宋" w:cs="仿宋"/>
          <w:color w:val="auto"/>
          <w:sz w:val="24"/>
          <w:highlight w:val="none"/>
        </w:rPr>
      </w:pPr>
    </w:p>
    <w:p w14:paraId="45E0B3D7">
      <w:pPr>
        <w:spacing w:line="560" w:lineRule="exact"/>
        <w:rPr>
          <w:rFonts w:hint="eastAsia" w:ascii="仿宋" w:hAnsi="仿宋" w:eastAsia="仿宋" w:cs="仿宋"/>
          <w:color w:val="auto"/>
          <w:sz w:val="24"/>
          <w:highlight w:val="none"/>
        </w:rPr>
      </w:pPr>
    </w:p>
    <w:p w14:paraId="3F0C1A9F">
      <w:pPr>
        <w:spacing w:line="560" w:lineRule="exact"/>
        <w:ind w:firstLine="1350" w:firstLineChars="4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甲    方：新疆医科大学第二附属医院</w:t>
      </w:r>
    </w:p>
    <w:p w14:paraId="54C81F93">
      <w:pPr>
        <w:spacing w:line="560" w:lineRule="exact"/>
        <w:ind w:firstLine="1350" w:firstLineChars="450"/>
        <w:rPr>
          <w:rFonts w:hint="eastAsia" w:ascii="仿宋" w:hAnsi="仿宋" w:eastAsia="仿宋" w:cs="仿宋"/>
          <w:color w:val="auto"/>
          <w:sz w:val="30"/>
          <w:szCs w:val="30"/>
          <w:highlight w:val="none"/>
        </w:rPr>
      </w:pPr>
    </w:p>
    <w:p w14:paraId="567F1BE2">
      <w:pPr>
        <w:spacing w:line="560" w:lineRule="exact"/>
        <w:ind w:firstLine="1350" w:firstLineChars="4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乙    方：</w:t>
      </w:r>
    </w:p>
    <w:p w14:paraId="3618CDAE">
      <w:pPr>
        <w:spacing w:line="520" w:lineRule="exact"/>
        <w:ind w:firstLine="1200" w:firstLineChars="400"/>
        <w:rPr>
          <w:rFonts w:hint="eastAsia" w:ascii="仿宋" w:hAnsi="仿宋" w:eastAsia="仿宋" w:cs="仿宋"/>
          <w:color w:val="auto"/>
          <w:sz w:val="30"/>
          <w:szCs w:val="30"/>
          <w:highlight w:val="none"/>
        </w:rPr>
      </w:pPr>
    </w:p>
    <w:p w14:paraId="0ED6A1C4">
      <w:pPr>
        <w:spacing w:line="560" w:lineRule="exact"/>
        <w:ind w:firstLine="1350" w:firstLineChars="4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签约地点：新疆乌鲁木齐市</w:t>
      </w:r>
    </w:p>
    <w:p w14:paraId="17797192">
      <w:pPr>
        <w:spacing w:line="560" w:lineRule="exact"/>
        <w:ind w:firstLine="1350" w:firstLineChars="450"/>
        <w:rPr>
          <w:rFonts w:hint="eastAsia" w:ascii="仿宋" w:hAnsi="仿宋" w:eastAsia="仿宋" w:cs="仿宋"/>
          <w:color w:val="auto"/>
          <w:sz w:val="30"/>
          <w:szCs w:val="30"/>
          <w:highlight w:val="none"/>
        </w:rPr>
      </w:pPr>
    </w:p>
    <w:p w14:paraId="210BC604">
      <w:pPr>
        <w:spacing w:line="560" w:lineRule="exact"/>
        <w:ind w:firstLine="1350" w:firstLineChars="4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签约日期：</w:t>
      </w:r>
    </w:p>
    <w:p w14:paraId="3179F962">
      <w:pPr>
        <w:spacing w:line="560" w:lineRule="exact"/>
        <w:ind w:firstLine="1350" w:firstLineChars="450"/>
        <w:rPr>
          <w:rFonts w:hint="eastAsia" w:ascii="仿宋" w:hAnsi="仿宋" w:eastAsia="仿宋" w:cs="仿宋"/>
          <w:color w:val="auto"/>
          <w:sz w:val="30"/>
          <w:szCs w:val="30"/>
          <w:highlight w:val="none"/>
        </w:rPr>
      </w:pPr>
    </w:p>
    <w:p w14:paraId="43F8D455">
      <w:pPr>
        <w:spacing w:line="560" w:lineRule="exact"/>
        <w:ind w:firstLine="1350" w:firstLineChars="4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合同编号：</w:t>
      </w:r>
    </w:p>
    <w:p w14:paraId="682B3674">
      <w:pPr>
        <w:spacing w:line="560" w:lineRule="exact"/>
        <w:rPr>
          <w:rFonts w:hint="eastAsia" w:ascii="仿宋" w:hAnsi="仿宋" w:eastAsia="仿宋" w:cs="仿宋"/>
          <w:color w:val="auto"/>
          <w:sz w:val="30"/>
          <w:szCs w:val="30"/>
          <w:highlight w:val="none"/>
        </w:rPr>
      </w:pPr>
    </w:p>
    <w:p w14:paraId="0AE3DF72">
      <w:pPr>
        <w:spacing w:line="560" w:lineRule="exact"/>
        <w:rPr>
          <w:rFonts w:hint="eastAsia" w:ascii="仿宋" w:hAnsi="仿宋" w:eastAsia="仿宋" w:cs="仿宋"/>
          <w:color w:val="auto"/>
          <w:sz w:val="24"/>
          <w:highlight w:val="none"/>
        </w:rPr>
      </w:pPr>
    </w:p>
    <w:p w14:paraId="4D5B2769">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二零二三  年  月</w:t>
      </w:r>
    </w:p>
    <w:p w14:paraId="7C8C5F53">
      <w:pPr>
        <w:widowControl/>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62E2BB4A">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r>
        <w:rPr>
          <w:rFonts w:hint="eastAsia" w:ascii="仿宋" w:hAnsi="仿宋" w:eastAsia="仿宋" w:cs="仿宋"/>
          <w:color w:val="auto"/>
          <w:sz w:val="24"/>
          <w:szCs w:val="24"/>
        </w:rPr>
        <w:t>甲方（医疗机构）：新疆医科大学第二附属医院</w:t>
      </w:r>
    </w:p>
    <w:p w14:paraId="5181687B">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r>
        <w:rPr>
          <w:rFonts w:hint="eastAsia" w:ascii="仿宋" w:hAnsi="仿宋" w:eastAsia="仿宋" w:cs="仿宋"/>
          <w:color w:val="auto"/>
          <w:sz w:val="24"/>
          <w:szCs w:val="24"/>
        </w:rPr>
        <w:t>地址：乌鲁木齐市南湖东路北二巷38号</w:t>
      </w:r>
    </w:p>
    <w:p w14:paraId="63F7541A">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r>
        <w:rPr>
          <w:rFonts w:hint="eastAsia" w:ascii="仿宋" w:hAnsi="仿宋" w:eastAsia="仿宋" w:cs="仿宋"/>
          <w:color w:val="auto"/>
          <w:sz w:val="24"/>
          <w:szCs w:val="24"/>
        </w:rPr>
        <w:t>电话：0991-4609101</w:t>
      </w:r>
    </w:p>
    <w:p w14:paraId="6B40A2C9">
      <w:pPr>
        <w:keepNext w:val="0"/>
        <w:keepLines w:val="0"/>
        <w:pageBreakBefore w:val="0"/>
        <w:tabs>
          <w:tab w:val="left" w:pos="5827"/>
        </w:tabs>
        <w:kinsoku/>
        <w:wordWrap/>
        <w:overflowPunct/>
        <w:topLinePunct w:val="0"/>
        <w:bidi w:val="0"/>
        <w:spacing w:line="480" w:lineRule="auto"/>
        <w:ind w:left="0" w:leftChars="0"/>
        <w:jc w:val="left"/>
        <w:rPr>
          <w:rFonts w:hint="eastAsia" w:ascii="仿宋" w:hAnsi="仿宋" w:eastAsia="仿宋" w:cs="仿宋"/>
          <w:color w:val="auto"/>
          <w:sz w:val="24"/>
          <w:szCs w:val="24"/>
        </w:rPr>
      </w:pPr>
      <w:r>
        <w:rPr>
          <w:rFonts w:hint="eastAsia" w:ascii="仿宋" w:hAnsi="仿宋" w:eastAsia="仿宋" w:cs="仿宋"/>
          <w:color w:val="auto"/>
          <w:sz w:val="24"/>
          <w:szCs w:val="24"/>
        </w:rPr>
        <w:t>乙方（医用耗材供应企业）：</w:t>
      </w:r>
    </w:p>
    <w:p w14:paraId="7450D077">
      <w:pPr>
        <w:keepNext w:val="0"/>
        <w:keepLines w:val="0"/>
        <w:pageBreakBefore w:val="0"/>
        <w:tabs>
          <w:tab w:val="left" w:pos="5827"/>
        </w:tabs>
        <w:kinsoku/>
        <w:wordWrap/>
        <w:overflowPunct/>
        <w:topLinePunct w:val="0"/>
        <w:bidi w:val="0"/>
        <w:spacing w:line="480" w:lineRule="auto"/>
        <w:ind w:left="0" w:leftChars="0"/>
        <w:jc w:val="left"/>
        <w:rPr>
          <w:rFonts w:hint="eastAsia" w:ascii="仿宋" w:hAnsi="仿宋" w:eastAsia="仿宋" w:cs="仿宋"/>
          <w:color w:val="auto"/>
          <w:sz w:val="24"/>
          <w:szCs w:val="24"/>
        </w:rPr>
      </w:pPr>
      <w:r>
        <w:rPr>
          <w:rFonts w:hint="eastAsia" w:ascii="仿宋" w:hAnsi="仿宋" w:eastAsia="仿宋" w:cs="仿宋"/>
          <w:color w:val="auto"/>
          <w:sz w:val="24"/>
          <w:szCs w:val="24"/>
        </w:rPr>
        <w:t>地址：</w:t>
      </w:r>
    </w:p>
    <w:p w14:paraId="22D34A13">
      <w:pPr>
        <w:keepNext w:val="0"/>
        <w:keepLines w:val="0"/>
        <w:pageBreakBefore w:val="0"/>
        <w:tabs>
          <w:tab w:val="left" w:pos="5827"/>
        </w:tabs>
        <w:kinsoku/>
        <w:wordWrap/>
        <w:overflowPunct/>
        <w:topLinePunct w:val="0"/>
        <w:bidi w:val="0"/>
        <w:spacing w:line="480" w:lineRule="auto"/>
        <w:ind w:left="0" w:leftChars="0"/>
        <w:jc w:val="left"/>
        <w:rPr>
          <w:rFonts w:hint="eastAsia" w:ascii="仿宋" w:hAnsi="仿宋" w:eastAsia="仿宋" w:cs="仿宋"/>
          <w:color w:val="auto"/>
          <w:sz w:val="24"/>
          <w:szCs w:val="24"/>
        </w:rPr>
      </w:pPr>
      <w:r>
        <w:rPr>
          <w:rFonts w:hint="eastAsia" w:ascii="仿宋" w:hAnsi="仿宋" w:eastAsia="仿宋" w:cs="仿宋"/>
          <w:color w:val="auto"/>
          <w:sz w:val="24"/>
          <w:szCs w:val="24"/>
        </w:rPr>
        <w:t>联系电话：</w:t>
      </w:r>
    </w:p>
    <w:p w14:paraId="62F96695">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新疆医科大学第二附属医院（以下简称甲方）与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以下简称乙方）就</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MERGEFIELD "合同内主要物品"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«合同内主要物品»</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lang w:val="en-US" w:eastAsia="zh-CN"/>
        </w:rPr>
        <w:t>等</w:t>
      </w:r>
      <w:r>
        <w:rPr>
          <w:rFonts w:hint="eastAsia" w:ascii="仿宋" w:hAnsi="仿宋" w:eastAsia="仿宋" w:cs="仿宋"/>
          <w:color w:val="auto"/>
          <w:sz w:val="24"/>
          <w:szCs w:val="24"/>
          <w:u w:val="single"/>
        </w:rPr>
        <w:t>医用耗材（试剂）</w:t>
      </w:r>
      <w:r>
        <w:rPr>
          <w:rFonts w:hint="eastAsia" w:ascii="仿宋" w:hAnsi="仿宋" w:eastAsia="仿宋" w:cs="仿宋"/>
          <w:color w:val="auto"/>
          <w:sz w:val="24"/>
          <w:szCs w:val="24"/>
        </w:rPr>
        <w:t>采购事宜，根据《中华人民共和国政府采购法》《中华人民共和国民法典》等规定，本着平等、自愿、互利、互惠的原则，经各方协商一致，订立本合同。</w:t>
      </w:r>
    </w:p>
    <w:p w14:paraId="3310E11F">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一、合同标的</w:t>
      </w:r>
    </w:p>
    <w:p w14:paraId="53502EF4">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1、货物</w:t>
      </w:r>
    </w:p>
    <w:p w14:paraId="458B8B6E">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乙方按照甲方提供的采购计划在商定的时限内保质、保量、及时组织配送，合同一经签订不得随意更改，同时，所供货物的品种、规格、数量、质量、价格、保质期等方面的标准应符合本合同约定的验收标准。</w:t>
      </w:r>
    </w:p>
    <w:p w14:paraId="66C93108">
      <w:pPr>
        <w:keepNext w:val="0"/>
        <w:keepLines w:val="0"/>
        <w:pageBreakBefore w:val="0"/>
        <w:numPr>
          <w:ilvl w:val="0"/>
          <w:numId w:val="3"/>
        </w:numPr>
        <w:kinsoku/>
        <w:wordWrap/>
        <w:overflowPunct/>
        <w:topLinePunct w:val="0"/>
        <w:bidi w:val="0"/>
        <w:spacing w:line="480" w:lineRule="auto"/>
        <w:ind w:left="0" w:leftChars="0" w:firstLine="410" w:firstLineChars="171"/>
        <w:rPr>
          <w:rFonts w:hint="eastAsia" w:ascii="仿宋" w:hAnsi="仿宋" w:eastAsia="仿宋" w:cs="仿宋"/>
          <w:color w:val="auto"/>
          <w:sz w:val="24"/>
          <w:szCs w:val="24"/>
        </w:rPr>
      </w:pPr>
      <w:r>
        <w:rPr>
          <w:rFonts w:hint="eastAsia" w:ascii="仿宋" w:hAnsi="仿宋" w:eastAsia="仿宋" w:cs="仿宋"/>
          <w:color w:val="auto"/>
          <w:sz w:val="24"/>
          <w:szCs w:val="24"/>
        </w:rPr>
        <w:t>货物的名称、生产厂家、品牌、规格型号及价格详见附表：</w:t>
      </w:r>
    </w:p>
    <w:tbl>
      <w:tblPr>
        <w:tblStyle w:val="22"/>
        <w:tblW w:w="5059" w:type="pct"/>
        <w:tblInd w:w="206" w:type="dxa"/>
        <w:tblLayout w:type="fixed"/>
        <w:tblCellMar>
          <w:top w:w="0" w:type="dxa"/>
          <w:left w:w="108" w:type="dxa"/>
          <w:bottom w:w="0" w:type="dxa"/>
          <w:right w:w="108" w:type="dxa"/>
        </w:tblCellMar>
      </w:tblPr>
      <w:tblGrid>
        <w:gridCol w:w="532"/>
        <w:gridCol w:w="1237"/>
        <w:gridCol w:w="2166"/>
        <w:gridCol w:w="1742"/>
        <w:gridCol w:w="1503"/>
        <w:gridCol w:w="674"/>
        <w:gridCol w:w="1291"/>
        <w:gridCol w:w="824"/>
      </w:tblGrid>
      <w:tr w14:paraId="6D32519B">
        <w:tblPrEx>
          <w:tblCellMar>
            <w:top w:w="0" w:type="dxa"/>
            <w:left w:w="108" w:type="dxa"/>
            <w:bottom w:w="0" w:type="dxa"/>
            <w:right w:w="108" w:type="dxa"/>
          </w:tblCellMar>
        </w:tblPrEx>
        <w:trPr>
          <w:trHeight w:val="195" w:hRule="atLeast"/>
        </w:trPr>
        <w:tc>
          <w:tcPr>
            <w:tcW w:w="266" w:type="pct"/>
            <w:tcBorders>
              <w:top w:val="single" w:color="auto" w:sz="4" w:space="0"/>
              <w:left w:val="single" w:color="auto" w:sz="4" w:space="0"/>
              <w:bottom w:val="single" w:color="auto" w:sz="4" w:space="0"/>
              <w:right w:val="single" w:color="auto" w:sz="4" w:space="0"/>
            </w:tcBorders>
            <w:noWrap w:val="0"/>
            <w:vAlign w:val="center"/>
          </w:tcPr>
          <w:p w14:paraId="5B6B226D">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序号</w:t>
            </w:r>
          </w:p>
        </w:tc>
        <w:tc>
          <w:tcPr>
            <w:tcW w:w="620" w:type="pct"/>
            <w:tcBorders>
              <w:top w:val="single" w:color="auto" w:sz="4" w:space="0"/>
              <w:left w:val="nil"/>
              <w:bottom w:val="single" w:color="auto" w:sz="4" w:space="0"/>
              <w:right w:val="single" w:color="auto" w:sz="4" w:space="0"/>
            </w:tcBorders>
            <w:noWrap w:val="0"/>
            <w:vAlign w:val="center"/>
          </w:tcPr>
          <w:p w14:paraId="4319E432">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产品名称</w:t>
            </w:r>
          </w:p>
        </w:tc>
        <w:tc>
          <w:tcPr>
            <w:tcW w:w="1086" w:type="pct"/>
            <w:tcBorders>
              <w:top w:val="single" w:color="auto" w:sz="4" w:space="0"/>
              <w:left w:val="nil"/>
              <w:bottom w:val="single" w:color="auto" w:sz="4" w:space="0"/>
              <w:right w:val="single" w:color="auto" w:sz="4" w:space="0"/>
            </w:tcBorders>
            <w:noWrap w:val="0"/>
            <w:vAlign w:val="center"/>
          </w:tcPr>
          <w:p w14:paraId="7F4B3EBE">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生产厂家/品牌</w:t>
            </w:r>
          </w:p>
        </w:tc>
        <w:tc>
          <w:tcPr>
            <w:tcW w:w="873" w:type="pct"/>
            <w:tcBorders>
              <w:top w:val="single" w:color="auto" w:sz="4" w:space="0"/>
              <w:left w:val="nil"/>
              <w:bottom w:val="single" w:color="auto" w:sz="4" w:space="0"/>
              <w:right w:val="single" w:color="auto" w:sz="4" w:space="0"/>
            </w:tcBorders>
            <w:noWrap w:val="0"/>
            <w:vAlign w:val="center"/>
          </w:tcPr>
          <w:p w14:paraId="644A68FC">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注册证号</w:t>
            </w:r>
          </w:p>
        </w:tc>
        <w:tc>
          <w:tcPr>
            <w:tcW w:w="753" w:type="pct"/>
            <w:tcBorders>
              <w:top w:val="single" w:color="auto" w:sz="4" w:space="0"/>
              <w:left w:val="nil"/>
              <w:bottom w:val="single" w:color="auto" w:sz="4" w:space="0"/>
              <w:right w:val="single" w:color="auto" w:sz="4" w:space="0"/>
            </w:tcBorders>
            <w:noWrap w:val="0"/>
            <w:vAlign w:val="center"/>
          </w:tcPr>
          <w:p w14:paraId="72868BA1">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规格型号</w:t>
            </w:r>
          </w:p>
        </w:tc>
        <w:tc>
          <w:tcPr>
            <w:tcW w:w="338" w:type="pct"/>
            <w:tcBorders>
              <w:top w:val="single" w:color="auto" w:sz="4" w:space="0"/>
              <w:left w:val="nil"/>
              <w:bottom w:val="single" w:color="auto" w:sz="4" w:space="0"/>
              <w:right w:val="single" w:color="auto" w:sz="4" w:space="0"/>
            </w:tcBorders>
            <w:noWrap w:val="0"/>
            <w:vAlign w:val="center"/>
          </w:tcPr>
          <w:p w14:paraId="5A9E43ED">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单位</w:t>
            </w:r>
          </w:p>
        </w:tc>
        <w:tc>
          <w:tcPr>
            <w:tcW w:w="647" w:type="pct"/>
            <w:tcBorders>
              <w:top w:val="single" w:color="auto" w:sz="4" w:space="0"/>
              <w:left w:val="nil"/>
              <w:bottom w:val="single" w:color="auto" w:sz="4" w:space="0"/>
              <w:right w:val="single" w:color="auto" w:sz="4" w:space="0"/>
            </w:tcBorders>
            <w:noWrap w:val="0"/>
            <w:vAlign w:val="center"/>
          </w:tcPr>
          <w:p w14:paraId="3476FF8C">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固定单价（元）</w:t>
            </w:r>
          </w:p>
        </w:tc>
        <w:tc>
          <w:tcPr>
            <w:tcW w:w="413" w:type="pct"/>
            <w:tcBorders>
              <w:top w:val="single" w:color="auto" w:sz="4" w:space="0"/>
              <w:left w:val="nil"/>
              <w:bottom w:val="single" w:color="auto" w:sz="4" w:space="0"/>
              <w:right w:val="single" w:color="auto" w:sz="4" w:space="0"/>
            </w:tcBorders>
            <w:noWrap w:val="0"/>
            <w:vAlign w:val="center"/>
          </w:tcPr>
          <w:p w14:paraId="0A647CA9">
            <w:pPr>
              <w:keepNext w:val="0"/>
              <w:keepLines w:val="0"/>
              <w:pageBreakBefore w:val="0"/>
              <w:widowControl/>
              <w:kinsoku/>
              <w:wordWrap/>
              <w:overflowPunct/>
              <w:topLinePunct w:val="0"/>
              <w:bidi w:val="0"/>
              <w:spacing w:line="480" w:lineRule="auto"/>
              <w:ind w:left="0" w:leftChars="0"/>
              <w:jc w:val="center"/>
              <w:rPr>
                <w:rFonts w:hint="eastAsia" w:ascii="仿宋" w:hAnsi="仿宋" w:eastAsia="仿宋" w:cs="仿宋"/>
                <w:b w:val="0"/>
                <w:bCs w:val="0"/>
                <w:color w:val="auto"/>
                <w:kern w:val="0"/>
                <w:sz w:val="24"/>
                <w:szCs w:val="24"/>
              </w:rPr>
            </w:pPr>
            <w:r>
              <w:rPr>
                <w:rFonts w:hint="eastAsia" w:ascii="仿宋" w:hAnsi="仿宋" w:eastAsia="仿宋" w:cs="仿宋"/>
                <w:b w:val="0"/>
                <w:bCs w:val="0"/>
                <w:color w:val="auto"/>
                <w:kern w:val="0"/>
                <w:sz w:val="24"/>
                <w:szCs w:val="24"/>
              </w:rPr>
              <w:t>备注</w:t>
            </w:r>
          </w:p>
        </w:tc>
      </w:tr>
      <w:tr w14:paraId="663CD67E">
        <w:tblPrEx>
          <w:tblCellMar>
            <w:top w:w="0" w:type="dxa"/>
            <w:left w:w="108" w:type="dxa"/>
            <w:bottom w:w="0" w:type="dxa"/>
            <w:right w:w="108" w:type="dxa"/>
          </w:tblCellMar>
        </w:tblPrEx>
        <w:trPr>
          <w:trHeight w:val="427" w:hRule="atLeast"/>
        </w:trPr>
        <w:tc>
          <w:tcPr>
            <w:tcW w:w="266" w:type="pct"/>
            <w:tcBorders>
              <w:top w:val="nil"/>
              <w:left w:val="single" w:color="auto" w:sz="4" w:space="0"/>
              <w:bottom w:val="single" w:color="auto" w:sz="4" w:space="0"/>
              <w:right w:val="single" w:color="auto" w:sz="4" w:space="0"/>
            </w:tcBorders>
            <w:noWrap w:val="0"/>
            <w:vAlign w:val="center"/>
          </w:tcPr>
          <w:p w14:paraId="1D6456F9">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1</w:t>
            </w:r>
          </w:p>
        </w:tc>
        <w:tc>
          <w:tcPr>
            <w:tcW w:w="620" w:type="pct"/>
            <w:tcBorders>
              <w:top w:val="nil"/>
              <w:left w:val="nil"/>
              <w:bottom w:val="single" w:color="auto" w:sz="4" w:space="0"/>
              <w:right w:val="single" w:color="auto" w:sz="4" w:space="0"/>
            </w:tcBorders>
            <w:noWrap w:val="0"/>
            <w:vAlign w:val="center"/>
          </w:tcPr>
          <w:p w14:paraId="0EA42638">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1086" w:type="pct"/>
            <w:tcBorders>
              <w:top w:val="nil"/>
              <w:left w:val="nil"/>
              <w:bottom w:val="single" w:color="auto" w:sz="4" w:space="0"/>
              <w:right w:val="single" w:color="auto" w:sz="4" w:space="0"/>
            </w:tcBorders>
            <w:noWrap w:val="0"/>
            <w:vAlign w:val="center"/>
          </w:tcPr>
          <w:p w14:paraId="1D906DF8">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873" w:type="pct"/>
            <w:tcBorders>
              <w:top w:val="nil"/>
              <w:left w:val="nil"/>
              <w:bottom w:val="single" w:color="auto" w:sz="4" w:space="0"/>
              <w:right w:val="single" w:color="auto" w:sz="4" w:space="0"/>
            </w:tcBorders>
            <w:noWrap w:val="0"/>
            <w:vAlign w:val="center"/>
          </w:tcPr>
          <w:p w14:paraId="559B6491">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753" w:type="pct"/>
            <w:tcBorders>
              <w:top w:val="nil"/>
              <w:left w:val="nil"/>
              <w:bottom w:val="single" w:color="auto" w:sz="4" w:space="0"/>
              <w:right w:val="single" w:color="auto" w:sz="4" w:space="0"/>
            </w:tcBorders>
            <w:noWrap w:val="0"/>
            <w:vAlign w:val="center"/>
          </w:tcPr>
          <w:p w14:paraId="0576807F">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338" w:type="pct"/>
            <w:tcBorders>
              <w:top w:val="nil"/>
              <w:left w:val="nil"/>
              <w:bottom w:val="single" w:color="auto" w:sz="4" w:space="0"/>
              <w:right w:val="single" w:color="auto" w:sz="4" w:space="0"/>
            </w:tcBorders>
            <w:noWrap w:val="0"/>
            <w:vAlign w:val="center"/>
          </w:tcPr>
          <w:p w14:paraId="13736960">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647" w:type="pct"/>
            <w:tcBorders>
              <w:top w:val="nil"/>
              <w:left w:val="nil"/>
              <w:bottom w:val="single" w:color="auto" w:sz="4" w:space="0"/>
              <w:right w:val="single" w:color="auto" w:sz="4" w:space="0"/>
            </w:tcBorders>
            <w:noWrap w:val="0"/>
            <w:vAlign w:val="center"/>
          </w:tcPr>
          <w:p w14:paraId="4EE93578">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413" w:type="pct"/>
            <w:tcBorders>
              <w:top w:val="nil"/>
              <w:left w:val="nil"/>
              <w:bottom w:val="single" w:color="auto" w:sz="4" w:space="0"/>
              <w:right w:val="single" w:color="auto" w:sz="4" w:space="0"/>
            </w:tcBorders>
            <w:noWrap w:val="0"/>
            <w:vAlign w:val="center"/>
          </w:tcPr>
          <w:p w14:paraId="0800E02A">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kern w:val="0"/>
                <w:sz w:val="24"/>
                <w:szCs w:val="24"/>
              </w:rPr>
            </w:pPr>
          </w:p>
        </w:tc>
      </w:tr>
      <w:tr w14:paraId="4ED03302">
        <w:tblPrEx>
          <w:tblCellMar>
            <w:top w:w="0" w:type="dxa"/>
            <w:left w:w="108" w:type="dxa"/>
            <w:bottom w:w="0" w:type="dxa"/>
            <w:right w:w="108" w:type="dxa"/>
          </w:tblCellMar>
        </w:tblPrEx>
        <w:trPr>
          <w:trHeight w:val="702" w:hRule="atLeast"/>
        </w:trPr>
        <w:tc>
          <w:tcPr>
            <w:tcW w:w="266" w:type="pct"/>
            <w:tcBorders>
              <w:top w:val="nil"/>
              <w:left w:val="single" w:color="auto" w:sz="4" w:space="0"/>
              <w:bottom w:val="single" w:color="auto" w:sz="4" w:space="0"/>
              <w:right w:val="single" w:color="auto" w:sz="4" w:space="0"/>
            </w:tcBorders>
            <w:noWrap w:val="0"/>
            <w:vAlign w:val="center"/>
          </w:tcPr>
          <w:p w14:paraId="0E96B3F4">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2</w:t>
            </w:r>
          </w:p>
        </w:tc>
        <w:tc>
          <w:tcPr>
            <w:tcW w:w="620" w:type="pct"/>
            <w:tcBorders>
              <w:top w:val="nil"/>
              <w:left w:val="nil"/>
              <w:bottom w:val="single" w:color="auto" w:sz="4" w:space="0"/>
              <w:right w:val="single" w:color="auto" w:sz="4" w:space="0"/>
            </w:tcBorders>
            <w:noWrap w:val="0"/>
            <w:vAlign w:val="center"/>
          </w:tcPr>
          <w:p w14:paraId="32BEA69E">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1086" w:type="pct"/>
            <w:tcBorders>
              <w:top w:val="nil"/>
              <w:left w:val="nil"/>
              <w:bottom w:val="single" w:color="auto" w:sz="4" w:space="0"/>
              <w:right w:val="single" w:color="auto" w:sz="4" w:space="0"/>
            </w:tcBorders>
            <w:noWrap w:val="0"/>
            <w:vAlign w:val="center"/>
          </w:tcPr>
          <w:p w14:paraId="22D85607">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873" w:type="pct"/>
            <w:tcBorders>
              <w:top w:val="nil"/>
              <w:left w:val="nil"/>
              <w:bottom w:val="single" w:color="auto" w:sz="4" w:space="0"/>
              <w:right w:val="single" w:color="auto" w:sz="4" w:space="0"/>
            </w:tcBorders>
            <w:noWrap w:val="0"/>
            <w:vAlign w:val="center"/>
          </w:tcPr>
          <w:p w14:paraId="63DB8A7E">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753" w:type="pct"/>
            <w:tcBorders>
              <w:top w:val="nil"/>
              <w:left w:val="nil"/>
              <w:bottom w:val="single" w:color="auto" w:sz="4" w:space="0"/>
              <w:right w:val="single" w:color="auto" w:sz="4" w:space="0"/>
            </w:tcBorders>
            <w:noWrap w:val="0"/>
            <w:vAlign w:val="center"/>
          </w:tcPr>
          <w:p w14:paraId="611ADE3E">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338" w:type="pct"/>
            <w:tcBorders>
              <w:top w:val="nil"/>
              <w:left w:val="nil"/>
              <w:bottom w:val="single" w:color="auto" w:sz="4" w:space="0"/>
              <w:right w:val="single" w:color="auto" w:sz="4" w:space="0"/>
            </w:tcBorders>
            <w:noWrap w:val="0"/>
            <w:vAlign w:val="center"/>
          </w:tcPr>
          <w:p w14:paraId="696AF7DD">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647" w:type="pct"/>
            <w:tcBorders>
              <w:top w:val="nil"/>
              <w:left w:val="nil"/>
              <w:bottom w:val="single" w:color="auto" w:sz="4" w:space="0"/>
              <w:right w:val="single" w:color="auto" w:sz="4" w:space="0"/>
            </w:tcBorders>
            <w:noWrap w:val="0"/>
            <w:vAlign w:val="center"/>
          </w:tcPr>
          <w:p w14:paraId="6D99A328">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413" w:type="pct"/>
            <w:tcBorders>
              <w:top w:val="nil"/>
              <w:left w:val="nil"/>
              <w:bottom w:val="single" w:color="auto" w:sz="4" w:space="0"/>
              <w:right w:val="single" w:color="auto" w:sz="4" w:space="0"/>
            </w:tcBorders>
            <w:noWrap w:val="0"/>
            <w:vAlign w:val="center"/>
          </w:tcPr>
          <w:p w14:paraId="58C0D516">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kern w:val="0"/>
                <w:sz w:val="24"/>
                <w:szCs w:val="24"/>
              </w:rPr>
            </w:pPr>
          </w:p>
        </w:tc>
      </w:tr>
      <w:tr w14:paraId="510BE02D">
        <w:tblPrEx>
          <w:tblCellMar>
            <w:top w:w="0" w:type="dxa"/>
            <w:left w:w="108" w:type="dxa"/>
            <w:bottom w:w="0" w:type="dxa"/>
            <w:right w:w="108" w:type="dxa"/>
          </w:tblCellMar>
        </w:tblPrEx>
        <w:trPr>
          <w:trHeight w:val="744" w:hRule="atLeast"/>
        </w:trPr>
        <w:tc>
          <w:tcPr>
            <w:tcW w:w="266" w:type="pct"/>
            <w:tcBorders>
              <w:top w:val="single" w:color="auto" w:sz="4" w:space="0"/>
              <w:left w:val="single" w:color="auto" w:sz="4" w:space="0"/>
              <w:bottom w:val="single" w:color="auto" w:sz="4" w:space="0"/>
              <w:right w:val="single" w:color="auto" w:sz="4" w:space="0"/>
            </w:tcBorders>
            <w:noWrap w:val="0"/>
            <w:vAlign w:val="center"/>
          </w:tcPr>
          <w:p w14:paraId="1208FF16">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3</w:t>
            </w:r>
          </w:p>
        </w:tc>
        <w:tc>
          <w:tcPr>
            <w:tcW w:w="620" w:type="pct"/>
            <w:tcBorders>
              <w:top w:val="single" w:color="auto" w:sz="4" w:space="0"/>
              <w:left w:val="nil"/>
              <w:bottom w:val="single" w:color="auto" w:sz="4" w:space="0"/>
              <w:right w:val="single" w:color="auto" w:sz="4" w:space="0"/>
            </w:tcBorders>
            <w:noWrap w:val="0"/>
            <w:vAlign w:val="center"/>
          </w:tcPr>
          <w:p w14:paraId="03B88001">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lang w:val="en-US" w:eastAsia="zh-CN"/>
              </w:rPr>
            </w:pPr>
          </w:p>
        </w:tc>
        <w:tc>
          <w:tcPr>
            <w:tcW w:w="1086" w:type="pct"/>
            <w:tcBorders>
              <w:top w:val="single" w:color="auto" w:sz="4" w:space="0"/>
              <w:left w:val="nil"/>
              <w:bottom w:val="single" w:color="auto" w:sz="4" w:space="0"/>
              <w:right w:val="single" w:color="auto" w:sz="4" w:space="0"/>
            </w:tcBorders>
            <w:noWrap w:val="0"/>
            <w:vAlign w:val="center"/>
          </w:tcPr>
          <w:p w14:paraId="670813FD">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873" w:type="pct"/>
            <w:tcBorders>
              <w:top w:val="single" w:color="auto" w:sz="4" w:space="0"/>
              <w:left w:val="nil"/>
              <w:bottom w:val="single" w:color="auto" w:sz="4" w:space="0"/>
              <w:right w:val="single" w:color="auto" w:sz="4" w:space="0"/>
            </w:tcBorders>
            <w:noWrap w:val="0"/>
            <w:vAlign w:val="center"/>
          </w:tcPr>
          <w:p w14:paraId="1F771C93">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753" w:type="pct"/>
            <w:tcBorders>
              <w:top w:val="single" w:color="auto" w:sz="4" w:space="0"/>
              <w:left w:val="nil"/>
              <w:bottom w:val="single" w:color="auto" w:sz="4" w:space="0"/>
              <w:right w:val="single" w:color="auto" w:sz="4" w:space="0"/>
            </w:tcBorders>
            <w:noWrap w:val="0"/>
            <w:vAlign w:val="center"/>
          </w:tcPr>
          <w:p w14:paraId="31A17E0A">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338" w:type="pct"/>
            <w:tcBorders>
              <w:top w:val="single" w:color="auto" w:sz="4" w:space="0"/>
              <w:left w:val="nil"/>
              <w:bottom w:val="single" w:color="auto" w:sz="4" w:space="0"/>
              <w:right w:val="single" w:color="auto" w:sz="4" w:space="0"/>
            </w:tcBorders>
            <w:noWrap w:val="0"/>
            <w:vAlign w:val="center"/>
          </w:tcPr>
          <w:p w14:paraId="181D8309">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647" w:type="pct"/>
            <w:tcBorders>
              <w:top w:val="single" w:color="auto" w:sz="4" w:space="0"/>
              <w:left w:val="nil"/>
              <w:bottom w:val="single" w:color="auto" w:sz="4" w:space="0"/>
              <w:right w:val="single" w:color="auto" w:sz="4" w:space="0"/>
            </w:tcBorders>
            <w:noWrap w:val="0"/>
            <w:vAlign w:val="center"/>
          </w:tcPr>
          <w:p w14:paraId="6E303571">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413" w:type="pct"/>
            <w:tcBorders>
              <w:top w:val="single" w:color="auto" w:sz="4" w:space="0"/>
              <w:left w:val="nil"/>
              <w:bottom w:val="single" w:color="auto" w:sz="4" w:space="0"/>
              <w:right w:val="single" w:color="auto" w:sz="4" w:space="0"/>
            </w:tcBorders>
            <w:noWrap w:val="0"/>
            <w:vAlign w:val="center"/>
          </w:tcPr>
          <w:p w14:paraId="349FA6A9">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r>
      <w:tr w14:paraId="35272759">
        <w:tblPrEx>
          <w:tblCellMar>
            <w:top w:w="0" w:type="dxa"/>
            <w:left w:w="108" w:type="dxa"/>
            <w:bottom w:w="0" w:type="dxa"/>
            <w:right w:w="108" w:type="dxa"/>
          </w:tblCellMar>
        </w:tblPrEx>
        <w:trPr>
          <w:trHeight w:val="521" w:hRule="atLeast"/>
        </w:trPr>
        <w:tc>
          <w:tcPr>
            <w:tcW w:w="266" w:type="pct"/>
            <w:tcBorders>
              <w:top w:val="single" w:color="auto" w:sz="4" w:space="0"/>
              <w:left w:val="single" w:color="auto" w:sz="4" w:space="0"/>
              <w:bottom w:val="single" w:color="auto" w:sz="4" w:space="0"/>
              <w:right w:val="single" w:color="auto" w:sz="4" w:space="0"/>
            </w:tcBorders>
            <w:noWrap w:val="0"/>
            <w:vAlign w:val="center"/>
          </w:tcPr>
          <w:p w14:paraId="30585B7F">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w:t>
            </w:r>
          </w:p>
        </w:tc>
        <w:tc>
          <w:tcPr>
            <w:tcW w:w="620" w:type="pct"/>
            <w:tcBorders>
              <w:top w:val="single" w:color="auto" w:sz="4" w:space="0"/>
              <w:left w:val="nil"/>
              <w:bottom w:val="single" w:color="auto" w:sz="4" w:space="0"/>
              <w:right w:val="single" w:color="auto" w:sz="4" w:space="0"/>
            </w:tcBorders>
            <w:noWrap w:val="0"/>
            <w:vAlign w:val="center"/>
          </w:tcPr>
          <w:p w14:paraId="13380BA8">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1086" w:type="pct"/>
            <w:tcBorders>
              <w:top w:val="single" w:color="auto" w:sz="4" w:space="0"/>
              <w:left w:val="nil"/>
              <w:bottom w:val="single" w:color="auto" w:sz="4" w:space="0"/>
              <w:right w:val="single" w:color="auto" w:sz="4" w:space="0"/>
            </w:tcBorders>
            <w:noWrap w:val="0"/>
            <w:vAlign w:val="center"/>
          </w:tcPr>
          <w:p w14:paraId="6A3EA39B">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873" w:type="pct"/>
            <w:tcBorders>
              <w:top w:val="single" w:color="auto" w:sz="4" w:space="0"/>
              <w:left w:val="nil"/>
              <w:bottom w:val="single" w:color="auto" w:sz="4" w:space="0"/>
              <w:right w:val="single" w:color="auto" w:sz="4" w:space="0"/>
            </w:tcBorders>
            <w:noWrap w:val="0"/>
            <w:vAlign w:val="center"/>
          </w:tcPr>
          <w:p w14:paraId="0E98534E">
            <w:pPr>
              <w:keepNext w:val="0"/>
              <w:keepLines w:val="0"/>
              <w:pageBreakBefore w:val="0"/>
              <w:widowControl/>
              <w:suppressLineNumbers w:val="0"/>
              <w:kinsoku/>
              <w:wordWrap/>
              <w:overflowPunct/>
              <w:topLinePunct w:val="0"/>
              <w:bidi w:val="0"/>
              <w:spacing w:line="480" w:lineRule="auto"/>
              <w:ind w:left="0" w:leftChars="0"/>
              <w:jc w:val="left"/>
              <w:textAlignment w:val="center"/>
              <w:rPr>
                <w:rFonts w:hint="eastAsia" w:ascii="仿宋" w:hAnsi="仿宋" w:eastAsia="仿宋" w:cs="仿宋"/>
                <w:b w:val="0"/>
                <w:bCs w:val="0"/>
                <w:color w:val="auto"/>
                <w:sz w:val="24"/>
                <w:szCs w:val="24"/>
              </w:rPr>
            </w:pPr>
          </w:p>
        </w:tc>
        <w:tc>
          <w:tcPr>
            <w:tcW w:w="753" w:type="pct"/>
            <w:tcBorders>
              <w:top w:val="single" w:color="auto" w:sz="4" w:space="0"/>
              <w:left w:val="nil"/>
              <w:bottom w:val="single" w:color="auto" w:sz="4" w:space="0"/>
              <w:right w:val="single" w:color="auto" w:sz="4" w:space="0"/>
            </w:tcBorders>
            <w:noWrap w:val="0"/>
            <w:vAlign w:val="center"/>
          </w:tcPr>
          <w:p w14:paraId="2AC02EA9">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338" w:type="pct"/>
            <w:tcBorders>
              <w:top w:val="single" w:color="auto" w:sz="4" w:space="0"/>
              <w:left w:val="nil"/>
              <w:bottom w:val="single" w:color="auto" w:sz="4" w:space="0"/>
              <w:right w:val="single" w:color="auto" w:sz="4" w:space="0"/>
            </w:tcBorders>
            <w:noWrap w:val="0"/>
            <w:vAlign w:val="center"/>
          </w:tcPr>
          <w:p w14:paraId="4C6EC9F7">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647" w:type="pct"/>
            <w:tcBorders>
              <w:top w:val="single" w:color="auto" w:sz="4" w:space="0"/>
              <w:left w:val="nil"/>
              <w:bottom w:val="single" w:color="auto" w:sz="4" w:space="0"/>
              <w:right w:val="single" w:color="auto" w:sz="4" w:space="0"/>
            </w:tcBorders>
            <w:noWrap w:val="0"/>
            <w:vAlign w:val="center"/>
          </w:tcPr>
          <w:p w14:paraId="30659D9D">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c>
          <w:tcPr>
            <w:tcW w:w="413" w:type="pct"/>
            <w:tcBorders>
              <w:top w:val="single" w:color="auto" w:sz="4" w:space="0"/>
              <w:left w:val="nil"/>
              <w:bottom w:val="single" w:color="auto" w:sz="4" w:space="0"/>
              <w:right w:val="single" w:color="auto" w:sz="4" w:space="0"/>
            </w:tcBorders>
            <w:noWrap w:val="0"/>
            <w:vAlign w:val="center"/>
          </w:tcPr>
          <w:p w14:paraId="11435B41">
            <w:pPr>
              <w:keepNext w:val="0"/>
              <w:keepLines w:val="0"/>
              <w:pageBreakBefore w:val="0"/>
              <w:widowControl/>
              <w:suppressLineNumbers w:val="0"/>
              <w:kinsoku/>
              <w:wordWrap/>
              <w:overflowPunct/>
              <w:topLinePunct w:val="0"/>
              <w:bidi w:val="0"/>
              <w:spacing w:line="480" w:lineRule="auto"/>
              <w:ind w:left="0" w:leftChars="0"/>
              <w:jc w:val="center"/>
              <w:textAlignment w:val="center"/>
              <w:rPr>
                <w:rFonts w:hint="eastAsia" w:ascii="仿宋" w:hAnsi="仿宋" w:eastAsia="仿宋" w:cs="仿宋"/>
                <w:b w:val="0"/>
                <w:bCs w:val="0"/>
                <w:color w:val="auto"/>
                <w:sz w:val="24"/>
                <w:szCs w:val="24"/>
              </w:rPr>
            </w:pPr>
          </w:p>
        </w:tc>
      </w:tr>
    </w:tbl>
    <w:p w14:paraId="14C89D77">
      <w:pPr>
        <w:keepNext w:val="0"/>
        <w:keepLines w:val="0"/>
        <w:pageBreakBefore w:val="0"/>
        <w:widowControl/>
        <w:kinsoku/>
        <w:wordWrap/>
        <w:overflowPunct/>
        <w:topLinePunct w:val="0"/>
        <w:bidi w:val="0"/>
        <w:spacing w:line="480" w:lineRule="auto"/>
        <w:ind w:left="0" w:leftChars="0" w:firstLine="360" w:firstLineChars="150"/>
        <w:jc w:val="left"/>
        <w:textAlignment w:val="center"/>
        <w:rPr>
          <w:rFonts w:hint="eastAsia" w:ascii="仿宋" w:hAnsi="仿宋" w:eastAsia="仿宋" w:cs="仿宋"/>
          <w:color w:val="auto"/>
          <w:sz w:val="24"/>
          <w:szCs w:val="24"/>
        </w:rPr>
      </w:pPr>
    </w:p>
    <w:p w14:paraId="065C459E">
      <w:pPr>
        <w:pStyle w:val="21"/>
        <w:keepNext w:val="0"/>
        <w:keepLines w:val="0"/>
        <w:pageBreakBefore w:val="0"/>
        <w:widowControl/>
        <w:numPr>
          <w:ilvl w:val="0"/>
          <w:numId w:val="3"/>
        </w:numPr>
        <w:suppressLineNumbers w:val="0"/>
        <w:kinsoku/>
        <w:wordWrap/>
        <w:overflowPunct/>
        <w:topLinePunct w:val="0"/>
        <w:autoSpaceDE/>
        <w:autoSpaceDN/>
        <w:bidi w:val="0"/>
        <w:adjustRightInd w:val="0"/>
        <w:snapToGrid w:val="0"/>
        <w:spacing w:after="0" w:line="480" w:lineRule="auto"/>
        <w:ind w:left="0" w:leftChars="0" w:firstLine="410" w:firstLineChars="17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合同为固定单价，合同总价以甲方实际采购并书面验收合格的数量结合上表标明单价进行结算支付。包含增值税。合同价格已包括货物供给、货物包装、运输费、安装费、调试、装卸费和保险等的全部费用及相关税费。乙方应保证甲方除支付合同约定货款之外无需再行支付其他任何费用和款项。</w:t>
      </w:r>
    </w:p>
    <w:p w14:paraId="0F208070">
      <w:pPr>
        <w:pStyle w:val="21"/>
        <w:keepNext w:val="0"/>
        <w:keepLines w:val="0"/>
        <w:pageBreakBefore w:val="0"/>
        <w:widowControl/>
        <w:numPr>
          <w:ilvl w:val="0"/>
          <w:numId w:val="3"/>
        </w:numPr>
        <w:suppressLineNumbers w:val="0"/>
        <w:kinsoku/>
        <w:wordWrap/>
        <w:overflowPunct/>
        <w:topLinePunct w:val="0"/>
        <w:autoSpaceDE/>
        <w:autoSpaceDN/>
        <w:bidi w:val="0"/>
        <w:adjustRightInd w:val="0"/>
        <w:snapToGrid w:val="0"/>
        <w:spacing w:after="0" w:line="480" w:lineRule="auto"/>
        <w:ind w:left="0" w:leftChars="0" w:firstLine="410" w:firstLineChars="17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合同履行期间，如</w:t>
      </w:r>
      <w:r>
        <w:rPr>
          <w:rFonts w:hint="eastAsia" w:ascii="仿宋" w:hAnsi="仿宋" w:eastAsia="仿宋" w:cs="仿宋"/>
          <w:color w:val="auto"/>
          <w:sz w:val="24"/>
          <w:szCs w:val="24"/>
          <w:lang w:eastAsia="zh-CN"/>
        </w:rPr>
        <w:t>所供产品参加国家集中带量采购</w:t>
      </w:r>
      <w:r>
        <w:rPr>
          <w:rFonts w:hint="eastAsia" w:ascii="仿宋" w:hAnsi="仿宋" w:eastAsia="仿宋" w:cs="仿宋"/>
          <w:color w:val="auto"/>
          <w:sz w:val="24"/>
          <w:szCs w:val="24"/>
          <w:u w:val="none"/>
          <w:lang w:val="en-US" w:eastAsia="zh-CN"/>
        </w:rPr>
        <w:t>、各类省际联盟带量采购，</w:t>
      </w:r>
      <w:r>
        <w:rPr>
          <w:rFonts w:hint="eastAsia" w:ascii="仿宋" w:hAnsi="仿宋" w:eastAsia="仿宋" w:cs="仿宋"/>
          <w:color w:val="auto"/>
          <w:sz w:val="24"/>
          <w:szCs w:val="24"/>
          <w:u w:val="none"/>
        </w:rPr>
        <w:t>按</w:t>
      </w:r>
      <w:r>
        <w:rPr>
          <w:rFonts w:hint="eastAsia" w:ascii="仿宋" w:hAnsi="仿宋" w:eastAsia="仿宋" w:cs="仿宋"/>
          <w:color w:val="auto"/>
          <w:sz w:val="24"/>
          <w:szCs w:val="24"/>
          <w:u w:val="none"/>
          <w:lang w:val="en-US" w:eastAsia="zh-CN"/>
        </w:rPr>
        <w:t>谈判的</w:t>
      </w:r>
      <w:r>
        <w:rPr>
          <w:rFonts w:hint="eastAsia" w:ascii="仿宋" w:hAnsi="仿宋" w:eastAsia="仿宋" w:cs="仿宋"/>
          <w:color w:val="auto"/>
          <w:sz w:val="24"/>
          <w:szCs w:val="24"/>
          <w:u w:val="none"/>
        </w:rPr>
        <w:t>价格结果进行网上采购；</w:t>
      </w:r>
      <w:r>
        <w:rPr>
          <w:rFonts w:hint="eastAsia" w:ascii="仿宋" w:hAnsi="仿宋" w:eastAsia="仿宋" w:cs="仿宋"/>
          <w:color w:val="auto"/>
          <w:sz w:val="24"/>
          <w:szCs w:val="24"/>
          <w:u w:val="none"/>
          <w:lang w:eastAsia="zh-CN"/>
        </w:rPr>
        <w:t>如在新疆维吾尔自治区药品和医用耗材招采管理系统挂网或进入“中部联盟”中选目录等符合上级主管部门的政策性要求时，按照相关政策执行。以上项目执行后如</w:t>
      </w:r>
      <w:r>
        <w:rPr>
          <w:rFonts w:hint="eastAsia" w:ascii="仿宋" w:hAnsi="仿宋" w:eastAsia="仿宋" w:cs="仿宋"/>
          <w:color w:val="auto"/>
          <w:sz w:val="24"/>
          <w:szCs w:val="24"/>
        </w:rPr>
        <w:t>遇政策性调价</w:t>
      </w:r>
      <w:r>
        <w:rPr>
          <w:rFonts w:hint="eastAsia" w:ascii="仿宋" w:hAnsi="仿宋" w:eastAsia="仿宋" w:cs="仿宋"/>
          <w:color w:val="auto"/>
          <w:sz w:val="24"/>
          <w:szCs w:val="24"/>
          <w:lang w:eastAsia="zh-CN"/>
        </w:rPr>
        <w:t>等</w:t>
      </w:r>
      <w:r>
        <w:rPr>
          <w:rFonts w:hint="eastAsia" w:ascii="仿宋" w:hAnsi="仿宋" w:eastAsia="仿宋" w:cs="仿宋"/>
          <w:color w:val="auto"/>
          <w:sz w:val="24"/>
          <w:szCs w:val="24"/>
        </w:rPr>
        <w:t>，按更新后的价格执行，尚未履行交付的</w:t>
      </w:r>
      <w:r>
        <w:rPr>
          <w:rFonts w:hint="eastAsia" w:ascii="仿宋" w:hAnsi="仿宋" w:eastAsia="仿宋" w:cs="仿宋"/>
          <w:color w:val="auto"/>
          <w:sz w:val="24"/>
          <w:szCs w:val="24"/>
          <w:lang w:eastAsia="zh-CN"/>
        </w:rPr>
        <w:t>耗材</w:t>
      </w:r>
      <w:r>
        <w:rPr>
          <w:rFonts w:hint="eastAsia" w:ascii="仿宋" w:hAnsi="仿宋" w:eastAsia="仿宋" w:cs="仿宋"/>
          <w:color w:val="auto"/>
          <w:sz w:val="24"/>
          <w:szCs w:val="24"/>
          <w:lang w:val="en-US" w:eastAsia="zh-CN"/>
        </w:rPr>
        <w:t>参照更新后的价格执行</w:t>
      </w:r>
      <w:r>
        <w:rPr>
          <w:rFonts w:hint="eastAsia" w:ascii="仿宋" w:hAnsi="仿宋" w:eastAsia="仿宋" w:cs="仿宋"/>
          <w:color w:val="auto"/>
          <w:sz w:val="24"/>
          <w:szCs w:val="24"/>
        </w:rPr>
        <w:t>。</w:t>
      </w:r>
    </w:p>
    <w:p w14:paraId="1BECD11D">
      <w:pPr>
        <w:pStyle w:val="21"/>
        <w:keepNext w:val="0"/>
        <w:keepLines w:val="0"/>
        <w:pageBreakBefore w:val="0"/>
        <w:widowControl/>
        <w:numPr>
          <w:ilvl w:val="0"/>
          <w:numId w:val="3"/>
        </w:numPr>
        <w:suppressLineNumbers w:val="0"/>
        <w:kinsoku/>
        <w:wordWrap/>
        <w:overflowPunct/>
        <w:topLinePunct w:val="0"/>
        <w:autoSpaceDE/>
        <w:autoSpaceDN/>
        <w:bidi w:val="0"/>
        <w:adjustRightInd w:val="0"/>
        <w:snapToGrid w:val="0"/>
        <w:spacing w:after="0" w:line="480" w:lineRule="auto"/>
        <w:ind w:left="0" w:leftChars="0" w:firstLine="410" w:firstLineChars="17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价格清单表是基于乙方在完全理解本项目材料所需为前提，同时甲方对清单中的名称、规格、材质及数量等没有校对的义务，乙方在合同有效期内不得对清单的综合费用提出任何费用的增加。实际供货数量以双方签字确认的数量为准。</w:t>
      </w:r>
      <w:bookmarkStart w:id="24" w:name="_Hlk130034108"/>
    </w:p>
    <w:p w14:paraId="57D83CBD">
      <w:pPr>
        <w:pStyle w:val="21"/>
        <w:keepNext w:val="0"/>
        <w:keepLines w:val="0"/>
        <w:pageBreakBefore w:val="0"/>
        <w:widowControl/>
        <w:numPr>
          <w:ilvl w:val="0"/>
          <w:numId w:val="3"/>
        </w:numPr>
        <w:suppressLineNumbers w:val="0"/>
        <w:kinsoku/>
        <w:wordWrap/>
        <w:overflowPunct/>
        <w:topLinePunct w:val="0"/>
        <w:autoSpaceDE/>
        <w:autoSpaceDN/>
        <w:bidi w:val="0"/>
        <w:adjustRightInd w:val="0"/>
        <w:snapToGrid w:val="0"/>
        <w:spacing w:after="0" w:line="480" w:lineRule="auto"/>
        <w:ind w:left="0" w:leftChars="0" w:firstLine="410" w:firstLineChars="17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w:t>
      </w:r>
    </w:p>
    <w:p w14:paraId="2CA7EE95">
      <w:pPr>
        <w:pStyle w:val="21"/>
        <w:keepNext w:val="0"/>
        <w:keepLines w:val="0"/>
        <w:pageBreakBefore w:val="0"/>
        <w:widowControl/>
        <w:numPr>
          <w:ilvl w:val="0"/>
          <w:numId w:val="3"/>
        </w:numPr>
        <w:suppressLineNumbers w:val="0"/>
        <w:kinsoku/>
        <w:wordWrap/>
        <w:overflowPunct/>
        <w:topLinePunct w:val="0"/>
        <w:autoSpaceDE/>
        <w:autoSpaceDN/>
        <w:bidi w:val="0"/>
        <w:adjustRightInd w:val="0"/>
        <w:snapToGrid w:val="0"/>
        <w:spacing w:after="0" w:line="480" w:lineRule="auto"/>
        <w:ind w:left="0" w:leftChars="0" w:firstLine="410" w:firstLineChars="171"/>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乙方应保证，甲方在中华人民共和国使用该货物的任何一部分时，免受第三方提出的侵犯其专利权、商标权、工业设计权或其他知识产权的起诉。</w:t>
      </w:r>
      <w:bookmarkEnd w:id="24"/>
    </w:p>
    <w:p w14:paraId="2F53D690">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二、</w:t>
      </w:r>
      <w:r>
        <w:rPr>
          <w:rFonts w:hint="eastAsia" w:ascii="仿宋" w:hAnsi="仿宋" w:eastAsia="仿宋" w:cs="仿宋"/>
          <w:b/>
          <w:color w:val="auto"/>
          <w:sz w:val="24"/>
          <w:szCs w:val="24"/>
        </w:rPr>
        <w:t>质量保证</w:t>
      </w:r>
    </w:p>
    <w:p w14:paraId="4AC0DC3F">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产品质量标准（含环保标准）：执行最新国家及行业标准、国家和地方行政主管部门的有关规定。没有国家和行业标准以及国家和地方行政主管部门的有关规定，按照甲方验收标准或者符合合同目的的特定标准履行。</w:t>
      </w:r>
    </w:p>
    <w:p w14:paraId="18732275">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2、乙方保证本合同货物是全新的、未使用过的、标识清楚，并符合国家技术规格和国家质量标准的出厂原装合格产品，产品型号、数量、规格及技术、质量标准、售后服务必须满足甲方采购要求。</w:t>
      </w:r>
    </w:p>
    <w:p w14:paraId="33325FD9">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3、乙方保证向甲方提供的货品必须资质齐全、信誉好、质量高、性价比合理、售后有保障的产品。因产品资质或质量问题引发的医疗事故或纠纷，均由乙方承担全部损失。</w:t>
      </w:r>
    </w:p>
    <w:p w14:paraId="05164484">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4、乙方提供的货物进入甲方后，应接受国家、省、市有关行业主管部门的抽查或检查。由此发生的资质、标识或产品质量问题的罚没事项均由乙方自行承担。</w:t>
      </w:r>
    </w:p>
    <w:p w14:paraId="1B70F0E5">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5、货物在交货过程中，发生意外事故和故障损失，如撞、刮、裂、损等均由乙方承担责任。</w:t>
      </w:r>
    </w:p>
    <w:p w14:paraId="47790AAC">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6、乙方提供的产品，如发生过期、失效等问题时，由乙方全部负责，且自收到甲方书面通知后7日内无条件予以补充或调换。</w:t>
      </w:r>
    </w:p>
    <w:p w14:paraId="58BE77A2">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
          <w:color w:val="auto"/>
          <w:sz w:val="24"/>
          <w:szCs w:val="24"/>
        </w:rPr>
      </w:pPr>
      <w:r>
        <w:rPr>
          <w:rFonts w:hint="eastAsia" w:ascii="仿宋" w:hAnsi="仿宋" w:eastAsia="仿宋" w:cs="仿宋"/>
          <w:b/>
          <w:color w:val="auto"/>
          <w:sz w:val="24"/>
          <w:szCs w:val="24"/>
        </w:rPr>
        <w:t>三、质量保证期</w:t>
      </w:r>
    </w:p>
    <w:p w14:paraId="0D76C43C">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1、质保期自甲方书面验收合格后，乙方开具发票之日起计算。</w:t>
      </w:r>
    </w:p>
    <w:p w14:paraId="4DA93988">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2、乙方提供产品的具体质保期以相关产品生产厂家提供的质保期为准。</w:t>
      </w:r>
    </w:p>
    <w:p w14:paraId="67EC11A3">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3、在质量保证期内，因产品质量出现问题，乙方负责免费更换，并承担与更换有关的运费、安装、调试、保险等一切费用。</w:t>
      </w:r>
      <w:bookmarkStart w:id="25" w:name="_Hlk130034147"/>
    </w:p>
    <w:p w14:paraId="04C61563">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4、一次性使用</w:t>
      </w:r>
      <w:r>
        <w:rPr>
          <w:rFonts w:hint="eastAsia" w:ascii="仿宋" w:hAnsi="仿宋" w:eastAsia="仿宋" w:cs="仿宋"/>
          <w:color w:val="auto"/>
          <w:sz w:val="24"/>
          <w:szCs w:val="24"/>
          <w:lang w:eastAsia="zh-CN"/>
        </w:rPr>
        <w:t>的产品</w:t>
      </w:r>
      <w:r>
        <w:rPr>
          <w:rFonts w:hint="eastAsia" w:ascii="仿宋" w:hAnsi="仿宋" w:eastAsia="仿宋" w:cs="仿宋"/>
          <w:color w:val="auto"/>
          <w:sz w:val="24"/>
          <w:szCs w:val="24"/>
        </w:rPr>
        <w:t>，如果有质量问题免费更换。</w:t>
      </w:r>
    </w:p>
    <w:p w14:paraId="5E79FD79">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5、乙方会对所供产品适当备货，确保甲方需求。乙方按甲方需求将货物及时配送至指定地点，并配合甲方完成验收工作。乙方在整个供货期间会积极配合甲方的供货需求进行相应配送货的调整。</w:t>
      </w:r>
      <w:bookmarkEnd w:id="25"/>
    </w:p>
    <w:p w14:paraId="3274B97E">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
          <w:color w:val="auto"/>
          <w:sz w:val="24"/>
          <w:szCs w:val="24"/>
        </w:rPr>
      </w:pPr>
      <w:r>
        <w:rPr>
          <w:rFonts w:hint="eastAsia" w:ascii="仿宋" w:hAnsi="仿宋" w:eastAsia="仿宋" w:cs="仿宋"/>
          <w:b/>
          <w:color w:val="auto"/>
          <w:sz w:val="24"/>
          <w:szCs w:val="24"/>
        </w:rPr>
        <w:t>四、交货时间、地点</w:t>
      </w:r>
    </w:p>
    <w:p w14:paraId="28F14F94">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乙方接到甲方提交的采购计划后，须在甲方指定的时间内按计划送货到甲方指定地点；做到货、票、产品合格证及该批次检验报告同行，并有责任配合甲方管理人员做好入库验收登记工作，核对实物与计划相符、实物与票据相符，有问题的及时调整或换货。</w:t>
      </w:r>
    </w:p>
    <w:p w14:paraId="262D206A">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2、在应急情况下（自然灾害等不可抗力因素情况除外），产品应于1小时内送到甲方指定地点，正常情况下产品24小时内送到甲方指定地点：</w:t>
      </w:r>
      <w:r>
        <w:rPr>
          <w:rFonts w:hint="eastAsia" w:ascii="仿宋" w:hAnsi="仿宋" w:eastAsia="仿宋" w:cs="仿宋"/>
          <w:color w:val="auto"/>
          <w:sz w:val="24"/>
          <w:szCs w:val="24"/>
          <w:u w:val="single"/>
        </w:rPr>
        <w:t>新疆医科大学第二附属医院</w:t>
      </w:r>
      <w:r>
        <w:rPr>
          <w:rFonts w:hint="eastAsia" w:ascii="仿宋" w:hAnsi="仿宋" w:eastAsia="仿宋" w:cs="仿宋"/>
          <w:color w:val="auto"/>
          <w:sz w:val="24"/>
          <w:szCs w:val="24"/>
        </w:rPr>
        <w:t>,节假日保证按时配送。如甲方有特殊配送需求的，乙方必须设法满足，如不能按时到货，造成甲方损失的，乙方将按第九条向甲方承担违约责任。</w:t>
      </w:r>
    </w:p>
    <w:p w14:paraId="3A7677BF">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u w:val="single"/>
        </w:rPr>
      </w:pPr>
      <w:r>
        <w:rPr>
          <w:rFonts w:hint="eastAsia" w:ascii="仿宋" w:hAnsi="仿宋" w:eastAsia="仿宋" w:cs="仿宋"/>
          <w:color w:val="auto"/>
          <w:sz w:val="24"/>
          <w:szCs w:val="24"/>
        </w:rPr>
        <w:t>3、到货地点和接货单位（或接货人）</w:t>
      </w:r>
      <w:r>
        <w:rPr>
          <w:rFonts w:hint="eastAsia" w:ascii="仿宋" w:hAnsi="仿宋" w:eastAsia="仿宋" w:cs="仿宋"/>
          <w:color w:val="auto"/>
          <w:sz w:val="24"/>
          <w:szCs w:val="24"/>
          <w:u w:val="single"/>
        </w:rPr>
        <w:t xml:space="preserve"> 新疆医科大学第二附属医院</w:t>
      </w:r>
      <w:r>
        <w:rPr>
          <w:rFonts w:hint="eastAsia" w:ascii="仿宋" w:hAnsi="仿宋" w:eastAsia="仿宋" w:cs="仿宋"/>
          <w:color w:val="auto"/>
          <w:sz w:val="24"/>
          <w:szCs w:val="24"/>
        </w:rPr>
        <w:t>。甲方指定的接货人为：姓名：</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，电话号码：</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；双方明确，除该指定接货人外，其他任何人员（包括甲方的其他任何工作人员）签署的接货单，甲方均不予认可。</w:t>
      </w:r>
    </w:p>
    <w:p w14:paraId="242E07EA">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在交付时，乙方必须向甲方提供质量合格证书、技术资料（操作、维修、保养）、保修凭证等一切相关资料及配件，否则，甲方有权不予付款且不承担违约责任。乙方向甲方承诺其具备履行本合同项下义务所需要的各类资质，如果因为应当具备资质而不具有资质，发生事故造成人身伤亡、财产毁损并牵连甲方承担连带责任的，乙方无条件地承诺甲方因上述连带责任支付的赔偿款项全部由乙方承担。</w:t>
      </w:r>
    </w:p>
    <w:p w14:paraId="0C7D08D9">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
          <w:color w:val="auto"/>
          <w:sz w:val="24"/>
          <w:szCs w:val="24"/>
        </w:rPr>
      </w:pPr>
      <w:r>
        <w:rPr>
          <w:rFonts w:hint="eastAsia" w:ascii="仿宋" w:hAnsi="仿宋" w:eastAsia="仿宋" w:cs="仿宋"/>
          <w:b/>
          <w:color w:val="auto"/>
          <w:sz w:val="24"/>
          <w:szCs w:val="24"/>
        </w:rPr>
        <w:t>五、产品包装及运输</w:t>
      </w:r>
    </w:p>
    <w:p w14:paraId="0C40EA70">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Cs/>
          <w:color w:val="auto"/>
          <w:sz w:val="24"/>
          <w:szCs w:val="24"/>
        </w:rPr>
      </w:pPr>
      <w:r>
        <w:rPr>
          <w:rFonts w:hint="eastAsia" w:ascii="仿宋" w:hAnsi="仿宋" w:eastAsia="仿宋" w:cs="仿宋"/>
          <w:bCs/>
          <w:color w:val="auto"/>
          <w:sz w:val="24"/>
          <w:szCs w:val="24"/>
        </w:rPr>
        <w:t>１、包装必须与运输方式相适应，包装方式的确定和包装费用均由乙方负责;由于不适当的包装而造成的货物有任何的损坏由乙方负责。</w:t>
      </w:r>
    </w:p>
    <w:p w14:paraId="3ECCD183">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Cs/>
          <w:color w:val="auto"/>
          <w:sz w:val="24"/>
          <w:szCs w:val="24"/>
        </w:rPr>
      </w:pPr>
      <w:r>
        <w:rPr>
          <w:rFonts w:hint="eastAsia" w:ascii="仿宋" w:hAnsi="仿宋" w:eastAsia="仿宋" w:cs="仿宋"/>
          <w:bCs/>
          <w:color w:val="auto"/>
          <w:sz w:val="24"/>
          <w:szCs w:val="24"/>
        </w:rPr>
        <w:t>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w:t>
      </w:r>
    </w:p>
    <w:p w14:paraId="141CA4B0">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Cs/>
          <w:color w:val="auto"/>
          <w:sz w:val="24"/>
          <w:szCs w:val="24"/>
        </w:rPr>
      </w:pPr>
      <w:r>
        <w:rPr>
          <w:rFonts w:hint="eastAsia" w:ascii="仿宋" w:hAnsi="仿宋" w:eastAsia="仿宋" w:cs="仿宋"/>
          <w:bCs/>
          <w:color w:val="auto"/>
          <w:sz w:val="24"/>
          <w:szCs w:val="24"/>
        </w:rPr>
        <w:t>3、包装费、运输费、装卸费和保险费均已包含在合同单价内。</w:t>
      </w:r>
    </w:p>
    <w:p w14:paraId="34F77705">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lang w:val="en-US" w:eastAsia="zh-CN"/>
        </w:rPr>
      </w:pPr>
      <w:r>
        <w:rPr>
          <w:rFonts w:hint="eastAsia" w:ascii="仿宋" w:hAnsi="仿宋" w:eastAsia="仿宋" w:cs="仿宋"/>
          <w:bCs/>
          <w:color w:val="auto"/>
          <w:sz w:val="24"/>
          <w:szCs w:val="24"/>
        </w:rPr>
        <w:t>4、</w:t>
      </w:r>
      <w:r>
        <w:rPr>
          <w:rFonts w:hint="eastAsia" w:ascii="仿宋" w:hAnsi="仿宋" w:eastAsia="仿宋" w:cs="仿宋"/>
          <w:color w:val="auto"/>
          <w:sz w:val="24"/>
          <w:szCs w:val="24"/>
          <w:lang w:val="en-US" w:eastAsia="zh-CN"/>
        </w:rPr>
        <w:t>对于货物运输过程中出现的一切安全责任、人身损害等均由乙方自行负责。</w:t>
      </w:r>
    </w:p>
    <w:p w14:paraId="6E1BE0E0">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Cs/>
          <w:color w:val="auto"/>
          <w:sz w:val="24"/>
          <w:szCs w:val="24"/>
        </w:rPr>
      </w:pPr>
      <w:r>
        <w:rPr>
          <w:rFonts w:hint="eastAsia" w:ascii="仿宋" w:hAnsi="仿宋" w:eastAsia="仿宋" w:cs="仿宋"/>
          <w:b/>
          <w:color w:val="auto"/>
          <w:sz w:val="24"/>
          <w:szCs w:val="24"/>
        </w:rPr>
        <w:t>六、验收</w:t>
      </w:r>
    </w:p>
    <w:p w14:paraId="20669A9A">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w:t>
      </w:r>
    </w:p>
    <w:p w14:paraId="429EE337">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2、数量: 乙方交货时，甲乙双方应各指定一名工作人员对货物数量进行统计，交货完成后，就甲方验收合格的货物数量，由双方各自指定的工作人员在随货通行单上签字确认，随货通行单一式陆份，作为今后双方结算的依据之一。</w:t>
      </w:r>
    </w:p>
    <w:p w14:paraId="57879987">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3、如果在合同规定的质量保证期内，发现货物的质量或规格与合同规定不符，或货物有缺陷，包括内在隐蔽瑕疵或使用不合适的原材料或不科学的设计等，甲方有权要去乙方无条件予以更换，亦有权根据质量保证条款向乙方主张质保责任，并在乙方构成违约或侵权时主张索赔</w:t>
      </w:r>
      <w:r>
        <w:rPr>
          <w:rFonts w:hint="eastAsia" w:ascii="仿宋" w:hAnsi="仿宋" w:eastAsia="仿宋" w:cs="仿宋"/>
          <w:color w:val="auto"/>
          <w:sz w:val="24"/>
          <w:szCs w:val="24"/>
          <w:lang w:eastAsia="zh-CN"/>
        </w:rPr>
        <w:t>或追偿</w:t>
      </w:r>
      <w:r>
        <w:rPr>
          <w:rFonts w:hint="eastAsia" w:ascii="仿宋" w:hAnsi="仿宋" w:eastAsia="仿宋" w:cs="仿宋"/>
          <w:color w:val="auto"/>
          <w:sz w:val="24"/>
          <w:szCs w:val="24"/>
        </w:rPr>
        <w:t>。</w:t>
      </w:r>
    </w:p>
    <w:p w14:paraId="5FF7ABD2">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14:paraId="009E5602">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5、乙方提供货物的有效期至少在一年以上，如发现有效期少于</w:t>
      </w: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个月的，甲方库房管理员有权拒绝验货。如乙方供货的的库房存货到达有效期期限，乙方应无条件更换过期产品。若乙方出现不补充或调换过期产品或超过7日补充或调换过期产品的行为共累计3次，甲方有权解除合同，解除通知自到达乙方后生效且视为乙方无异议，乙方应向甲方承担本合同最终结算总额20%的违约金。</w:t>
      </w:r>
    </w:p>
    <w:p w14:paraId="2FC9CE08">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
          <w:color w:val="auto"/>
          <w:sz w:val="24"/>
          <w:szCs w:val="24"/>
        </w:rPr>
      </w:pPr>
      <w:r>
        <w:rPr>
          <w:rFonts w:hint="eastAsia" w:ascii="仿宋" w:hAnsi="仿宋" w:eastAsia="仿宋" w:cs="仿宋"/>
          <w:b/>
          <w:color w:val="auto"/>
          <w:sz w:val="24"/>
          <w:szCs w:val="24"/>
        </w:rPr>
        <w:t>七、货款的支付</w:t>
      </w:r>
    </w:p>
    <w:p w14:paraId="4F8715A4">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1、本合同为固定单价，合同总价按甲方付款计划以合同单价乘以甲方实际采购并验收合格的数量确定总价进行支付。</w:t>
      </w:r>
      <w:r>
        <w:rPr>
          <w:rFonts w:hint="eastAsia" w:ascii="仿宋" w:hAnsi="仿宋" w:eastAsia="仿宋" w:cs="仿宋"/>
          <w:color w:val="auto"/>
          <w:sz w:val="24"/>
          <w:szCs w:val="24"/>
          <w:lang w:eastAsia="zh-CN"/>
        </w:rPr>
        <w:t>以上合同确定总价包括货物供给、税费、包装费、运输、调试、安装费、装卸费必不可少的部件等费用，以及支付其他税务费等费用，甲方除支付合同约定的款项外，无需再支付其他任何费用及款项。</w:t>
      </w:r>
    </w:p>
    <w:p w14:paraId="75F7FB1E">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2、双方账期原则上为半年，具体支付以甲方收到乙方交付的货物并经甲方书面验收合格，产品无质量问题及其他纠纷的情况下，根据甲方财务状况，在该批次货品用完之后每半年按一定比例以汇票、转账支票</w:t>
      </w:r>
      <w:r>
        <w:rPr>
          <w:rFonts w:hint="eastAsia" w:ascii="仿宋" w:hAnsi="仿宋" w:eastAsia="仿宋" w:cs="仿宋"/>
          <w:color w:val="auto"/>
          <w:sz w:val="24"/>
          <w:szCs w:val="24"/>
          <w:lang w:eastAsia="zh-CN"/>
        </w:rPr>
        <w:t>、供应链</w:t>
      </w:r>
      <w:r>
        <w:rPr>
          <w:rFonts w:hint="eastAsia" w:ascii="仿宋" w:hAnsi="仿宋" w:eastAsia="仿宋" w:cs="仿宋"/>
          <w:color w:val="auto"/>
          <w:sz w:val="24"/>
          <w:szCs w:val="24"/>
        </w:rPr>
        <w:t>或电汇等方式向乙方支付货款。如遇特殊情况，双方协商解决。</w:t>
      </w:r>
    </w:p>
    <w:p w14:paraId="11E47C71">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3、甲方支付上述任何一笔款项前，乙方应提供符合甲方财务做账要求的正规全额增值税发票，否则，甲方有权拒付款项且不承担违约责任。</w:t>
      </w:r>
    </w:p>
    <w:p w14:paraId="3BECA047">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4、甲方将上述款项支付至乙方指定的如下银行账户：</w:t>
      </w:r>
    </w:p>
    <w:p w14:paraId="7D3E666F">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开户行：</w:t>
      </w:r>
    </w:p>
    <w:p w14:paraId="263BDB88">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账户名称：</w:t>
      </w:r>
    </w:p>
    <w:p w14:paraId="3BDD198B">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银行账号：</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MERGEFIELD "银行账号"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fldChar w:fldCharType="end"/>
      </w:r>
    </w:p>
    <w:p w14:paraId="359DFDA9">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w:t>
      </w:r>
    </w:p>
    <w:p w14:paraId="652BAEFD">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b/>
          <w:color w:val="auto"/>
          <w:sz w:val="24"/>
          <w:szCs w:val="24"/>
        </w:rPr>
      </w:pPr>
      <w:r>
        <w:rPr>
          <w:rFonts w:hint="eastAsia" w:ascii="仿宋" w:hAnsi="仿宋" w:eastAsia="仿宋" w:cs="仿宋"/>
          <w:b/>
          <w:color w:val="auto"/>
          <w:sz w:val="24"/>
          <w:szCs w:val="24"/>
        </w:rPr>
        <w:t>八、违约责任</w:t>
      </w:r>
    </w:p>
    <w:p w14:paraId="72D5EF95">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1）乙方应严格按照合同约定的时间交货，如乙方延迟交货，甲方有权追究延迟交货的违约责任。甲方要求紧急配送本合同约定的货物的，乙方必须保证能随时供货，每迟延交货一次，向甲方承担1000元违约金；正常配送情况下，如不能按时到货，乙方向甲方承担本次货款的20%的违约金。乙方出现三次不按时配送、延迟配送的情形，甲方有权解除合同并有权要求乙方承担合同总金额20%的违约金。</w:t>
      </w:r>
    </w:p>
    <w:p w14:paraId="188EF187">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2）乙方必须确保投标的产品和供货的产品一致，如发现供货产品生产厂家、质量和招标时不符的情况，甲方有权立即要求乙方退货、解除合同，并要求乙方承担合同总金额20%的违约金。</w:t>
      </w:r>
    </w:p>
    <w:p w14:paraId="5B14A3AE">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3）如果乙方提供的货物因质量问题或者设计瑕疵，导致甲方使用过程中发生医疗事故等不良后果的，全部责任均由乙方承担，并赔偿由此给甲方带来的全部损失，同时，剩余未付货款作为违约金全部归甲方所有。</w:t>
      </w:r>
    </w:p>
    <w:p w14:paraId="6391CDA8">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4）上述条款中约定的违约金如不能弥补甲方实际损失的，以甲方实际损失为准。</w:t>
      </w:r>
    </w:p>
    <w:p w14:paraId="514D65DE">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5）乙方销售代表在合同签订及履行过程中，不得实施商业贿赂。若有商业贿赂行为，按照国卫法制发（2013）50号文件《关于建立医药购销领域商业贿赂不良记录的规定》中有关规定执行，或与甲方相关工作人员串通，做出损害甲方利益的任何行为，每次按合同总金额的20%的数额向甲方承担违约金。</w:t>
      </w:r>
    </w:p>
    <w:p w14:paraId="22FB730F">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6）甲乙双方因不可抗力不能履行本合同的责任和义务时，双方应及时签订补充协议，并共同遵守执行。</w:t>
      </w:r>
    </w:p>
    <w:p w14:paraId="0DF76A76">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7）本合同签订后，乙方应严格按照中标价格履行合同，如乙方因价格原因，拒绝供货或不能根据合同约定的品种、规格、数量、质量等标准和要求向甲方配送货物，无法满足甲方采购需要，甲方有权解除合同，同时，乙方按合同总额的20%向甲方承担违约责任。</w:t>
      </w:r>
    </w:p>
    <w:p w14:paraId="36DB9FCB">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rPr>
        <w:t>8）本合同签订后，乙方应如实履行本合同项下的权利义务，不得擅自要求解除或终止合同；如违反上述约定，向甲方承担合同总金额20%的违约金，上述违约金不足以弥补甲方损失的，以实际损失为准。</w:t>
      </w:r>
    </w:p>
    <w:p w14:paraId="0781EEA6">
      <w:pPr>
        <w:keepNext w:val="0"/>
        <w:keepLines w:val="0"/>
        <w:pageBreakBefore w:val="0"/>
        <w:kinsoku/>
        <w:wordWrap/>
        <w:overflowPunct/>
        <w:topLinePunct w:val="0"/>
        <w:bidi w:val="0"/>
        <w:spacing w:line="480" w:lineRule="auto"/>
        <w:ind w:left="0" w:leftChars="0" w:firstLine="360" w:firstLineChars="15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9）乙方交付的医用耗材不得涉及任何担保、留置权、知识产权等权利，乙方因上述权利引起的所有纠纷由乙方负责解决，甲方不承担任何责任。给甲方造成损失的，乙方赔偿甲方全部损失。</w:t>
      </w:r>
    </w:p>
    <w:p w14:paraId="64DD97B4">
      <w:pPr>
        <w:pStyle w:val="21"/>
        <w:keepNext w:val="0"/>
        <w:keepLines w:val="0"/>
        <w:pageBreakBefore w:val="0"/>
        <w:widowControl/>
        <w:kinsoku/>
        <w:wordWrap/>
        <w:overflowPunct/>
        <w:topLinePunct w:val="0"/>
        <w:bidi w:val="0"/>
        <w:adjustRightInd w:val="0"/>
        <w:spacing w:after="0" w:line="480" w:lineRule="auto"/>
        <w:ind w:left="0" w:leftChars="0" w:firstLine="480"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九、不可抗力</w:t>
      </w:r>
    </w:p>
    <w:p w14:paraId="5662BB48">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14:paraId="0CA58CC4">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38170548">
      <w:pPr>
        <w:pStyle w:val="8"/>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3、甲乙双方因不可抗力不能履行本合同的责任和义务时，双方应及时签订补充协议，并共同遵守执行。</w:t>
      </w:r>
    </w:p>
    <w:p w14:paraId="31D18831">
      <w:pPr>
        <w:keepNext w:val="0"/>
        <w:keepLines w:val="0"/>
        <w:pageBreakBefore w:val="0"/>
        <w:tabs>
          <w:tab w:val="left" w:pos="435"/>
        </w:tabs>
        <w:kinsoku/>
        <w:wordWrap/>
        <w:overflowPunct/>
        <w:topLinePunct w:val="0"/>
        <w:bidi w:val="0"/>
        <w:spacing w:line="480" w:lineRule="auto"/>
        <w:ind w:left="0" w:leftChars="0" w:firstLine="468" w:firstLineChars="195"/>
        <w:rPr>
          <w:rFonts w:hint="eastAsia" w:ascii="仿宋" w:hAnsi="仿宋" w:eastAsia="仿宋" w:cs="仿宋"/>
          <w:b/>
          <w:color w:val="auto"/>
          <w:sz w:val="24"/>
          <w:szCs w:val="24"/>
        </w:rPr>
      </w:pPr>
      <w:r>
        <w:rPr>
          <w:rFonts w:hint="eastAsia" w:ascii="仿宋" w:hAnsi="仿宋" w:eastAsia="仿宋" w:cs="仿宋"/>
          <w:b/>
          <w:color w:val="auto"/>
          <w:sz w:val="24"/>
          <w:szCs w:val="24"/>
        </w:rPr>
        <w:t>十、争议的解决</w:t>
      </w:r>
    </w:p>
    <w:p w14:paraId="6E5CC6A1">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kern w:val="0"/>
          <w:sz w:val="24"/>
          <w:szCs w:val="24"/>
        </w:rPr>
      </w:pPr>
      <w:r>
        <w:rPr>
          <w:rFonts w:hint="eastAsia" w:ascii="仿宋" w:hAnsi="仿宋" w:eastAsia="仿宋" w:cs="仿宋"/>
          <w:color w:val="auto"/>
          <w:sz w:val="24"/>
          <w:szCs w:val="24"/>
        </w:rPr>
        <w:t>本合同如发生纠纷，当事人双方应当及时协商解决，协商不成时，</w:t>
      </w:r>
      <w:r>
        <w:rPr>
          <w:rFonts w:hint="eastAsia" w:ascii="仿宋" w:hAnsi="仿宋" w:eastAsia="仿宋" w:cs="仿宋"/>
          <w:color w:val="auto"/>
          <w:kern w:val="0"/>
          <w:sz w:val="24"/>
          <w:szCs w:val="24"/>
        </w:rPr>
        <w:t>可提交甲方所在地法院诉讼解决。</w:t>
      </w:r>
    </w:p>
    <w:p w14:paraId="6D9C433B">
      <w:pPr>
        <w:keepNext w:val="0"/>
        <w:keepLines w:val="0"/>
        <w:pageBreakBefore w:val="0"/>
        <w:numPr>
          <w:ilvl w:val="0"/>
          <w:numId w:val="4"/>
        </w:numPr>
        <w:kinsoku/>
        <w:wordWrap/>
        <w:overflowPunct/>
        <w:topLinePunct w:val="0"/>
        <w:bidi w:val="0"/>
        <w:spacing w:line="480" w:lineRule="auto"/>
        <w:ind w:left="0" w:leftChars="0" w:firstLine="480" w:firstLineChars="200"/>
        <w:rPr>
          <w:rFonts w:hint="eastAsia" w:ascii="仿宋" w:hAnsi="仿宋" w:eastAsia="仿宋" w:cs="仿宋"/>
          <w:b/>
          <w:color w:val="auto"/>
          <w:kern w:val="0"/>
          <w:sz w:val="24"/>
          <w:szCs w:val="24"/>
        </w:rPr>
      </w:pPr>
      <w:r>
        <w:rPr>
          <w:rFonts w:hint="eastAsia" w:ascii="仿宋" w:hAnsi="仿宋" w:eastAsia="仿宋" w:cs="仿宋"/>
          <w:b/>
          <w:color w:val="auto"/>
          <w:kern w:val="0"/>
          <w:sz w:val="24"/>
          <w:szCs w:val="24"/>
        </w:rPr>
        <w:t>合同的生效与文本</w:t>
      </w:r>
    </w:p>
    <w:p w14:paraId="68C8C909">
      <w:pPr>
        <w:keepNext w:val="0"/>
        <w:keepLines w:val="0"/>
        <w:pageBreakBefore w:val="0"/>
        <w:numPr>
          <w:ilvl w:val="0"/>
          <w:numId w:val="5"/>
        </w:numPr>
        <w:kinsoku/>
        <w:wordWrap/>
        <w:overflowPunct/>
        <w:topLinePunct w:val="0"/>
        <w:autoSpaceDE/>
        <w:autoSpaceDN/>
        <w:bidi w:val="0"/>
        <w:spacing w:line="48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本合同经双方法定代表人</w:t>
      </w:r>
      <w:r>
        <w:rPr>
          <w:rFonts w:hint="eastAsia" w:ascii="仿宋" w:hAnsi="仿宋" w:eastAsia="仿宋" w:cs="仿宋"/>
          <w:color w:val="auto"/>
          <w:sz w:val="24"/>
          <w:szCs w:val="24"/>
          <w:lang w:val="en-US" w:eastAsia="zh-CN"/>
        </w:rPr>
        <w:t>或委托代理人</w:t>
      </w:r>
      <w:r>
        <w:rPr>
          <w:rFonts w:hint="eastAsia" w:ascii="仿宋" w:hAnsi="仿宋" w:eastAsia="仿宋" w:cs="仿宋"/>
          <w:color w:val="auto"/>
          <w:sz w:val="24"/>
          <w:szCs w:val="24"/>
        </w:rPr>
        <w:t>签字</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盖章</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并加盖单位公章后</w:t>
      </w:r>
      <w:r>
        <w:rPr>
          <w:rFonts w:hint="eastAsia" w:ascii="仿宋" w:hAnsi="仿宋" w:eastAsia="仿宋" w:cs="仿宋"/>
          <w:color w:val="auto"/>
          <w:sz w:val="24"/>
          <w:szCs w:val="24"/>
        </w:rPr>
        <w:t>成立生效。</w:t>
      </w:r>
    </w:p>
    <w:p w14:paraId="27E82C0C">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rPr>
        <w:t>2、本</w:t>
      </w:r>
      <w:r>
        <w:rPr>
          <w:rFonts w:hint="eastAsia" w:ascii="仿宋" w:hAnsi="仿宋" w:eastAsia="仿宋" w:cs="仿宋"/>
          <w:color w:val="auto"/>
          <w:sz w:val="24"/>
          <w:szCs w:val="24"/>
        </w:rPr>
        <w:t>合同一式陆份，甲方执伍份，乙方执壹份，具有同等法律效力。</w:t>
      </w:r>
    </w:p>
    <w:p w14:paraId="53A22A60">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十二、其他</w:t>
      </w:r>
    </w:p>
    <w:p w14:paraId="73B20675">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1、本合同有效期</w:t>
      </w:r>
      <w:r>
        <w:rPr>
          <w:rFonts w:hint="eastAsia" w:ascii="仿宋" w:hAnsi="仿宋" w:eastAsia="仿宋" w:cs="仿宋"/>
          <w:bCs/>
          <w:color w:val="auto"/>
          <w:sz w:val="24"/>
          <w:szCs w:val="24"/>
          <w:lang w:eastAsia="zh-CN"/>
        </w:rPr>
        <w:t>一年，自签订之日起生效。</w:t>
      </w:r>
      <w:r>
        <w:rPr>
          <w:rFonts w:hint="eastAsia" w:ascii="仿宋" w:hAnsi="仿宋" w:eastAsia="仿宋" w:cs="仿宋"/>
          <w:bCs/>
          <w:color w:val="auto"/>
          <w:sz w:val="24"/>
          <w:szCs w:val="24"/>
        </w:rPr>
        <w:t>上述合同有效期内，若甲方上级主管部门对本合同约定由乙方供货的货物进行公开招标，本合同自甲方上级主管部门公开招标时自动终止（具体时间，以甲方通知乙方的时间为准），合同终止后，甲方将恢复执行上级主管部门进行招标采购的结果，乙方对此无异议。</w:t>
      </w:r>
    </w:p>
    <w:p w14:paraId="08EA41AB">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2、和本合同相关的双方往来函件(包括传真件、电子邮件)与原件具有同等的法律效力，修改无效。</w:t>
      </w:r>
    </w:p>
    <w:p w14:paraId="382D0232">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本合同签字页双方提供的双方信息，为双方确认的各方准确有效的送达地址信息，如有变更应书面通知对方，未通知视为未变更。双方同意按前述地址向对方送达各类文件、函件等，寄出及发送时间为送达时间。</w:t>
      </w:r>
    </w:p>
    <w:p w14:paraId="1767404B">
      <w:pPr>
        <w:keepNext w:val="0"/>
        <w:keepLines w:val="0"/>
        <w:pageBreakBefore w:val="0"/>
        <w:kinsoku/>
        <w:wordWrap/>
        <w:overflowPunct/>
        <w:topLinePunct w:val="0"/>
        <w:bidi w:val="0"/>
        <w:spacing w:line="480" w:lineRule="auto"/>
        <w:ind w:left="0"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4、与本合同有关的招投标文件、答疑附件、合同附件等均是本合同不可分割的组成部分，与本合同具有同等法律效力。</w:t>
      </w:r>
    </w:p>
    <w:p w14:paraId="0FD78515">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p>
    <w:p w14:paraId="49A05146">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p>
    <w:p w14:paraId="027DD727">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p>
    <w:p w14:paraId="30F91503">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r>
        <w:rPr>
          <w:rFonts w:hint="eastAsia" w:ascii="仿宋" w:hAnsi="仿宋" w:eastAsia="仿宋" w:cs="仿宋"/>
          <w:color w:val="auto"/>
          <w:sz w:val="24"/>
          <w:szCs w:val="24"/>
        </w:rPr>
        <w:t>（以下无正文，为本合同签署页）</w:t>
      </w:r>
    </w:p>
    <w:p w14:paraId="3DDE796C">
      <w:pPr>
        <w:keepNext w:val="0"/>
        <w:keepLines w:val="0"/>
        <w:pageBreakBefore w:val="0"/>
        <w:kinsoku/>
        <w:wordWrap/>
        <w:overflowPunct/>
        <w:topLinePunct w:val="0"/>
        <w:bidi w:val="0"/>
        <w:spacing w:line="480" w:lineRule="auto"/>
        <w:ind w:left="0" w:leftChars="0"/>
        <w:rPr>
          <w:rFonts w:hint="eastAsia" w:ascii="仿宋" w:hAnsi="仿宋" w:eastAsia="仿宋" w:cs="仿宋"/>
          <w:color w:val="auto"/>
          <w:sz w:val="24"/>
          <w:szCs w:val="24"/>
        </w:rPr>
      </w:pPr>
    </w:p>
    <w:p w14:paraId="418FDFB3">
      <w:pPr>
        <w:keepNext w:val="0"/>
        <w:keepLines w:val="0"/>
        <w:pageBreakBefore w:val="0"/>
        <w:widowControl w:val="0"/>
        <w:kinsoku/>
        <w:wordWrap/>
        <w:overflowPunct/>
        <w:topLinePunct w:val="0"/>
        <w:bidi w:val="0"/>
        <w:snapToGrid/>
        <w:spacing w:line="480" w:lineRule="auto"/>
        <w:ind w:left="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甲方（盖章）：                          乙方（盖章）：</w:t>
      </w:r>
    </w:p>
    <w:p w14:paraId="74CCBE73">
      <w:pPr>
        <w:keepNext w:val="0"/>
        <w:keepLines w:val="0"/>
        <w:pageBreakBefore w:val="0"/>
        <w:widowControl w:val="0"/>
        <w:kinsoku/>
        <w:wordWrap/>
        <w:overflowPunct/>
        <w:topLinePunct w:val="0"/>
        <w:bidi w:val="0"/>
        <w:snapToGrid/>
        <w:spacing w:line="480" w:lineRule="auto"/>
        <w:ind w:left="6360" w:leftChars="0" w:hanging="6360" w:hangingChars="265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新疆医科大学第二附属医院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MERGEFIELD "乙方"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«乙方»</w:t>
      </w:r>
      <w:r>
        <w:rPr>
          <w:rFonts w:hint="eastAsia" w:ascii="仿宋" w:hAnsi="仿宋" w:eastAsia="仿宋" w:cs="仿宋"/>
          <w:color w:val="auto"/>
          <w:sz w:val="24"/>
          <w:szCs w:val="24"/>
        </w:rPr>
        <w:fldChar w:fldCharType="end"/>
      </w:r>
    </w:p>
    <w:p w14:paraId="408CB885">
      <w:pPr>
        <w:keepNext w:val="0"/>
        <w:keepLines w:val="0"/>
        <w:pageBreakBefore w:val="0"/>
        <w:widowControl w:val="0"/>
        <w:kinsoku/>
        <w:wordWrap/>
        <w:overflowPunct/>
        <w:topLinePunct w:val="0"/>
        <w:bidi w:val="0"/>
        <w:snapToGrid/>
        <w:spacing w:line="480" w:lineRule="auto"/>
        <w:ind w:left="6360" w:leftChars="0" w:hanging="6360" w:hangingChars="26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合 同 章：                             合 同 章：</w:t>
      </w:r>
    </w:p>
    <w:p w14:paraId="3DCC1461">
      <w:pPr>
        <w:pStyle w:val="37"/>
        <w:keepNext w:val="0"/>
        <w:keepLines w:val="0"/>
        <w:pageBreakBefore w:val="0"/>
        <w:widowControl w:val="0"/>
        <w:kinsoku/>
        <w:wordWrap/>
        <w:overflowPunct/>
        <w:topLinePunct w:val="0"/>
        <w:bidi w:val="0"/>
        <w:snapToGrid/>
        <w:spacing w:line="480" w:lineRule="auto"/>
        <w:ind w:left="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法人签字：                             法人签字：</w:t>
      </w:r>
    </w:p>
    <w:p w14:paraId="6B69B76C">
      <w:pPr>
        <w:pStyle w:val="37"/>
        <w:keepNext w:val="0"/>
        <w:keepLines w:val="0"/>
        <w:pageBreakBefore w:val="0"/>
        <w:widowControl w:val="0"/>
        <w:kinsoku/>
        <w:wordWrap/>
        <w:overflowPunct/>
        <w:topLinePunct w:val="0"/>
        <w:bidi w:val="0"/>
        <w:snapToGrid/>
        <w:spacing w:line="480" w:lineRule="auto"/>
        <w:ind w:left="307" w:leftChars="0" w:hanging="307" w:hangingChars="128"/>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授权代表签字：                         授权代表签字：</w:t>
      </w:r>
    </w:p>
    <w:p w14:paraId="35F9AA89">
      <w:pPr>
        <w:pStyle w:val="37"/>
        <w:keepNext w:val="0"/>
        <w:keepLines w:val="0"/>
        <w:pageBreakBefore w:val="0"/>
        <w:widowControl w:val="0"/>
        <w:kinsoku/>
        <w:wordWrap/>
        <w:overflowPunct/>
        <w:topLinePunct w:val="0"/>
        <w:bidi w:val="0"/>
        <w:snapToGrid/>
        <w:spacing w:line="480" w:lineRule="auto"/>
        <w:ind w:left="307" w:leftChars="0" w:hanging="307" w:hangingChars="128"/>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电话：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电话：</w:t>
      </w:r>
    </w:p>
    <w:p w14:paraId="393290E4">
      <w:pPr>
        <w:pStyle w:val="37"/>
        <w:keepNext w:val="0"/>
        <w:keepLines w:val="0"/>
        <w:pageBreakBefore w:val="0"/>
        <w:widowControl w:val="0"/>
        <w:kinsoku/>
        <w:wordWrap/>
        <w:overflowPunct/>
        <w:topLinePunct w:val="0"/>
        <w:bidi w:val="0"/>
        <w:snapToGrid/>
        <w:spacing w:line="480" w:lineRule="auto"/>
        <w:ind w:left="0" w:left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纳税人识别号: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纳税人识别号：</w:t>
      </w:r>
    </w:p>
    <w:p w14:paraId="46375719">
      <w:pPr>
        <w:pStyle w:val="37"/>
        <w:keepNext w:val="0"/>
        <w:keepLines w:val="0"/>
        <w:pageBreakBefore w:val="0"/>
        <w:widowControl w:val="0"/>
        <w:kinsoku/>
        <w:wordWrap/>
        <w:overflowPunct/>
        <w:topLinePunct w:val="0"/>
        <w:bidi w:val="0"/>
        <w:snapToGrid/>
        <w:spacing w:line="480" w:lineRule="auto"/>
        <w:ind w:left="5400" w:leftChars="0" w:hanging="5400" w:hangingChars="225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地址：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地址：</w:t>
      </w:r>
    </w:p>
    <w:p w14:paraId="163F4B92">
      <w:pPr>
        <w:pStyle w:val="37"/>
        <w:keepNext w:val="0"/>
        <w:keepLines w:val="0"/>
        <w:pageBreakBefore w:val="0"/>
        <w:widowControl w:val="0"/>
        <w:kinsoku/>
        <w:wordWrap/>
        <w:overflowPunct/>
        <w:topLinePunct w:val="0"/>
        <w:bidi w:val="0"/>
        <w:snapToGrid/>
        <w:spacing w:line="480" w:lineRule="auto"/>
        <w:ind w:left="5520" w:leftChars="0" w:hanging="5520" w:hangingChars="230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开户行：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开户行：</w:t>
      </w:r>
    </w:p>
    <w:p w14:paraId="77D7EDAA">
      <w:pPr>
        <w:pStyle w:val="37"/>
        <w:keepNext w:val="0"/>
        <w:keepLines w:val="0"/>
        <w:pageBreakBefore w:val="0"/>
        <w:widowControl w:val="0"/>
        <w:kinsoku/>
        <w:wordWrap/>
        <w:overflowPunct/>
        <w:topLinePunct w:val="0"/>
        <w:bidi w:val="0"/>
        <w:snapToGrid/>
        <w:spacing w:line="480" w:lineRule="auto"/>
        <w:ind w:left="0" w:leftChars="0"/>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行号：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行号：</w:t>
      </w:r>
    </w:p>
    <w:p w14:paraId="7DA34056">
      <w:pPr>
        <w:keepNext w:val="0"/>
        <w:keepLines w:val="0"/>
        <w:pageBreakBefore w:val="0"/>
        <w:widowControl w:val="0"/>
        <w:kinsoku/>
        <w:wordWrap/>
        <w:overflowPunct/>
        <w:topLinePunct w:val="0"/>
        <w:bidi w:val="0"/>
        <w:snapToGrid/>
        <w:spacing w:line="480" w:lineRule="auto"/>
        <w:ind w:left="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银行账号：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银行账号：</w:t>
      </w:r>
    </w:p>
    <w:p w14:paraId="4298D5CE">
      <w:pPr>
        <w:keepNext w:val="0"/>
        <w:keepLines w:val="0"/>
        <w:pageBreakBefore w:val="0"/>
        <w:widowControl w:val="0"/>
        <w:kinsoku/>
        <w:wordWrap/>
        <w:overflowPunct/>
        <w:topLinePunct w:val="0"/>
        <w:bidi w:val="0"/>
        <w:snapToGrid/>
        <w:spacing w:line="480" w:lineRule="auto"/>
        <w:ind w:left="0" w:leftChars="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签订时间：  年   月  日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签订时间：   年  月  日</w:t>
      </w:r>
    </w:p>
    <w:p w14:paraId="0BE71146">
      <w:pPr>
        <w:spacing w:line="360" w:lineRule="auto"/>
        <w:ind w:firstLine="560"/>
        <w:rPr>
          <w:rFonts w:hint="eastAsia" w:ascii="仿宋" w:hAnsi="仿宋" w:eastAsia="仿宋" w:cs="仿宋"/>
          <w:color w:val="auto"/>
          <w:sz w:val="28"/>
          <w:szCs w:val="28"/>
          <w:highlight w:val="none"/>
        </w:rPr>
      </w:pPr>
    </w:p>
    <w:p w14:paraId="673D198C">
      <w:pPr>
        <w:rPr>
          <w:rFonts w:hint="eastAsia" w:ascii="仿宋" w:hAnsi="仿宋" w:eastAsia="仿宋" w:cs="仿宋"/>
          <w:color w:val="auto"/>
          <w:highlight w:val="none"/>
        </w:rPr>
      </w:pPr>
    </w:p>
    <w:p w14:paraId="6DA93A06">
      <w:pPr>
        <w:pStyle w:val="34"/>
        <w:spacing w:line="520" w:lineRule="exact"/>
        <w:ind w:firstLine="0" w:firstLineChars="0"/>
        <w:rPr>
          <w:rFonts w:hint="eastAsia" w:ascii="仿宋" w:hAnsi="仿宋" w:eastAsia="仿宋" w:cs="仿宋"/>
          <w:b/>
          <w:color w:val="auto"/>
          <w:sz w:val="36"/>
          <w:highlight w:val="none"/>
        </w:rPr>
      </w:pPr>
      <w:r>
        <w:rPr>
          <w:rFonts w:hint="eastAsia" w:ascii="仿宋" w:hAnsi="仿宋" w:eastAsia="仿宋" w:cs="仿宋"/>
          <w:b/>
          <w:color w:val="auto"/>
          <w:sz w:val="36"/>
          <w:highlight w:val="none"/>
        </w:rPr>
        <w:br w:type="page"/>
      </w:r>
    </w:p>
    <w:p w14:paraId="353AF589">
      <w:pPr>
        <w:jc w:val="center"/>
        <w:rPr>
          <w:rFonts w:hint="eastAsia" w:ascii="仿宋" w:hAnsi="仿宋" w:eastAsia="仿宋" w:cs="仿宋"/>
          <w:b/>
          <w:color w:val="auto"/>
          <w:highlight w:val="none"/>
        </w:rPr>
      </w:pPr>
      <w:r>
        <w:rPr>
          <w:rFonts w:hint="eastAsia" w:ascii="仿宋" w:hAnsi="仿宋" w:eastAsia="仿宋" w:cs="仿宋"/>
          <w:b/>
          <w:color w:val="auto"/>
          <w:sz w:val="36"/>
          <w:highlight w:val="none"/>
        </w:rPr>
        <w:t>附件：投标书格式</w:t>
      </w:r>
    </w:p>
    <w:p w14:paraId="7543BFCB">
      <w:pPr>
        <w:pStyle w:val="37"/>
        <w:spacing w:line="360" w:lineRule="auto"/>
        <w:ind w:firstLine="1400" w:firstLineChars="200"/>
        <w:jc w:val="both"/>
        <w:rPr>
          <w:rFonts w:hint="eastAsia" w:ascii="仿宋" w:hAnsi="仿宋" w:eastAsia="仿宋" w:cs="仿宋"/>
          <w:color w:val="auto"/>
          <w:sz w:val="70"/>
          <w:highlight w:val="none"/>
        </w:rPr>
      </w:pPr>
    </w:p>
    <w:p w14:paraId="06FB1288">
      <w:pPr>
        <w:spacing w:line="360" w:lineRule="atLeast"/>
        <w:jc w:val="right"/>
        <w:rPr>
          <w:rFonts w:hint="eastAsia" w:ascii="仿宋" w:hAnsi="仿宋" w:eastAsia="仿宋" w:cs="仿宋"/>
          <w:b/>
          <w:color w:val="auto"/>
          <w:sz w:val="72"/>
          <w:highlight w:val="none"/>
        </w:rPr>
      </w:pPr>
      <w:r>
        <w:rPr>
          <w:rFonts w:hint="eastAsia" w:ascii="仿宋" w:hAnsi="仿宋" w:eastAsia="仿宋" w:cs="仿宋"/>
          <w:b/>
          <w:color w:val="auto"/>
          <w:sz w:val="72"/>
          <w:highlight w:val="none"/>
        </w:rPr>
        <w:t>项目</w:t>
      </w:r>
    </w:p>
    <w:p w14:paraId="6717CCE1">
      <w:pPr>
        <w:spacing w:line="360" w:lineRule="atLeast"/>
        <w:jc w:val="center"/>
        <w:rPr>
          <w:rFonts w:hint="eastAsia" w:ascii="仿宋" w:hAnsi="仿宋" w:eastAsia="仿宋" w:cs="仿宋"/>
          <w:color w:val="auto"/>
          <w:highlight w:val="none"/>
        </w:rPr>
      </w:pPr>
      <w:r>
        <w:rPr>
          <w:rFonts w:hint="eastAsia" w:ascii="仿宋" w:hAnsi="仿宋" w:eastAsia="仿宋" w:cs="仿宋"/>
          <w:b/>
          <w:color w:val="auto"/>
          <w:sz w:val="72"/>
          <w:highlight w:val="none"/>
        </w:rPr>
        <w:t>投标书</w:t>
      </w:r>
    </w:p>
    <w:p w14:paraId="55C76A1F">
      <w:pPr>
        <w:spacing w:line="360" w:lineRule="atLeast"/>
        <w:rPr>
          <w:rFonts w:hint="eastAsia" w:ascii="仿宋" w:hAnsi="仿宋" w:eastAsia="仿宋" w:cs="仿宋"/>
          <w:color w:val="auto"/>
          <w:highlight w:val="none"/>
        </w:rPr>
      </w:pPr>
    </w:p>
    <w:p w14:paraId="6BFF7A9D">
      <w:pPr>
        <w:spacing w:line="360" w:lineRule="atLeast"/>
        <w:ind w:firstLine="420"/>
        <w:rPr>
          <w:rFonts w:hint="eastAsia" w:ascii="仿宋" w:hAnsi="仿宋" w:eastAsia="仿宋" w:cs="仿宋"/>
          <w:color w:val="auto"/>
          <w:highlight w:val="none"/>
        </w:rPr>
      </w:pPr>
    </w:p>
    <w:p w14:paraId="366C1951">
      <w:pPr>
        <w:spacing w:line="360" w:lineRule="atLeast"/>
        <w:ind w:firstLine="880" w:firstLineChars="200"/>
        <w:rPr>
          <w:rFonts w:hint="eastAsia" w:ascii="仿宋" w:hAnsi="仿宋" w:eastAsia="仿宋" w:cs="仿宋"/>
          <w:color w:val="auto"/>
          <w:sz w:val="44"/>
          <w:highlight w:val="none"/>
        </w:rPr>
      </w:pPr>
      <w:r>
        <w:rPr>
          <w:rFonts w:hint="eastAsia" w:ascii="仿宋" w:hAnsi="仿宋" w:eastAsia="仿宋" w:cs="仿宋"/>
          <w:color w:val="auto"/>
          <w:sz w:val="44"/>
          <w:highlight w:val="none"/>
        </w:rPr>
        <w:t>项目名称：</w:t>
      </w:r>
    </w:p>
    <w:p w14:paraId="53A98E52">
      <w:pPr>
        <w:spacing w:line="360" w:lineRule="atLeast"/>
        <w:ind w:firstLine="880"/>
        <w:rPr>
          <w:rFonts w:hint="eastAsia" w:ascii="仿宋" w:hAnsi="仿宋" w:eastAsia="仿宋" w:cs="仿宋"/>
          <w:color w:val="auto"/>
          <w:sz w:val="44"/>
          <w:highlight w:val="none"/>
        </w:rPr>
      </w:pPr>
    </w:p>
    <w:p w14:paraId="0CE0AD8C">
      <w:pPr>
        <w:spacing w:line="360" w:lineRule="atLeast"/>
        <w:ind w:firstLine="880"/>
        <w:rPr>
          <w:rFonts w:hint="eastAsia" w:ascii="仿宋" w:hAnsi="仿宋" w:eastAsia="仿宋" w:cs="仿宋"/>
          <w:color w:val="auto"/>
          <w:sz w:val="44"/>
          <w:highlight w:val="none"/>
        </w:rPr>
      </w:pPr>
      <w:r>
        <w:rPr>
          <w:rFonts w:hint="eastAsia" w:ascii="仿宋" w:hAnsi="仿宋" w:eastAsia="仿宋" w:cs="仿宋"/>
          <w:color w:val="auto"/>
          <w:sz w:val="44"/>
          <w:highlight w:val="none"/>
        </w:rPr>
        <w:t>供应商名称：</w:t>
      </w:r>
    </w:p>
    <w:p w14:paraId="703DC4F3">
      <w:pPr>
        <w:spacing w:line="360" w:lineRule="atLeast"/>
        <w:ind w:firstLine="880"/>
        <w:rPr>
          <w:rFonts w:hint="eastAsia" w:ascii="仿宋" w:hAnsi="仿宋" w:eastAsia="仿宋" w:cs="仿宋"/>
          <w:color w:val="auto"/>
          <w:sz w:val="44"/>
          <w:highlight w:val="none"/>
        </w:rPr>
      </w:pPr>
    </w:p>
    <w:p w14:paraId="4D047557">
      <w:pPr>
        <w:spacing w:line="360" w:lineRule="atLeast"/>
        <w:ind w:firstLine="880"/>
        <w:rPr>
          <w:rFonts w:hint="eastAsia" w:ascii="仿宋" w:hAnsi="仿宋" w:eastAsia="仿宋" w:cs="仿宋"/>
          <w:color w:val="auto"/>
          <w:highlight w:val="none"/>
        </w:rPr>
      </w:pPr>
      <w:r>
        <w:rPr>
          <w:rFonts w:hint="eastAsia" w:ascii="仿宋" w:hAnsi="仿宋" w:eastAsia="仿宋" w:cs="仿宋"/>
          <w:color w:val="auto"/>
          <w:sz w:val="44"/>
          <w:highlight w:val="none"/>
        </w:rPr>
        <w:t>供应商全权代表：</w:t>
      </w:r>
    </w:p>
    <w:p w14:paraId="3B3DA209">
      <w:pPr>
        <w:spacing w:line="360" w:lineRule="atLeast"/>
        <w:ind w:firstLine="640"/>
        <w:rPr>
          <w:rFonts w:hint="eastAsia" w:ascii="仿宋" w:hAnsi="仿宋" w:eastAsia="仿宋" w:cs="仿宋"/>
          <w:color w:val="auto"/>
          <w:sz w:val="32"/>
          <w:highlight w:val="none"/>
        </w:rPr>
      </w:pPr>
    </w:p>
    <w:p w14:paraId="70279B89">
      <w:pPr>
        <w:spacing w:line="360" w:lineRule="atLeast"/>
        <w:ind w:firstLine="640"/>
        <w:rPr>
          <w:rFonts w:hint="eastAsia" w:ascii="仿宋" w:hAnsi="仿宋" w:eastAsia="仿宋" w:cs="仿宋"/>
          <w:color w:val="auto"/>
          <w:sz w:val="32"/>
          <w:highlight w:val="none"/>
        </w:rPr>
      </w:pPr>
    </w:p>
    <w:p w14:paraId="50902BD5">
      <w:pPr>
        <w:spacing w:line="360" w:lineRule="atLeast"/>
        <w:ind w:firstLine="720"/>
        <w:jc w:val="center"/>
        <w:rPr>
          <w:rFonts w:hint="eastAsia" w:ascii="仿宋" w:hAnsi="仿宋" w:eastAsia="仿宋" w:cs="仿宋"/>
          <w:color w:val="auto"/>
          <w:sz w:val="36"/>
          <w:highlight w:val="none"/>
        </w:rPr>
      </w:pPr>
      <w:r>
        <w:rPr>
          <w:rFonts w:hint="eastAsia" w:ascii="仿宋" w:hAnsi="仿宋" w:eastAsia="仿宋" w:cs="仿宋"/>
          <w:color w:val="auto"/>
          <w:sz w:val="36"/>
          <w:highlight w:val="none"/>
        </w:rPr>
        <w:t>年      月      日</w:t>
      </w:r>
    </w:p>
    <w:p w14:paraId="17F8E44D">
      <w:pPr>
        <w:spacing w:line="360" w:lineRule="atLeast"/>
        <w:ind w:firstLine="720"/>
        <w:jc w:val="right"/>
        <w:rPr>
          <w:rFonts w:hint="eastAsia" w:ascii="仿宋" w:hAnsi="仿宋" w:eastAsia="仿宋" w:cs="仿宋"/>
          <w:color w:val="auto"/>
          <w:sz w:val="28"/>
          <w:highlight w:val="none"/>
        </w:rPr>
      </w:pPr>
      <w:r>
        <w:rPr>
          <w:rFonts w:hint="eastAsia" w:ascii="仿宋" w:hAnsi="仿宋" w:eastAsia="仿宋" w:cs="仿宋"/>
          <w:color w:val="auto"/>
          <w:sz w:val="36"/>
          <w:highlight w:val="none"/>
        </w:rPr>
        <w:br w:type="page"/>
      </w:r>
      <w:r>
        <w:rPr>
          <w:rFonts w:hint="eastAsia" w:ascii="仿宋" w:hAnsi="仿宋" w:eastAsia="仿宋" w:cs="仿宋"/>
          <w:color w:val="auto"/>
          <w:sz w:val="28"/>
          <w:highlight w:val="none"/>
        </w:rPr>
        <w:t>附件一</w:t>
      </w:r>
    </w:p>
    <w:p w14:paraId="6B971794">
      <w:pPr>
        <w:pStyle w:val="4"/>
        <w:keepNext w:val="0"/>
        <w:keepLines w:val="0"/>
        <w:tabs>
          <w:tab w:val="clear" w:pos="576"/>
          <w:tab w:val="clear" w:pos="1296"/>
        </w:tabs>
        <w:adjustRightInd/>
        <w:spacing w:before="312" w:beforeLines="100" w:after="156" w:afterLines="50" w:line="500" w:lineRule="exact"/>
        <w:jc w:val="center"/>
        <w:textAlignment w:val="auto"/>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投  标  书</w:t>
      </w:r>
    </w:p>
    <w:p w14:paraId="31FCE6F3">
      <w:pPr>
        <w:pStyle w:val="38"/>
        <w:ind w:firstLine="0" w:firstLineChars="0"/>
        <w:jc w:val="both"/>
        <w:rPr>
          <w:rFonts w:hint="eastAsia" w:ascii="仿宋" w:hAnsi="仿宋" w:eastAsia="仿宋" w:cs="仿宋"/>
          <w:color w:val="auto"/>
          <w:highlight w:val="none"/>
        </w:rPr>
      </w:pPr>
      <w:r>
        <w:rPr>
          <w:rFonts w:hint="eastAsia" w:ascii="仿宋" w:hAnsi="仿宋" w:eastAsia="仿宋" w:cs="仿宋"/>
          <w:color w:val="auto"/>
          <w:highlight w:val="none"/>
        </w:rPr>
        <w:t>新疆新之建工程咨询有限公司：</w:t>
      </w:r>
    </w:p>
    <w:p w14:paraId="75C2FEF3">
      <w:pPr>
        <w:spacing w:line="360" w:lineRule="atLeast"/>
        <w:ind w:firstLine="420"/>
        <w:rPr>
          <w:rFonts w:hint="eastAsia" w:ascii="仿宋" w:hAnsi="仿宋" w:eastAsia="仿宋" w:cs="仿宋"/>
          <w:color w:val="auto"/>
          <w:highlight w:val="none"/>
        </w:rPr>
      </w:pPr>
    </w:p>
    <w:p w14:paraId="71EBA382">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我们收到你们</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号招标文件，经认真研究，我们决定参加投标。</w:t>
      </w:r>
    </w:p>
    <w:p w14:paraId="50E4649B">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⒈按照招标文件中的一切要求，提供招标货物、安装及技术服务，投标总价</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元（人民币大写）￥：</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元（用阿拉伯数字书写）人民币，明细见投标产品名称数量报价表。</w:t>
      </w:r>
    </w:p>
    <w:p w14:paraId="3079B00F">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⒉如果我们的投标书被接受，我们将履行招标文件中规定的每一项要求，按期、按质、按量完成交货和完工任务。</w:t>
      </w:r>
    </w:p>
    <w:p w14:paraId="0B719D92">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⒊我们同意投标书在招标文件规定的投标截止日期届满后立即对供应商产生法律约束力，投标有效期截至开标日后</w:t>
      </w:r>
      <w:r>
        <w:rPr>
          <w:rFonts w:hint="eastAsia" w:ascii="仿宋" w:hAnsi="仿宋" w:eastAsia="仿宋" w:cs="仿宋"/>
          <w:color w:val="auto"/>
          <w:sz w:val="28"/>
          <w:highlight w:val="none"/>
          <w:u w:val="single"/>
        </w:rPr>
        <w:t>90</w:t>
      </w:r>
      <w:r>
        <w:rPr>
          <w:rFonts w:hint="eastAsia" w:ascii="仿宋" w:hAnsi="仿宋" w:eastAsia="仿宋" w:cs="仿宋"/>
          <w:color w:val="auto"/>
          <w:sz w:val="28"/>
          <w:highlight w:val="none"/>
        </w:rPr>
        <w:t>日历天。</w:t>
      </w:r>
    </w:p>
    <w:p w14:paraId="2A46BA5D">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⒋我们愿意提供采购人在招标文件中要求的所有资料。</w:t>
      </w:r>
    </w:p>
    <w:p w14:paraId="49FB8DAF">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⒌我们认为你们有选择或拒绝任何投标者中标的权力。</w:t>
      </w:r>
    </w:p>
    <w:p w14:paraId="205B4FF4">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⒍我们愿按合同法履行自己的全部责任。</w:t>
      </w:r>
    </w:p>
    <w:p w14:paraId="3E4A63AF">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⒎我方愿意遵守国家有关规定及招标文件中规定的收费标准，承付中标服务费。</w:t>
      </w:r>
    </w:p>
    <w:p w14:paraId="716FC5C6">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⒏该项投标在开标后的全过程中保持有效，不作任何更改和变动。</w:t>
      </w:r>
    </w:p>
    <w:p w14:paraId="11E3409F">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⒐我们同意按招标文件规定，交纳</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元的投标保证金。并同意在确定最终中标人、发出中标通知书之后5个工作日内退还我公司的投标保证金。（如因特殊原因，在投标有效期之后确定中标人，本承诺依然有效。）</w:t>
      </w:r>
    </w:p>
    <w:p w14:paraId="44FF96C3">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⒑综合说明：</w:t>
      </w:r>
    </w:p>
    <w:p w14:paraId="0B6DF068">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（1）材料的详细技术参数、技术条件、技术标准、拟达到的质量标准和保险期限。</w:t>
      </w:r>
    </w:p>
    <w:p w14:paraId="7D34A65E">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（2）易损件、配件及供应方式。</w:t>
      </w:r>
    </w:p>
    <w:p w14:paraId="46057254">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（3）工程安装计划、组织机构及人员安排。</w:t>
      </w:r>
    </w:p>
    <w:p w14:paraId="3E8D016D">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（4）技术服务。</w:t>
      </w:r>
    </w:p>
    <w:p w14:paraId="50C97E65">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（5）运输方式。</w:t>
      </w:r>
    </w:p>
    <w:p w14:paraId="29A2C09E">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（6）要求项目单位提供的配合。</w:t>
      </w:r>
    </w:p>
    <w:p w14:paraId="30480626">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（7）对招标文件内容有不同意见的偏离说明。</w:t>
      </w:r>
    </w:p>
    <w:p w14:paraId="6D633348">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（8）其它。</w:t>
      </w:r>
    </w:p>
    <w:p w14:paraId="3068DE10">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11.我们理解，最低报价不是中标的唯一条件。</w:t>
      </w:r>
    </w:p>
    <w:p w14:paraId="2613EA02">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12.所有有关本标书的函电，请按下列地址联系：</w:t>
      </w:r>
    </w:p>
    <w:p w14:paraId="3DA3D383">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单       位：</w:t>
      </w:r>
    </w:p>
    <w:p w14:paraId="7BAFAB4A">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地       址：</w:t>
      </w:r>
    </w:p>
    <w:p w14:paraId="66FDEFC0">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电       话：</w:t>
      </w:r>
    </w:p>
    <w:p w14:paraId="5F7D21F0">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传       真：</w:t>
      </w:r>
    </w:p>
    <w:p w14:paraId="67D844A9">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邮 政 编 码：</w:t>
      </w:r>
    </w:p>
    <w:p w14:paraId="6DBB109B">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联  系  人：</w:t>
      </w:r>
    </w:p>
    <w:p w14:paraId="466B1158">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投标单位：   （公章）   </w:t>
      </w:r>
    </w:p>
    <w:p w14:paraId="2956635C">
      <w:pPr>
        <w:spacing w:line="360" w:lineRule="atLeast"/>
        <w:ind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授权代表签字：</w:t>
      </w:r>
    </w:p>
    <w:p w14:paraId="1AD9AED7">
      <w:pPr>
        <w:spacing w:line="360" w:lineRule="atLeast"/>
        <w:ind w:firstLine="560"/>
        <w:rPr>
          <w:rFonts w:hint="eastAsia" w:ascii="仿宋" w:hAnsi="仿宋" w:eastAsia="仿宋" w:cs="仿宋"/>
          <w:color w:val="auto"/>
          <w:sz w:val="28"/>
          <w:highlight w:val="none"/>
        </w:rPr>
      </w:pPr>
    </w:p>
    <w:p w14:paraId="6CCA60B8">
      <w:pPr>
        <w:spacing w:line="360" w:lineRule="atLeast"/>
        <w:ind w:firstLine="4877" w:firstLineChars="1742"/>
        <w:jc w:val="right"/>
        <w:rPr>
          <w:rFonts w:hint="eastAsia" w:ascii="仿宋" w:hAnsi="仿宋" w:eastAsia="仿宋" w:cs="仿宋"/>
          <w:b/>
          <w:color w:val="auto"/>
          <w:sz w:val="28"/>
          <w:highlight w:val="none"/>
        </w:rPr>
      </w:pPr>
      <w:r>
        <w:rPr>
          <w:rFonts w:hint="eastAsia" w:ascii="仿宋" w:hAnsi="仿宋" w:eastAsia="仿宋" w:cs="仿宋"/>
          <w:color w:val="auto"/>
          <w:sz w:val="28"/>
          <w:highlight w:val="none"/>
        </w:rPr>
        <w:t>年   月    日</w:t>
      </w:r>
      <w:r>
        <w:rPr>
          <w:rFonts w:hint="eastAsia" w:ascii="仿宋" w:hAnsi="仿宋" w:eastAsia="仿宋" w:cs="仿宋"/>
          <w:b/>
          <w:color w:val="auto"/>
          <w:sz w:val="28"/>
          <w:highlight w:val="none"/>
        </w:rPr>
        <w:br w:type="page"/>
      </w:r>
      <w:r>
        <w:rPr>
          <w:rFonts w:hint="eastAsia" w:ascii="仿宋" w:hAnsi="仿宋" w:eastAsia="仿宋" w:cs="仿宋"/>
          <w:color w:val="auto"/>
          <w:sz w:val="28"/>
          <w:highlight w:val="none"/>
        </w:rPr>
        <w:t>附件二</w:t>
      </w:r>
    </w:p>
    <w:p w14:paraId="40E50101">
      <w:pPr>
        <w:pStyle w:val="4"/>
        <w:spacing w:line="500" w:lineRule="exact"/>
        <w:jc w:val="center"/>
        <w:rPr>
          <w:rFonts w:hint="eastAsia" w:ascii="仿宋" w:hAnsi="仿宋" w:eastAsia="仿宋" w:cs="仿宋"/>
          <w:color w:val="auto"/>
          <w:sz w:val="32"/>
          <w:highlight w:val="none"/>
        </w:rPr>
      </w:pPr>
      <w:r>
        <w:rPr>
          <w:rFonts w:hint="eastAsia" w:ascii="仿宋" w:hAnsi="仿宋" w:eastAsia="仿宋" w:cs="仿宋"/>
          <w:color w:val="auto"/>
          <w:sz w:val="32"/>
          <w:highlight w:val="none"/>
        </w:rPr>
        <w:t>法定代表人资格证明书（格式）</w:t>
      </w:r>
    </w:p>
    <w:p w14:paraId="0C3B9391">
      <w:pPr>
        <w:spacing w:line="500" w:lineRule="exact"/>
        <w:rPr>
          <w:rFonts w:hint="eastAsia" w:ascii="仿宋" w:hAnsi="仿宋" w:eastAsia="仿宋" w:cs="仿宋"/>
          <w:color w:val="auto"/>
          <w:szCs w:val="21"/>
          <w:highlight w:val="none"/>
        </w:rPr>
      </w:pPr>
    </w:p>
    <w:p w14:paraId="2A7BB1D9">
      <w:pPr>
        <w:pStyle w:val="34"/>
        <w:spacing w:line="580" w:lineRule="exact"/>
        <w:ind w:firstLine="560"/>
        <w:rPr>
          <w:rFonts w:hint="eastAsia" w:ascii="仿宋" w:hAnsi="仿宋" w:eastAsia="仿宋" w:cs="仿宋"/>
          <w:color w:val="auto"/>
          <w:highlight w:val="none"/>
          <w:u w:val="single"/>
        </w:rPr>
      </w:pPr>
      <w:r>
        <w:rPr>
          <w:rFonts w:hint="eastAsia" w:ascii="仿宋" w:hAnsi="仿宋" w:eastAsia="仿宋" w:cs="仿宋"/>
          <w:color w:val="auto"/>
          <w:highlight w:val="none"/>
        </w:rPr>
        <w:t>单位名称：</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1ECA3EC3">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地    址：</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5A78D0FE">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姓    名：</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性别：</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职务：</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7BE091E6">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该同志系</w:t>
      </w:r>
      <w:r>
        <w:rPr>
          <w:rFonts w:hint="eastAsia" w:ascii="仿宋" w:hAnsi="仿宋" w:eastAsia="仿宋" w:cs="仿宋"/>
          <w:color w:val="auto"/>
          <w:highlight w:val="none"/>
          <w:u w:val="single"/>
        </w:rPr>
        <w:t>公司</w:t>
      </w:r>
      <w:r>
        <w:rPr>
          <w:rFonts w:hint="eastAsia" w:ascii="仿宋" w:hAnsi="仿宋" w:eastAsia="仿宋" w:cs="仿宋"/>
          <w:color w:val="auto"/>
          <w:highlight w:val="none"/>
        </w:rPr>
        <w:t>的法定代表人。为参加本项目，签署上述的投标文件、进行合同谈判、签署合同和处理与之有关的一切事务。</w:t>
      </w:r>
    </w:p>
    <w:p w14:paraId="7B36633F">
      <w:pPr>
        <w:pStyle w:val="34"/>
        <w:spacing w:line="580" w:lineRule="exact"/>
        <w:ind w:firstLine="560"/>
        <w:rPr>
          <w:rFonts w:hint="eastAsia" w:ascii="仿宋" w:hAnsi="仿宋" w:eastAsia="仿宋" w:cs="仿宋"/>
          <w:color w:val="auto"/>
          <w:highlight w:val="none"/>
        </w:rPr>
      </w:pPr>
    </w:p>
    <w:p w14:paraId="7E835AF4">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特此证明</w:t>
      </w:r>
    </w:p>
    <w:p w14:paraId="6CF3AC33">
      <w:pPr>
        <w:pStyle w:val="34"/>
        <w:ind w:firstLine="560"/>
        <w:rPr>
          <w:rFonts w:hint="eastAsia" w:ascii="仿宋" w:hAnsi="仿宋" w:eastAsia="仿宋" w:cs="仿宋"/>
          <w:color w:val="auto"/>
          <w:highlight w:val="none"/>
        </w:rPr>
      </w:pPr>
    </w:p>
    <w:p w14:paraId="16586EDB">
      <w:pPr>
        <w:pStyle w:val="34"/>
        <w:ind w:firstLine="560"/>
        <w:rPr>
          <w:rFonts w:hint="eastAsia" w:ascii="仿宋" w:hAnsi="仿宋" w:eastAsia="仿宋" w:cs="仿宋"/>
          <w:color w:val="auto"/>
          <w:highlight w:val="none"/>
        </w:rPr>
      </w:pPr>
    </w:p>
    <w:p w14:paraId="04A45E7F">
      <w:pPr>
        <w:pStyle w:val="34"/>
        <w:ind w:firstLine="4200" w:firstLineChars="1500"/>
        <w:rPr>
          <w:rFonts w:hint="eastAsia" w:ascii="仿宋" w:hAnsi="仿宋" w:eastAsia="仿宋" w:cs="仿宋"/>
          <w:color w:val="auto"/>
          <w:highlight w:val="none"/>
        </w:rPr>
      </w:pPr>
      <w:r>
        <w:rPr>
          <w:rFonts w:hint="eastAsia" w:ascii="仿宋" w:hAnsi="仿宋" w:eastAsia="仿宋" w:cs="仿宋"/>
          <w:color w:val="auto"/>
          <w:highlight w:val="none"/>
        </w:rPr>
        <w:t xml:space="preserve">供应商：    （公章）   </w:t>
      </w:r>
    </w:p>
    <w:p w14:paraId="4624276A">
      <w:pPr>
        <w:pStyle w:val="34"/>
        <w:ind w:firstLine="4200" w:firstLineChars="1500"/>
        <w:rPr>
          <w:rFonts w:hint="eastAsia" w:ascii="仿宋" w:hAnsi="仿宋" w:eastAsia="仿宋" w:cs="仿宋"/>
          <w:color w:val="auto"/>
          <w:highlight w:val="none"/>
        </w:rPr>
      </w:pPr>
    </w:p>
    <w:p w14:paraId="6A211B96">
      <w:pPr>
        <w:pStyle w:val="34"/>
        <w:ind w:firstLine="4200" w:firstLineChars="1500"/>
        <w:rPr>
          <w:rFonts w:hint="eastAsia" w:ascii="仿宋" w:hAnsi="仿宋" w:eastAsia="仿宋" w:cs="仿宋"/>
          <w:color w:val="auto"/>
          <w:highlight w:val="none"/>
        </w:rPr>
      </w:pPr>
      <w:r>
        <w:rPr>
          <w:rFonts w:hint="eastAsia" w:ascii="仿宋" w:hAnsi="仿宋" w:eastAsia="仿宋" w:cs="仿宋"/>
          <w:color w:val="auto"/>
          <w:highlight w:val="none"/>
        </w:rPr>
        <w:t>法定代表人签名：</w:t>
      </w:r>
    </w:p>
    <w:p w14:paraId="475DA810">
      <w:pPr>
        <w:pStyle w:val="34"/>
        <w:ind w:firstLine="4200" w:firstLineChars="1500"/>
        <w:rPr>
          <w:rFonts w:hint="eastAsia" w:ascii="仿宋" w:hAnsi="仿宋" w:eastAsia="仿宋" w:cs="仿宋"/>
          <w:color w:val="auto"/>
          <w:highlight w:val="none"/>
        </w:rPr>
      </w:pPr>
    </w:p>
    <w:p w14:paraId="1328DE59">
      <w:pPr>
        <w:pStyle w:val="34"/>
        <w:ind w:firstLine="4200" w:firstLineChars="1500"/>
        <w:rPr>
          <w:rFonts w:hint="eastAsia" w:ascii="仿宋" w:hAnsi="仿宋" w:eastAsia="仿宋" w:cs="仿宋"/>
          <w:color w:val="auto"/>
          <w:highlight w:val="none"/>
        </w:rPr>
      </w:pPr>
      <w:r>
        <w:rPr>
          <w:rFonts w:hint="eastAsia" w:ascii="仿宋" w:hAnsi="仿宋" w:eastAsia="仿宋" w:cs="仿宋"/>
          <w:color w:val="auto"/>
          <w:highlight w:val="none"/>
        </w:rPr>
        <w:t>日  期：   年   月   日</w:t>
      </w:r>
    </w:p>
    <w:p w14:paraId="021FFA60">
      <w:pPr>
        <w:ind w:firstLine="562"/>
        <w:jc w:val="right"/>
        <w:rPr>
          <w:rFonts w:hint="eastAsia" w:ascii="仿宋" w:hAnsi="仿宋" w:eastAsia="仿宋" w:cs="仿宋"/>
          <w:color w:val="auto"/>
          <w:highlight w:val="none"/>
        </w:rPr>
      </w:pPr>
      <w:r>
        <w:rPr>
          <w:rFonts w:hint="eastAsia" w:ascii="仿宋" w:hAnsi="仿宋" w:eastAsia="仿宋" w:cs="仿宋"/>
          <w:b/>
          <w:bCs/>
          <w:color w:val="auto"/>
          <w:sz w:val="24"/>
          <w:szCs w:val="21"/>
          <w:highlight w:val="none"/>
        </w:rPr>
        <w:br w:type="page"/>
      </w:r>
    </w:p>
    <w:p w14:paraId="7EE109E0">
      <w:pPr>
        <w:rPr>
          <w:rFonts w:hint="eastAsia" w:ascii="仿宋" w:hAnsi="仿宋" w:eastAsia="仿宋" w:cs="仿宋"/>
          <w:color w:val="auto"/>
          <w:highlight w:val="none"/>
        </w:rPr>
      </w:pPr>
    </w:p>
    <w:p w14:paraId="6E25885C">
      <w:pPr>
        <w:pStyle w:val="4"/>
        <w:spacing w:line="500" w:lineRule="exact"/>
        <w:jc w:val="center"/>
        <w:rPr>
          <w:rFonts w:hint="eastAsia" w:ascii="仿宋" w:hAnsi="仿宋" w:eastAsia="仿宋" w:cs="仿宋"/>
          <w:color w:val="auto"/>
          <w:sz w:val="32"/>
          <w:highlight w:val="none"/>
        </w:rPr>
      </w:pPr>
      <w:r>
        <w:rPr>
          <w:rFonts w:hint="eastAsia" w:ascii="仿宋" w:hAnsi="仿宋" w:eastAsia="仿宋" w:cs="仿宋"/>
          <w:color w:val="auto"/>
          <w:sz w:val="32"/>
          <w:highlight w:val="none"/>
        </w:rPr>
        <w:t>法定代表人授权委托书（格式）</w:t>
      </w:r>
    </w:p>
    <w:p w14:paraId="5533E898">
      <w:pPr>
        <w:spacing w:line="500" w:lineRule="exact"/>
        <w:rPr>
          <w:rFonts w:hint="eastAsia" w:ascii="仿宋" w:hAnsi="仿宋" w:eastAsia="仿宋" w:cs="仿宋"/>
          <w:color w:val="auto"/>
          <w:szCs w:val="21"/>
          <w:highlight w:val="none"/>
        </w:rPr>
      </w:pPr>
    </w:p>
    <w:p w14:paraId="38A2B740">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本授权委托书声明：我</w:t>
      </w:r>
      <w:r>
        <w:rPr>
          <w:rFonts w:hint="eastAsia" w:ascii="仿宋" w:hAnsi="仿宋" w:eastAsia="仿宋" w:cs="仿宋"/>
          <w:color w:val="auto"/>
          <w:highlight w:val="none"/>
          <w:u w:val="single"/>
        </w:rPr>
        <w:t>（姓名）</w:t>
      </w:r>
      <w:r>
        <w:rPr>
          <w:rFonts w:hint="eastAsia" w:ascii="仿宋" w:hAnsi="仿宋" w:eastAsia="仿宋" w:cs="仿宋"/>
          <w:color w:val="auto"/>
          <w:highlight w:val="none"/>
        </w:rPr>
        <w:t>系</w:t>
      </w:r>
      <w:r>
        <w:rPr>
          <w:rFonts w:hint="eastAsia" w:ascii="仿宋" w:hAnsi="仿宋" w:eastAsia="仿宋" w:cs="仿宋"/>
          <w:color w:val="auto"/>
          <w:highlight w:val="none"/>
          <w:u w:val="single"/>
        </w:rPr>
        <w:t>（供应商名称）</w:t>
      </w:r>
      <w:r>
        <w:rPr>
          <w:rFonts w:hint="eastAsia" w:ascii="仿宋" w:hAnsi="仿宋" w:eastAsia="仿宋" w:cs="仿宋"/>
          <w:color w:val="auto"/>
          <w:highlight w:val="none"/>
        </w:rPr>
        <w:t>的法定代表人，现授权委托</w:t>
      </w:r>
      <w:r>
        <w:rPr>
          <w:rFonts w:hint="eastAsia" w:ascii="仿宋" w:hAnsi="仿宋" w:eastAsia="仿宋" w:cs="仿宋"/>
          <w:color w:val="auto"/>
          <w:highlight w:val="none"/>
          <w:u w:val="single"/>
        </w:rPr>
        <w:t>（单位名称）</w:t>
      </w:r>
      <w:r>
        <w:rPr>
          <w:rFonts w:hint="eastAsia" w:ascii="仿宋" w:hAnsi="仿宋" w:eastAsia="仿宋" w:cs="仿宋"/>
          <w:color w:val="auto"/>
          <w:highlight w:val="none"/>
        </w:rPr>
        <w:t>的</w:t>
      </w:r>
      <w:r>
        <w:rPr>
          <w:rFonts w:hint="eastAsia" w:ascii="仿宋" w:hAnsi="仿宋" w:eastAsia="仿宋" w:cs="仿宋"/>
          <w:color w:val="auto"/>
          <w:highlight w:val="none"/>
          <w:u w:val="single"/>
        </w:rPr>
        <w:t>（姓名）</w:t>
      </w:r>
      <w:r>
        <w:rPr>
          <w:rFonts w:hint="eastAsia" w:ascii="仿宋" w:hAnsi="仿宋" w:eastAsia="仿宋" w:cs="仿宋"/>
          <w:color w:val="auto"/>
          <w:highlight w:val="none"/>
        </w:rPr>
        <w:t>为我公司签署本项目投标文件的法定代表人授权委托代理人，全权代表我单位处理本次投标的有关事宜。代理人所签署的一切有关文件，我单位均予承认。</w:t>
      </w:r>
    </w:p>
    <w:p w14:paraId="23366132">
      <w:pPr>
        <w:pStyle w:val="34"/>
        <w:spacing w:line="580" w:lineRule="exact"/>
        <w:ind w:firstLine="560"/>
        <w:rPr>
          <w:rFonts w:hint="eastAsia" w:ascii="仿宋" w:hAnsi="仿宋" w:eastAsia="仿宋" w:cs="仿宋"/>
          <w:color w:val="auto"/>
          <w:highlight w:val="none"/>
        </w:rPr>
      </w:pPr>
    </w:p>
    <w:p w14:paraId="56683E67">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代理人无转委托权，特此声明！</w:t>
      </w:r>
    </w:p>
    <w:p w14:paraId="621D4A6A">
      <w:pPr>
        <w:pStyle w:val="34"/>
        <w:spacing w:line="580" w:lineRule="exact"/>
        <w:ind w:firstLine="560"/>
        <w:rPr>
          <w:rFonts w:hint="eastAsia" w:ascii="仿宋" w:hAnsi="仿宋" w:eastAsia="仿宋" w:cs="仿宋"/>
          <w:color w:val="auto"/>
          <w:highlight w:val="none"/>
        </w:rPr>
      </w:pPr>
    </w:p>
    <w:p w14:paraId="53CAFE89">
      <w:pPr>
        <w:pStyle w:val="34"/>
        <w:spacing w:line="580" w:lineRule="exact"/>
        <w:ind w:firstLine="560"/>
        <w:rPr>
          <w:rFonts w:hint="eastAsia" w:ascii="仿宋" w:hAnsi="仿宋" w:eastAsia="仿宋" w:cs="仿宋"/>
          <w:color w:val="auto"/>
          <w:highlight w:val="none"/>
        </w:rPr>
      </w:pPr>
    </w:p>
    <w:p w14:paraId="26A7F50B">
      <w:pPr>
        <w:pStyle w:val="34"/>
        <w:spacing w:line="580" w:lineRule="exact"/>
        <w:ind w:firstLine="560"/>
        <w:rPr>
          <w:rFonts w:hint="eastAsia" w:ascii="仿宋" w:hAnsi="仿宋" w:eastAsia="仿宋" w:cs="仿宋"/>
          <w:color w:val="auto"/>
          <w:highlight w:val="none"/>
        </w:rPr>
      </w:pPr>
    </w:p>
    <w:p w14:paraId="3434786A">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代理人：           姓名：            性别：            年龄：</w:t>
      </w:r>
    </w:p>
    <w:p w14:paraId="3E4D590F">
      <w:pPr>
        <w:pStyle w:val="34"/>
        <w:spacing w:line="580" w:lineRule="exact"/>
        <w:ind w:firstLine="560"/>
        <w:rPr>
          <w:rFonts w:hint="eastAsia" w:ascii="仿宋" w:hAnsi="仿宋" w:eastAsia="仿宋" w:cs="仿宋"/>
          <w:color w:val="auto"/>
          <w:highlight w:val="none"/>
        </w:rPr>
      </w:pPr>
    </w:p>
    <w:p w14:paraId="30D0A241">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身份证号码：                         职务：</w:t>
      </w:r>
    </w:p>
    <w:p w14:paraId="6F894D1C">
      <w:pPr>
        <w:pStyle w:val="34"/>
        <w:spacing w:line="580" w:lineRule="exact"/>
        <w:ind w:firstLine="560"/>
        <w:rPr>
          <w:rFonts w:hint="eastAsia" w:ascii="仿宋" w:hAnsi="仿宋" w:eastAsia="仿宋" w:cs="仿宋"/>
          <w:color w:val="auto"/>
          <w:highlight w:val="none"/>
        </w:rPr>
      </w:pPr>
    </w:p>
    <w:p w14:paraId="2A7795F4">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 xml:space="preserve">供应商：    （盖章）  </w:t>
      </w:r>
    </w:p>
    <w:p w14:paraId="6D135523">
      <w:pPr>
        <w:pStyle w:val="34"/>
        <w:spacing w:line="580" w:lineRule="exact"/>
        <w:ind w:firstLine="560"/>
        <w:rPr>
          <w:rFonts w:hint="eastAsia" w:ascii="仿宋" w:hAnsi="仿宋" w:eastAsia="仿宋" w:cs="仿宋"/>
          <w:color w:val="auto"/>
          <w:highlight w:val="none"/>
        </w:rPr>
      </w:pPr>
    </w:p>
    <w:p w14:paraId="267B391D">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 xml:space="preserve">法定代表人：      （签字）    </w:t>
      </w:r>
    </w:p>
    <w:p w14:paraId="78EC1949">
      <w:pPr>
        <w:pStyle w:val="34"/>
        <w:spacing w:line="580" w:lineRule="exact"/>
        <w:ind w:firstLine="560"/>
        <w:rPr>
          <w:rFonts w:hint="eastAsia" w:ascii="仿宋" w:hAnsi="仿宋" w:eastAsia="仿宋" w:cs="仿宋"/>
          <w:color w:val="auto"/>
          <w:highlight w:val="none"/>
        </w:rPr>
      </w:pPr>
    </w:p>
    <w:p w14:paraId="151AEA6F">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授权委托日期：   年   月   日</w:t>
      </w:r>
    </w:p>
    <w:p w14:paraId="6102E429">
      <w:pPr>
        <w:pStyle w:val="34"/>
        <w:spacing w:line="580" w:lineRule="exact"/>
        <w:ind w:firstLine="560"/>
        <w:rPr>
          <w:rFonts w:hint="eastAsia" w:ascii="仿宋" w:hAnsi="仿宋" w:eastAsia="仿宋" w:cs="仿宋"/>
          <w:color w:val="auto"/>
          <w:highlight w:val="none"/>
        </w:rPr>
      </w:pPr>
    </w:p>
    <w:p w14:paraId="7EC265AA">
      <w:pPr>
        <w:ind w:firstLine="562"/>
        <w:jc w:val="right"/>
        <w:rPr>
          <w:rFonts w:hint="eastAsia" w:ascii="仿宋" w:hAnsi="仿宋" w:eastAsia="仿宋" w:cs="仿宋"/>
          <w:color w:val="auto"/>
          <w:sz w:val="28"/>
          <w:highlight w:val="none"/>
        </w:rPr>
      </w:pPr>
      <w:r>
        <w:rPr>
          <w:rFonts w:hint="eastAsia" w:ascii="仿宋" w:hAnsi="仿宋" w:eastAsia="仿宋" w:cs="仿宋"/>
          <w:color w:val="auto"/>
          <w:sz w:val="28"/>
          <w:highlight w:val="none"/>
        </w:rPr>
        <w:br w:type="page"/>
      </w:r>
      <w:r>
        <w:rPr>
          <w:rFonts w:hint="eastAsia" w:ascii="仿宋" w:hAnsi="仿宋" w:eastAsia="仿宋" w:cs="仿宋"/>
          <w:color w:val="auto"/>
          <w:sz w:val="28"/>
          <w:highlight w:val="none"/>
        </w:rPr>
        <w:t>附件三</w:t>
      </w:r>
    </w:p>
    <w:p w14:paraId="5994F9D1">
      <w:pPr>
        <w:rPr>
          <w:rFonts w:hint="eastAsia" w:ascii="仿宋" w:hAnsi="仿宋" w:eastAsia="仿宋" w:cs="仿宋"/>
          <w:color w:val="auto"/>
          <w:highlight w:val="none"/>
        </w:rPr>
      </w:pPr>
    </w:p>
    <w:p w14:paraId="0AF0BB42">
      <w:pPr>
        <w:jc w:val="center"/>
        <w:rPr>
          <w:rFonts w:hint="eastAsia" w:ascii="仿宋" w:hAnsi="仿宋" w:eastAsia="仿宋" w:cs="仿宋"/>
          <w:color w:val="auto"/>
          <w:highlight w:val="none"/>
        </w:rPr>
      </w:pPr>
    </w:p>
    <w:p w14:paraId="36033033">
      <w:pPr>
        <w:pStyle w:val="4"/>
        <w:spacing w:line="500" w:lineRule="exact"/>
        <w:jc w:val="center"/>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供应商关于投标文件的声明函</w:t>
      </w:r>
    </w:p>
    <w:p w14:paraId="263549A5">
      <w:pPr>
        <w:adjustRightInd w:val="0"/>
        <w:snapToGrid w:val="0"/>
        <w:spacing w:line="360" w:lineRule="auto"/>
        <w:ind w:firstLine="560" w:firstLineChars="200"/>
        <w:rPr>
          <w:rFonts w:hint="eastAsia" w:ascii="仿宋" w:hAnsi="仿宋" w:eastAsia="仿宋" w:cs="仿宋"/>
          <w:color w:val="auto"/>
          <w:sz w:val="28"/>
          <w:szCs w:val="28"/>
          <w:highlight w:val="none"/>
        </w:rPr>
      </w:pPr>
    </w:p>
    <w:p w14:paraId="74812551">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致：新疆新之建工程咨询有限公司：</w:t>
      </w:r>
    </w:p>
    <w:p w14:paraId="2916A922">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为响应你方</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投标邀请，下述签字人对招标文件已了解并认可并自愿参与投标，提供招标文件技术需求书中规定的</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项目，提交下述投标文件并声明全部内容是真实的、并承担相关法律责任。如果提供的投标文件如：文字、图片、证明资料等出现虚假不真实等内容，我公司承担全部法律责任及后果。</w:t>
      </w:r>
    </w:p>
    <w:p w14:paraId="2876E610">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下述签字人将就下述文件中存在的虚假或不真实内容对招标代理机构和招标人承担法律责任。</w:t>
      </w:r>
    </w:p>
    <w:p w14:paraId="68EF9B43">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我公司签署下述声明函，证明投标文件中的全部内容是真实的和正确的，无虚假内容，如有虚假或违反承诺，愿意接受取消投标人资格、中标资格及没收投标保证金、履约保证金的决定同时愿意接受行政主管部门依法作出的处罚决定及因此产生的法律问题。</w:t>
      </w:r>
    </w:p>
    <w:p w14:paraId="0CC63A7C">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下述签字人知道，招标人可能要求其提供进一步的资格材料并同意按招标人的要求提交。</w:t>
      </w:r>
    </w:p>
    <w:p w14:paraId="04A8A57A">
      <w:pPr>
        <w:pStyle w:val="34"/>
        <w:spacing w:line="580" w:lineRule="exact"/>
        <w:ind w:firstLine="560"/>
        <w:rPr>
          <w:rFonts w:hint="eastAsia" w:ascii="仿宋" w:hAnsi="仿宋" w:eastAsia="仿宋" w:cs="仿宋"/>
          <w:color w:val="auto"/>
          <w:highlight w:val="none"/>
        </w:rPr>
      </w:pPr>
    </w:p>
    <w:p w14:paraId="79235ADF">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 xml:space="preserve">供应商：    （公章）  </w:t>
      </w:r>
    </w:p>
    <w:p w14:paraId="00368689">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32A34462">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 xml:space="preserve">法人代表或其被授权人：      （签字）       </w:t>
      </w:r>
    </w:p>
    <w:p w14:paraId="62FF9BEB">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日期：   年   月   日</w:t>
      </w:r>
    </w:p>
    <w:p w14:paraId="320746D2">
      <w:pPr>
        <w:ind w:firstLine="562"/>
        <w:jc w:val="right"/>
        <w:rPr>
          <w:rFonts w:hint="eastAsia" w:ascii="仿宋" w:hAnsi="仿宋" w:eastAsia="仿宋" w:cs="仿宋"/>
          <w:color w:val="auto"/>
          <w:sz w:val="28"/>
          <w:highlight w:val="none"/>
        </w:rPr>
      </w:pPr>
      <w:r>
        <w:rPr>
          <w:rFonts w:hint="eastAsia" w:ascii="仿宋" w:hAnsi="仿宋" w:eastAsia="仿宋" w:cs="仿宋"/>
          <w:color w:val="auto"/>
          <w:highlight w:val="none"/>
        </w:rPr>
        <w:br w:type="page"/>
      </w:r>
      <w:r>
        <w:rPr>
          <w:rFonts w:hint="eastAsia" w:ascii="仿宋" w:hAnsi="仿宋" w:eastAsia="仿宋" w:cs="仿宋"/>
          <w:color w:val="auto"/>
          <w:sz w:val="28"/>
          <w:highlight w:val="none"/>
        </w:rPr>
        <w:t>附件四</w:t>
      </w:r>
    </w:p>
    <w:p w14:paraId="438EB238">
      <w:pPr>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供应商诚信投标承诺书</w:t>
      </w:r>
    </w:p>
    <w:p w14:paraId="6CBD55F3">
      <w:pPr>
        <w:jc w:val="center"/>
        <w:rPr>
          <w:rFonts w:hint="eastAsia" w:ascii="仿宋" w:hAnsi="仿宋" w:eastAsia="仿宋" w:cs="仿宋"/>
          <w:b/>
          <w:color w:val="auto"/>
          <w:sz w:val="10"/>
          <w:szCs w:val="10"/>
          <w:highlight w:val="none"/>
        </w:rPr>
      </w:pPr>
    </w:p>
    <w:p w14:paraId="22CAEE66">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本人以企业法定代表人的身份郑重承诺：</w:t>
      </w:r>
    </w:p>
    <w:p w14:paraId="12A7AAA5">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一、投标文件中所提供的一切材料都是真实、有效、合法的；</w:t>
      </w:r>
    </w:p>
    <w:p w14:paraId="22763A89">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二、不以他人名义投标或者以其他方式弄虚作假，骗取中标；</w:t>
      </w:r>
    </w:p>
    <w:p w14:paraId="7BF99C08">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三、不与其他供应商互相串通投标，不排挤其他供应商的公平竞争，不损害招标人的合法权益；</w:t>
      </w:r>
    </w:p>
    <w:p w14:paraId="501D9EC2">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四、不与招标人或者招标代理机构串通投标，损害国家利益、社会公共利益或者他人的合法权益；</w:t>
      </w:r>
    </w:p>
    <w:p w14:paraId="6B51CBE7">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五、不向招标人或者评标委员会成员行贿以牟取中标；</w:t>
      </w:r>
    </w:p>
    <w:p w14:paraId="7BE8E56A">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六、如在投标过程和公示期间需要投诉，则保证按照《中华人民共和国招标投标法》的要求进行。投诉的内容和程序符合法律法规的规定，投诉材料加盖企业公章或由法定代表人或授权委托人签字，并附有相关身份证明复印件；</w:t>
      </w:r>
    </w:p>
    <w:p w14:paraId="653301B1">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七、遵守《中华人民共和国政府采购法》、《政府采购货物和服务招标投标管理办法》（财政部87号令）、《政府采购非招标采购方式管理办法》（财政部74号令）的规定，保证不进行恶意投诉。</w:t>
      </w:r>
    </w:p>
    <w:p w14:paraId="6518EFEA">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14:paraId="596D95E5">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供应商：（公章）</w:t>
      </w:r>
    </w:p>
    <w:p w14:paraId="334B323D">
      <w:pPr>
        <w:pStyle w:val="34"/>
        <w:spacing w:line="580" w:lineRule="exact"/>
        <w:ind w:firstLine="560"/>
        <w:rPr>
          <w:rFonts w:hint="eastAsia" w:ascii="仿宋" w:hAnsi="仿宋" w:eastAsia="仿宋" w:cs="仿宋"/>
          <w:color w:val="auto"/>
          <w:highlight w:val="none"/>
        </w:rPr>
      </w:pPr>
    </w:p>
    <w:p w14:paraId="5E8CBCA1">
      <w:pPr>
        <w:pStyle w:val="34"/>
        <w:spacing w:line="580" w:lineRule="exact"/>
        <w:ind w:firstLine="560"/>
        <w:rPr>
          <w:rFonts w:hint="eastAsia" w:ascii="仿宋" w:hAnsi="仿宋" w:eastAsia="仿宋" w:cs="仿宋"/>
          <w:color w:val="auto"/>
          <w:highlight w:val="none"/>
        </w:rPr>
      </w:pPr>
      <w:r>
        <w:rPr>
          <w:rFonts w:hint="eastAsia" w:ascii="仿宋" w:hAnsi="仿宋" w:eastAsia="仿宋" w:cs="仿宋"/>
          <w:color w:val="auto"/>
          <w:highlight w:val="none"/>
        </w:rPr>
        <w:t>法定代表人：（签字）       法定代表授权委托人：（签字）</w:t>
      </w:r>
    </w:p>
    <w:p w14:paraId="5382A411">
      <w:pPr>
        <w:ind w:firstLine="562"/>
        <w:jc w:val="right"/>
        <w:rPr>
          <w:rFonts w:hint="eastAsia" w:ascii="仿宋" w:hAnsi="仿宋" w:eastAsia="仿宋" w:cs="仿宋"/>
          <w:color w:val="auto"/>
          <w:sz w:val="28"/>
          <w:highlight w:val="none"/>
        </w:rPr>
      </w:pPr>
      <w:r>
        <w:rPr>
          <w:rFonts w:hint="eastAsia" w:ascii="仿宋" w:hAnsi="仿宋" w:eastAsia="仿宋" w:cs="仿宋"/>
          <w:color w:val="auto"/>
          <w:sz w:val="28"/>
          <w:szCs w:val="28"/>
          <w:highlight w:val="none"/>
        </w:rPr>
        <w:br w:type="page"/>
      </w:r>
      <w:bookmarkStart w:id="26" w:name="_Toc435087575"/>
      <w:r>
        <w:rPr>
          <w:rFonts w:hint="eastAsia" w:ascii="仿宋" w:hAnsi="仿宋" w:eastAsia="仿宋" w:cs="仿宋"/>
          <w:color w:val="auto"/>
          <w:sz w:val="28"/>
          <w:highlight w:val="none"/>
        </w:rPr>
        <w:t>附件</w:t>
      </w:r>
      <w:bookmarkEnd w:id="26"/>
      <w:r>
        <w:rPr>
          <w:rFonts w:hint="eastAsia" w:ascii="仿宋" w:hAnsi="仿宋" w:eastAsia="仿宋" w:cs="仿宋"/>
          <w:color w:val="auto"/>
          <w:sz w:val="28"/>
          <w:highlight w:val="none"/>
        </w:rPr>
        <w:t>五</w:t>
      </w:r>
    </w:p>
    <w:p w14:paraId="321B0253">
      <w:pPr>
        <w:jc w:val="center"/>
        <w:rPr>
          <w:rFonts w:hint="eastAsia" w:ascii="仿宋" w:hAnsi="仿宋" w:eastAsia="仿宋" w:cs="仿宋"/>
          <w:b/>
          <w:color w:val="auto"/>
          <w:kern w:val="0"/>
          <w:sz w:val="32"/>
          <w:szCs w:val="32"/>
          <w:highlight w:val="none"/>
          <w:lang w:val="zh-CN"/>
        </w:rPr>
      </w:pPr>
      <w:r>
        <w:rPr>
          <w:rFonts w:hint="eastAsia" w:ascii="仿宋" w:hAnsi="仿宋" w:eastAsia="仿宋" w:cs="仿宋"/>
          <w:b/>
          <w:color w:val="auto"/>
          <w:kern w:val="0"/>
          <w:sz w:val="32"/>
          <w:szCs w:val="32"/>
          <w:highlight w:val="none"/>
          <w:lang w:val="zh-CN"/>
        </w:rPr>
        <w:t>供应商反商业贿赂承诺书</w:t>
      </w:r>
    </w:p>
    <w:p w14:paraId="04FCE970">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lang w:val="zh-CN"/>
        </w:rPr>
      </w:pPr>
    </w:p>
    <w:p w14:paraId="014BD0C2">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在</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号（项目）招标活动中，我公司承诺如下 ：</w:t>
      </w:r>
    </w:p>
    <w:p w14:paraId="12A8E1E1">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1、不给予国家工作人员及其亲属各种形式的商业贿赂（包括送礼金礼品、有价证券、购物券、回扣、佣金、咨询费、劳务费、赞助费、宣传费、支付旅游费用、报销各种消费凭证、宴请、娱乐等）；</w:t>
      </w:r>
    </w:p>
    <w:p w14:paraId="2052A2F3">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2、不与投标人相互勾结私下协议，弄虚作假，搞假招标、陪标、串通投标，明招暗定，暗箱操作。</w:t>
      </w:r>
    </w:p>
    <w:p w14:paraId="1F645640">
      <w:pPr>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3、我公司法人及项目参与人员有亲戚担任业主方副科级以上领导职务时，自愿放弃此次投标权。</w:t>
      </w:r>
    </w:p>
    <w:p w14:paraId="468A9374">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如有上述行为，一经发现，我公司及项目参与人员愿意按照《政府采购法》、《招投标法》、《反不正当竞争法》的有关规定接受处罚。</w:t>
      </w:r>
    </w:p>
    <w:p w14:paraId="6486433E">
      <w:pPr>
        <w:autoSpaceDE w:val="0"/>
        <w:autoSpaceDN w:val="0"/>
        <w:adjustRightInd w:val="0"/>
        <w:snapToGrid w:val="0"/>
        <w:spacing w:line="360" w:lineRule="auto"/>
        <w:ind w:firstLine="560" w:firstLineChars="200"/>
        <w:jc w:val="left"/>
        <w:rPr>
          <w:rFonts w:hint="eastAsia" w:ascii="仿宋" w:hAnsi="仿宋" w:eastAsia="仿宋" w:cs="仿宋"/>
          <w:color w:val="auto"/>
          <w:kern w:val="0"/>
          <w:sz w:val="28"/>
          <w:szCs w:val="28"/>
          <w:highlight w:val="none"/>
        </w:rPr>
      </w:pPr>
    </w:p>
    <w:p w14:paraId="475A013A">
      <w:pPr>
        <w:autoSpaceDE w:val="0"/>
        <w:autoSpaceDN w:val="0"/>
        <w:adjustRightInd w:val="0"/>
        <w:spacing w:line="360" w:lineRule="auto"/>
        <w:ind w:left="221"/>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公司法人代表：</w:t>
      </w:r>
      <w:r>
        <w:rPr>
          <w:rFonts w:hint="eastAsia" w:ascii="仿宋" w:hAnsi="仿宋" w:eastAsia="仿宋" w:cs="仿宋"/>
          <w:color w:val="auto"/>
          <w:kern w:val="0"/>
          <w:sz w:val="24"/>
          <w:szCs w:val="24"/>
          <w:highlight w:val="none"/>
          <w:u w:val="single"/>
        </w:rPr>
        <w:t xml:space="preserve">   （签字）   .</w:t>
      </w:r>
    </w:p>
    <w:p w14:paraId="5F051128">
      <w:pPr>
        <w:autoSpaceDE w:val="0"/>
        <w:autoSpaceDN w:val="0"/>
        <w:adjustRightInd w:val="0"/>
        <w:spacing w:line="360" w:lineRule="auto"/>
        <w:ind w:left="221"/>
        <w:rPr>
          <w:rFonts w:hint="eastAsia" w:ascii="仿宋" w:hAnsi="仿宋" w:eastAsia="仿宋" w:cs="仿宋"/>
          <w:color w:val="auto"/>
          <w:kern w:val="0"/>
          <w:sz w:val="24"/>
          <w:szCs w:val="24"/>
          <w:highlight w:val="none"/>
        </w:rPr>
      </w:pPr>
    </w:p>
    <w:p w14:paraId="0BD91365">
      <w:pPr>
        <w:autoSpaceDE w:val="0"/>
        <w:autoSpaceDN w:val="0"/>
        <w:adjustRightInd w:val="0"/>
        <w:spacing w:line="360" w:lineRule="auto"/>
        <w:ind w:left="221"/>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法人授权代表：</w:t>
      </w:r>
      <w:r>
        <w:rPr>
          <w:rFonts w:hint="eastAsia" w:ascii="仿宋" w:hAnsi="仿宋" w:eastAsia="仿宋" w:cs="仿宋"/>
          <w:color w:val="auto"/>
          <w:kern w:val="0"/>
          <w:sz w:val="24"/>
          <w:szCs w:val="24"/>
          <w:highlight w:val="none"/>
          <w:u w:val="single"/>
        </w:rPr>
        <w:t xml:space="preserve">   （签字）   .</w:t>
      </w:r>
    </w:p>
    <w:p w14:paraId="487E9248">
      <w:pPr>
        <w:autoSpaceDE w:val="0"/>
        <w:autoSpaceDN w:val="0"/>
        <w:adjustRightInd w:val="0"/>
        <w:spacing w:line="360" w:lineRule="auto"/>
        <w:ind w:left="221"/>
        <w:rPr>
          <w:rFonts w:hint="eastAsia" w:ascii="仿宋" w:hAnsi="仿宋" w:eastAsia="仿宋" w:cs="仿宋"/>
          <w:color w:val="auto"/>
          <w:kern w:val="0"/>
          <w:sz w:val="24"/>
          <w:szCs w:val="24"/>
          <w:highlight w:val="none"/>
        </w:rPr>
      </w:pPr>
    </w:p>
    <w:p w14:paraId="688472D2">
      <w:pPr>
        <w:autoSpaceDE w:val="0"/>
        <w:autoSpaceDN w:val="0"/>
        <w:adjustRightInd w:val="0"/>
        <w:spacing w:line="360" w:lineRule="auto"/>
        <w:ind w:left="221"/>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4"/>
          <w:szCs w:val="24"/>
          <w:highlight w:val="none"/>
        </w:rPr>
        <w:t>项 目 经 理：</w:t>
      </w:r>
      <w:r>
        <w:rPr>
          <w:rFonts w:hint="eastAsia" w:ascii="仿宋" w:hAnsi="仿宋" w:eastAsia="仿宋" w:cs="仿宋"/>
          <w:color w:val="auto"/>
          <w:kern w:val="0"/>
          <w:sz w:val="24"/>
          <w:szCs w:val="24"/>
          <w:highlight w:val="none"/>
          <w:u w:val="single"/>
        </w:rPr>
        <w:t xml:space="preserve">   （签字）    </w:t>
      </w:r>
      <w:r>
        <w:rPr>
          <w:rFonts w:hint="eastAsia" w:ascii="仿宋" w:hAnsi="仿宋" w:eastAsia="仿宋" w:cs="仿宋"/>
          <w:color w:val="auto"/>
          <w:kern w:val="0"/>
          <w:sz w:val="28"/>
          <w:szCs w:val="28"/>
          <w:highlight w:val="none"/>
          <w:u w:val="single"/>
        </w:rPr>
        <w:t>.</w:t>
      </w:r>
    </w:p>
    <w:p w14:paraId="205C6A1A">
      <w:pPr>
        <w:autoSpaceDE w:val="0"/>
        <w:autoSpaceDN w:val="0"/>
        <w:adjustRightInd w:val="0"/>
        <w:spacing w:line="360" w:lineRule="auto"/>
        <w:ind w:left="221"/>
        <w:rPr>
          <w:rFonts w:hint="eastAsia" w:ascii="仿宋" w:hAnsi="仿宋" w:eastAsia="仿宋" w:cs="仿宋"/>
          <w:color w:val="auto"/>
          <w:kern w:val="0"/>
          <w:sz w:val="28"/>
          <w:szCs w:val="28"/>
          <w:highlight w:val="none"/>
        </w:rPr>
      </w:pPr>
    </w:p>
    <w:p w14:paraId="48780BC4">
      <w:pPr>
        <w:autoSpaceDE w:val="0"/>
        <w:autoSpaceDN w:val="0"/>
        <w:adjustRightInd w:val="0"/>
        <w:spacing w:line="360" w:lineRule="auto"/>
        <w:jc w:val="right"/>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u w:val="single"/>
        </w:rPr>
        <w:t xml:space="preserve">       公司签章       .</w:t>
      </w:r>
    </w:p>
    <w:p w14:paraId="2E21E476">
      <w:pPr>
        <w:pStyle w:val="34"/>
        <w:spacing w:line="580" w:lineRule="exact"/>
        <w:ind w:firstLine="560"/>
        <w:jc w:val="right"/>
        <w:rPr>
          <w:rFonts w:hint="eastAsia" w:ascii="仿宋" w:hAnsi="仿宋" w:eastAsia="仿宋" w:cs="仿宋"/>
          <w:color w:val="auto"/>
          <w:kern w:val="0"/>
          <w:szCs w:val="28"/>
          <w:highlight w:val="none"/>
        </w:rPr>
      </w:pPr>
      <w:r>
        <w:rPr>
          <w:rFonts w:hint="eastAsia" w:ascii="仿宋" w:hAnsi="仿宋" w:eastAsia="仿宋" w:cs="仿宋"/>
          <w:color w:val="auto"/>
          <w:kern w:val="0"/>
          <w:szCs w:val="28"/>
          <w:highlight w:val="none"/>
        </w:rPr>
        <w:t>年      月     日</w:t>
      </w:r>
    </w:p>
    <w:p w14:paraId="0389DE09">
      <w:pPr>
        <w:pStyle w:val="34"/>
        <w:spacing w:line="580" w:lineRule="exact"/>
        <w:ind w:firstLine="560"/>
        <w:rPr>
          <w:rFonts w:hint="eastAsia" w:ascii="仿宋" w:hAnsi="仿宋" w:eastAsia="仿宋" w:cs="仿宋"/>
          <w:color w:val="auto"/>
          <w:highlight w:val="none"/>
        </w:rPr>
      </w:pPr>
    </w:p>
    <w:p w14:paraId="3884877D">
      <w:pPr>
        <w:ind w:firstLine="622"/>
        <w:rPr>
          <w:rFonts w:hint="eastAsia" w:ascii="仿宋" w:hAnsi="仿宋" w:eastAsia="仿宋" w:cs="仿宋"/>
          <w:b/>
          <w:color w:val="auto"/>
          <w:sz w:val="31"/>
          <w:highlight w:val="none"/>
        </w:rPr>
        <w:sectPr>
          <w:pgSz w:w="11906" w:h="16838"/>
          <w:pgMar w:top="1247" w:right="1134" w:bottom="1247" w:left="1134" w:header="851" w:footer="851" w:gutter="0"/>
          <w:cols w:space="720" w:num="1"/>
          <w:docGrid w:type="linesAndChars" w:linePitch="312" w:charSpace="0"/>
        </w:sectPr>
      </w:pPr>
    </w:p>
    <w:p w14:paraId="62E88E14">
      <w:pPr>
        <w:ind w:firstLine="560"/>
        <w:jc w:val="right"/>
        <w:rPr>
          <w:rFonts w:hint="eastAsia" w:ascii="仿宋" w:hAnsi="仿宋" w:eastAsia="仿宋" w:cs="仿宋"/>
          <w:b/>
          <w:color w:val="auto"/>
          <w:sz w:val="28"/>
          <w:highlight w:val="none"/>
        </w:rPr>
      </w:pPr>
      <w:r>
        <w:rPr>
          <w:rFonts w:hint="eastAsia" w:ascii="仿宋" w:hAnsi="仿宋" w:eastAsia="仿宋" w:cs="仿宋"/>
          <w:color w:val="auto"/>
          <w:sz w:val="28"/>
          <w:highlight w:val="none"/>
        </w:rPr>
        <w:t>附件六</w:t>
      </w:r>
    </w:p>
    <w:p w14:paraId="4711986F">
      <w:pPr>
        <w:tabs>
          <w:tab w:val="center" w:pos="7115"/>
          <w:tab w:val="right" w:pos="14230"/>
        </w:tabs>
        <w:ind w:firstLine="723"/>
        <w:jc w:val="center"/>
        <w:rPr>
          <w:rFonts w:hint="eastAsia" w:ascii="仿宋" w:hAnsi="仿宋" w:eastAsia="仿宋" w:cs="仿宋"/>
          <w:b/>
          <w:color w:val="auto"/>
          <w:sz w:val="36"/>
          <w:highlight w:val="none"/>
        </w:rPr>
      </w:pPr>
      <w:r>
        <w:rPr>
          <w:rFonts w:hint="eastAsia" w:ascii="仿宋" w:hAnsi="仿宋" w:eastAsia="仿宋" w:cs="仿宋"/>
          <w:b/>
          <w:color w:val="auto"/>
          <w:sz w:val="36"/>
          <w:highlight w:val="none"/>
        </w:rPr>
        <w:t>开  标  一  览  表</w:t>
      </w:r>
    </w:p>
    <w:p w14:paraId="54DFB05F">
      <w:pPr>
        <w:tabs>
          <w:tab w:val="center" w:pos="7115"/>
          <w:tab w:val="right" w:pos="1423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                                                                      单位：元</w:t>
      </w:r>
    </w:p>
    <w:p w14:paraId="7F96F89E">
      <w:pPr>
        <w:tabs>
          <w:tab w:val="center" w:pos="7115"/>
          <w:tab w:val="right" w:pos="1423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                                                                        编号：</w:t>
      </w:r>
    </w:p>
    <w:tbl>
      <w:tblPr>
        <w:tblStyle w:val="22"/>
        <w:tblW w:w="14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5"/>
        <w:gridCol w:w="2450"/>
        <w:gridCol w:w="1374"/>
        <w:gridCol w:w="4573"/>
        <w:gridCol w:w="2753"/>
        <w:gridCol w:w="2753"/>
      </w:tblGrid>
      <w:tr w14:paraId="5946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11" w:hRule="exact"/>
          <w:jc w:val="center"/>
        </w:trPr>
        <w:tc>
          <w:tcPr>
            <w:tcW w:w="975" w:type="dxa"/>
            <w:vAlign w:val="center"/>
          </w:tcPr>
          <w:p w14:paraId="4B4E840C">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2450" w:type="dxa"/>
            <w:vAlign w:val="center"/>
          </w:tcPr>
          <w:p w14:paraId="269DB9B4">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投标内容</w:t>
            </w:r>
          </w:p>
        </w:tc>
        <w:tc>
          <w:tcPr>
            <w:tcW w:w="1374" w:type="dxa"/>
            <w:vAlign w:val="center"/>
          </w:tcPr>
          <w:p w14:paraId="02F14278">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数量</w:t>
            </w:r>
          </w:p>
        </w:tc>
        <w:tc>
          <w:tcPr>
            <w:tcW w:w="4573" w:type="dxa"/>
            <w:vAlign w:val="center"/>
          </w:tcPr>
          <w:p w14:paraId="5554B87E">
            <w:pPr>
              <w:spacing w:line="36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投标单价</w:t>
            </w:r>
            <w:r>
              <w:rPr>
                <w:rFonts w:hint="eastAsia" w:ascii="仿宋" w:hAnsi="仿宋" w:eastAsia="仿宋" w:cs="仿宋"/>
                <w:color w:val="auto"/>
                <w:sz w:val="28"/>
                <w:szCs w:val="28"/>
                <w:highlight w:val="none"/>
                <w:lang w:val="en-US" w:eastAsia="zh-CN"/>
              </w:rPr>
              <w:t>合计金额</w:t>
            </w:r>
            <w:r>
              <w:rPr>
                <w:rFonts w:hint="eastAsia" w:ascii="仿宋" w:hAnsi="仿宋" w:eastAsia="仿宋" w:cs="仿宋"/>
                <w:color w:val="auto"/>
                <w:sz w:val="28"/>
                <w:szCs w:val="28"/>
                <w:highlight w:val="none"/>
              </w:rPr>
              <w:t>（元）</w:t>
            </w:r>
          </w:p>
        </w:tc>
        <w:tc>
          <w:tcPr>
            <w:tcW w:w="2753" w:type="dxa"/>
            <w:vAlign w:val="center"/>
          </w:tcPr>
          <w:p w14:paraId="31EA66BE">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交货期</w:t>
            </w:r>
          </w:p>
        </w:tc>
        <w:tc>
          <w:tcPr>
            <w:tcW w:w="2753" w:type="dxa"/>
            <w:vAlign w:val="center"/>
          </w:tcPr>
          <w:p w14:paraId="30624DDD">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r>
      <w:tr w14:paraId="6FC87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3" w:hRule="atLeast"/>
          <w:jc w:val="center"/>
        </w:trPr>
        <w:tc>
          <w:tcPr>
            <w:tcW w:w="975" w:type="dxa"/>
            <w:vAlign w:val="center"/>
          </w:tcPr>
          <w:p w14:paraId="0A98FB8D">
            <w:pPr>
              <w:snapToGrid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2450" w:type="dxa"/>
            <w:vAlign w:val="center"/>
          </w:tcPr>
          <w:p w14:paraId="359D4FDB">
            <w:pPr>
              <w:snapToGrid w:val="0"/>
              <w:jc w:val="center"/>
              <w:rPr>
                <w:rFonts w:hint="eastAsia" w:ascii="仿宋" w:hAnsi="仿宋" w:eastAsia="仿宋" w:cs="仿宋"/>
                <w:color w:val="auto"/>
                <w:sz w:val="28"/>
                <w:szCs w:val="28"/>
                <w:highlight w:val="none"/>
              </w:rPr>
            </w:pPr>
          </w:p>
        </w:tc>
        <w:tc>
          <w:tcPr>
            <w:tcW w:w="1374" w:type="dxa"/>
            <w:vAlign w:val="center"/>
          </w:tcPr>
          <w:p w14:paraId="2541ED85">
            <w:pPr>
              <w:snapToGrid w:val="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1批</w:t>
            </w:r>
          </w:p>
        </w:tc>
        <w:tc>
          <w:tcPr>
            <w:tcW w:w="4573" w:type="dxa"/>
            <w:vAlign w:val="center"/>
          </w:tcPr>
          <w:p w14:paraId="659E9312">
            <w:pPr>
              <w:jc w:val="center"/>
              <w:rPr>
                <w:rFonts w:hint="eastAsia" w:ascii="仿宋" w:hAnsi="仿宋" w:eastAsia="仿宋" w:cs="仿宋"/>
                <w:color w:val="auto"/>
                <w:sz w:val="28"/>
                <w:szCs w:val="28"/>
                <w:highlight w:val="none"/>
              </w:rPr>
            </w:pPr>
          </w:p>
        </w:tc>
        <w:tc>
          <w:tcPr>
            <w:tcW w:w="2753" w:type="dxa"/>
            <w:vAlign w:val="center"/>
          </w:tcPr>
          <w:p w14:paraId="12C13C5E">
            <w:pPr>
              <w:snapToGrid w:val="0"/>
              <w:jc w:val="center"/>
              <w:rPr>
                <w:rFonts w:hint="eastAsia" w:ascii="仿宋" w:hAnsi="仿宋" w:eastAsia="仿宋" w:cs="仿宋"/>
                <w:color w:val="auto"/>
                <w:sz w:val="28"/>
                <w:szCs w:val="28"/>
                <w:highlight w:val="none"/>
              </w:rPr>
            </w:pPr>
          </w:p>
        </w:tc>
        <w:tc>
          <w:tcPr>
            <w:tcW w:w="2753" w:type="dxa"/>
            <w:vAlign w:val="center"/>
          </w:tcPr>
          <w:p w14:paraId="71DB2008">
            <w:pPr>
              <w:snapToGrid w:val="0"/>
              <w:jc w:val="center"/>
              <w:rPr>
                <w:rFonts w:hint="eastAsia" w:ascii="仿宋" w:hAnsi="仿宋" w:eastAsia="仿宋" w:cs="仿宋"/>
                <w:color w:val="auto"/>
                <w:sz w:val="28"/>
                <w:szCs w:val="28"/>
                <w:highlight w:val="none"/>
              </w:rPr>
            </w:pPr>
          </w:p>
        </w:tc>
      </w:tr>
      <w:tr w14:paraId="648F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26" w:hRule="atLeast"/>
          <w:jc w:val="center"/>
        </w:trPr>
        <w:tc>
          <w:tcPr>
            <w:tcW w:w="3425" w:type="dxa"/>
            <w:gridSpan w:val="2"/>
            <w:vAlign w:val="center"/>
          </w:tcPr>
          <w:p w14:paraId="2C2A0F20">
            <w:pPr>
              <w:snapToGrid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投标单价</w:t>
            </w:r>
            <w:r>
              <w:rPr>
                <w:rFonts w:hint="eastAsia" w:ascii="仿宋" w:hAnsi="仿宋" w:eastAsia="仿宋" w:cs="仿宋"/>
                <w:color w:val="auto"/>
                <w:sz w:val="28"/>
                <w:szCs w:val="28"/>
                <w:highlight w:val="none"/>
                <w:lang w:val="en-US" w:eastAsia="zh-CN"/>
              </w:rPr>
              <w:t>合计金额</w:t>
            </w:r>
            <w:r>
              <w:rPr>
                <w:rFonts w:hint="eastAsia" w:ascii="仿宋" w:hAnsi="仿宋" w:eastAsia="仿宋" w:cs="仿宋"/>
                <w:color w:val="auto"/>
                <w:sz w:val="28"/>
                <w:szCs w:val="28"/>
                <w:highlight w:val="none"/>
              </w:rPr>
              <w:t>（元）</w:t>
            </w:r>
          </w:p>
        </w:tc>
        <w:tc>
          <w:tcPr>
            <w:tcW w:w="11453" w:type="dxa"/>
            <w:gridSpan w:val="4"/>
            <w:vAlign w:val="center"/>
          </w:tcPr>
          <w:p w14:paraId="6F0AD111">
            <w:pPr>
              <w:snapToGrid w:val="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小写：                             大写：</w:t>
            </w:r>
          </w:p>
        </w:tc>
      </w:tr>
    </w:tbl>
    <w:p w14:paraId="418AD2ED">
      <w:pPr>
        <w:ind w:firstLine="480"/>
        <w:rPr>
          <w:rFonts w:hint="eastAsia" w:ascii="仿宋" w:hAnsi="仿宋" w:eastAsia="仿宋" w:cs="仿宋"/>
          <w:color w:val="auto"/>
          <w:sz w:val="24"/>
          <w:szCs w:val="24"/>
          <w:highlight w:val="none"/>
        </w:rPr>
      </w:pPr>
    </w:p>
    <w:p w14:paraId="56860245">
      <w:pPr>
        <w:spacing w:line="400" w:lineRule="exact"/>
        <w:ind w:firstLine="562"/>
        <w:rPr>
          <w:rFonts w:hint="eastAsia" w:ascii="仿宋" w:hAnsi="仿宋" w:eastAsia="仿宋" w:cs="仿宋"/>
          <w:b/>
          <w:color w:val="auto"/>
          <w:sz w:val="28"/>
          <w:highlight w:val="none"/>
        </w:rPr>
      </w:pPr>
      <w:r>
        <w:rPr>
          <w:rFonts w:hint="eastAsia" w:ascii="仿宋" w:hAnsi="仿宋" w:eastAsia="仿宋" w:cs="仿宋"/>
          <w:b/>
          <w:bCs/>
          <w:color w:val="auto"/>
          <w:sz w:val="28"/>
          <w:highlight w:val="none"/>
        </w:rPr>
        <w:t>注：1、</w:t>
      </w:r>
      <w:r>
        <w:rPr>
          <w:rFonts w:hint="eastAsia" w:ascii="仿宋" w:hAnsi="仿宋" w:eastAsia="仿宋" w:cs="仿宋"/>
          <w:b/>
          <w:color w:val="auto"/>
          <w:sz w:val="28"/>
          <w:highlight w:val="none"/>
        </w:rPr>
        <w:t>在开标一览表中，按第二章投标须知10.2条款的规定不允许出现两种报价，否则其投标将被拒绝。</w:t>
      </w:r>
    </w:p>
    <w:p w14:paraId="4ABBA911">
      <w:pPr>
        <w:numPr>
          <w:ilvl w:val="0"/>
          <w:numId w:val="0"/>
        </w:numPr>
        <w:spacing w:line="400" w:lineRule="exact"/>
        <w:ind w:left="1124" w:leftChars="0" w:firstLine="0" w:firstLineChars="0"/>
        <w:rPr>
          <w:rFonts w:hint="eastAsia" w:ascii="仿宋" w:hAnsi="仿宋" w:eastAsia="仿宋" w:cs="仿宋"/>
          <w:b/>
          <w:color w:val="auto"/>
          <w:sz w:val="28"/>
          <w:highlight w:val="none"/>
        </w:rPr>
      </w:pPr>
      <w:r>
        <w:rPr>
          <w:rFonts w:hint="eastAsia" w:ascii="仿宋" w:hAnsi="仿宋" w:eastAsia="仿宋" w:cs="仿宋"/>
          <w:b/>
          <w:color w:val="auto"/>
          <w:kern w:val="2"/>
          <w:sz w:val="28"/>
          <w:highlight w:val="none"/>
          <w:lang w:val="en-US" w:eastAsia="zh-CN" w:bidi="ar-SA"/>
        </w:rPr>
        <w:t>2、</w:t>
      </w:r>
      <w:r>
        <w:rPr>
          <w:rFonts w:hint="eastAsia" w:ascii="仿宋" w:hAnsi="仿宋" w:eastAsia="仿宋" w:cs="仿宋"/>
          <w:b/>
          <w:color w:val="auto"/>
          <w:sz w:val="28"/>
          <w:highlight w:val="none"/>
        </w:rPr>
        <w:t>详细清单参照附件七自制。</w:t>
      </w:r>
    </w:p>
    <w:p w14:paraId="55B20DEE">
      <w:pPr>
        <w:numPr>
          <w:ilvl w:val="0"/>
          <w:numId w:val="0"/>
        </w:numPr>
        <w:spacing w:line="400" w:lineRule="exact"/>
        <w:ind w:left="1124" w:leftChars="0" w:firstLine="0" w:firstLineChars="0"/>
        <w:rPr>
          <w:rFonts w:hint="eastAsia" w:ascii="仿宋" w:hAnsi="仿宋" w:eastAsia="仿宋" w:cs="仿宋"/>
          <w:b/>
          <w:color w:val="auto"/>
          <w:kern w:val="2"/>
          <w:sz w:val="28"/>
          <w:highlight w:val="none"/>
          <w:lang w:val="en-US" w:eastAsia="zh-CN" w:bidi="ar-SA"/>
        </w:rPr>
      </w:pPr>
      <w:r>
        <w:rPr>
          <w:rFonts w:hint="eastAsia" w:ascii="仿宋" w:hAnsi="仿宋" w:eastAsia="仿宋" w:cs="仿宋"/>
          <w:b/>
          <w:color w:val="auto"/>
          <w:kern w:val="2"/>
          <w:sz w:val="28"/>
          <w:highlight w:val="none"/>
          <w:lang w:val="en-US" w:eastAsia="zh-CN" w:bidi="ar-SA"/>
        </w:rPr>
        <w:t>3、供应商所报“投标单价合计金额”不得超过技术参数中最最高限制单价合计金额。</w:t>
      </w:r>
    </w:p>
    <w:p w14:paraId="47D7F92F">
      <w:pPr>
        <w:spacing w:line="400" w:lineRule="exact"/>
        <w:ind w:firstLine="562"/>
        <w:rPr>
          <w:rFonts w:hint="eastAsia" w:ascii="仿宋" w:hAnsi="仿宋" w:eastAsia="仿宋" w:cs="仿宋"/>
          <w:b/>
          <w:color w:val="auto"/>
          <w:sz w:val="28"/>
          <w:highlight w:val="none"/>
        </w:rPr>
      </w:pPr>
    </w:p>
    <w:p w14:paraId="63A953DC">
      <w:pPr>
        <w:ind w:firstLine="537" w:firstLineChars="192"/>
        <w:rPr>
          <w:rFonts w:hint="eastAsia" w:ascii="仿宋" w:hAnsi="仿宋" w:eastAsia="仿宋" w:cs="仿宋"/>
          <w:color w:val="auto"/>
          <w:sz w:val="28"/>
          <w:highlight w:val="none"/>
        </w:rPr>
      </w:pPr>
      <w:r>
        <w:rPr>
          <w:rFonts w:hint="eastAsia" w:ascii="仿宋" w:hAnsi="仿宋" w:eastAsia="仿宋" w:cs="仿宋"/>
          <w:color w:val="auto"/>
          <w:sz w:val="28"/>
          <w:szCs w:val="28"/>
          <w:highlight w:val="none"/>
        </w:rPr>
        <w:t>投标单位授权代表签字：                                             投标单位公章：</w:t>
      </w:r>
    </w:p>
    <w:p w14:paraId="1E620CA8">
      <w:pPr>
        <w:rPr>
          <w:rFonts w:hint="eastAsia" w:ascii="仿宋" w:hAnsi="仿宋" w:eastAsia="仿宋" w:cs="仿宋"/>
          <w:b/>
          <w:color w:val="auto"/>
          <w:sz w:val="36"/>
          <w:highlight w:val="none"/>
        </w:rPr>
      </w:pPr>
    </w:p>
    <w:p w14:paraId="4F41B0A9">
      <w:pPr>
        <w:rPr>
          <w:rFonts w:hint="eastAsia" w:ascii="仿宋" w:hAnsi="仿宋" w:eastAsia="仿宋" w:cs="仿宋"/>
          <w:b/>
          <w:color w:val="auto"/>
          <w:sz w:val="36"/>
          <w:highlight w:val="none"/>
        </w:rPr>
      </w:pPr>
      <w:r>
        <w:rPr>
          <w:rFonts w:hint="eastAsia" w:ascii="仿宋" w:hAnsi="仿宋" w:eastAsia="仿宋" w:cs="仿宋"/>
          <w:b/>
          <w:color w:val="auto"/>
          <w:sz w:val="36"/>
          <w:highlight w:val="none"/>
        </w:rPr>
        <w:br w:type="page"/>
      </w:r>
    </w:p>
    <w:p w14:paraId="60B316FE">
      <w:pPr>
        <w:spacing w:line="400" w:lineRule="exact"/>
        <w:ind w:right="560"/>
        <w:jc w:val="right"/>
        <w:rPr>
          <w:rFonts w:hint="eastAsia" w:ascii="仿宋" w:hAnsi="仿宋" w:eastAsia="仿宋" w:cs="仿宋"/>
          <w:color w:val="auto"/>
          <w:sz w:val="28"/>
          <w:highlight w:val="none"/>
        </w:rPr>
      </w:pPr>
      <w:r>
        <w:rPr>
          <w:rFonts w:hint="eastAsia" w:ascii="仿宋" w:hAnsi="仿宋" w:eastAsia="仿宋" w:cs="仿宋"/>
          <w:color w:val="auto"/>
          <w:sz w:val="28"/>
          <w:highlight w:val="none"/>
        </w:rPr>
        <w:t>附件七</w:t>
      </w:r>
    </w:p>
    <w:p w14:paraId="01BB8D37">
      <w:pPr>
        <w:pStyle w:val="34"/>
        <w:spacing w:after="156" w:afterLines="50"/>
        <w:ind w:firstLine="723"/>
        <w:jc w:val="center"/>
        <w:rPr>
          <w:rFonts w:hint="eastAsia" w:ascii="仿宋" w:hAnsi="仿宋" w:eastAsia="仿宋" w:cs="仿宋"/>
          <w:b/>
          <w:color w:val="auto"/>
          <w:sz w:val="36"/>
          <w:highlight w:val="none"/>
          <w:lang w:eastAsia="zh-CN"/>
        </w:rPr>
      </w:pPr>
      <w:r>
        <w:rPr>
          <w:rFonts w:hint="eastAsia" w:ascii="仿宋" w:hAnsi="仿宋" w:eastAsia="仿宋" w:cs="仿宋"/>
          <w:b/>
          <w:color w:val="auto"/>
          <w:sz w:val="36"/>
          <w:highlight w:val="none"/>
          <w:lang w:eastAsia="zh-CN"/>
        </w:rPr>
        <w:t>报价单项明细表（含试剂/耗材名称、数量、规格等）</w:t>
      </w:r>
    </w:p>
    <w:p w14:paraId="0A61BB0B">
      <w:pPr>
        <w:pStyle w:val="34"/>
        <w:spacing w:after="156" w:afterLines="50"/>
        <w:ind w:firstLine="560"/>
        <w:rPr>
          <w:rFonts w:hint="eastAsia" w:ascii="仿宋" w:hAnsi="仿宋" w:eastAsia="仿宋" w:cs="仿宋"/>
          <w:color w:val="auto"/>
          <w:sz w:val="44"/>
          <w:highlight w:val="none"/>
        </w:rPr>
      </w:pPr>
      <w:r>
        <w:rPr>
          <w:rFonts w:hint="eastAsia" w:ascii="仿宋" w:hAnsi="仿宋" w:eastAsia="仿宋" w:cs="仿宋"/>
          <w:color w:val="auto"/>
          <w:highlight w:val="none"/>
        </w:rPr>
        <w:t xml:space="preserve">（此表参照下表由各供应商按照招标货物内容、顺序编制填写，包括详细的产品名称、规格型号、包装规格、注册证名称及注册证号、最小计量单位、单价、总价、生产厂家及品牌等。）                      </w:t>
      </w:r>
      <w:r>
        <w:rPr>
          <w:rFonts w:hint="eastAsia" w:ascii="仿宋" w:hAnsi="仿宋" w:eastAsia="仿宋" w:cs="仿宋"/>
          <w:color w:val="auto"/>
          <w:szCs w:val="28"/>
          <w:highlight w:val="none"/>
        </w:rPr>
        <w:t>编号：</w:t>
      </w:r>
    </w:p>
    <w:tbl>
      <w:tblPr>
        <w:tblStyle w:val="22"/>
        <w:tblW w:w="15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2743"/>
        <w:gridCol w:w="699"/>
        <w:gridCol w:w="1314"/>
        <w:gridCol w:w="1871"/>
        <w:gridCol w:w="3053"/>
        <w:gridCol w:w="1391"/>
        <w:gridCol w:w="1199"/>
        <w:gridCol w:w="1628"/>
        <w:gridCol w:w="757"/>
      </w:tblGrid>
      <w:tr w14:paraId="11294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exact"/>
          <w:jc w:val="center"/>
        </w:trPr>
        <w:tc>
          <w:tcPr>
            <w:tcW w:w="679" w:type="dxa"/>
            <w:vAlign w:val="center"/>
          </w:tcPr>
          <w:p w14:paraId="17579671">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743" w:type="dxa"/>
            <w:vAlign w:val="center"/>
          </w:tcPr>
          <w:p w14:paraId="0F294477">
            <w:pPr>
              <w:spacing w:line="420" w:lineRule="exact"/>
              <w:ind w:firstLine="48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w:t>
            </w:r>
          </w:p>
        </w:tc>
        <w:tc>
          <w:tcPr>
            <w:tcW w:w="699" w:type="dxa"/>
            <w:vAlign w:val="center"/>
          </w:tcPr>
          <w:p w14:paraId="3E66A831">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所属行业</w:t>
            </w:r>
          </w:p>
        </w:tc>
        <w:tc>
          <w:tcPr>
            <w:tcW w:w="1314" w:type="dxa"/>
            <w:vAlign w:val="center"/>
          </w:tcPr>
          <w:p w14:paraId="50FA7EA0">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规格型号</w:t>
            </w:r>
          </w:p>
        </w:tc>
        <w:tc>
          <w:tcPr>
            <w:tcW w:w="1871" w:type="dxa"/>
            <w:vAlign w:val="center"/>
          </w:tcPr>
          <w:p w14:paraId="7D6384D7">
            <w:pPr>
              <w:spacing w:line="42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包装</w:t>
            </w:r>
            <w:r>
              <w:rPr>
                <w:rFonts w:hint="eastAsia" w:ascii="仿宋" w:hAnsi="仿宋" w:eastAsia="仿宋" w:cs="仿宋"/>
                <w:color w:val="auto"/>
                <w:sz w:val="24"/>
                <w:highlight w:val="none"/>
              </w:rPr>
              <w:t>规格</w:t>
            </w:r>
            <w:r>
              <w:rPr>
                <w:rFonts w:hint="eastAsia" w:ascii="仿宋" w:hAnsi="仿宋" w:eastAsia="仿宋" w:cs="仿宋"/>
                <w:color w:val="auto"/>
                <w:sz w:val="24"/>
                <w:highlight w:val="none"/>
                <w:lang w:val="en-US" w:eastAsia="zh-CN"/>
              </w:rPr>
              <w:t>型号</w:t>
            </w:r>
          </w:p>
        </w:tc>
        <w:tc>
          <w:tcPr>
            <w:tcW w:w="3053" w:type="dxa"/>
            <w:vAlign w:val="center"/>
          </w:tcPr>
          <w:p w14:paraId="698B1039">
            <w:pPr>
              <w:spacing w:line="42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数量</w:t>
            </w:r>
            <w:r>
              <w:rPr>
                <w:rFonts w:hint="eastAsia" w:ascii="仿宋" w:hAnsi="仿宋" w:eastAsia="仿宋" w:cs="仿宋"/>
                <w:color w:val="auto"/>
                <w:sz w:val="18"/>
                <w:szCs w:val="13"/>
                <w:highlight w:val="none"/>
                <w:lang w:val="en-US" w:eastAsia="zh-CN"/>
              </w:rPr>
              <w:t>（1人份/1克/1毫升等，需与技术参数中的预算单价单位一致）</w:t>
            </w:r>
          </w:p>
        </w:tc>
        <w:tc>
          <w:tcPr>
            <w:tcW w:w="1391" w:type="dxa"/>
            <w:vAlign w:val="center"/>
          </w:tcPr>
          <w:p w14:paraId="0455ED43">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单价（元）</w:t>
            </w:r>
          </w:p>
        </w:tc>
        <w:tc>
          <w:tcPr>
            <w:tcW w:w="1199" w:type="dxa"/>
            <w:vAlign w:val="center"/>
          </w:tcPr>
          <w:p w14:paraId="101F437E">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生产厂家</w:t>
            </w:r>
          </w:p>
          <w:p w14:paraId="162D464F">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及品牌</w:t>
            </w:r>
          </w:p>
        </w:tc>
        <w:tc>
          <w:tcPr>
            <w:tcW w:w="1628" w:type="dxa"/>
            <w:vAlign w:val="center"/>
          </w:tcPr>
          <w:p w14:paraId="6FF8191F">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生产厂家是否为中小微企业</w:t>
            </w:r>
          </w:p>
        </w:tc>
        <w:tc>
          <w:tcPr>
            <w:tcW w:w="757" w:type="dxa"/>
            <w:vAlign w:val="center"/>
          </w:tcPr>
          <w:p w14:paraId="5BE82B77">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5B390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679" w:type="dxa"/>
            <w:vAlign w:val="center"/>
          </w:tcPr>
          <w:p w14:paraId="54CED550">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2743" w:type="dxa"/>
            <w:vAlign w:val="center"/>
          </w:tcPr>
          <w:p w14:paraId="50991CE3">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（所投</w:t>
            </w:r>
            <w:r>
              <w:rPr>
                <w:rFonts w:hint="eastAsia" w:ascii="仿宋" w:hAnsi="仿宋" w:eastAsia="仿宋" w:cs="仿宋"/>
                <w:color w:val="auto"/>
                <w:sz w:val="24"/>
                <w:highlight w:val="none"/>
                <w:lang w:val="en-US" w:eastAsia="zh-CN"/>
              </w:rPr>
              <w:t>产品</w:t>
            </w:r>
            <w:r>
              <w:rPr>
                <w:rFonts w:hint="eastAsia" w:ascii="仿宋" w:hAnsi="仿宋" w:eastAsia="仿宋" w:cs="仿宋"/>
                <w:color w:val="auto"/>
                <w:sz w:val="24"/>
                <w:highlight w:val="none"/>
              </w:rPr>
              <w:t>的全部内容）</w:t>
            </w:r>
          </w:p>
        </w:tc>
        <w:tc>
          <w:tcPr>
            <w:tcW w:w="699" w:type="dxa"/>
            <w:vAlign w:val="center"/>
          </w:tcPr>
          <w:p w14:paraId="04E99D82">
            <w:pPr>
              <w:spacing w:line="420" w:lineRule="exact"/>
              <w:jc w:val="center"/>
              <w:rPr>
                <w:rFonts w:hint="eastAsia" w:ascii="仿宋" w:hAnsi="仿宋" w:eastAsia="仿宋" w:cs="仿宋"/>
                <w:color w:val="auto"/>
                <w:sz w:val="24"/>
                <w:highlight w:val="none"/>
              </w:rPr>
            </w:pPr>
          </w:p>
        </w:tc>
        <w:tc>
          <w:tcPr>
            <w:tcW w:w="1314" w:type="dxa"/>
            <w:vAlign w:val="center"/>
          </w:tcPr>
          <w:p w14:paraId="20AD40A2">
            <w:pPr>
              <w:spacing w:line="420" w:lineRule="exact"/>
              <w:jc w:val="center"/>
              <w:rPr>
                <w:rFonts w:hint="eastAsia" w:ascii="仿宋" w:hAnsi="仿宋" w:eastAsia="仿宋" w:cs="仿宋"/>
                <w:color w:val="auto"/>
                <w:sz w:val="24"/>
                <w:highlight w:val="none"/>
              </w:rPr>
            </w:pPr>
          </w:p>
        </w:tc>
        <w:tc>
          <w:tcPr>
            <w:tcW w:w="1871" w:type="dxa"/>
            <w:vAlign w:val="center"/>
          </w:tcPr>
          <w:p w14:paraId="5B6E5EC8">
            <w:pPr>
              <w:spacing w:line="420" w:lineRule="exact"/>
              <w:jc w:val="center"/>
              <w:rPr>
                <w:rFonts w:hint="eastAsia" w:ascii="仿宋" w:hAnsi="仿宋" w:eastAsia="仿宋" w:cs="仿宋"/>
                <w:color w:val="auto"/>
                <w:sz w:val="24"/>
                <w:highlight w:val="none"/>
              </w:rPr>
            </w:pPr>
          </w:p>
        </w:tc>
        <w:tc>
          <w:tcPr>
            <w:tcW w:w="3053" w:type="dxa"/>
            <w:vAlign w:val="center"/>
          </w:tcPr>
          <w:p w14:paraId="7A2E522C">
            <w:pPr>
              <w:spacing w:line="420" w:lineRule="exact"/>
              <w:jc w:val="center"/>
              <w:rPr>
                <w:rFonts w:hint="eastAsia" w:ascii="仿宋" w:hAnsi="仿宋" w:eastAsia="仿宋" w:cs="仿宋"/>
                <w:color w:val="auto"/>
                <w:sz w:val="24"/>
                <w:highlight w:val="none"/>
              </w:rPr>
            </w:pPr>
          </w:p>
        </w:tc>
        <w:tc>
          <w:tcPr>
            <w:tcW w:w="1391" w:type="dxa"/>
            <w:vAlign w:val="center"/>
          </w:tcPr>
          <w:p w14:paraId="15CDFBA4">
            <w:pPr>
              <w:spacing w:line="420" w:lineRule="exact"/>
              <w:jc w:val="center"/>
              <w:rPr>
                <w:rFonts w:hint="eastAsia" w:ascii="仿宋" w:hAnsi="仿宋" w:eastAsia="仿宋" w:cs="仿宋"/>
                <w:color w:val="auto"/>
                <w:sz w:val="24"/>
                <w:highlight w:val="none"/>
              </w:rPr>
            </w:pPr>
          </w:p>
        </w:tc>
        <w:tc>
          <w:tcPr>
            <w:tcW w:w="1199" w:type="dxa"/>
            <w:vAlign w:val="center"/>
          </w:tcPr>
          <w:p w14:paraId="6FDDABCC">
            <w:pPr>
              <w:spacing w:line="420" w:lineRule="exact"/>
              <w:jc w:val="center"/>
              <w:rPr>
                <w:rFonts w:hint="eastAsia" w:ascii="仿宋" w:hAnsi="仿宋" w:eastAsia="仿宋" w:cs="仿宋"/>
                <w:color w:val="auto"/>
                <w:sz w:val="24"/>
                <w:highlight w:val="none"/>
              </w:rPr>
            </w:pPr>
          </w:p>
        </w:tc>
        <w:tc>
          <w:tcPr>
            <w:tcW w:w="1628" w:type="dxa"/>
            <w:vAlign w:val="center"/>
          </w:tcPr>
          <w:p w14:paraId="3D3DF3C5">
            <w:pPr>
              <w:spacing w:line="420" w:lineRule="exact"/>
              <w:jc w:val="center"/>
              <w:rPr>
                <w:rFonts w:hint="eastAsia" w:ascii="仿宋" w:hAnsi="仿宋" w:eastAsia="仿宋" w:cs="仿宋"/>
                <w:color w:val="auto"/>
                <w:sz w:val="24"/>
                <w:highlight w:val="none"/>
              </w:rPr>
            </w:pPr>
          </w:p>
        </w:tc>
        <w:tc>
          <w:tcPr>
            <w:tcW w:w="757" w:type="dxa"/>
            <w:vAlign w:val="center"/>
          </w:tcPr>
          <w:p w14:paraId="2DED5DD0">
            <w:pPr>
              <w:spacing w:line="420" w:lineRule="exact"/>
              <w:jc w:val="center"/>
              <w:rPr>
                <w:rFonts w:hint="eastAsia" w:ascii="仿宋" w:hAnsi="仿宋" w:eastAsia="仿宋" w:cs="仿宋"/>
                <w:color w:val="auto"/>
                <w:sz w:val="24"/>
                <w:highlight w:val="none"/>
              </w:rPr>
            </w:pPr>
          </w:p>
        </w:tc>
      </w:tr>
      <w:tr w14:paraId="72D4F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679" w:type="dxa"/>
            <w:vAlign w:val="center"/>
          </w:tcPr>
          <w:p w14:paraId="7AF57401">
            <w:pPr>
              <w:spacing w:line="420" w:lineRule="exact"/>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rPr>
              <w:t>2</w:t>
            </w:r>
          </w:p>
        </w:tc>
        <w:tc>
          <w:tcPr>
            <w:tcW w:w="2743" w:type="dxa"/>
            <w:vAlign w:val="center"/>
          </w:tcPr>
          <w:p w14:paraId="681F2236">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699" w:type="dxa"/>
            <w:vAlign w:val="center"/>
          </w:tcPr>
          <w:p w14:paraId="61978571">
            <w:pPr>
              <w:spacing w:line="420" w:lineRule="exact"/>
              <w:jc w:val="center"/>
              <w:rPr>
                <w:rFonts w:hint="eastAsia" w:ascii="仿宋" w:hAnsi="仿宋" w:eastAsia="仿宋" w:cs="仿宋"/>
                <w:color w:val="auto"/>
                <w:sz w:val="24"/>
                <w:highlight w:val="none"/>
              </w:rPr>
            </w:pPr>
          </w:p>
        </w:tc>
        <w:tc>
          <w:tcPr>
            <w:tcW w:w="1314" w:type="dxa"/>
            <w:vAlign w:val="center"/>
          </w:tcPr>
          <w:p w14:paraId="32830C06">
            <w:pPr>
              <w:spacing w:line="420" w:lineRule="exact"/>
              <w:jc w:val="center"/>
              <w:rPr>
                <w:rFonts w:hint="eastAsia" w:ascii="仿宋" w:hAnsi="仿宋" w:eastAsia="仿宋" w:cs="仿宋"/>
                <w:color w:val="auto"/>
                <w:sz w:val="24"/>
                <w:highlight w:val="none"/>
              </w:rPr>
            </w:pPr>
          </w:p>
        </w:tc>
        <w:tc>
          <w:tcPr>
            <w:tcW w:w="1871" w:type="dxa"/>
            <w:vAlign w:val="center"/>
          </w:tcPr>
          <w:p w14:paraId="0AF24CD8">
            <w:pPr>
              <w:spacing w:line="420" w:lineRule="exact"/>
              <w:jc w:val="center"/>
              <w:rPr>
                <w:rFonts w:hint="eastAsia" w:ascii="仿宋" w:hAnsi="仿宋" w:eastAsia="仿宋" w:cs="仿宋"/>
                <w:color w:val="auto"/>
                <w:sz w:val="24"/>
                <w:highlight w:val="none"/>
              </w:rPr>
            </w:pPr>
          </w:p>
        </w:tc>
        <w:tc>
          <w:tcPr>
            <w:tcW w:w="3053" w:type="dxa"/>
            <w:vAlign w:val="center"/>
          </w:tcPr>
          <w:p w14:paraId="7A3C56B7">
            <w:pPr>
              <w:spacing w:line="420" w:lineRule="exact"/>
              <w:jc w:val="center"/>
              <w:rPr>
                <w:rFonts w:hint="eastAsia" w:ascii="仿宋" w:hAnsi="仿宋" w:eastAsia="仿宋" w:cs="仿宋"/>
                <w:color w:val="auto"/>
                <w:sz w:val="24"/>
                <w:highlight w:val="none"/>
              </w:rPr>
            </w:pPr>
          </w:p>
        </w:tc>
        <w:tc>
          <w:tcPr>
            <w:tcW w:w="1391" w:type="dxa"/>
            <w:vAlign w:val="center"/>
          </w:tcPr>
          <w:p w14:paraId="6697E916">
            <w:pPr>
              <w:spacing w:line="420" w:lineRule="exact"/>
              <w:jc w:val="center"/>
              <w:rPr>
                <w:rFonts w:hint="eastAsia" w:ascii="仿宋" w:hAnsi="仿宋" w:eastAsia="仿宋" w:cs="仿宋"/>
                <w:color w:val="auto"/>
                <w:sz w:val="24"/>
                <w:highlight w:val="none"/>
              </w:rPr>
            </w:pPr>
          </w:p>
        </w:tc>
        <w:tc>
          <w:tcPr>
            <w:tcW w:w="1199" w:type="dxa"/>
            <w:vAlign w:val="center"/>
          </w:tcPr>
          <w:p w14:paraId="3D0AEADC">
            <w:pPr>
              <w:spacing w:line="420" w:lineRule="exact"/>
              <w:jc w:val="center"/>
              <w:rPr>
                <w:rFonts w:hint="eastAsia" w:ascii="仿宋" w:hAnsi="仿宋" w:eastAsia="仿宋" w:cs="仿宋"/>
                <w:color w:val="auto"/>
                <w:sz w:val="24"/>
                <w:highlight w:val="none"/>
              </w:rPr>
            </w:pPr>
          </w:p>
        </w:tc>
        <w:tc>
          <w:tcPr>
            <w:tcW w:w="1628" w:type="dxa"/>
            <w:vAlign w:val="center"/>
          </w:tcPr>
          <w:p w14:paraId="01FA8DDF">
            <w:pPr>
              <w:spacing w:line="420" w:lineRule="exact"/>
              <w:jc w:val="center"/>
              <w:rPr>
                <w:rFonts w:hint="eastAsia" w:ascii="仿宋" w:hAnsi="仿宋" w:eastAsia="仿宋" w:cs="仿宋"/>
                <w:color w:val="auto"/>
                <w:sz w:val="24"/>
                <w:highlight w:val="none"/>
              </w:rPr>
            </w:pPr>
          </w:p>
        </w:tc>
        <w:tc>
          <w:tcPr>
            <w:tcW w:w="757" w:type="dxa"/>
            <w:vAlign w:val="center"/>
          </w:tcPr>
          <w:p w14:paraId="14C86A1B">
            <w:pPr>
              <w:spacing w:line="420" w:lineRule="exact"/>
              <w:jc w:val="center"/>
              <w:rPr>
                <w:rFonts w:hint="eastAsia" w:ascii="仿宋" w:hAnsi="仿宋" w:eastAsia="仿宋" w:cs="仿宋"/>
                <w:color w:val="auto"/>
                <w:sz w:val="24"/>
                <w:highlight w:val="none"/>
              </w:rPr>
            </w:pPr>
          </w:p>
        </w:tc>
      </w:tr>
      <w:tr w14:paraId="0F4F6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679" w:type="dxa"/>
            <w:vAlign w:val="center"/>
          </w:tcPr>
          <w:p w14:paraId="612326DD">
            <w:pPr>
              <w:spacing w:line="420" w:lineRule="exact"/>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rPr>
              <w:t>3</w:t>
            </w:r>
          </w:p>
        </w:tc>
        <w:tc>
          <w:tcPr>
            <w:tcW w:w="2743" w:type="dxa"/>
            <w:vAlign w:val="center"/>
          </w:tcPr>
          <w:p w14:paraId="70A19369">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699" w:type="dxa"/>
            <w:vAlign w:val="center"/>
          </w:tcPr>
          <w:p w14:paraId="7A6E7C29">
            <w:pPr>
              <w:spacing w:line="420" w:lineRule="exact"/>
              <w:jc w:val="center"/>
              <w:rPr>
                <w:rFonts w:hint="eastAsia" w:ascii="仿宋" w:hAnsi="仿宋" w:eastAsia="仿宋" w:cs="仿宋"/>
                <w:color w:val="auto"/>
                <w:sz w:val="24"/>
                <w:highlight w:val="none"/>
              </w:rPr>
            </w:pPr>
          </w:p>
        </w:tc>
        <w:tc>
          <w:tcPr>
            <w:tcW w:w="1314" w:type="dxa"/>
            <w:vAlign w:val="center"/>
          </w:tcPr>
          <w:p w14:paraId="46546EEF">
            <w:pPr>
              <w:spacing w:line="420" w:lineRule="exact"/>
              <w:jc w:val="center"/>
              <w:rPr>
                <w:rFonts w:hint="eastAsia" w:ascii="仿宋" w:hAnsi="仿宋" w:eastAsia="仿宋" w:cs="仿宋"/>
                <w:color w:val="auto"/>
                <w:sz w:val="24"/>
                <w:highlight w:val="none"/>
              </w:rPr>
            </w:pPr>
          </w:p>
        </w:tc>
        <w:tc>
          <w:tcPr>
            <w:tcW w:w="1871" w:type="dxa"/>
            <w:vAlign w:val="center"/>
          </w:tcPr>
          <w:p w14:paraId="02E29A33">
            <w:pPr>
              <w:spacing w:line="420" w:lineRule="exact"/>
              <w:jc w:val="center"/>
              <w:rPr>
                <w:rFonts w:hint="eastAsia" w:ascii="仿宋" w:hAnsi="仿宋" w:eastAsia="仿宋" w:cs="仿宋"/>
                <w:color w:val="auto"/>
                <w:sz w:val="24"/>
                <w:highlight w:val="none"/>
              </w:rPr>
            </w:pPr>
          </w:p>
        </w:tc>
        <w:tc>
          <w:tcPr>
            <w:tcW w:w="3053" w:type="dxa"/>
            <w:vAlign w:val="center"/>
          </w:tcPr>
          <w:p w14:paraId="2DB84425">
            <w:pPr>
              <w:spacing w:line="420" w:lineRule="exact"/>
              <w:jc w:val="center"/>
              <w:rPr>
                <w:rFonts w:hint="eastAsia" w:ascii="仿宋" w:hAnsi="仿宋" w:eastAsia="仿宋" w:cs="仿宋"/>
                <w:color w:val="auto"/>
                <w:sz w:val="24"/>
                <w:highlight w:val="none"/>
              </w:rPr>
            </w:pPr>
          </w:p>
        </w:tc>
        <w:tc>
          <w:tcPr>
            <w:tcW w:w="1391" w:type="dxa"/>
            <w:vAlign w:val="center"/>
          </w:tcPr>
          <w:p w14:paraId="07F57E64">
            <w:pPr>
              <w:spacing w:line="420" w:lineRule="exact"/>
              <w:jc w:val="center"/>
              <w:rPr>
                <w:rFonts w:hint="eastAsia" w:ascii="仿宋" w:hAnsi="仿宋" w:eastAsia="仿宋" w:cs="仿宋"/>
                <w:color w:val="auto"/>
                <w:sz w:val="24"/>
                <w:highlight w:val="none"/>
              </w:rPr>
            </w:pPr>
          </w:p>
        </w:tc>
        <w:tc>
          <w:tcPr>
            <w:tcW w:w="1199" w:type="dxa"/>
            <w:vAlign w:val="center"/>
          </w:tcPr>
          <w:p w14:paraId="301E8134">
            <w:pPr>
              <w:spacing w:line="420" w:lineRule="exact"/>
              <w:jc w:val="center"/>
              <w:rPr>
                <w:rFonts w:hint="eastAsia" w:ascii="仿宋" w:hAnsi="仿宋" w:eastAsia="仿宋" w:cs="仿宋"/>
                <w:color w:val="auto"/>
                <w:sz w:val="24"/>
                <w:highlight w:val="none"/>
              </w:rPr>
            </w:pPr>
          </w:p>
        </w:tc>
        <w:tc>
          <w:tcPr>
            <w:tcW w:w="1628" w:type="dxa"/>
            <w:vAlign w:val="center"/>
          </w:tcPr>
          <w:p w14:paraId="5F2DDBBA">
            <w:pPr>
              <w:spacing w:line="420" w:lineRule="exact"/>
              <w:jc w:val="center"/>
              <w:rPr>
                <w:rFonts w:hint="eastAsia" w:ascii="仿宋" w:hAnsi="仿宋" w:eastAsia="仿宋" w:cs="仿宋"/>
                <w:color w:val="auto"/>
                <w:sz w:val="24"/>
                <w:highlight w:val="none"/>
              </w:rPr>
            </w:pPr>
          </w:p>
        </w:tc>
        <w:tc>
          <w:tcPr>
            <w:tcW w:w="757" w:type="dxa"/>
            <w:vAlign w:val="center"/>
          </w:tcPr>
          <w:p w14:paraId="30D68956">
            <w:pPr>
              <w:spacing w:line="420" w:lineRule="exact"/>
              <w:jc w:val="center"/>
              <w:rPr>
                <w:rFonts w:hint="eastAsia" w:ascii="仿宋" w:hAnsi="仿宋" w:eastAsia="仿宋" w:cs="仿宋"/>
                <w:color w:val="auto"/>
                <w:sz w:val="24"/>
                <w:highlight w:val="none"/>
              </w:rPr>
            </w:pPr>
          </w:p>
        </w:tc>
      </w:tr>
      <w:tr w14:paraId="46BC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679" w:type="dxa"/>
            <w:vAlign w:val="center"/>
          </w:tcPr>
          <w:p w14:paraId="5AFC3734">
            <w:pPr>
              <w:spacing w:line="420" w:lineRule="exact"/>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rPr>
              <w:t>4</w:t>
            </w:r>
          </w:p>
        </w:tc>
        <w:tc>
          <w:tcPr>
            <w:tcW w:w="2743" w:type="dxa"/>
            <w:vAlign w:val="center"/>
          </w:tcPr>
          <w:p w14:paraId="78A737C5">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699" w:type="dxa"/>
            <w:vAlign w:val="center"/>
          </w:tcPr>
          <w:p w14:paraId="054E7A3F">
            <w:pPr>
              <w:spacing w:line="420" w:lineRule="exact"/>
              <w:jc w:val="center"/>
              <w:rPr>
                <w:rFonts w:hint="eastAsia" w:ascii="仿宋" w:hAnsi="仿宋" w:eastAsia="仿宋" w:cs="仿宋"/>
                <w:color w:val="auto"/>
                <w:sz w:val="24"/>
                <w:highlight w:val="none"/>
              </w:rPr>
            </w:pPr>
          </w:p>
        </w:tc>
        <w:tc>
          <w:tcPr>
            <w:tcW w:w="1314" w:type="dxa"/>
            <w:vAlign w:val="center"/>
          </w:tcPr>
          <w:p w14:paraId="3202807E">
            <w:pPr>
              <w:spacing w:line="420" w:lineRule="exact"/>
              <w:jc w:val="center"/>
              <w:rPr>
                <w:rFonts w:hint="eastAsia" w:ascii="仿宋" w:hAnsi="仿宋" w:eastAsia="仿宋" w:cs="仿宋"/>
                <w:color w:val="auto"/>
                <w:sz w:val="24"/>
                <w:highlight w:val="none"/>
              </w:rPr>
            </w:pPr>
          </w:p>
        </w:tc>
        <w:tc>
          <w:tcPr>
            <w:tcW w:w="1871" w:type="dxa"/>
            <w:vAlign w:val="center"/>
          </w:tcPr>
          <w:p w14:paraId="5C1724EF">
            <w:pPr>
              <w:spacing w:line="420" w:lineRule="exact"/>
              <w:jc w:val="center"/>
              <w:rPr>
                <w:rFonts w:hint="eastAsia" w:ascii="仿宋" w:hAnsi="仿宋" w:eastAsia="仿宋" w:cs="仿宋"/>
                <w:color w:val="auto"/>
                <w:sz w:val="24"/>
                <w:highlight w:val="none"/>
              </w:rPr>
            </w:pPr>
          </w:p>
        </w:tc>
        <w:tc>
          <w:tcPr>
            <w:tcW w:w="3053" w:type="dxa"/>
            <w:vAlign w:val="center"/>
          </w:tcPr>
          <w:p w14:paraId="5D5D4F07">
            <w:pPr>
              <w:spacing w:line="420" w:lineRule="exact"/>
              <w:jc w:val="center"/>
              <w:rPr>
                <w:rFonts w:hint="eastAsia" w:ascii="仿宋" w:hAnsi="仿宋" w:eastAsia="仿宋" w:cs="仿宋"/>
                <w:color w:val="auto"/>
                <w:sz w:val="24"/>
                <w:highlight w:val="none"/>
              </w:rPr>
            </w:pPr>
          </w:p>
        </w:tc>
        <w:tc>
          <w:tcPr>
            <w:tcW w:w="1391" w:type="dxa"/>
            <w:vAlign w:val="center"/>
          </w:tcPr>
          <w:p w14:paraId="0B7BEBE5">
            <w:pPr>
              <w:spacing w:line="420" w:lineRule="exact"/>
              <w:jc w:val="center"/>
              <w:rPr>
                <w:rFonts w:hint="eastAsia" w:ascii="仿宋" w:hAnsi="仿宋" w:eastAsia="仿宋" w:cs="仿宋"/>
                <w:color w:val="auto"/>
                <w:sz w:val="24"/>
                <w:highlight w:val="none"/>
              </w:rPr>
            </w:pPr>
          </w:p>
        </w:tc>
        <w:tc>
          <w:tcPr>
            <w:tcW w:w="1199" w:type="dxa"/>
            <w:vAlign w:val="center"/>
          </w:tcPr>
          <w:p w14:paraId="34159994">
            <w:pPr>
              <w:spacing w:line="420" w:lineRule="exact"/>
              <w:jc w:val="center"/>
              <w:rPr>
                <w:rFonts w:hint="eastAsia" w:ascii="仿宋" w:hAnsi="仿宋" w:eastAsia="仿宋" w:cs="仿宋"/>
                <w:color w:val="auto"/>
                <w:sz w:val="24"/>
                <w:highlight w:val="none"/>
              </w:rPr>
            </w:pPr>
          </w:p>
        </w:tc>
        <w:tc>
          <w:tcPr>
            <w:tcW w:w="1628" w:type="dxa"/>
            <w:vAlign w:val="center"/>
          </w:tcPr>
          <w:p w14:paraId="1AF3E31E">
            <w:pPr>
              <w:spacing w:line="420" w:lineRule="exact"/>
              <w:jc w:val="center"/>
              <w:rPr>
                <w:rFonts w:hint="eastAsia" w:ascii="仿宋" w:hAnsi="仿宋" w:eastAsia="仿宋" w:cs="仿宋"/>
                <w:color w:val="auto"/>
                <w:sz w:val="24"/>
                <w:highlight w:val="none"/>
              </w:rPr>
            </w:pPr>
          </w:p>
        </w:tc>
        <w:tc>
          <w:tcPr>
            <w:tcW w:w="757" w:type="dxa"/>
            <w:vAlign w:val="center"/>
          </w:tcPr>
          <w:p w14:paraId="399A1691">
            <w:pPr>
              <w:spacing w:line="420" w:lineRule="exact"/>
              <w:jc w:val="center"/>
              <w:rPr>
                <w:rFonts w:hint="eastAsia" w:ascii="仿宋" w:hAnsi="仿宋" w:eastAsia="仿宋" w:cs="仿宋"/>
                <w:color w:val="auto"/>
                <w:sz w:val="24"/>
                <w:highlight w:val="none"/>
              </w:rPr>
            </w:pPr>
          </w:p>
        </w:tc>
      </w:tr>
      <w:tr w14:paraId="6EC23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exact"/>
          <w:jc w:val="center"/>
        </w:trPr>
        <w:tc>
          <w:tcPr>
            <w:tcW w:w="679" w:type="dxa"/>
            <w:vAlign w:val="center"/>
          </w:tcPr>
          <w:p w14:paraId="561EAE72">
            <w:pPr>
              <w:spacing w:line="420" w:lineRule="exact"/>
              <w:jc w:val="center"/>
              <w:rPr>
                <w:rFonts w:hint="eastAsia" w:ascii="仿宋" w:hAnsi="仿宋" w:eastAsia="仿宋" w:cs="仿宋"/>
                <w:color w:val="auto"/>
                <w:kern w:val="2"/>
                <w:sz w:val="24"/>
                <w:highlight w:val="none"/>
                <w:lang w:val="en-US" w:eastAsia="zh-CN" w:bidi="ar-SA"/>
              </w:rPr>
            </w:pPr>
            <w:r>
              <w:rPr>
                <w:rFonts w:hint="eastAsia" w:ascii="仿宋" w:hAnsi="仿宋" w:eastAsia="仿宋" w:cs="仿宋"/>
                <w:color w:val="auto"/>
                <w:sz w:val="24"/>
                <w:highlight w:val="none"/>
              </w:rPr>
              <w:t>5</w:t>
            </w:r>
          </w:p>
        </w:tc>
        <w:tc>
          <w:tcPr>
            <w:tcW w:w="2743" w:type="dxa"/>
            <w:vAlign w:val="center"/>
          </w:tcPr>
          <w:p w14:paraId="7D85F2B1">
            <w:pPr>
              <w:spacing w:line="4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699" w:type="dxa"/>
            <w:vAlign w:val="center"/>
          </w:tcPr>
          <w:p w14:paraId="11313831">
            <w:pPr>
              <w:spacing w:line="420" w:lineRule="exact"/>
              <w:jc w:val="center"/>
              <w:rPr>
                <w:rFonts w:hint="eastAsia" w:ascii="仿宋" w:hAnsi="仿宋" w:eastAsia="仿宋" w:cs="仿宋"/>
                <w:color w:val="auto"/>
                <w:sz w:val="24"/>
                <w:highlight w:val="none"/>
              </w:rPr>
            </w:pPr>
          </w:p>
        </w:tc>
        <w:tc>
          <w:tcPr>
            <w:tcW w:w="1314" w:type="dxa"/>
            <w:vAlign w:val="center"/>
          </w:tcPr>
          <w:p w14:paraId="7D3E8D9E">
            <w:pPr>
              <w:spacing w:line="420" w:lineRule="exact"/>
              <w:jc w:val="center"/>
              <w:rPr>
                <w:rFonts w:hint="eastAsia" w:ascii="仿宋" w:hAnsi="仿宋" w:eastAsia="仿宋" w:cs="仿宋"/>
                <w:color w:val="auto"/>
                <w:sz w:val="24"/>
                <w:highlight w:val="none"/>
              </w:rPr>
            </w:pPr>
          </w:p>
        </w:tc>
        <w:tc>
          <w:tcPr>
            <w:tcW w:w="1871" w:type="dxa"/>
            <w:vAlign w:val="center"/>
          </w:tcPr>
          <w:p w14:paraId="4A0AE70B">
            <w:pPr>
              <w:spacing w:line="420" w:lineRule="exact"/>
              <w:jc w:val="center"/>
              <w:rPr>
                <w:rFonts w:hint="eastAsia" w:ascii="仿宋" w:hAnsi="仿宋" w:eastAsia="仿宋" w:cs="仿宋"/>
                <w:color w:val="auto"/>
                <w:sz w:val="24"/>
                <w:highlight w:val="none"/>
              </w:rPr>
            </w:pPr>
          </w:p>
        </w:tc>
        <w:tc>
          <w:tcPr>
            <w:tcW w:w="3053" w:type="dxa"/>
            <w:vAlign w:val="center"/>
          </w:tcPr>
          <w:p w14:paraId="54B286DB">
            <w:pPr>
              <w:spacing w:line="420" w:lineRule="exact"/>
              <w:jc w:val="center"/>
              <w:rPr>
                <w:rFonts w:hint="eastAsia" w:ascii="仿宋" w:hAnsi="仿宋" w:eastAsia="仿宋" w:cs="仿宋"/>
                <w:color w:val="auto"/>
                <w:sz w:val="24"/>
                <w:highlight w:val="none"/>
              </w:rPr>
            </w:pPr>
          </w:p>
        </w:tc>
        <w:tc>
          <w:tcPr>
            <w:tcW w:w="1391" w:type="dxa"/>
            <w:vAlign w:val="center"/>
          </w:tcPr>
          <w:p w14:paraId="0BAF23D8">
            <w:pPr>
              <w:spacing w:line="420" w:lineRule="exact"/>
              <w:jc w:val="center"/>
              <w:rPr>
                <w:rFonts w:hint="eastAsia" w:ascii="仿宋" w:hAnsi="仿宋" w:eastAsia="仿宋" w:cs="仿宋"/>
                <w:color w:val="auto"/>
                <w:sz w:val="24"/>
                <w:highlight w:val="none"/>
              </w:rPr>
            </w:pPr>
          </w:p>
        </w:tc>
        <w:tc>
          <w:tcPr>
            <w:tcW w:w="1199" w:type="dxa"/>
            <w:vAlign w:val="center"/>
          </w:tcPr>
          <w:p w14:paraId="03A5AE6A">
            <w:pPr>
              <w:spacing w:line="420" w:lineRule="exact"/>
              <w:jc w:val="center"/>
              <w:rPr>
                <w:rFonts w:hint="eastAsia" w:ascii="仿宋" w:hAnsi="仿宋" w:eastAsia="仿宋" w:cs="仿宋"/>
                <w:color w:val="auto"/>
                <w:sz w:val="24"/>
                <w:highlight w:val="none"/>
              </w:rPr>
            </w:pPr>
          </w:p>
        </w:tc>
        <w:tc>
          <w:tcPr>
            <w:tcW w:w="1628" w:type="dxa"/>
            <w:vAlign w:val="center"/>
          </w:tcPr>
          <w:p w14:paraId="598B0C5B">
            <w:pPr>
              <w:spacing w:line="420" w:lineRule="exact"/>
              <w:jc w:val="center"/>
              <w:rPr>
                <w:rFonts w:hint="eastAsia" w:ascii="仿宋" w:hAnsi="仿宋" w:eastAsia="仿宋" w:cs="仿宋"/>
                <w:color w:val="auto"/>
                <w:sz w:val="24"/>
                <w:highlight w:val="none"/>
              </w:rPr>
            </w:pPr>
          </w:p>
        </w:tc>
        <w:tc>
          <w:tcPr>
            <w:tcW w:w="757" w:type="dxa"/>
            <w:vAlign w:val="center"/>
          </w:tcPr>
          <w:p w14:paraId="5EFF4BFC">
            <w:pPr>
              <w:spacing w:line="420" w:lineRule="exact"/>
              <w:jc w:val="center"/>
              <w:rPr>
                <w:rFonts w:hint="eastAsia" w:ascii="仿宋" w:hAnsi="仿宋" w:eastAsia="仿宋" w:cs="仿宋"/>
                <w:color w:val="auto"/>
                <w:sz w:val="24"/>
                <w:highlight w:val="none"/>
              </w:rPr>
            </w:pPr>
          </w:p>
        </w:tc>
      </w:tr>
      <w:tr w14:paraId="0B6B4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exact"/>
          <w:jc w:val="center"/>
        </w:trPr>
        <w:tc>
          <w:tcPr>
            <w:tcW w:w="3422" w:type="dxa"/>
            <w:gridSpan w:val="2"/>
            <w:vAlign w:val="center"/>
          </w:tcPr>
          <w:p w14:paraId="2A5FAC48">
            <w:pPr>
              <w:spacing w:line="420" w:lineRule="exact"/>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投标单价</w:t>
            </w:r>
            <w:r>
              <w:rPr>
                <w:rFonts w:hint="eastAsia" w:ascii="仿宋" w:hAnsi="仿宋" w:eastAsia="仿宋" w:cs="仿宋"/>
                <w:color w:val="auto"/>
                <w:sz w:val="24"/>
                <w:highlight w:val="none"/>
                <w:lang w:val="en-US" w:eastAsia="zh-CN"/>
              </w:rPr>
              <w:t>合计金额</w:t>
            </w:r>
            <w:r>
              <w:rPr>
                <w:rFonts w:hint="eastAsia" w:ascii="仿宋" w:hAnsi="仿宋" w:eastAsia="仿宋" w:cs="仿宋"/>
                <w:color w:val="auto"/>
                <w:sz w:val="24"/>
                <w:highlight w:val="none"/>
              </w:rPr>
              <w:t>（元）</w:t>
            </w:r>
          </w:p>
        </w:tc>
        <w:tc>
          <w:tcPr>
            <w:tcW w:w="11912" w:type="dxa"/>
            <w:gridSpan w:val="8"/>
            <w:vAlign w:val="center"/>
          </w:tcPr>
          <w:p w14:paraId="4A79EBAF">
            <w:pPr>
              <w:tabs>
                <w:tab w:val="left" w:pos="7415"/>
              </w:tabs>
              <w:spacing w:line="420" w:lineRule="exact"/>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ab/>
            </w:r>
          </w:p>
        </w:tc>
      </w:tr>
    </w:tbl>
    <w:p w14:paraId="0898226B">
      <w:pPr>
        <w:spacing w:before="156" w:beforeLines="50" w:line="460" w:lineRule="exact"/>
        <w:rPr>
          <w:rFonts w:hint="eastAsia" w:ascii="仿宋" w:hAnsi="仿宋" w:eastAsia="仿宋" w:cs="仿宋"/>
          <w:color w:val="auto"/>
          <w:sz w:val="24"/>
          <w:szCs w:val="18"/>
          <w:highlight w:val="none"/>
        </w:rPr>
      </w:pPr>
      <w:r>
        <w:rPr>
          <w:rFonts w:hint="eastAsia" w:ascii="仿宋" w:hAnsi="仿宋" w:eastAsia="仿宋" w:cs="仿宋"/>
          <w:b/>
          <w:color w:val="auto"/>
          <w:sz w:val="24"/>
          <w:szCs w:val="18"/>
          <w:highlight w:val="none"/>
        </w:rPr>
        <w:t>注</w:t>
      </w:r>
      <w:r>
        <w:rPr>
          <w:rFonts w:hint="eastAsia" w:ascii="仿宋" w:hAnsi="仿宋" w:eastAsia="仿宋" w:cs="仿宋"/>
          <w:color w:val="auto"/>
          <w:sz w:val="24"/>
          <w:szCs w:val="18"/>
          <w:highlight w:val="none"/>
        </w:rPr>
        <w:t>：1、如果按单价计算的结果与总价不一致，以单价为准修正总价。</w:t>
      </w:r>
    </w:p>
    <w:p w14:paraId="3C094D78">
      <w:pPr>
        <w:pStyle w:val="13"/>
        <w:numPr>
          <w:ilvl w:val="0"/>
          <w:numId w:val="6"/>
        </w:numPr>
        <w:spacing w:line="460" w:lineRule="exact"/>
        <w:ind w:right="-15" w:firstLine="482" w:firstLineChars="200"/>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供应商须参照第三章各包所列明的内容全部报价。如果不提供详细分项报价视为未实质性响应招标文件。</w:t>
      </w:r>
    </w:p>
    <w:p w14:paraId="6474EBA6">
      <w:pPr>
        <w:pStyle w:val="13"/>
        <w:numPr>
          <w:ilvl w:val="0"/>
          <w:numId w:val="6"/>
        </w:numPr>
        <w:spacing w:line="460" w:lineRule="exact"/>
        <w:ind w:right="-15" w:firstLine="482" w:firstLineChars="200"/>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供应商必须按第三章“招标内容及技术要求”按序逐一进行报价，不得随意更改产品顺序，否则视为未实质性响应招标文件。</w:t>
      </w:r>
    </w:p>
    <w:p w14:paraId="212F640A">
      <w:pPr>
        <w:pStyle w:val="13"/>
        <w:numPr>
          <w:ilvl w:val="0"/>
          <w:numId w:val="6"/>
        </w:numPr>
        <w:spacing w:line="460" w:lineRule="exact"/>
        <w:ind w:right="-15" w:firstLine="482" w:firstLineChars="200"/>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供应商</w:t>
      </w:r>
      <w:r>
        <w:rPr>
          <w:rFonts w:hint="eastAsia" w:ascii="仿宋" w:hAnsi="仿宋" w:eastAsia="仿宋" w:cs="仿宋"/>
          <w:b/>
          <w:color w:val="auto"/>
          <w:sz w:val="24"/>
          <w:szCs w:val="21"/>
          <w:highlight w:val="none"/>
          <w:lang w:val="en-US" w:eastAsia="zh-CN"/>
        </w:rPr>
        <w:t>所报单价为最小计量单位单价（报价单位需与技术参数中的预算单价单位一致），所报单价不得超过技术参数中的预算单价/最高限制单价。</w:t>
      </w:r>
    </w:p>
    <w:p w14:paraId="0CDDD7A4">
      <w:pPr>
        <w:rPr>
          <w:rFonts w:hint="eastAsia" w:ascii="仿宋" w:hAnsi="仿宋" w:eastAsia="仿宋" w:cs="仿宋"/>
          <w:color w:val="auto"/>
          <w:sz w:val="28"/>
          <w:highlight w:val="none"/>
        </w:rPr>
      </w:pPr>
      <w:r>
        <w:rPr>
          <w:rFonts w:hint="eastAsia" w:ascii="仿宋" w:hAnsi="仿宋" w:eastAsia="仿宋" w:cs="仿宋"/>
          <w:color w:val="auto"/>
          <w:sz w:val="28"/>
          <w:highlight w:val="none"/>
        </w:rPr>
        <w:t>投标单位授权代表签字：                                            投标单位公章：</w:t>
      </w:r>
      <w:r>
        <w:rPr>
          <w:rFonts w:hint="eastAsia" w:ascii="仿宋" w:hAnsi="仿宋" w:eastAsia="仿宋" w:cs="仿宋"/>
          <w:color w:val="auto"/>
          <w:sz w:val="28"/>
          <w:highlight w:val="none"/>
        </w:rPr>
        <w:br w:type="page"/>
      </w:r>
    </w:p>
    <w:p w14:paraId="32D3EE52">
      <w:pPr>
        <w:pStyle w:val="13"/>
        <w:spacing w:line="460" w:lineRule="exact"/>
        <w:ind w:right="-15" w:firstLine="1120" w:firstLineChars="400"/>
        <w:jc w:val="right"/>
        <w:rPr>
          <w:rFonts w:hint="eastAsia" w:ascii="仿宋" w:hAnsi="仿宋" w:eastAsia="仿宋" w:cs="仿宋"/>
          <w:color w:val="auto"/>
          <w:highlight w:val="none"/>
        </w:rPr>
      </w:pPr>
      <w:r>
        <w:rPr>
          <w:rFonts w:hint="eastAsia" w:ascii="仿宋" w:hAnsi="仿宋" w:eastAsia="仿宋" w:cs="仿宋"/>
          <w:color w:val="auto"/>
          <w:sz w:val="28"/>
          <w:highlight w:val="none"/>
        </w:rPr>
        <w:t>附件八</w:t>
      </w:r>
    </w:p>
    <w:p w14:paraId="1361B70B">
      <w:pPr>
        <w:spacing w:line="360" w:lineRule="atLeast"/>
        <w:ind w:firstLine="723"/>
        <w:jc w:val="center"/>
        <w:rPr>
          <w:rFonts w:hint="eastAsia" w:ascii="仿宋" w:hAnsi="仿宋" w:eastAsia="仿宋" w:cs="仿宋"/>
          <w:color w:val="auto"/>
          <w:sz w:val="36"/>
          <w:highlight w:val="none"/>
        </w:rPr>
      </w:pPr>
      <w:r>
        <w:rPr>
          <w:rFonts w:hint="eastAsia" w:ascii="仿宋" w:hAnsi="仿宋" w:eastAsia="仿宋" w:cs="仿宋"/>
          <w:b/>
          <w:color w:val="auto"/>
          <w:sz w:val="36"/>
          <w:highlight w:val="none"/>
        </w:rPr>
        <w:t>技 术 规 格 偏 离 表</w:t>
      </w:r>
    </w:p>
    <w:p w14:paraId="21158146">
      <w:pPr>
        <w:spacing w:line="360" w:lineRule="atLeast"/>
        <w:jc w:val="distribute"/>
        <w:rPr>
          <w:rFonts w:hint="eastAsia" w:ascii="仿宋" w:hAnsi="仿宋" w:eastAsia="仿宋" w:cs="仿宋"/>
          <w:color w:val="auto"/>
          <w:sz w:val="28"/>
          <w:highlight w:val="none"/>
        </w:rPr>
      </w:pPr>
      <w:r>
        <w:rPr>
          <w:rFonts w:hint="eastAsia" w:ascii="仿宋" w:hAnsi="仿宋" w:eastAsia="仿宋" w:cs="仿宋"/>
          <w:color w:val="auto"/>
          <w:sz w:val="28"/>
          <w:szCs w:val="28"/>
          <w:highlight w:val="none"/>
        </w:rPr>
        <w:t>编号：</w:t>
      </w:r>
      <w:r>
        <w:rPr>
          <w:rFonts w:hint="eastAsia" w:ascii="仿宋" w:hAnsi="仿宋" w:eastAsia="仿宋" w:cs="仿宋"/>
          <w:color w:val="auto"/>
          <w:sz w:val="28"/>
          <w:highlight w:val="none"/>
        </w:rPr>
        <w:t xml:space="preserve">                                                               年    月    日</w:t>
      </w:r>
    </w:p>
    <w:tbl>
      <w:tblPr>
        <w:tblStyle w:val="22"/>
        <w:tblW w:w="14243" w:type="dxa"/>
        <w:jc w:val="center"/>
        <w:tblLayout w:type="fixed"/>
        <w:tblCellMar>
          <w:top w:w="0" w:type="dxa"/>
          <w:left w:w="108" w:type="dxa"/>
          <w:bottom w:w="0" w:type="dxa"/>
          <w:right w:w="108" w:type="dxa"/>
        </w:tblCellMar>
      </w:tblPr>
      <w:tblGrid>
        <w:gridCol w:w="918"/>
        <w:gridCol w:w="2555"/>
        <w:gridCol w:w="3165"/>
        <w:gridCol w:w="3045"/>
        <w:gridCol w:w="2280"/>
        <w:gridCol w:w="2280"/>
      </w:tblGrid>
      <w:tr w14:paraId="29141A08">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9610B98">
            <w:pPr>
              <w:rPr>
                <w:rFonts w:hint="eastAsia" w:ascii="仿宋" w:hAnsi="仿宋" w:eastAsia="仿宋" w:cs="仿宋"/>
                <w:color w:val="auto"/>
                <w:sz w:val="28"/>
                <w:highlight w:val="none"/>
              </w:rPr>
            </w:pPr>
            <w:r>
              <w:rPr>
                <w:rFonts w:hint="eastAsia" w:ascii="仿宋" w:hAnsi="仿宋" w:eastAsia="仿宋" w:cs="仿宋"/>
                <w:color w:val="auto"/>
                <w:sz w:val="28"/>
                <w:highlight w:val="none"/>
              </w:rPr>
              <w:t>序号</w:t>
            </w:r>
          </w:p>
        </w:tc>
        <w:tc>
          <w:tcPr>
            <w:tcW w:w="2555" w:type="dxa"/>
            <w:tcBorders>
              <w:top w:val="single" w:color="auto" w:sz="6" w:space="0"/>
              <w:left w:val="single" w:color="auto" w:sz="6" w:space="0"/>
              <w:bottom w:val="single" w:color="auto" w:sz="6" w:space="0"/>
              <w:right w:val="single" w:color="auto" w:sz="6" w:space="0"/>
            </w:tcBorders>
            <w:vAlign w:val="center"/>
          </w:tcPr>
          <w:p w14:paraId="3674D4AF">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招标条款序号</w:t>
            </w:r>
          </w:p>
        </w:tc>
        <w:tc>
          <w:tcPr>
            <w:tcW w:w="3165" w:type="dxa"/>
            <w:tcBorders>
              <w:top w:val="single" w:color="auto" w:sz="6" w:space="0"/>
              <w:left w:val="single" w:color="auto" w:sz="6" w:space="0"/>
              <w:bottom w:val="single" w:color="auto" w:sz="6" w:space="0"/>
              <w:right w:val="single" w:color="auto" w:sz="6" w:space="0"/>
            </w:tcBorders>
            <w:vAlign w:val="center"/>
          </w:tcPr>
          <w:p w14:paraId="3F7BA1CC">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招标参数条款</w:t>
            </w:r>
          </w:p>
        </w:tc>
        <w:tc>
          <w:tcPr>
            <w:tcW w:w="3045" w:type="dxa"/>
            <w:tcBorders>
              <w:top w:val="single" w:color="auto" w:sz="6" w:space="0"/>
              <w:left w:val="single" w:color="auto" w:sz="6" w:space="0"/>
              <w:bottom w:val="single" w:color="auto" w:sz="6" w:space="0"/>
              <w:right w:val="single" w:color="auto" w:sz="4" w:space="0"/>
            </w:tcBorders>
            <w:vAlign w:val="center"/>
          </w:tcPr>
          <w:p w14:paraId="0B1EDD1E">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投标条款</w:t>
            </w:r>
          </w:p>
        </w:tc>
        <w:tc>
          <w:tcPr>
            <w:tcW w:w="2280" w:type="dxa"/>
            <w:tcBorders>
              <w:top w:val="single" w:color="auto" w:sz="6" w:space="0"/>
              <w:left w:val="single" w:color="auto" w:sz="4" w:space="0"/>
              <w:bottom w:val="single" w:color="auto" w:sz="6" w:space="0"/>
              <w:right w:val="single" w:color="auto" w:sz="6" w:space="0"/>
            </w:tcBorders>
            <w:vAlign w:val="center"/>
          </w:tcPr>
          <w:p w14:paraId="3291D363">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响应/偏离</w:t>
            </w:r>
          </w:p>
        </w:tc>
        <w:tc>
          <w:tcPr>
            <w:tcW w:w="2280" w:type="dxa"/>
            <w:tcBorders>
              <w:top w:val="single" w:color="auto" w:sz="6" w:space="0"/>
              <w:left w:val="single" w:color="auto" w:sz="4" w:space="0"/>
              <w:bottom w:val="single" w:color="auto" w:sz="6" w:space="0"/>
              <w:right w:val="single" w:color="auto" w:sz="6" w:space="0"/>
            </w:tcBorders>
            <w:vAlign w:val="center"/>
          </w:tcPr>
          <w:p w14:paraId="7991E492">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说明</w:t>
            </w:r>
          </w:p>
        </w:tc>
      </w:tr>
      <w:tr w14:paraId="31D122D4">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4F1A89F">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06F7E6BB">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5CA4B23F">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6CB7C4DB">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DB5E5B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2ED18C43">
            <w:pPr>
              <w:ind w:firstLine="420"/>
              <w:jc w:val="center"/>
              <w:rPr>
                <w:rFonts w:hint="eastAsia" w:ascii="仿宋" w:hAnsi="仿宋" w:eastAsia="仿宋" w:cs="仿宋"/>
                <w:color w:val="auto"/>
                <w:highlight w:val="none"/>
              </w:rPr>
            </w:pPr>
          </w:p>
        </w:tc>
      </w:tr>
      <w:tr w14:paraId="5CD7B16B">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67C3B69E">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30121247">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0407C45C">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73D5B616">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EB2531F">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160B34B">
            <w:pPr>
              <w:ind w:firstLine="420"/>
              <w:jc w:val="center"/>
              <w:rPr>
                <w:rFonts w:hint="eastAsia" w:ascii="仿宋" w:hAnsi="仿宋" w:eastAsia="仿宋" w:cs="仿宋"/>
                <w:color w:val="auto"/>
                <w:highlight w:val="none"/>
              </w:rPr>
            </w:pPr>
          </w:p>
        </w:tc>
      </w:tr>
      <w:tr w14:paraId="002D63EE">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781CC7EB">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6F0F832B">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40B098CF">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418CF6A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35EBFB8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2995BEB">
            <w:pPr>
              <w:ind w:firstLine="420"/>
              <w:jc w:val="center"/>
              <w:rPr>
                <w:rFonts w:hint="eastAsia" w:ascii="仿宋" w:hAnsi="仿宋" w:eastAsia="仿宋" w:cs="仿宋"/>
                <w:color w:val="auto"/>
                <w:highlight w:val="none"/>
              </w:rPr>
            </w:pPr>
          </w:p>
        </w:tc>
      </w:tr>
      <w:tr w14:paraId="2AB3BD80">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CB02FF8">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2070ACC7">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65746BB5">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432B1BB3">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EBA452B">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130D4D41">
            <w:pPr>
              <w:ind w:firstLine="420"/>
              <w:jc w:val="center"/>
              <w:rPr>
                <w:rFonts w:hint="eastAsia" w:ascii="仿宋" w:hAnsi="仿宋" w:eastAsia="仿宋" w:cs="仿宋"/>
                <w:color w:val="auto"/>
                <w:highlight w:val="none"/>
              </w:rPr>
            </w:pPr>
          </w:p>
        </w:tc>
      </w:tr>
      <w:tr w14:paraId="5E689C9E">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3B8DD46">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70B67A8F">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11F7551E">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67A02B87">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33F31EC">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E9AABAC">
            <w:pPr>
              <w:ind w:firstLine="420"/>
              <w:jc w:val="center"/>
              <w:rPr>
                <w:rFonts w:hint="eastAsia" w:ascii="仿宋" w:hAnsi="仿宋" w:eastAsia="仿宋" w:cs="仿宋"/>
                <w:color w:val="auto"/>
                <w:highlight w:val="none"/>
              </w:rPr>
            </w:pPr>
          </w:p>
        </w:tc>
      </w:tr>
      <w:tr w14:paraId="2CBCCD8D">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350E82B6">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0C118B80">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2FF9EECD">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3CAEC454">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64992A6D">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60CE182">
            <w:pPr>
              <w:ind w:firstLine="420"/>
              <w:jc w:val="center"/>
              <w:rPr>
                <w:rFonts w:hint="eastAsia" w:ascii="仿宋" w:hAnsi="仿宋" w:eastAsia="仿宋" w:cs="仿宋"/>
                <w:color w:val="auto"/>
                <w:highlight w:val="none"/>
              </w:rPr>
            </w:pPr>
          </w:p>
        </w:tc>
      </w:tr>
      <w:tr w14:paraId="5D488791">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1F1720E9">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479DADCA">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3857E1BB">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293956C3">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18948A12">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22DD6BAB">
            <w:pPr>
              <w:ind w:firstLine="420"/>
              <w:jc w:val="center"/>
              <w:rPr>
                <w:rFonts w:hint="eastAsia" w:ascii="仿宋" w:hAnsi="仿宋" w:eastAsia="仿宋" w:cs="仿宋"/>
                <w:color w:val="auto"/>
                <w:highlight w:val="none"/>
              </w:rPr>
            </w:pPr>
          </w:p>
        </w:tc>
      </w:tr>
      <w:tr w14:paraId="3EE27B6C">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793E0E47">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1B2BB2EA">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2B18E1AA">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085FA88D">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5E660A58">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61A42D4E">
            <w:pPr>
              <w:ind w:firstLine="420"/>
              <w:jc w:val="center"/>
              <w:rPr>
                <w:rFonts w:hint="eastAsia" w:ascii="仿宋" w:hAnsi="仿宋" w:eastAsia="仿宋" w:cs="仿宋"/>
                <w:color w:val="auto"/>
                <w:highlight w:val="none"/>
              </w:rPr>
            </w:pPr>
          </w:p>
        </w:tc>
      </w:tr>
    </w:tbl>
    <w:p w14:paraId="7EE5036C">
      <w:pPr>
        <w:ind w:firstLine="562"/>
        <w:rPr>
          <w:rFonts w:hint="eastAsia" w:ascii="仿宋" w:hAnsi="仿宋" w:eastAsia="仿宋" w:cs="仿宋"/>
          <w:color w:val="auto"/>
          <w:kern w:val="0"/>
          <w:sz w:val="24"/>
          <w:highlight w:val="none"/>
        </w:rPr>
      </w:pPr>
      <w:r>
        <w:rPr>
          <w:rFonts w:hint="eastAsia" w:ascii="仿宋" w:hAnsi="仿宋" w:eastAsia="仿宋" w:cs="仿宋"/>
          <w:b/>
          <w:color w:val="auto"/>
          <w:sz w:val="28"/>
          <w:highlight w:val="none"/>
        </w:rPr>
        <w:t>（供应商须对第三章所有技术参数条款逐条列明是否响应，如有偏离，须一一列明）</w:t>
      </w:r>
    </w:p>
    <w:p w14:paraId="4675A0C2">
      <w:pPr>
        <w:ind w:right="848"/>
        <w:jc w:val="right"/>
        <w:rPr>
          <w:rFonts w:hint="eastAsia" w:ascii="仿宋" w:hAnsi="仿宋" w:eastAsia="仿宋" w:cs="仿宋"/>
          <w:color w:val="auto"/>
          <w:sz w:val="28"/>
          <w:highlight w:val="none"/>
        </w:rPr>
      </w:pPr>
      <w:r>
        <w:rPr>
          <w:rFonts w:hint="eastAsia" w:ascii="仿宋" w:hAnsi="仿宋" w:eastAsia="仿宋" w:cs="仿宋"/>
          <w:color w:val="auto"/>
          <w:sz w:val="28"/>
          <w:highlight w:val="none"/>
        </w:rPr>
        <w:t>投标单位授权代表人签字：                                                  投标单位公章：</w:t>
      </w:r>
      <w:r>
        <w:rPr>
          <w:rFonts w:hint="eastAsia" w:ascii="仿宋" w:hAnsi="仿宋" w:eastAsia="仿宋" w:cs="仿宋"/>
          <w:b/>
          <w:color w:val="auto"/>
          <w:sz w:val="42"/>
          <w:highlight w:val="none"/>
        </w:rPr>
        <w:br w:type="page"/>
      </w:r>
      <w:r>
        <w:rPr>
          <w:rFonts w:hint="eastAsia" w:ascii="仿宋" w:hAnsi="仿宋" w:eastAsia="仿宋" w:cs="仿宋"/>
          <w:color w:val="auto"/>
          <w:sz w:val="28"/>
          <w:highlight w:val="none"/>
        </w:rPr>
        <w:t>附件九</w:t>
      </w:r>
    </w:p>
    <w:p w14:paraId="336F68AB">
      <w:pPr>
        <w:spacing w:line="360" w:lineRule="atLeast"/>
        <w:ind w:firstLine="723"/>
        <w:jc w:val="center"/>
        <w:rPr>
          <w:rFonts w:hint="eastAsia" w:ascii="仿宋" w:hAnsi="仿宋" w:eastAsia="仿宋" w:cs="仿宋"/>
          <w:color w:val="auto"/>
          <w:sz w:val="36"/>
          <w:highlight w:val="none"/>
        </w:rPr>
      </w:pPr>
      <w:r>
        <w:rPr>
          <w:rFonts w:hint="eastAsia" w:ascii="仿宋" w:hAnsi="仿宋" w:eastAsia="仿宋" w:cs="仿宋"/>
          <w:b/>
          <w:color w:val="auto"/>
          <w:sz w:val="36"/>
          <w:highlight w:val="none"/>
        </w:rPr>
        <w:t>商 务 所 有 条 款 偏 离 表</w:t>
      </w:r>
    </w:p>
    <w:p w14:paraId="1C1F7D41">
      <w:pPr>
        <w:spacing w:line="360" w:lineRule="atLeast"/>
        <w:ind w:right="352"/>
        <w:jc w:val="distribute"/>
        <w:rPr>
          <w:rFonts w:hint="eastAsia" w:ascii="仿宋" w:hAnsi="仿宋" w:eastAsia="仿宋" w:cs="仿宋"/>
          <w:color w:val="auto"/>
          <w:sz w:val="28"/>
          <w:highlight w:val="none"/>
        </w:rPr>
      </w:pPr>
      <w:r>
        <w:rPr>
          <w:rFonts w:hint="eastAsia" w:ascii="仿宋" w:hAnsi="仿宋" w:eastAsia="仿宋" w:cs="仿宋"/>
          <w:color w:val="auto"/>
          <w:sz w:val="28"/>
          <w:szCs w:val="28"/>
          <w:highlight w:val="none"/>
        </w:rPr>
        <w:t>编号：</w:t>
      </w:r>
      <w:r>
        <w:rPr>
          <w:rFonts w:hint="eastAsia" w:ascii="仿宋" w:hAnsi="仿宋" w:eastAsia="仿宋" w:cs="仿宋"/>
          <w:color w:val="auto"/>
          <w:sz w:val="28"/>
          <w:highlight w:val="none"/>
        </w:rPr>
        <w:t xml:space="preserve">                                                       年    月    日</w:t>
      </w:r>
    </w:p>
    <w:tbl>
      <w:tblPr>
        <w:tblStyle w:val="22"/>
        <w:tblW w:w="14243" w:type="dxa"/>
        <w:jc w:val="center"/>
        <w:tblLayout w:type="fixed"/>
        <w:tblCellMar>
          <w:top w:w="0" w:type="dxa"/>
          <w:left w:w="108" w:type="dxa"/>
          <w:bottom w:w="0" w:type="dxa"/>
          <w:right w:w="108" w:type="dxa"/>
        </w:tblCellMar>
      </w:tblPr>
      <w:tblGrid>
        <w:gridCol w:w="918"/>
        <w:gridCol w:w="2555"/>
        <w:gridCol w:w="3165"/>
        <w:gridCol w:w="3045"/>
        <w:gridCol w:w="2280"/>
        <w:gridCol w:w="2280"/>
      </w:tblGrid>
      <w:tr w14:paraId="26B0DD12">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7B4FF630">
            <w:pPr>
              <w:rPr>
                <w:rFonts w:hint="eastAsia" w:ascii="仿宋" w:hAnsi="仿宋" w:eastAsia="仿宋" w:cs="仿宋"/>
                <w:color w:val="auto"/>
                <w:sz w:val="28"/>
                <w:highlight w:val="none"/>
              </w:rPr>
            </w:pPr>
            <w:r>
              <w:rPr>
                <w:rFonts w:hint="eastAsia" w:ascii="仿宋" w:hAnsi="仿宋" w:eastAsia="仿宋" w:cs="仿宋"/>
                <w:color w:val="auto"/>
                <w:sz w:val="28"/>
                <w:highlight w:val="none"/>
              </w:rPr>
              <w:t>序号</w:t>
            </w:r>
          </w:p>
        </w:tc>
        <w:tc>
          <w:tcPr>
            <w:tcW w:w="2555" w:type="dxa"/>
            <w:tcBorders>
              <w:top w:val="single" w:color="auto" w:sz="6" w:space="0"/>
              <w:left w:val="single" w:color="auto" w:sz="6" w:space="0"/>
              <w:bottom w:val="single" w:color="auto" w:sz="6" w:space="0"/>
              <w:right w:val="single" w:color="auto" w:sz="6" w:space="0"/>
            </w:tcBorders>
            <w:vAlign w:val="center"/>
          </w:tcPr>
          <w:p w14:paraId="1D72FE6F">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招标条款序号</w:t>
            </w:r>
          </w:p>
        </w:tc>
        <w:tc>
          <w:tcPr>
            <w:tcW w:w="3165" w:type="dxa"/>
            <w:tcBorders>
              <w:top w:val="single" w:color="auto" w:sz="6" w:space="0"/>
              <w:left w:val="single" w:color="auto" w:sz="6" w:space="0"/>
              <w:bottom w:val="single" w:color="auto" w:sz="6" w:space="0"/>
              <w:right w:val="single" w:color="auto" w:sz="6" w:space="0"/>
            </w:tcBorders>
            <w:vAlign w:val="center"/>
          </w:tcPr>
          <w:p w14:paraId="1EA1C8F7">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招标条款</w:t>
            </w:r>
          </w:p>
        </w:tc>
        <w:tc>
          <w:tcPr>
            <w:tcW w:w="3045" w:type="dxa"/>
            <w:tcBorders>
              <w:top w:val="single" w:color="auto" w:sz="6" w:space="0"/>
              <w:left w:val="single" w:color="auto" w:sz="6" w:space="0"/>
              <w:bottom w:val="single" w:color="auto" w:sz="6" w:space="0"/>
              <w:right w:val="single" w:color="auto" w:sz="4" w:space="0"/>
            </w:tcBorders>
            <w:vAlign w:val="center"/>
          </w:tcPr>
          <w:p w14:paraId="35C0608E">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投标条款</w:t>
            </w:r>
          </w:p>
        </w:tc>
        <w:tc>
          <w:tcPr>
            <w:tcW w:w="2280" w:type="dxa"/>
            <w:tcBorders>
              <w:top w:val="single" w:color="auto" w:sz="6" w:space="0"/>
              <w:left w:val="single" w:color="auto" w:sz="4" w:space="0"/>
              <w:bottom w:val="single" w:color="auto" w:sz="6" w:space="0"/>
              <w:right w:val="single" w:color="auto" w:sz="6" w:space="0"/>
            </w:tcBorders>
            <w:vAlign w:val="center"/>
          </w:tcPr>
          <w:p w14:paraId="03AC7555">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响应/偏离</w:t>
            </w:r>
          </w:p>
        </w:tc>
        <w:tc>
          <w:tcPr>
            <w:tcW w:w="2280" w:type="dxa"/>
            <w:tcBorders>
              <w:top w:val="single" w:color="auto" w:sz="6" w:space="0"/>
              <w:left w:val="single" w:color="auto" w:sz="4" w:space="0"/>
              <w:bottom w:val="single" w:color="auto" w:sz="6" w:space="0"/>
              <w:right w:val="single" w:color="auto" w:sz="6" w:space="0"/>
            </w:tcBorders>
            <w:vAlign w:val="center"/>
          </w:tcPr>
          <w:p w14:paraId="21C7A855">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说明</w:t>
            </w:r>
          </w:p>
        </w:tc>
      </w:tr>
      <w:tr w14:paraId="11E62C02">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FE5E442">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287E14B3">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5C7C2844">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1772B416">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E677BEB">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3CCD35FC">
            <w:pPr>
              <w:ind w:firstLine="420"/>
              <w:jc w:val="center"/>
              <w:rPr>
                <w:rFonts w:hint="eastAsia" w:ascii="仿宋" w:hAnsi="仿宋" w:eastAsia="仿宋" w:cs="仿宋"/>
                <w:color w:val="auto"/>
                <w:highlight w:val="none"/>
              </w:rPr>
            </w:pPr>
          </w:p>
        </w:tc>
      </w:tr>
      <w:tr w14:paraId="30A18C96">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796EB4C7">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7BEE986F">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32A737A1">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408070F4">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3131101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E26D485">
            <w:pPr>
              <w:ind w:firstLine="420"/>
              <w:jc w:val="center"/>
              <w:rPr>
                <w:rFonts w:hint="eastAsia" w:ascii="仿宋" w:hAnsi="仿宋" w:eastAsia="仿宋" w:cs="仿宋"/>
                <w:color w:val="auto"/>
                <w:highlight w:val="none"/>
              </w:rPr>
            </w:pPr>
          </w:p>
        </w:tc>
      </w:tr>
      <w:tr w14:paraId="03C6FCB4">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0DE2AD4">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5C5E2003">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0537306E">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32F71B91">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3FFAA8F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1F54E611">
            <w:pPr>
              <w:ind w:firstLine="420"/>
              <w:jc w:val="center"/>
              <w:rPr>
                <w:rFonts w:hint="eastAsia" w:ascii="仿宋" w:hAnsi="仿宋" w:eastAsia="仿宋" w:cs="仿宋"/>
                <w:color w:val="auto"/>
                <w:highlight w:val="none"/>
              </w:rPr>
            </w:pPr>
          </w:p>
        </w:tc>
      </w:tr>
      <w:tr w14:paraId="74BEFE3D">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0564DCD8">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1BCC839C">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18531737">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6D74AF0C">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CC16FB0">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224AE76">
            <w:pPr>
              <w:ind w:firstLine="420"/>
              <w:jc w:val="center"/>
              <w:rPr>
                <w:rFonts w:hint="eastAsia" w:ascii="仿宋" w:hAnsi="仿宋" w:eastAsia="仿宋" w:cs="仿宋"/>
                <w:color w:val="auto"/>
                <w:highlight w:val="none"/>
              </w:rPr>
            </w:pPr>
          </w:p>
        </w:tc>
      </w:tr>
      <w:tr w14:paraId="3286CE61">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838F0D1">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7C4A47B7">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45757E57">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4FA7955C">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21EA288C">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9FBA653">
            <w:pPr>
              <w:ind w:firstLine="420"/>
              <w:jc w:val="center"/>
              <w:rPr>
                <w:rFonts w:hint="eastAsia" w:ascii="仿宋" w:hAnsi="仿宋" w:eastAsia="仿宋" w:cs="仿宋"/>
                <w:color w:val="auto"/>
                <w:highlight w:val="none"/>
              </w:rPr>
            </w:pPr>
          </w:p>
        </w:tc>
      </w:tr>
      <w:tr w14:paraId="735D64DB">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3130BC9E">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19376E79">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0164426D">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2E55AD88">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4AE4F0B4">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07772D94">
            <w:pPr>
              <w:ind w:firstLine="420"/>
              <w:jc w:val="center"/>
              <w:rPr>
                <w:rFonts w:hint="eastAsia" w:ascii="仿宋" w:hAnsi="仿宋" w:eastAsia="仿宋" w:cs="仿宋"/>
                <w:color w:val="auto"/>
                <w:highlight w:val="none"/>
              </w:rPr>
            </w:pPr>
          </w:p>
        </w:tc>
      </w:tr>
      <w:tr w14:paraId="533F90C4">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36A1F1D4">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2CF13E25">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69571034">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6D3933B3">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4CDD9C0B">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FBBBD68">
            <w:pPr>
              <w:ind w:firstLine="420"/>
              <w:jc w:val="center"/>
              <w:rPr>
                <w:rFonts w:hint="eastAsia" w:ascii="仿宋" w:hAnsi="仿宋" w:eastAsia="仿宋" w:cs="仿宋"/>
                <w:color w:val="auto"/>
                <w:highlight w:val="none"/>
              </w:rPr>
            </w:pPr>
          </w:p>
        </w:tc>
      </w:tr>
      <w:tr w14:paraId="3B70E735">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5DA4AC82">
            <w:pPr>
              <w:ind w:firstLine="420"/>
              <w:jc w:val="center"/>
              <w:rPr>
                <w:rFonts w:hint="eastAsia" w:ascii="仿宋" w:hAnsi="仿宋" w:eastAsia="仿宋" w:cs="仿宋"/>
                <w:color w:val="auto"/>
                <w:highlight w:val="none"/>
              </w:rPr>
            </w:pPr>
          </w:p>
        </w:tc>
        <w:tc>
          <w:tcPr>
            <w:tcW w:w="2555" w:type="dxa"/>
            <w:tcBorders>
              <w:top w:val="single" w:color="auto" w:sz="6" w:space="0"/>
              <w:left w:val="single" w:color="auto" w:sz="6" w:space="0"/>
              <w:bottom w:val="single" w:color="auto" w:sz="6" w:space="0"/>
              <w:right w:val="single" w:color="auto" w:sz="6" w:space="0"/>
            </w:tcBorders>
            <w:vAlign w:val="center"/>
          </w:tcPr>
          <w:p w14:paraId="4628344C">
            <w:pPr>
              <w:ind w:firstLine="420"/>
              <w:jc w:val="center"/>
              <w:rPr>
                <w:rFonts w:hint="eastAsia" w:ascii="仿宋" w:hAnsi="仿宋" w:eastAsia="仿宋" w:cs="仿宋"/>
                <w:color w:val="auto"/>
                <w:highlight w:val="none"/>
              </w:rPr>
            </w:pPr>
          </w:p>
        </w:tc>
        <w:tc>
          <w:tcPr>
            <w:tcW w:w="3165" w:type="dxa"/>
            <w:tcBorders>
              <w:top w:val="single" w:color="auto" w:sz="6" w:space="0"/>
              <w:left w:val="single" w:color="auto" w:sz="6" w:space="0"/>
              <w:bottom w:val="single" w:color="auto" w:sz="6" w:space="0"/>
              <w:right w:val="single" w:color="auto" w:sz="6" w:space="0"/>
            </w:tcBorders>
            <w:vAlign w:val="center"/>
          </w:tcPr>
          <w:p w14:paraId="548E94C2">
            <w:pPr>
              <w:ind w:firstLine="420"/>
              <w:jc w:val="center"/>
              <w:rPr>
                <w:rFonts w:hint="eastAsia" w:ascii="仿宋" w:hAnsi="仿宋" w:eastAsia="仿宋" w:cs="仿宋"/>
                <w:color w:val="auto"/>
                <w:highlight w:val="none"/>
              </w:rPr>
            </w:pPr>
          </w:p>
        </w:tc>
        <w:tc>
          <w:tcPr>
            <w:tcW w:w="3045" w:type="dxa"/>
            <w:tcBorders>
              <w:top w:val="single" w:color="auto" w:sz="6" w:space="0"/>
              <w:left w:val="single" w:color="auto" w:sz="6" w:space="0"/>
              <w:bottom w:val="single" w:color="auto" w:sz="6" w:space="0"/>
              <w:right w:val="single" w:color="auto" w:sz="4" w:space="0"/>
            </w:tcBorders>
            <w:vAlign w:val="center"/>
          </w:tcPr>
          <w:p w14:paraId="754431F2">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7BA9B558">
            <w:pPr>
              <w:ind w:firstLine="420"/>
              <w:jc w:val="center"/>
              <w:rPr>
                <w:rFonts w:hint="eastAsia" w:ascii="仿宋" w:hAnsi="仿宋" w:eastAsia="仿宋" w:cs="仿宋"/>
                <w:color w:val="auto"/>
                <w:highlight w:val="none"/>
              </w:rPr>
            </w:pPr>
          </w:p>
        </w:tc>
        <w:tc>
          <w:tcPr>
            <w:tcW w:w="2280" w:type="dxa"/>
            <w:tcBorders>
              <w:top w:val="single" w:color="auto" w:sz="6" w:space="0"/>
              <w:left w:val="single" w:color="auto" w:sz="4" w:space="0"/>
              <w:bottom w:val="single" w:color="auto" w:sz="6" w:space="0"/>
              <w:right w:val="single" w:color="auto" w:sz="6" w:space="0"/>
            </w:tcBorders>
            <w:vAlign w:val="center"/>
          </w:tcPr>
          <w:p w14:paraId="686B97E6">
            <w:pPr>
              <w:ind w:firstLine="420"/>
              <w:jc w:val="center"/>
              <w:rPr>
                <w:rFonts w:hint="eastAsia" w:ascii="仿宋" w:hAnsi="仿宋" w:eastAsia="仿宋" w:cs="仿宋"/>
                <w:color w:val="auto"/>
                <w:highlight w:val="none"/>
              </w:rPr>
            </w:pPr>
          </w:p>
        </w:tc>
      </w:tr>
    </w:tbl>
    <w:p w14:paraId="1D8F85EE">
      <w:pPr>
        <w:ind w:firstLine="620"/>
        <w:rPr>
          <w:rFonts w:hint="eastAsia" w:ascii="仿宋" w:hAnsi="仿宋" w:eastAsia="仿宋" w:cs="仿宋"/>
          <w:color w:val="auto"/>
          <w:sz w:val="31"/>
          <w:highlight w:val="none"/>
        </w:rPr>
      </w:pPr>
      <w:r>
        <w:rPr>
          <w:rFonts w:hint="eastAsia" w:ascii="仿宋" w:hAnsi="仿宋" w:eastAsia="仿宋" w:cs="仿宋"/>
          <w:b/>
          <w:color w:val="auto"/>
          <w:sz w:val="28"/>
          <w:highlight w:val="none"/>
        </w:rPr>
        <w:t>（供应商须对招标文件中所有商务条款逐条列明是否响应，如有偏离，须一一列明）</w:t>
      </w:r>
    </w:p>
    <w:p w14:paraId="0A7D63B9">
      <w:pPr>
        <w:ind w:right="10" w:firstLine="560"/>
        <w:rPr>
          <w:rFonts w:hint="eastAsia" w:ascii="仿宋" w:hAnsi="仿宋" w:eastAsia="仿宋" w:cs="仿宋"/>
          <w:color w:val="auto"/>
          <w:sz w:val="28"/>
          <w:highlight w:val="none"/>
        </w:rPr>
      </w:pPr>
      <w:r>
        <w:rPr>
          <w:rFonts w:hint="eastAsia" w:ascii="仿宋" w:hAnsi="仿宋" w:eastAsia="仿宋" w:cs="仿宋"/>
          <w:color w:val="auto"/>
          <w:sz w:val="28"/>
          <w:highlight w:val="none"/>
        </w:rPr>
        <w:t>投标单位授权代表人签字：                                                  投标单位公章：</w:t>
      </w:r>
    </w:p>
    <w:p w14:paraId="7A6AEA0E">
      <w:pPr>
        <w:ind w:right="10" w:firstLine="560"/>
        <w:jc w:val="right"/>
        <w:rPr>
          <w:rFonts w:hint="eastAsia" w:ascii="仿宋" w:hAnsi="仿宋" w:eastAsia="仿宋" w:cs="仿宋"/>
          <w:color w:val="auto"/>
          <w:sz w:val="24"/>
          <w:highlight w:val="none"/>
        </w:rPr>
      </w:pPr>
      <w:r>
        <w:rPr>
          <w:rFonts w:hint="eastAsia" w:ascii="仿宋" w:hAnsi="仿宋" w:eastAsia="仿宋" w:cs="仿宋"/>
          <w:color w:val="auto"/>
          <w:sz w:val="28"/>
          <w:highlight w:val="none"/>
        </w:rPr>
        <w:br w:type="page"/>
      </w:r>
      <w:r>
        <w:rPr>
          <w:rFonts w:hint="eastAsia" w:ascii="仿宋" w:hAnsi="仿宋" w:eastAsia="仿宋" w:cs="仿宋"/>
          <w:color w:val="auto"/>
          <w:sz w:val="28"/>
          <w:highlight w:val="none"/>
        </w:rPr>
        <w:t>附件十</w:t>
      </w:r>
    </w:p>
    <w:p w14:paraId="19F85DB9">
      <w:pPr>
        <w:spacing w:line="360" w:lineRule="atLeast"/>
        <w:ind w:firstLine="723"/>
        <w:jc w:val="center"/>
        <w:rPr>
          <w:rFonts w:hint="eastAsia" w:ascii="仿宋" w:hAnsi="仿宋" w:eastAsia="仿宋" w:cs="仿宋"/>
          <w:b/>
          <w:color w:val="auto"/>
          <w:sz w:val="36"/>
          <w:highlight w:val="none"/>
        </w:rPr>
      </w:pPr>
      <w:r>
        <w:rPr>
          <w:rFonts w:hint="eastAsia" w:ascii="仿宋" w:hAnsi="仿宋" w:eastAsia="仿宋" w:cs="仿宋"/>
          <w:b/>
          <w:color w:val="auto"/>
          <w:sz w:val="36"/>
          <w:highlight w:val="none"/>
        </w:rPr>
        <w:t>投标产品近三年类似销售业绩表</w:t>
      </w:r>
    </w:p>
    <w:p w14:paraId="5B3D16A8">
      <w:pPr>
        <w:spacing w:line="360" w:lineRule="atLeast"/>
        <w:rPr>
          <w:rFonts w:hint="eastAsia" w:ascii="仿宋" w:hAnsi="仿宋" w:eastAsia="仿宋" w:cs="仿宋"/>
          <w:color w:val="auto"/>
          <w:sz w:val="28"/>
          <w:highlight w:val="none"/>
        </w:rPr>
      </w:pPr>
      <w:r>
        <w:rPr>
          <w:rFonts w:hint="eastAsia" w:ascii="仿宋" w:hAnsi="仿宋" w:eastAsia="仿宋" w:cs="仿宋"/>
          <w:color w:val="auto"/>
          <w:sz w:val="28"/>
          <w:szCs w:val="28"/>
          <w:highlight w:val="none"/>
        </w:rPr>
        <w:t>编号：</w:t>
      </w:r>
      <w:r>
        <w:rPr>
          <w:rFonts w:hint="eastAsia" w:ascii="仿宋" w:hAnsi="仿宋" w:eastAsia="仿宋" w:cs="仿宋"/>
          <w:color w:val="auto"/>
          <w:sz w:val="28"/>
          <w:highlight w:val="none"/>
        </w:rPr>
        <w:t xml:space="preserve">                                                                           年    月    日</w:t>
      </w:r>
    </w:p>
    <w:tbl>
      <w:tblPr>
        <w:tblStyle w:val="22"/>
        <w:tblW w:w="14040" w:type="dxa"/>
        <w:jc w:val="center"/>
        <w:tblLayout w:type="fixed"/>
        <w:tblCellMar>
          <w:top w:w="0" w:type="dxa"/>
          <w:left w:w="108" w:type="dxa"/>
          <w:bottom w:w="0" w:type="dxa"/>
          <w:right w:w="108" w:type="dxa"/>
        </w:tblCellMar>
      </w:tblPr>
      <w:tblGrid>
        <w:gridCol w:w="2838"/>
        <w:gridCol w:w="3510"/>
        <w:gridCol w:w="3495"/>
        <w:gridCol w:w="1497"/>
        <w:gridCol w:w="2700"/>
      </w:tblGrid>
      <w:tr w14:paraId="31A0AC1A">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78EE12A7">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地区</w:t>
            </w:r>
          </w:p>
        </w:tc>
        <w:tc>
          <w:tcPr>
            <w:tcW w:w="3510" w:type="dxa"/>
            <w:tcBorders>
              <w:top w:val="single" w:color="auto" w:sz="6" w:space="0"/>
              <w:left w:val="single" w:color="auto" w:sz="6" w:space="0"/>
              <w:bottom w:val="single" w:color="auto" w:sz="6" w:space="0"/>
              <w:right w:val="single" w:color="auto" w:sz="6" w:space="0"/>
            </w:tcBorders>
            <w:vAlign w:val="center"/>
          </w:tcPr>
          <w:p w14:paraId="0B724026">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项目名称</w:t>
            </w:r>
          </w:p>
        </w:tc>
        <w:tc>
          <w:tcPr>
            <w:tcW w:w="3495" w:type="dxa"/>
            <w:tcBorders>
              <w:top w:val="single" w:color="auto" w:sz="6" w:space="0"/>
              <w:left w:val="single" w:color="auto" w:sz="6" w:space="0"/>
              <w:bottom w:val="single" w:color="auto" w:sz="6" w:space="0"/>
              <w:right w:val="single" w:color="auto" w:sz="6" w:space="0"/>
            </w:tcBorders>
            <w:vAlign w:val="center"/>
          </w:tcPr>
          <w:p w14:paraId="23C58E14">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中标内容</w:t>
            </w:r>
          </w:p>
        </w:tc>
        <w:tc>
          <w:tcPr>
            <w:tcW w:w="1497" w:type="dxa"/>
            <w:tcBorders>
              <w:top w:val="single" w:color="auto" w:sz="6" w:space="0"/>
              <w:left w:val="single" w:color="auto" w:sz="6" w:space="0"/>
              <w:bottom w:val="single" w:color="auto" w:sz="6" w:space="0"/>
              <w:right w:val="single" w:color="auto" w:sz="6" w:space="0"/>
            </w:tcBorders>
            <w:vAlign w:val="center"/>
          </w:tcPr>
          <w:p w14:paraId="6C2A7A9F">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数量</w:t>
            </w:r>
          </w:p>
        </w:tc>
        <w:tc>
          <w:tcPr>
            <w:tcW w:w="2700" w:type="dxa"/>
            <w:tcBorders>
              <w:top w:val="single" w:color="auto" w:sz="6" w:space="0"/>
              <w:left w:val="single" w:color="auto" w:sz="6" w:space="0"/>
              <w:bottom w:val="single" w:color="auto" w:sz="6" w:space="0"/>
              <w:right w:val="single" w:color="auto" w:sz="6" w:space="0"/>
            </w:tcBorders>
            <w:vAlign w:val="center"/>
          </w:tcPr>
          <w:p w14:paraId="3A642CE7">
            <w:pPr>
              <w:jc w:val="center"/>
              <w:rPr>
                <w:rFonts w:hint="eastAsia" w:ascii="仿宋" w:hAnsi="仿宋" w:eastAsia="仿宋" w:cs="仿宋"/>
                <w:color w:val="auto"/>
                <w:sz w:val="28"/>
                <w:highlight w:val="none"/>
              </w:rPr>
            </w:pPr>
            <w:r>
              <w:rPr>
                <w:rFonts w:hint="eastAsia" w:ascii="仿宋" w:hAnsi="仿宋" w:eastAsia="仿宋" w:cs="仿宋"/>
                <w:color w:val="auto"/>
                <w:sz w:val="28"/>
                <w:highlight w:val="none"/>
              </w:rPr>
              <w:t>备 注</w:t>
            </w:r>
          </w:p>
        </w:tc>
      </w:tr>
      <w:tr w14:paraId="36612FA3">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4E6EC5F9">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01018B85">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6BA9820E">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3C7DBD97">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21386B31">
            <w:pPr>
              <w:ind w:firstLine="420"/>
              <w:jc w:val="center"/>
              <w:rPr>
                <w:rFonts w:hint="eastAsia" w:ascii="仿宋" w:hAnsi="仿宋" w:eastAsia="仿宋" w:cs="仿宋"/>
                <w:color w:val="auto"/>
                <w:highlight w:val="none"/>
              </w:rPr>
            </w:pPr>
          </w:p>
        </w:tc>
      </w:tr>
      <w:tr w14:paraId="30A49601">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259E26BE">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35CA1833">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07D7FA2D">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021B05B3">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501FB315">
            <w:pPr>
              <w:ind w:firstLine="420"/>
              <w:jc w:val="center"/>
              <w:rPr>
                <w:rFonts w:hint="eastAsia" w:ascii="仿宋" w:hAnsi="仿宋" w:eastAsia="仿宋" w:cs="仿宋"/>
                <w:color w:val="auto"/>
                <w:highlight w:val="none"/>
              </w:rPr>
            </w:pPr>
          </w:p>
        </w:tc>
      </w:tr>
      <w:tr w14:paraId="29AE19E7">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153CBC26">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42583213">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627F2806">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1B1B69E8">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2E03438B">
            <w:pPr>
              <w:ind w:firstLine="420"/>
              <w:jc w:val="center"/>
              <w:rPr>
                <w:rFonts w:hint="eastAsia" w:ascii="仿宋" w:hAnsi="仿宋" w:eastAsia="仿宋" w:cs="仿宋"/>
                <w:color w:val="auto"/>
                <w:highlight w:val="none"/>
              </w:rPr>
            </w:pPr>
          </w:p>
        </w:tc>
      </w:tr>
      <w:tr w14:paraId="471BC2DF">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1884E031">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324B0C5B">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1D97CF4A">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08AAE810">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5DC5BBF6">
            <w:pPr>
              <w:ind w:firstLine="420"/>
              <w:jc w:val="center"/>
              <w:rPr>
                <w:rFonts w:hint="eastAsia" w:ascii="仿宋" w:hAnsi="仿宋" w:eastAsia="仿宋" w:cs="仿宋"/>
                <w:color w:val="auto"/>
                <w:highlight w:val="none"/>
              </w:rPr>
            </w:pPr>
          </w:p>
        </w:tc>
      </w:tr>
      <w:tr w14:paraId="322178FA">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6F5F5EFA">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3EA15BFC">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28DC901B">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1CC7B4A7">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69DDC355">
            <w:pPr>
              <w:ind w:firstLine="420"/>
              <w:jc w:val="center"/>
              <w:rPr>
                <w:rFonts w:hint="eastAsia" w:ascii="仿宋" w:hAnsi="仿宋" w:eastAsia="仿宋" w:cs="仿宋"/>
                <w:color w:val="auto"/>
                <w:highlight w:val="none"/>
              </w:rPr>
            </w:pPr>
          </w:p>
        </w:tc>
      </w:tr>
      <w:tr w14:paraId="4BC22E9A">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28F7560B">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18CAF644">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7A11DBB3">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68BBE332">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574898A7">
            <w:pPr>
              <w:ind w:firstLine="420"/>
              <w:jc w:val="center"/>
              <w:rPr>
                <w:rFonts w:hint="eastAsia" w:ascii="仿宋" w:hAnsi="仿宋" w:eastAsia="仿宋" w:cs="仿宋"/>
                <w:color w:val="auto"/>
                <w:highlight w:val="none"/>
              </w:rPr>
            </w:pPr>
          </w:p>
        </w:tc>
      </w:tr>
      <w:tr w14:paraId="20772BF8">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071ECE80">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5D9A3F29">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5F694E8A">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10FB067E">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3168C04C">
            <w:pPr>
              <w:ind w:firstLine="420"/>
              <w:jc w:val="center"/>
              <w:rPr>
                <w:rFonts w:hint="eastAsia" w:ascii="仿宋" w:hAnsi="仿宋" w:eastAsia="仿宋" w:cs="仿宋"/>
                <w:color w:val="auto"/>
                <w:highlight w:val="none"/>
              </w:rPr>
            </w:pPr>
          </w:p>
        </w:tc>
      </w:tr>
      <w:tr w14:paraId="538E167A">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2327841F">
            <w:pPr>
              <w:ind w:firstLine="420"/>
              <w:jc w:val="center"/>
              <w:rPr>
                <w:rFonts w:hint="eastAsia" w:ascii="仿宋" w:hAnsi="仿宋" w:eastAsia="仿宋" w:cs="仿宋"/>
                <w:color w:val="auto"/>
                <w:highlight w:val="none"/>
              </w:rPr>
            </w:pPr>
          </w:p>
        </w:tc>
        <w:tc>
          <w:tcPr>
            <w:tcW w:w="3510" w:type="dxa"/>
            <w:tcBorders>
              <w:top w:val="single" w:color="auto" w:sz="6" w:space="0"/>
              <w:left w:val="single" w:color="auto" w:sz="6" w:space="0"/>
              <w:bottom w:val="single" w:color="auto" w:sz="6" w:space="0"/>
              <w:right w:val="single" w:color="auto" w:sz="6" w:space="0"/>
            </w:tcBorders>
            <w:vAlign w:val="center"/>
          </w:tcPr>
          <w:p w14:paraId="16F38B36">
            <w:pPr>
              <w:ind w:firstLine="420"/>
              <w:jc w:val="center"/>
              <w:rPr>
                <w:rFonts w:hint="eastAsia" w:ascii="仿宋" w:hAnsi="仿宋" w:eastAsia="仿宋" w:cs="仿宋"/>
                <w:color w:val="auto"/>
                <w:highlight w:val="none"/>
              </w:rPr>
            </w:pPr>
          </w:p>
        </w:tc>
        <w:tc>
          <w:tcPr>
            <w:tcW w:w="3495" w:type="dxa"/>
            <w:tcBorders>
              <w:top w:val="single" w:color="auto" w:sz="6" w:space="0"/>
              <w:left w:val="single" w:color="auto" w:sz="6" w:space="0"/>
              <w:bottom w:val="single" w:color="auto" w:sz="6" w:space="0"/>
              <w:right w:val="single" w:color="auto" w:sz="6" w:space="0"/>
            </w:tcBorders>
            <w:vAlign w:val="center"/>
          </w:tcPr>
          <w:p w14:paraId="77620B6A">
            <w:pPr>
              <w:ind w:firstLine="420"/>
              <w:jc w:val="center"/>
              <w:rPr>
                <w:rFonts w:hint="eastAsia" w:ascii="仿宋" w:hAnsi="仿宋" w:eastAsia="仿宋" w:cs="仿宋"/>
                <w:color w:val="auto"/>
                <w:highlight w:val="none"/>
              </w:rPr>
            </w:pPr>
          </w:p>
        </w:tc>
        <w:tc>
          <w:tcPr>
            <w:tcW w:w="1497" w:type="dxa"/>
            <w:tcBorders>
              <w:top w:val="single" w:color="auto" w:sz="6" w:space="0"/>
              <w:left w:val="single" w:color="auto" w:sz="6" w:space="0"/>
              <w:bottom w:val="single" w:color="auto" w:sz="6" w:space="0"/>
              <w:right w:val="single" w:color="auto" w:sz="6" w:space="0"/>
            </w:tcBorders>
            <w:vAlign w:val="center"/>
          </w:tcPr>
          <w:p w14:paraId="749E52E8">
            <w:pPr>
              <w:ind w:firstLine="420"/>
              <w:jc w:val="center"/>
              <w:rPr>
                <w:rFonts w:hint="eastAsia" w:ascii="仿宋" w:hAnsi="仿宋" w:eastAsia="仿宋" w:cs="仿宋"/>
                <w:color w:val="auto"/>
                <w:highlight w:val="none"/>
              </w:rPr>
            </w:pPr>
          </w:p>
        </w:tc>
        <w:tc>
          <w:tcPr>
            <w:tcW w:w="2700" w:type="dxa"/>
            <w:tcBorders>
              <w:top w:val="single" w:color="auto" w:sz="6" w:space="0"/>
              <w:left w:val="single" w:color="auto" w:sz="6" w:space="0"/>
              <w:bottom w:val="single" w:color="auto" w:sz="6" w:space="0"/>
              <w:right w:val="single" w:color="auto" w:sz="6" w:space="0"/>
            </w:tcBorders>
            <w:vAlign w:val="center"/>
          </w:tcPr>
          <w:p w14:paraId="3792F538">
            <w:pPr>
              <w:ind w:firstLine="420"/>
              <w:jc w:val="center"/>
              <w:rPr>
                <w:rFonts w:hint="eastAsia" w:ascii="仿宋" w:hAnsi="仿宋" w:eastAsia="仿宋" w:cs="仿宋"/>
                <w:color w:val="auto"/>
                <w:highlight w:val="none"/>
              </w:rPr>
            </w:pPr>
          </w:p>
        </w:tc>
      </w:tr>
    </w:tbl>
    <w:p w14:paraId="061AA771">
      <w:pPr>
        <w:spacing w:line="520" w:lineRule="exact"/>
        <w:ind w:firstLine="138" w:firstLineChars="4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注：供应商应随此表附上相关的业绩证明（如中标通知书、合同、顾客意见反馈表等的复印件均可）。</w:t>
      </w:r>
    </w:p>
    <w:p w14:paraId="6E64B4E5">
      <w:pPr>
        <w:spacing w:line="520" w:lineRule="exact"/>
        <w:ind w:firstLine="138" w:firstLineChars="49"/>
        <w:rPr>
          <w:rFonts w:hint="eastAsia" w:ascii="仿宋" w:hAnsi="仿宋" w:eastAsia="仿宋" w:cs="仿宋"/>
          <w:b/>
          <w:color w:val="auto"/>
          <w:sz w:val="28"/>
          <w:szCs w:val="28"/>
          <w:highlight w:val="none"/>
        </w:rPr>
      </w:pPr>
    </w:p>
    <w:p w14:paraId="397BB006">
      <w:pPr>
        <w:ind w:firstLine="560"/>
        <w:rPr>
          <w:rFonts w:hint="eastAsia" w:ascii="仿宋" w:hAnsi="仿宋" w:eastAsia="仿宋" w:cs="仿宋"/>
          <w:color w:val="auto"/>
          <w:sz w:val="28"/>
          <w:highlight w:val="none"/>
        </w:rPr>
        <w:sectPr>
          <w:headerReference r:id="rId9" w:type="default"/>
          <w:footerReference r:id="rId10" w:type="default"/>
          <w:pgSz w:w="16838" w:h="11906" w:orient="landscape"/>
          <w:pgMar w:top="1077" w:right="1440" w:bottom="1077" w:left="1440" w:header="851" w:footer="992" w:gutter="0"/>
          <w:cols w:space="720" w:num="1"/>
          <w:docGrid w:type="lines" w:linePitch="312" w:charSpace="0"/>
        </w:sectPr>
      </w:pPr>
      <w:r>
        <w:rPr>
          <w:rFonts w:hint="eastAsia" w:ascii="仿宋" w:hAnsi="仿宋" w:eastAsia="仿宋" w:cs="仿宋"/>
          <w:color w:val="auto"/>
          <w:sz w:val="28"/>
          <w:highlight w:val="none"/>
        </w:rPr>
        <w:t>投标单位授权代表人签字：                                                  投标单位公章：</w:t>
      </w:r>
    </w:p>
    <w:p w14:paraId="2BD6FC00">
      <w:pPr>
        <w:pStyle w:val="8"/>
        <w:jc w:val="right"/>
        <w:rPr>
          <w:rFonts w:hint="eastAsia" w:ascii="仿宋" w:hAnsi="仿宋" w:eastAsia="仿宋" w:cs="仿宋"/>
          <w:color w:val="auto"/>
          <w:highlight w:val="none"/>
          <w:lang w:val="en-US"/>
        </w:rPr>
      </w:pPr>
      <w:r>
        <w:rPr>
          <w:rFonts w:hint="eastAsia" w:ascii="仿宋" w:hAnsi="仿宋" w:eastAsia="仿宋" w:cs="仿宋"/>
          <w:color w:val="auto"/>
          <w:sz w:val="28"/>
          <w:highlight w:val="none"/>
        </w:rPr>
        <w:t>附件十</w:t>
      </w:r>
      <w:r>
        <w:rPr>
          <w:rFonts w:hint="eastAsia" w:ascii="仿宋" w:hAnsi="仿宋" w:eastAsia="仿宋" w:cs="仿宋"/>
          <w:color w:val="auto"/>
          <w:sz w:val="28"/>
          <w:highlight w:val="none"/>
          <w:lang w:val="en-US"/>
        </w:rPr>
        <w:t>一</w:t>
      </w:r>
    </w:p>
    <w:p w14:paraId="7EC6927C">
      <w:pPr>
        <w:spacing w:line="360" w:lineRule="atLeast"/>
        <w:ind w:firstLine="723"/>
        <w:jc w:val="center"/>
        <w:rPr>
          <w:rFonts w:hint="eastAsia" w:ascii="仿宋" w:hAnsi="仿宋" w:eastAsia="仿宋" w:cs="仿宋"/>
          <w:b/>
          <w:color w:val="auto"/>
          <w:sz w:val="36"/>
          <w:highlight w:val="none"/>
        </w:rPr>
      </w:pPr>
      <w:r>
        <w:rPr>
          <w:rFonts w:hint="eastAsia" w:ascii="仿宋" w:hAnsi="仿宋" w:eastAsia="仿宋" w:cs="仿宋"/>
          <w:b/>
          <w:color w:val="auto"/>
          <w:sz w:val="36"/>
          <w:highlight w:val="none"/>
        </w:rPr>
        <w:t>中小企业声明函(货物)</w:t>
      </w:r>
    </w:p>
    <w:p w14:paraId="62861B4B">
      <w:pPr>
        <w:snapToGrid w:val="0"/>
        <w:spacing w:line="336" w:lineRule="auto"/>
        <w:ind w:firstLine="640" w:firstLineChars="200"/>
        <w:rPr>
          <w:rFonts w:hint="eastAsia" w:ascii="仿宋" w:hAnsi="仿宋" w:eastAsia="仿宋" w:cs="仿宋"/>
          <w:color w:val="auto"/>
          <w:sz w:val="32"/>
          <w:szCs w:val="32"/>
          <w:highlight w:val="none"/>
        </w:rPr>
      </w:pPr>
    </w:p>
    <w:p w14:paraId="1F8E7110">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本公司（联合体）郑重声明，根据《政府采购促进中小企业发展管理办法》（财库[2020]46号）的规定，本公司（联合体）参加</w:t>
      </w:r>
      <w:r>
        <w:rPr>
          <w:rFonts w:hint="eastAsia" w:ascii="仿宋" w:hAnsi="仿宋" w:eastAsia="仿宋" w:cs="仿宋"/>
          <w:i/>
          <w:color w:val="auto"/>
          <w:sz w:val="32"/>
          <w:szCs w:val="32"/>
          <w:highlight w:val="none"/>
          <w:u w:val="single"/>
        </w:rPr>
        <w:t>（单位名称）</w:t>
      </w:r>
      <w:r>
        <w:rPr>
          <w:rFonts w:hint="eastAsia" w:ascii="仿宋" w:hAnsi="仿宋" w:eastAsia="仿宋" w:cs="仿宋"/>
          <w:color w:val="auto"/>
          <w:sz w:val="32"/>
          <w:szCs w:val="32"/>
          <w:highlight w:val="none"/>
        </w:rPr>
        <w:t>的</w:t>
      </w:r>
      <w:r>
        <w:rPr>
          <w:rFonts w:hint="eastAsia" w:ascii="仿宋" w:hAnsi="仿宋" w:eastAsia="仿宋" w:cs="仿宋"/>
          <w:i/>
          <w:color w:val="auto"/>
          <w:sz w:val="32"/>
          <w:szCs w:val="32"/>
          <w:highlight w:val="none"/>
          <w:u w:val="single"/>
        </w:rPr>
        <w:t>（项目名称）</w:t>
      </w:r>
      <w:r>
        <w:rPr>
          <w:rFonts w:hint="eastAsia" w:ascii="仿宋" w:hAnsi="仿宋" w:eastAsia="仿宋" w:cs="仿宋"/>
          <w:color w:val="auto"/>
          <w:sz w:val="32"/>
          <w:szCs w:val="32"/>
          <w:highlight w:val="none"/>
        </w:rPr>
        <w:t>采购活动，提供的货物全部由符合政策要求的中小企业制造。相关企业（含联合体中的中小企业、签订分包意向协议的中小企业）的具体情况如下：</w:t>
      </w:r>
    </w:p>
    <w:p w14:paraId="24C05F1D">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i/>
          <w:color w:val="auto"/>
          <w:sz w:val="32"/>
          <w:szCs w:val="32"/>
          <w:highlight w:val="none"/>
          <w:u w:val="single"/>
        </w:rPr>
        <w:t>（标的名称）</w:t>
      </w:r>
      <w:r>
        <w:rPr>
          <w:rFonts w:hint="eastAsia" w:ascii="仿宋" w:hAnsi="仿宋" w:eastAsia="仿宋" w:cs="仿宋"/>
          <w:color w:val="auto"/>
          <w:sz w:val="32"/>
          <w:szCs w:val="32"/>
          <w:highlight w:val="none"/>
        </w:rPr>
        <w:t>，属于</w:t>
      </w:r>
      <w:r>
        <w:rPr>
          <w:rFonts w:hint="eastAsia" w:ascii="仿宋" w:hAnsi="仿宋" w:eastAsia="仿宋" w:cs="仿宋"/>
          <w:i/>
          <w:color w:val="auto"/>
          <w:sz w:val="32"/>
          <w:szCs w:val="32"/>
          <w:highlight w:val="none"/>
          <w:u w:val="single"/>
        </w:rPr>
        <w:t>（采购文件中明确的所属行业）</w:t>
      </w:r>
      <w:r>
        <w:rPr>
          <w:rFonts w:hint="eastAsia" w:ascii="仿宋" w:hAnsi="仿宋" w:eastAsia="仿宋" w:cs="仿宋"/>
          <w:color w:val="auto"/>
          <w:sz w:val="32"/>
          <w:szCs w:val="32"/>
          <w:highlight w:val="none"/>
        </w:rPr>
        <w:t>；制造商为</w:t>
      </w:r>
      <w:r>
        <w:rPr>
          <w:rFonts w:hint="eastAsia" w:ascii="仿宋" w:hAnsi="仿宋" w:eastAsia="仿宋" w:cs="仿宋"/>
          <w:i/>
          <w:color w:val="auto"/>
          <w:sz w:val="32"/>
          <w:szCs w:val="32"/>
          <w:highlight w:val="none"/>
          <w:u w:val="single"/>
        </w:rPr>
        <w:t>（企业名称）</w:t>
      </w:r>
      <w:r>
        <w:rPr>
          <w:rFonts w:hint="eastAsia" w:ascii="仿宋" w:hAnsi="仿宋" w:eastAsia="仿宋" w:cs="仿宋"/>
          <w:color w:val="auto"/>
          <w:sz w:val="32"/>
          <w:szCs w:val="32"/>
          <w:highlight w:val="none"/>
        </w:rPr>
        <w:t>，从业人员</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人，营业收入为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万元，资产总额为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万元</w:t>
      </w:r>
      <w:r>
        <w:rPr>
          <w:rStyle w:val="28"/>
          <w:rFonts w:hint="eastAsia" w:ascii="仿宋" w:hAnsi="仿宋" w:eastAsia="仿宋" w:cs="仿宋"/>
          <w:color w:val="auto"/>
          <w:sz w:val="32"/>
          <w:szCs w:val="32"/>
          <w:highlight w:val="none"/>
        </w:rPr>
        <w:footnoteReference w:id="0"/>
      </w:r>
      <w:r>
        <w:rPr>
          <w:rFonts w:hint="eastAsia" w:ascii="仿宋" w:hAnsi="仿宋" w:eastAsia="仿宋" w:cs="仿宋"/>
          <w:color w:val="auto"/>
          <w:sz w:val="32"/>
          <w:szCs w:val="32"/>
          <w:highlight w:val="none"/>
        </w:rPr>
        <w:t>，属于</w:t>
      </w:r>
      <w:r>
        <w:rPr>
          <w:rFonts w:hint="eastAsia" w:ascii="仿宋" w:hAnsi="仿宋" w:eastAsia="仿宋" w:cs="仿宋"/>
          <w:i/>
          <w:color w:val="auto"/>
          <w:sz w:val="32"/>
          <w:szCs w:val="32"/>
          <w:highlight w:val="none"/>
          <w:u w:val="single"/>
        </w:rPr>
        <w:t>（中型企业、小型企业、微型企业）</w:t>
      </w:r>
      <w:r>
        <w:rPr>
          <w:rFonts w:hint="eastAsia" w:ascii="仿宋" w:hAnsi="仿宋" w:eastAsia="仿宋" w:cs="仿宋"/>
          <w:color w:val="auto"/>
          <w:sz w:val="32"/>
          <w:szCs w:val="32"/>
          <w:highlight w:val="none"/>
        </w:rPr>
        <w:t>；</w:t>
      </w:r>
    </w:p>
    <w:p w14:paraId="3007ED18">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2. </w:t>
      </w:r>
      <w:r>
        <w:rPr>
          <w:rFonts w:hint="eastAsia" w:ascii="仿宋" w:hAnsi="仿宋" w:eastAsia="仿宋" w:cs="仿宋"/>
          <w:i/>
          <w:color w:val="auto"/>
          <w:sz w:val="32"/>
          <w:szCs w:val="32"/>
          <w:highlight w:val="none"/>
          <w:u w:val="single"/>
        </w:rPr>
        <w:t>（标的名称）</w:t>
      </w:r>
      <w:r>
        <w:rPr>
          <w:rFonts w:hint="eastAsia" w:ascii="仿宋" w:hAnsi="仿宋" w:eastAsia="仿宋" w:cs="仿宋"/>
          <w:color w:val="auto"/>
          <w:sz w:val="32"/>
          <w:szCs w:val="32"/>
          <w:highlight w:val="none"/>
        </w:rPr>
        <w:t>，属于</w:t>
      </w:r>
      <w:r>
        <w:rPr>
          <w:rFonts w:hint="eastAsia" w:ascii="仿宋" w:hAnsi="仿宋" w:eastAsia="仿宋" w:cs="仿宋"/>
          <w:i/>
          <w:color w:val="auto"/>
          <w:sz w:val="32"/>
          <w:szCs w:val="32"/>
          <w:highlight w:val="none"/>
          <w:u w:val="single"/>
        </w:rPr>
        <w:t>（采购文件中明确的所属行业）</w:t>
      </w:r>
      <w:r>
        <w:rPr>
          <w:rFonts w:hint="eastAsia" w:ascii="仿宋" w:hAnsi="仿宋" w:eastAsia="仿宋" w:cs="仿宋"/>
          <w:color w:val="auto"/>
          <w:sz w:val="32"/>
          <w:szCs w:val="32"/>
          <w:highlight w:val="none"/>
        </w:rPr>
        <w:t>；制造商为</w:t>
      </w:r>
      <w:r>
        <w:rPr>
          <w:rFonts w:hint="eastAsia" w:ascii="仿宋" w:hAnsi="仿宋" w:eastAsia="仿宋" w:cs="仿宋"/>
          <w:i/>
          <w:color w:val="auto"/>
          <w:sz w:val="32"/>
          <w:szCs w:val="32"/>
          <w:highlight w:val="none"/>
          <w:u w:val="single"/>
        </w:rPr>
        <w:t>（企业名称）</w:t>
      </w:r>
      <w:r>
        <w:rPr>
          <w:rFonts w:hint="eastAsia" w:ascii="仿宋" w:hAnsi="仿宋" w:eastAsia="仿宋" w:cs="仿宋"/>
          <w:color w:val="auto"/>
          <w:sz w:val="32"/>
          <w:szCs w:val="32"/>
          <w:highlight w:val="none"/>
        </w:rPr>
        <w:t>，从业人员</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人，营业收入为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万元，资产总额为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万元，属于</w:t>
      </w:r>
      <w:r>
        <w:rPr>
          <w:rFonts w:hint="eastAsia" w:ascii="仿宋" w:hAnsi="仿宋" w:eastAsia="仿宋" w:cs="仿宋"/>
          <w:i/>
          <w:color w:val="auto"/>
          <w:sz w:val="32"/>
          <w:szCs w:val="32"/>
          <w:highlight w:val="none"/>
          <w:u w:val="single"/>
        </w:rPr>
        <w:t>（中型企业、小型企业、微型企业）</w:t>
      </w:r>
      <w:r>
        <w:rPr>
          <w:rFonts w:hint="eastAsia" w:ascii="仿宋" w:hAnsi="仿宋" w:eastAsia="仿宋" w:cs="仿宋"/>
          <w:color w:val="auto"/>
          <w:sz w:val="32"/>
          <w:szCs w:val="32"/>
          <w:highlight w:val="none"/>
        </w:rPr>
        <w:t>；</w:t>
      </w:r>
    </w:p>
    <w:p w14:paraId="17BDCF13">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w:t>
      </w:r>
    </w:p>
    <w:p w14:paraId="7082E219">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以上企业，不属于大企业的分支机构，不存在控股股东为大企业的情形，也不存在与大企业的负责人为同一人的情形。</w:t>
      </w:r>
    </w:p>
    <w:p w14:paraId="4E85209C">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本企业对上述声明内容的真实性负责。如有虚假，将依法承担相应责任。</w:t>
      </w:r>
    </w:p>
    <w:p w14:paraId="7C8B8066">
      <w:pPr>
        <w:snapToGrid w:val="0"/>
        <w:spacing w:line="336"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企业名称（盖章）：</w:t>
      </w:r>
    </w:p>
    <w:p w14:paraId="152443F7">
      <w:pPr>
        <w:pStyle w:val="8"/>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val="en-US"/>
        </w:rPr>
        <w:t xml:space="preserve">  </w:t>
      </w:r>
      <w:r>
        <w:rPr>
          <w:rFonts w:hint="eastAsia" w:ascii="仿宋" w:hAnsi="仿宋" w:eastAsia="仿宋" w:cs="仿宋"/>
          <w:color w:val="auto"/>
          <w:sz w:val="32"/>
          <w:szCs w:val="32"/>
          <w:highlight w:val="none"/>
        </w:rPr>
        <w:t>日期：</w:t>
      </w:r>
    </w:p>
    <w:p w14:paraId="63ECE050">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7080226D">
      <w:pPr>
        <w:pStyle w:val="38"/>
        <w:ind w:right="560" w:firstLine="0" w:firstLineChars="0"/>
        <w:jc w:val="right"/>
        <w:rPr>
          <w:rFonts w:hint="eastAsia" w:ascii="仿宋" w:hAnsi="仿宋" w:eastAsia="仿宋" w:cs="仿宋"/>
          <w:b w:val="0"/>
          <w:color w:val="auto"/>
          <w:szCs w:val="36"/>
          <w:highlight w:val="none"/>
        </w:rPr>
      </w:pPr>
      <w:r>
        <w:rPr>
          <w:rFonts w:hint="eastAsia" w:ascii="仿宋" w:hAnsi="仿宋" w:eastAsia="仿宋" w:cs="仿宋"/>
          <w:b w:val="0"/>
          <w:color w:val="auto"/>
          <w:sz w:val="28"/>
          <w:szCs w:val="28"/>
          <w:highlight w:val="none"/>
        </w:rPr>
        <w:t>附件十二</w:t>
      </w:r>
    </w:p>
    <w:p w14:paraId="3C53A9CC">
      <w:pPr>
        <w:widowControl/>
        <w:jc w:val="left"/>
        <w:rPr>
          <w:rFonts w:hint="eastAsia" w:ascii="仿宋" w:hAnsi="仿宋" w:eastAsia="仿宋" w:cs="仿宋"/>
          <w:color w:val="auto"/>
          <w:highlight w:val="none"/>
        </w:rPr>
      </w:pPr>
    </w:p>
    <w:p w14:paraId="7D755437">
      <w:pPr>
        <w:pStyle w:val="38"/>
        <w:ind w:firstLine="0" w:firstLineChars="0"/>
        <w:rPr>
          <w:rFonts w:hint="eastAsia" w:ascii="仿宋" w:hAnsi="仿宋" w:eastAsia="仿宋" w:cs="仿宋"/>
          <w:color w:val="auto"/>
          <w:szCs w:val="36"/>
          <w:highlight w:val="none"/>
        </w:rPr>
      </w:pPr>
      <w:r>
        <w:rPr>
          <w:rFonts w:hint="eastAsia" w:ascii="仿宋" w:hAnsi="仿宋" w:eastAsia="仿宋" w:cs="仿宋"/>
          <w:color w:val="auto"/>
          <w:szCs w:val="36"/>
          <w:highlight w:val="none"/>
        </w:rPr>
        <w:t>投标保证金退还信息表</w:t>
      </w:r>
    </w:p>
    <w:p w14:paraId="405129CD">
      <w:pPr>
        <w:pStyle w:val="38"/>
        <w:ind w:firstLine="0" w:firstLineChars="0"/>
        <w:rPr>
          <w:rFonts w:hint="eastAsia" w:ascii="仿宋" w:hAnsi="仿宋" w:eastAsia="仿宋" w:cs="仿宋"/>
          <w:color w:val="auto"/>
          <w:szCs w:val="36"/>
          <w:highlight w:val="none"/>
        </w:rPr>
      </w:pPr>
    </w:p>
    <w:tbl>
      <w:tblPr>
        <w:tblStyle w:val="22"/>
        <w:tblW w:w="9169" w:type="dxa"/>
        <w:jc w:val="center"/>
        <w:tblLayout w:type="fixed"/>
        <w:tblCellMar>
          <w:top w:w="0" w:type="dxa"/>
          <w:left w:w="108" w:type="dxa"/>
          <w:bottom w:w="0" w:type="dxa"/>
          <w:right w:w="108" w:type="dxa"/>
        </w:tblCellMar>
      </w:tblPr>
      <w:tblGrid>
        <w:gridCol w:w="1951"/>
        <w:gridCol w:w="3402"/>
        <w:gridCol w:w="1559"/>
        <w:gridCol w:w="2257"/>
      </w:tblGrid>
      <w:tr w14:paraId="2E51E6D2">
        <w:tblPrEx>
          <w:tblCellMar>
            <w:top w:w="0" w:type="dxa"/>
            <w:left w:w="108" w:type="dxa"/>
            <w:bottom w:w="0" w:type="dxa"/>
            <w:right w:w="108" w:type="dxa"/>
          </w:tblCellMar>
        </w:tblPrEx>
        <w:trPr>
          <w:trHeight w:val="726"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6365091A">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7218" w:type="dxa"/>
            <w:gridSpan w:val="3"/>
            <w:tcBorders>
              <w:top w:val="single" w:color="auto" w:sz="4" w:space="0"/>
              <w:left w:val="nil"/>
              <w:bottom w:val="single" w:color="auto" w:sz="4" w:space="0"/>
              <w:right w:val="single" w:color="000000" w:sz="4" w:space="0"/>
            </w:tcBorders>
            <w:vAlign w:val="center"/>
          </w:tcPr>
          <w:p w14:paraId="5992FC14">
            <w:pPr>
              <w:rPr>
                <w:rFonts w:hint="eastAsia" w:ascii="仿宋" w:hAnsi="仿宋" w:eastAsia="仿宋" w:cs="仿宋"/>
                <w:color w:val="auto"/>
                <w:sz w:val="28"/>
                <w:szCs w:val="28"/>
                <w:highlight w:val="none"/>
              </w:rPr>
            </w:pPr>
          </w:p>
        </w:tc>
      </w:tr>
      <w:tr w14:paraId="1D34A6B8">
        <w:tblPrEx>
          <w:tblCellMar>
            <w:top w:w="0" w:type="dxa"/>
            <w:left w:w="108" w:type="dxa"/>
            <w:bottom w:w="0" w:type="dxa"/>
            <w:right w:w="108" w:type="dxa"/>
          </w:tblCellMar>
        </w:tblPrEx>
        <w:trPr>
          <w:trHeight w:val="726"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5D727896">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项目编号</w:t>
            </w:r>
          </w:p>
        </w:tc>
        <w:tc>
          <w:tcPr>
            <w:tcW w:w="7218" w:type="dxa"/>
            <w:gridSpan w:val="3"/>
            <w:tcBorders>
              <w:top w:val="single" w:color="auto" w:sz="4" w:space="0"/>
              <w:left w:val="nil"/>
              <w:bottom w:val="single" w:color="auto" w:sz="4" w:space="0"/>
              <w:right w:val="single" w:color="000000" w:sz="4" w:space="0"/>
            </w:tcBorders>
            <w:vAlign w:val="center"/>
          </w:tcPr>
          <w:p w14:paraId="2A43BD27">
            <w:pPr>
              <w:rPr>
                <w:rFonts w:hint="eastAsia" w:ascii="仿宋" w:hAnsi="仿宋" w:eastAsia="仿宋" w:cs="仿宋"/>
                <w:color w:val="auto"/>
                <w:sz w:val="28"/>
                <w:szCs w:val="28"/>
                <w:highlight w:val="none"/>
              </w:rPr>
            </w:pPr>
          </w:p>
        </w:tc>
      </w:tr>
      <w:tr w14:paraId="0A0F79AD">
        <w:tblPrEx>
          <w:tblCellMar>
            <w:top w:w="0" w:type="dxa"/>
            <w:left w:w="108" w:type="dxa"/>
            <w:bottom w:w="0" w:type="dxa"/>
            <w:right w:w="108" w:type="dxa"/>
          </w:tblCellMar>
        </w:tblPrEx>
        <w:trPr>
          <w:trHeight w:val="726" w:hRule="atLeast"/>
          <w:jc w:val="center"/>
        </w:trPr>
        <w:tc>
          <w:tcPr>
            <w:tcW w:w="1951" w:type="dxa"/>
            <w:tcBorders>
              <w:top w:val="nil"/>
              <w:left w:val="single" w:color="auto" w:sz="4" w:space="0"/>
              <w:bottom w:val="single" w:color="auto" w:sz="4" w:space="0"/>
              <w:right w:val="single" w:color="auto" w:sz="4" w:space="0"/>
            </w:tcBorders>
            <w:vAlign w:val="center"/>
          </w:tcPr>
          <w:p w14:paraId="7275C1B1">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保证金金额</w:t>
            </w:r>
          </w:p>
        </w:tc>
        <w:tc>
          <w:tcPr>
            <w:tcW w:w="3402" w:type="dxa"/>
            <w:tcBorders>
              <w:top w:val="single" w:color="auto" w:sz="4" w:space="0"/>
              <w:left w:val="nil"/>
              <w:bottom w:val="single" w:color="auto" w:sz="4" w:space="0"/>
              <w:right w:val="single" w:color="000000" w:sz="4" w:space="0"/>
            </w:tcBorders>
            <w:vAlign w:val="center"/>
          </w:tcPr>
          <w:p w14:paraId="3B4AB650">
            <w:pPr>
              <w:rPr>
                <w:rFonts w:hint="eastAsia" w:ascii="仿宋" w:hAnsi="仿宋" w:eastAsia="仿宋" w:cs="仿宋"/>
                <w:color w:val="auto"/>
                <w:sz w:val="28"/>
                <w:szCs w:val="28"/>
                <w:highlight w:val="none"/>
              </w:rPr>
            </w:pPr>
          </w:p>
        </w:tc>
        <w:tc>
          <w:tcPr>
            <w:tcW w:w="1559" w:type="dxa"/>
            <w:tcBorders>
              <w:top w:val="nil"/>
              <w:left w:val="nil"/>
              <w:bottom w:val="single" w:color="auto" w:sz="4" w:space="0"/>
              <w:right w:val="single" w:color="auto" w:sz="4" w:space="0"/>
            </w:tcBorders>
            <w:vAlign w:val="center"/>
          </w:tcPr>
          <w:p w14:paraId="33C572A3">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缴纳日期</w:t>
            </w:r>
          </w:p>
        </w:tc>
        <w:tc>
          <w:tcPr>
            <w:tcW w:w="2257" w:type="dxa"/>
            <w:tcBorders>
              <w:top w:val="single" w:color="auto" w:sz="4" w:space="0"/>
              <w:left w:val="nil"/>
              <w:bottom w:val="single" w:color="auto" w:sz="4" w:space="0"/>
              <w:right w:val="single" w:color="000000" w:sz="4" w:space="0"/>
            </w:tcBorders>
            <w:vAlign w:val="center"/>
          </w:tcPr>
          <w:p w14:paraId="3064637F">
            <w:pPr>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月  日</w:t>
            </w:r>
          </w:p>
        </w:tc>
      </w:tr>
      <w:tr w14:paraId="409D6431">
        <w:tblPrEx>
          <w:tblCellMar>
            <w:top w:w="0" w:type="dxa"/>
            <w:left w:w="108" w:type="dxa"/>
            <w:bottom w:w="0" w:type="dxa"/>
            <w:right w:w="108" w:type="dxa"/>
          </w:tblCellMar>
        </w:tblPrEx>
        <w:trPr>
          <w:trHeight w:val="726" w:hRule="atLeast"/>
          <w:jc w:val="center"/>
        </w:trPr>
        <w:tc>
          <w:tcPr>
            <w:tcW w:w="9169" w:type="dxa"/>
            <w:gridSpan w:val="4"/>
            <w:tcBorders>
              <w:top w:val="nil"/>
              <w:left w:val="single" w:color="auto" w:sz="4" w:space="0"/>
              <w:bottom w:val="single" w:color="auto" w:sz="4" w:space="0"/>
              <w:right w:val="single" w:color="000000" w:sz="4" w:space="0"/>
            </w:tcBorders>
            <w:vAlign w:val="center"/>
          </w:tcPr>
          <w:p w14:paraId="716D7A33">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退还账户信息</w:t>
            </w:r>
          </w:p>
        </w:tc>
      </w:tr>
      <w:tr w14:paraId="2CB180C8">
        <w:tblPrEx>
          <w:tblCellMar>
            <w:top w:w="0" w:type="dxa"/>
            <w:left w:w="108" w:type="dxa"/>
            <w:bottom w:w="0" w:type="dxa"/>
            <w:right w:w="108" w:type="dxa"/>
          </w:tblCellMar>
        </w:tblPrEx>
        <w:trPr>
          <w:trHeight w:val="726" w:hRule="atLeast"/>
          <w:jc w:val="center"/>
        </w:trPr>
        <w:tc>
          <w:tcPr>
            <w:tcW w:w="1951" w:type="dxa"/>
            <w:tcBorders>
              <w:top w:val="nil"/>
              <w:left w:val="single" w:color="auto" w:sz="4" w:space="0"/>
              <w:bottom w:val="single" w:color="auto" w:sz="4" w:space="0"/>
              <w:right w:val="single" w:color="auto" w:sz="4" w:space="0"/>
            </w:tcBorders>
            <w:vAlign w:val="center"/>
          </w:tcPr>
          <w:p w14:paraId="12B35B03">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单位名称</w:t>
            </w:r>
          </w:p>
        </w:tc>
        <w:tc>
          <w:tcPr>
            <w:tcW w:w="3402" w:type="dxa"/>
            <w:tcBorders>
              <w:top w:val="single" w:color="auto" w:sz="4" w:space="0"/>
              <w:left w:val="nil"/>
              <w:bottom w:val="single" w:color="auto" w:sz="4" w:space="0"/>
              <w:right w:val="single" w:color="000000" w:sz="4" w:space="0"/>
            </w:tcBorders>
            <w:vAlign w:val="center"/>
          </w:tcPr>
          <w:p w14:paraId="7DFFEC0D">
            <w:pPr>
              <w:jc w:val="center"/>
              <w:rPr>
                <w:rFonts w:hint="eastAsia" w:ascii="仿宋" w:hAnsi="仿宋" w:eastAsia="仿宋" w:cs="仿宋"/>
                <w:color w:val="auto"/>
                <w:sz w:val="28"/>
                <w:szCs w:val="28"/>
                <w:highlight w:val="none"/>
              </w:rPr>
            </w:pPr>
          </w:p>
        </w:tc>
        <w:tc>
          <w:tcPr>
            <w:tcW w:w="1559" w:type="dxa"/>
            <w:tcBorders>
              <w:top w:val="nil"/>
              <w:left w:val="nil"/>
              <w:bottom w:val="single" w:color="auto" w:sz="4" w:space="0"/>
              <w:right w:val="single" w:color="auto" w:sz="4" w:space="0"/>
            </w:tcBorders>
            <w:vAlign w:val="center"/>
          </w:tcPr>
          <w:p w14:paraId="2650D08B">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账  号</w:t>
            </w:r>
          </w:p>
        </w:tc>
        <w:tc>
          <w:tcPr>
            <w:tcW w:w="2257" w:type="dxa"/>
            <w:tcBorders>
              <w:top w:val="single" w:color="auto" w:sz="4" w:space="0"/>
              <w:left w:val="nil"/>
              <w:bottom w:val="single" w:color="auto" w:sz="4" w:space="0"/>
              <w:right w:val="single" w:color="000000" w:sz="4" w:space="0"/>
            </w:tcBorders>
            <w:vAlign w:val="center"/>
          </w:tcPr>
          <w:p w14:paraId="7146FCC4">
            <w:pPr>
              <w:jc w:val="center"/>
              <w:rPr>
                <w:rFonts w:hint="eastAsia" w:ascii="仿宋" w:hAnsi="仿宋" w:eastAsia="仿宋" w:cs="仿宋"/>
                <w:color w:val="auto"/>
                <w:sz w:val="28"/>
                <w:szCs w:val="28"/>
                <w:highlight w:val="none"/>
              </w:rPr>
            </w:pPr>
          </w:p>
        </w:tc>
      </w:tr>
      <w:tr w14:paraId="54BDC21D">
        <w:tblPrEx>
          <w:tblCellMar>
            <w:top w:w="0" w:type="dxa"/>
            <w:left w:w="108" w:type="dxa"/>
            <w:bottom w:w="0" w:type="dxa"/>
            <w:right w:w="108" w:type="dxa"/>
          </w:tblCellMar>
        </w:tblPrEx>
        <w:trPr>
          <w:trHeight w:val="726" w:hRule="atLeast"/>
          <w:jc w:val="center"/>
        </w:trPr>
        <w:tc>
          <w:tcPr>
            <w:tcW w:w="1951" w:type="dxa"/>
            <w:tcBorders>
              <w:top w:val="nil"/>
              <w:left w:val="single" w:color="auto" w:sz="4" w:space="0"/>
              <w:bottom w:val="single" w:color="auto" w:sz="4" w:space="0"/>
              <w:right w:val="single" w:color="auto" w:sz="4" w:space="0"/>
            </w:tcBorders>
            <w:vAlign w:val="center"/>
          </w:tcPr>
          <w:p w14:paraId="0BFA2CF2">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开户行</w:t>
            </w:r>
          </w:p>
        </w:tc>
        <w:tc>
          <w:tcPr>
            <w:tcW w:w="3402" w:type="dxa"/>
            <w:tcBorders>
              <w:top w:val="single" w:color="auto" w:sz="4" w:space="0"/>
              <w:left w:val="nil"/>
              <w:bottom w:val="single" w:color="auto" w:sz="4" w:space="0"/>
              <w:right w:val="single" w:color="000000" w:sz="4" w:space="0"/>
            </w:tcBorders>
            <w:vAlign w:val="center"/>
          </w:tcPr>
          <w:p w14:paraId="5C2F0E2E">
            <w:pPr>
              <w:jc w:val="center"/>
              <w:rPr>
                <w:rFonts w:hint="eastAsia" w:ascii="仿宋" w:hAnsi="仿宋" w:eastAsia="仿宋" w:cs="仿宋"/>
                <w:color w:val="auto"/>
                <w:sz w:val="28"/>
                <w:szCs w:val="28"/>
                <w:highlight w:val="none"/>
              </w:rPr>
            </w:pPr>
          </w:p>
        </w:tc>
        <w:tc>
          <w:tcPr>
            <w:tcW w:w="1559" w:type="dxa"/>
            <w:tcBorders>
              <w:top w:val="nil"/>
              <w:left w:val="nil"/>
              <w:bottom w:val="single" w:color="auto" w:sz="4" w:space="0"/>
              <w:right w:val="single" w:color="auto" w:sz="4" w:space="0"/>
            </w:tcBorders>
            <w:vAlign w:val="center"/>
          </w:tcPr>
          <w:p w14:paraId="583A3D93">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行  号</w:t>
            </w:r>
          </w:p>
        </w:tc>
        <w:tc>
          <w:tcPr>
            <w:tcW w:w="2257" w:type="dxa"/>
            <w:tcBorders>
              <w:top w:val="single" w:color="auto" w:sz="4" w:space="0"/>
              <w:left w:val="nil"/>
              <w:bottom w:val="single" w:color="auto" w:sz="4" w:space="0"/>
              <w:right w:val="single" w:color="000000" w:sz="4" w:space="0"/>
            </w:tcBorders>
            <w:vAlign w:val="center"/>
          </w:tcPr>
          <w:p w14:paraId="7D00C34F">
            <w:pPr>
              <w:jc w:val="center"/>
              <w:rPr>
                <w:rFonts w:hint="eastAsia" w:ascii="仿宋" w:hAnsi="仿宋" w:eastAsia="仿宋" w:cs="仿宋"/>
                <w:color w:val="auto"/>
                <w:sz w:val="28"/>
                <w:szCs w:val="28"/>
                <w:highlight w:val="none"/>
              </w:rPr>
            </w:pPr>
          </w:p>
        </w:tc>
      </w:tr>
      <w:tr w14:paraId="05B24317">
        <w:tblPrEx>
          <w:tblCellMar>
            <w:top w:w="0" w:type="dxa"/>
            <w:left w:w="108" w:type="dxa"/>
            <w:bottom w:w="0" w:type="dxa"/>
            <w:right w:w="108" w:type="dxa"/>
          </w:tblCellMar>
        </w:tblPrEx>
        <w:trPr>
          <w:trHeight w:val="726" w:hRule="atLeast"/>
          <w:jc w:val="center"/>
        </w:trPr>
        <w:tc>
          <w:tcPr>
            <w:tcW w:w="1951" w:type="dxa"/>
            <w:tcBorders>
              <w:top w:val="nil"/>
              <w:left w:val="single" w:color="auto" w:sz="4" w:space="0"/>
              <w:bottom w:val="single" w:color="auto" w:sz="4" w:space="0"/>
              <w:right w:val="single" w:color="auto" w:sz="4" w:space="0"/>
            </w:tcBorders>
            <w:vAlign w:val="center"/>
          </w:tcPr>
          <w:p w14:paraId="638DBD14">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p>
        </w:tc>
        <w:tc>
          <w:tcPr>
            <w:tcW w:w="3402" w:type="dxa"/>
            <w:tcBorders>
              <w:top w:val="single" w:color="auto" w:sz="4" w:space="0"/>
              <w:left w:val="nil"/>
              <w:bottom w:val="single" w:color="auto" w:sz="4" w:space="0"/>
              <w:right w:val="single" w:color="000000" w:sz="4" w:space="0"/>
            </w:tcBorders>
            <w:vAlign w:val="center"/>
          </w:tcPr>
          <w:p w14:paraId="73840D70">
            <w:pPr>
              <w:jc w:val="center"/>
              <w:rPr>
                <w:rFonts w:hint="eastAsia" w:ascii="仿宋" w:hAnsi="仿宋" w:eastAsia="仿宋" w:cs="仿宋"/>
                <w:color w:val="auto"/>
                <w:sz w:val="28"/>
                <w:szCs w:val="28"/>
                <w:highlight w:val="none"/>
              </w:rPr>
            </w:pPr>
          </w:p>
        </w:tc>
        <w:tc>
          <w:tcPr>
            <w:tcW w:w="1559" w:type="dxa"/>
            <w:tcBorders>
              <w:top w:val="nil"/>
              <w:left w:val="nil"/>
              <w:bottom w:val="single" w:color="auto" w:sz="4" w:space="0"/>
              <w:right w:val="single" w:color="auto" w:sz="4" w:space="0"/>
            </w:tcBorders>
            <w:vAlign w:val="center"/>
          </w:tcPr>
          <w:p w14:paraId="117327A9">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  话</w:t>
            </w:r>
          </w:p>
        </w:tc>
        <w:tc>
          <w:tcPr>
            <w:tcW w:w="2257" w:type="dxa"/>
            <w:tcBorders>
              <w:top w:val="single" w:color="auto" w:sz="4" w:space="0"/>
              <w:left w:val="nil"/>
              <w:bottom w:val="single" w:color="auto" w:sz="4" w:space="0"/>
              <w:right w:val="single" w:color="000000" w:sz="4" w:space="0"/>
            </w:tcBorders>
            <w:vAlign w:val="center"/>
          </w:tcPr>
          <w:p w14:paraId="60CC1637">
            <w:pPr>
              <w:jc w:val="center"/>
              <w:rPr>
                <w:rFonts w:hint="eastAsia" w:ascii="仿宋" w:hAnsi="仿宋" w:eastAsia="仿宋" w:cs="仿宋"/>
                <w:color w:val="auto"/>
                <w:sz w:val="28"/>
                <w:szCs w:val="28"/>
                <w:highlight w:val="none"/>
              </w:rPr>
            </w:pPr>
          </w:p>
        </w:tc>
      </w:tr>
      <w:tr w14:paraId="77CF1C7B">
        <w:tblPrEx>
          <w:tblCellMar>
            <w:top w:w="0" w:type="dxa"/>
            <w:left w:w="108" w:type="dxa"/>
            <w:bottom w:w="0" w:type="dxa"/>
            <w:right w:w="108" w:type="dxa"/>
          </w:tblCellMar>
        </w:tblPrEx>
        <w:trPr>
          <w:trHeight w:val="726" w:hRule="atLeast"/>
          <w:jc w:val="center"/>
        </w:trPr>
        <w:tc>
          <w:tcPr>
            <w:tcW w:w="1951" w:type="dxa"/>
            <w:tcBorders>
              <w:top w:val="nil"/>
              <w:left w:val="single" w:color="auto" w:sz="4" w:space="0"/>
              <w:bottom w:val="single" w:color="auto" w:sz="4" w:space="0"/>
              <w:right w:val="single" w:color="auto" w:sz="4" w:space="0"/>
            </w:tcBorders>
            <w:vAlign w:val="center"/>
          </w:tcPr>
          <w:p w14:paraId="63E5F91F">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电子邮箱</w:t>
            </w:r>
          </w:p>
        </w:tc>
        <w:tc>
          <w:tcPr>
            <w:tcW w:w="7218" w:type="dxa"/>
            <w:gridSpan w:val="3"/>
            <w:tcBorders>
              <w:top w:val="single" w:color="auto" w:sz="4" w:space="0"/>
              <w:left w:val="nil"/>
              <w:bottom w:val="single" w:color="auto" w:sz="4" w:space="0"/>
              <w:right w:val="single" w:color="000000" w:sz="4" w:space="0"/>
            </w:tcBorders>
            <w:vAlign w:val="center"/>
          </w:tcPr>
          <w:p w14:paraId="35F63F43">
            <w:pPr>
              <w:jc w:val="center"/>
              <w:rPr>
                <w:rFonts w:hint="eastAsia" w:ascii="仿宋" w:hAnsi="仿宋" w:eastAsia="仿宋" w:cs="仿宋"/>
                <w:color w:val="auto"/>
                <w:sz w:val="28"/>
                <w:szCs w:val="28"/>
                <w:highlight w:val="none"/>
              </w:rPr>
            </w:pPr>
          </w:p>
        </w:tc>
      </w:tr>
    </w:tbl>
    <w:p w14:paraId="06141155">
      <w:pPr>
        <w:pStyle w:val="69"/>
        <w:spacing w:after="100" w:afterAutospacing="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说明：请将本表附在投标文件最后一页</w:t>
      </w:r>
    </w:p>
    <w:p w14:paraId="2ED9D9E9">
      <w:pPr>
        <w:spacing w:line="30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投标单位公章：</w:t>
      </w:r>
    </w:p>
    <w:p w14:paraId="7F05D945">
      <w:pPr>
        <w:pStyle w:val="6"/>
        <w:rPr>
          <w:rFonts w:hint="eastAsia" w:ascii="仿宋" w:hAnsi="仿宋" w:eastAsia="仿宋" w:cs="仿宋"/>
          <w:color w:val="auto"/>
          <w:highlight w:val="none"/>
        </w:rPr>
      </w:pPr>
    </w:p>
    <w:p w14:paraId="41C3A136">
      <w:pPr>
        <w:rPr>
          <w:rFonts w:hint="eastAsia" w:ascii="仿宋" w:hAnsi="仿宋" w:eastAsia="仿宋" w:cs="仿宋"/>
          <w:color w:val="auto"/>
          <w:highlight w:val="none"/>
        </w:rPr>
      </w:pPr>
    </w:p>
    <w:p w14:paraId="524E913C">
      <w:pPr>
        <w:rPr>
          <w:rFonts w:hint="eastAsia" w:ascii="仿宋" w:hAnsi="仿宋" w:eastAsia="仿宋" w:cs="仿宋"/>
          <w:color w:val="auto"/>
          <w:highlight w:val="none"/>
        </w:rPr>
      </w:pPr>
    </w:p>
    <w:p w14:paraId="3B7F8898">
      <w:pPr>
        <w:pStyle w:val="6"/>
        <w:rPr>
          <w:rFonts w:hint="eastAsia" w:ascii="仿宋" w:hAnsi="仿宋" w:eastAsia="仿宋" w:cs="仿宋"/>
          <w:color w:val="auto"/>
          <w:highlight w:val="none"/>
        </w:rPr>
      </w:pPr>
    </w:p>
    <w:sectPr>
      <w:footerReference r:id="rId11" w:type="default"/>
      <w:pgSz w:w="11906" w:h="16838"/>
      <w:pgMar w:top="1440" w:right="1077" w:bottom="1440"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FZZD Extra JW">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9B002">
    <w:pPr>
      <w:pBdr>
        <w:top w:val="dashDotStroked" w:color="auto" w:sz="24" w:space="3"/>
      </w:pBdr>
      <w:ind w:right="70"/>
      <w:jc w:val="center"/>
      <w:rPr>
        <w:rStyle w:val="42"/>
      </w:rPr>
    </w:pPr>
    <w:r>
      <w:rPr>
        <w:rStyle w:val="42"/>
        <w:rFonts w:hint="eastAsia"/>
      </w:rPr>
      <w:t>电话：0991-8852106  传真：0991-8852</w:t>
    </w:r>
    <w:r>
      <w:rPr>
        <w:rStyle w:val="42"/>
      </w:rPr>
      <w:t>5</w:t>
    </w:r>
    <w:r>
      <w:rPr>
        <w:rStyle w:val="42"/>
        <w:rFonts w:hint="eastAsia"/>
      </w:rPr>
      <w:t>30               -</w:t>
    </w:r>
    <w:r>
      <w:rPr>
        <w:rFonts w:hint="eastAsia" w:ascii="仿宋_GB2312" w:eastAsia="仿宋_GB2312"/>
        <w:b/>
        <w:i/>
        <w:sz w:val="18"/>
      </w:rPr>
      <w:fldChar w:fldCharType="begin"/>
    </w:r>
    <w:r>
      <w:rPr>
        <w:rStyle w:val="26"/>
        <w:rFonts w:hint="eastAsia" w:ascii="仿宋_GB2312" w:eastAsia="仿宋_GB2312"/>
        <w:b/>
        <w:i/>
        <w:sz w:val="18"/>
      </w:rPr>
      <w:instrText xml:space="preserve"> PAGE </w:instrText>
    </w:r>
    <w:r>
      <w:rPr>
        <w:rFonts w:hint="eastAsia" w:ascii="仿宋_GB2312" w:eastAsia="仿宋_GB2312"/>
        <w:b/>
        <w:i/>
        <w:sz w:val="18"/>
      </w:rPr>
      <w:fldChar w:fldCharType="separate"/>
    </w:r>
    <w:r>
      <w:rPr>
        <w:rStyle w:val="26"/>
        <w:rFonts w:ascii="仿宋_GB2312" w:eastAsia="仿宋_GB2312"/>
        <w:b/>
        <w:i/>
        <w:sz w:val="18"/>
      </w:rPr>
      <w:t>3</w:t>
    </w:r>
    <w:r>
      <w:rPr>
        <w:rFonts w:hint="eastAsia" w:ascii="仿宋_GB2312" w:eastAsia="仿宋_GB2312"/>
        <w:b/>
        <w:i/>
        <w:sz w:val="18"/>
      </w:rPr>
      <w:fldChar w:fldCharType="end"/>
    </w:r>
    <w:r>
      <w:rPr>
        <w:rStyle w:val="42"/>
        <w:rFonts w:hint="eastAsia"/>
      </w:rPr>
      <w:t>-            新疆新之建工程咨询有限公司编制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B8C81">
    <w:pPr>
      <w:pBdr>
        <w:top w:val="dashDotStroked" w:color="auto" w:sz="24" w:space="1"/>
      </w:pBdr>
      <w:ind w:right="-92"/>
      <w:rPr>
        <w:rStyle w:val="42"/>
      </w:rPr>
    </w:pPr>
    <w:r>
      <w:rPr>
        <w:rStyle w:val="42"/>
        <w:rFonts w:hint="eastAsia"/>
      </w:rPr>
      <w:t xml:space="preserve">电话：0991-8852576                             </w:t>
    </w:r>
    <w:r>
      <w:rPr>
        <w:rStyle w:val="42"/>
      </w:rPr>
      <w:t xml:space="preserve"> </w:t>
    </w:r>
    <w:r>
      <w:fldChar w:fldCharType="begin"/>
    </w:r>
    <w:r>
      <w:rPr>
        <w:rStyle w:val="42"/>
      </w:rPr>
      <w:instrText xml:space="preserve"> PAGE </w:instrText>
    </w:r>
    <w:r>
      <w:fldChar w:fldCharType="separate"/>
    </w:r>
    <w:r>
      <w:rPr>
        <w:rStyle w:val="42"/>
      </w:rPr>
      <w:t>- 34 -</w:t>
    </w:r>
    <w:r>
      <w:fldChar w:fldCharType="end"/>
    </w:r>
    <w:r>
      <w:rPr>
        <w:rStyle w:val="42"/>
      </w:rPr>
      <w:t xml:space="preserve"> </w:t>
    </w:r>
    <w:r>
      <w:rPr>
        <w:rStyle w:val="42"/>
        <w:rFonts w:hint="eastAsia"/>
      </w:rPr>
      <w:t xml:space="preserve">                        新疆新之建工程咨询有限公司编制</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30413">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AC235">
    <w:pPr>
      <w:pBdr>
        <w:top w:val="dashDotStroked" w:color="auto" w:sz="24" w:space="3"/>
      </w:pBdr>
      <w:ind w:right="70"/>
      <w:jc w:val="center"/>
      <w:rPr>
        <w:rStyle w:val="42"/>
      </w:rPr>
    </w:pPr>
    <w:r>
      <w:rPr>
        <w:rStyle w:val="42"/>
        <w:rFonts w:hint="eastAsia"/>
      </w:rPr>
      <w:t>电话：0991-8852106                                   -</w:t>
    </w:r>
    <w:r>
      <w:rPr>
        <w:rFonts w:hint="eastAsia" w:ascii="仿宋_GB2312" w:eastAsia="仿宋_GB2312"/>
        <w:b/>
        <w:i/>
        <w:sz w:val="18"/>
      </w:rPr>
      <w:fldChar w:fldCharType="begin"/>
    </w:r>
    <w:r>
      <w:rPr>
        <w:rStyle w:val="26"/>
        <w:rFonts w:hint="eastAsia" w:ascii="仿宋_GB2312" w:eastAsia="仿宋_GB2312"/>
        <w:b/>
        <w:i/>
        <w:sz w:val="18"/>
      </w:rPr>
      <w:instrText xml:space="preserve"> PAGE </w:instrText>
    </w:r>
    <w:r>
      <w:rPr>
        <w:rFonts w:hint="eastAsia" w:ascii="仿宋_GB2312" w:eastAsia="仿宋_GB2312"/>
        <w:b/>
        <w:i/>
        <w:sz w:val="18"/>
      </w:rPr>
      <w:fldChar w:fldCharType="separate"/>
    </w:r>
    <w:r>
      <w:rPr>
        <w:rStyle w:val="26"/>
        <w:rFonts w:ascii="仿宋_GB2312" w:eastAsia="仿宋_GB2312"/>
        <w:b/>
        <w:i/>
        <w:sz w:val="18"/>
      </w:rPr>
      <w:t>23</w:t>
    </w:r>
    <w:r>
      <w:rPr>
        <w:rFonts w:hint="eastAsia" w:ascii="仿宋_GB2312" w:eastAsia="仿宋_GB2312"/>
        <w:b/>
        <w:i/>
        <w:sz w:val="18"/>
      </w:rPr>
      <w:fldChar w:fldCharType="end"/>
    </w:r>
    <w:r>
      <w:rPr>
        <w:rStyle w:val="42"/>
        <w:rFonts w:hint="eastAsia"/>
      </w:rPr>
      <w:t>-               新疆新之建工程咨询有限公司编制</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36692">
    <w:pPr>
      <w:pBdr>
        <w:top w:val="dashDotStroked" w:color="auto" w:sz="24" w:space="3"/>
      </w:pBdr>
      <w:ind w:right="70"/>
      <w:rPr>
        <w:rStyle w:val="42"/>
      </w:rPr>
    </w:pPr>
    <w:r>
      <w:rPr>
        <w:rStyle w:val="42"/>
        <w:rFonts w:hint="eastAsia"/>
      </w:rPr>
      <w:t>电话：0991-8852106                                               -</w:t>
    </w:r>
    <w:r>
      <w:fldChar w:fldCharType="begin"/>
    </w:r>
    <w:r>
      <w:rPr>
        <w:rStyle w:val="42"/>
      </w:rPr>
      <w:instrText xml:space="preserve"> PAGE </w:instrText>
    </w:r>
    <w:r>
      <w:fldChar w:fldCharType="separate"/>
    </w:r>
    <w:r>
      <w:rPr>
        <w:rStyle w:val="42"/>
      </w:rPr>
      <w:t>62</w:t>
    </w:r>
    <w:r>
      <w:fldChar w:fldCharType="end"/>
    </w:r>
    <w:r>
      <w:rPr>
        <w:rStyle w:val="42"/>
        <w:rFonts w:hint="eastAsia"/>
      </w:rPr>
      <w:t>-                                                新疆新之建工程咨询有限公司编制</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4D194">
    <w:pPr>
      <w:pBdr>
        <w:top w:val="dashDotStroked" w:color="auto" w:sz="24" w:space="3"/>
      </w:pBdr>
      <w:ind w:right="70"/>
      <w:rPr>
        <w:rStyle w:val="42"/>
      </w:rPr>
    </w:pPr>
    <w:r>
      <w:rPr>
        <w:sz w:val="18"/>
      </w:rPr>
      <mc:AlternateContent>
        <mc:Choice Requires="wps">
          <w:drawing>
            <wp:anchor distT="0" distB="0" distL="114300" distR="114300" simplePos="0" relativeHeight="251660288" behindDoc="0" locked="0" layoutInCell="1" allowOverlap="1">
              <wp:simplePos x="0" y="0"/>
              <wp:positionH relativeFrom="margin">
                <wp:posOffset>4371340</wp:posOffset>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234297">
                          <w:pPr>
                            <w:pStyle w:val="17"/>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44.2pt;margin-top:0pt;height:144pt;width:144pt;mso-position-horizontal-relative:margin;mso-wrap-style:none;z-index:251660288;mso-width-relative:page;mso-height-relative:page;" filled="f" stroked="f" coordsize="21600,21600" o:gfxdata="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eTtP2wtUDcKmRI5LoHhut0Oyb&#10;ntne5GcQc6brDG/5pkLyLfPhgTm0Ah6MYQn3WAppkMT0FiWlcV//dR7jUSF4KanRWhnVmCRK5AeN&#10;ygEwDIYbjP1g6KO6M+jVMYbQ8tbEBRfkYBbOqC+YoFXMARfTHJkyGgbzLnTtjQnkYrVqg9BrloWt&#10;3lkeoaN43q6OAQK2ukZROiV6rdBtbWX6yYjt/Oe+jXr6Gyw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Dy07rVAAAACAEAAA8AAAAAAAAAAQAgAAAAIgAAAGRycy9kb3ducmV2LnhtbFBLAQIUABQA&#10;AAAIAIdO4kCvY9gwLAIAAFUEAAAOAAAAAAAAAAEAIAAAACQBAABkcnMvZTJvRG9jLnhtbFBLBQYA&#10;AAAABgAGAFkBAADCBQAAAAA=&#10;">
              <v:fill on="f" focussize="0,0"/>
              <v:stroke on="f" weight="0.5pt"/>
              <v:imagedata o:title=""/>
              <o:lock v:ext="edit" aspectratio="f"/>
              <v:textbox inset="0mm,0mm,0mm,0mm" style="mso-fit-shape-to-text:t;">
                <w:txbxContent>
                  <w:p w14:paraId="20234297">
                    <w:pPr>
                      <w:pStyle w:val="17"/>
                    </w:pPr>
                    <w:r>
                      <w:fldChar w:fldCharType="begin"/>
                    </w:r>
                    <w:r>
                      <w:instrText xml:space="preserve"> PAGE  \* MERGEFORMAT </w:instrText>
                    </w:r>
                    <w:r>
                      <w:fldChar w:fldCharType="separate"/>
                    </w:r>
                    <w:r>
                      <w:t>63</w:t>
                    </w:r>
                    <w:r>
                      <w:fldChar w:fldCharType="end"/>
                    </w:r>
                  </w:p>
                </w:txbxContent>
              </v:textbox>
            </v:shape>
          </w:pict>
        </mc:Fallback>
      </mc:AlternateContent>
    </w:r>
    <w:r>
      <w:rPr>
        <w:rStyle w:val="42"/>
        <w:rFonts w:hint="eastAsia"/>
      </w:rPr>
      <w:t>电话：0991-8852106                                                      新疆新之建工程咨询有限公司编制</w: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B7D10C">
                          <w:pPr>
                            <w:pStyle w:val="17"/>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7B7D10C">
                    <w:pPr>
                      <w:pStyle w:val="17"/>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12CDF7E">
      <w:pPr>
        <w:pStyle w:val="20"/>
        <w:rPr>
          <w:rFonts w:ascii="仿宋" w:hAnsi="仿宋" w:eastAsia="仿宋" w:cs="仿宋"/>
          <w:sz w:val="21"/>
          <w:szCs w:val="21"/>
        </w:rPr>
      </w:pPr>
      <w:r>
        <w:rPr>
          <w:rStyle w:val="28"/>
          <w:rFonts w:hint="eastAsia" w:ascii="仿宋" w:hAnsi="仿宋" w:eastAsia="仿宋" w:cs="仿宋"/>
        </w:rPr>
        <w:footnoteRef/>
      </w:r>
      <w:r>
        <w:rPr>
          <w:rFonts w:hint="eastAsia" w:ascii="仿宋" w:hAnsi="仿宋" w:eastAsia="仿宋" w:cs="仿宋"/>
          <w:sz w:val="21"/>
          <w:szCs w:val="21"/>
        </w:rPr>
        <w:t xml:space="preserve"> 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57283">
    <w:pPr>
      <w:pBdr>
        <w:bottom w:val="dashDotStroked" w:color="auto" w:sz="24" w:space="1"/>
      </w:pBdr>
      <w:jc w:val="center"/>
    </w:pPr>
    <w:r>
      <w:rPr>
        <w:rFonts w:hint="eastAsia" w:ascii="仿宋_GB2312" w:eastAsia="仿宋_GB2312"/>
        <w:b/>
        <w:i/>
        <w:sz w:val="24"/>
        <w:szCs w:val="24"/>
      </w:rPr>
      <w:t>新疆新之建工程咨询有限公司招标文件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1CCF0">
    <w:pPr>
      <w:pBdr>
        <w:bottom w:val="dashDotStroked" w:color="auto" w:sz="24" w:space="1"/>
      </w:pBdr>
      <w:jc w:val="center"/>
    </w:pPr>
    <w:r>
      <w:rPr>
        <w:rFonts w:hint="eastAsia" w:ascii="仿宋_GB2312" w:eastAsia="仿宋_GB2312"/>
        <w:b/>
        <w:i/>
        <w:sz w:val="24"/>
        <w:szCs w:val="24"/>
      </w:rPr>
      <w:t>新疆新之建工程咨询有限公司招标文件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78D835"/>
    <w:multiLevelType w:val="singleLevel"/>
    <w:tmpl w:val="AD78D835"/>
    <w:lvl w:ilvl="0" w:tentative="0">
      <w:start w:val="2"/>
      <w:numFmt w:val="decimal"/>
      <w:suff w:val="nothing"/>
      <w:lvlText w:val="%1、"/>
      <w:lvlJc w:val="left"/>
    </w:lvl>
  </w:abstractNum>
  <w:abstractNum w:abstractNumId="1">
    <w:nsid w:val="AD894D56"/>
    <w:multiLevelType w:val="singleLevel"/>
    <w:tmpl w:val="AD894D56"/>
    <w:lvl w:ilvl="0" w:tentative="0">
      <w:start w:val="11"/>
      <w:numFmt w:val="chineseCounting"/>
      <w:suff w:val="nothing"/>
      <w:lvlText w:val="%1、"/>
      <w:lvlJc w:val="left"/>
      <w:rPr>
        <w:rFonts w:hint="eastAsia"/>
      </w:rPr>
    </w:lvl>
  </w:abstractNum>
  <w:abstractNum w:abstractNumId="2">
    <w:nsid w:val="FABF7A3F"/>
    <w:multiLevelType w:val="singleLevel"/>
    <w:tmpl w:val="FABF7A3F"/>
    <w:lvl w:ilvl="0" w:tentative="0">
      <w:start w:val="2"/>
      <w:numFmt w:val="decimal"/>
      <w:suff w:val="nothing"/>
      <w:lvlText w:val="%1、"/>
      <w:lvlJc w:val="left"/>
    </w:lvl>
  </w:abstractNum>
  <w:abstractNum w:abstractNumId="3">
    <w:nsid w:val="00000005"/>
    <w:multiLevelType w:val="singleLevel"/>
    <w:tmpl w:val="00000005"/>
    <w:lvl w:ilvl="0" w:tentative="0">
      <w:start w:val="1"/>
      <w:numFmt w:val="upperLetter"/>
      <w:suff w:val="nothing"/>
      <w:lvlText w:val="%1、"/>
      <w:lvlJc w:val="left"/>
      <w:pPr>
        <w:ind w:left="-93"/>
        <w:textAlignment w:val="baseline"/>
      </w:pPr>
    </w:lvl>
  </w:abstractNum>
  <w:abstractNum w:abstractNumId="4">
    <w:nsid w:val="01D06129"/>
    <w:multiLevelType w:val="singleLevel"/>
    <w:tmpl w:val="01D06129"/>
    <w:lvl w:ilvl="0" w:tentative="0">
      <w:start w:val="1"/>
      <w:numFmt w:val="decimal"/>
      <w:suff w:val="nothing"/>
      <w:lvlText w:val="%1、"/>
      <w:lvlJc w:val="left"/>
    </w:lvl>
  </w:abstractNum>
  <w:abstractNum w:abstractNumId="5">
    <w:nsid w:val="6923AB43"/>
    <w:multiLevelType w:val="singleLevel"/>
    <w:tmpl w:val="6923AB43"/>
    <w:lvl w:ilvl="0" w:tentative="0">
      <w:start w:val="6"/>
      <w:numFmt w:val="chineseCounting"/>
      <w:suff w:val="nothing"/>
      <w:lvlText w:val="%1、"/>
      <w:lvlJc w:val="left"/>
      <w:rPr>
        <w:rFonts w:hint="eastAsia"/>
      </w:r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wZDk5YWVkMjVkNWM3NzJkNDE2OGZkZDg2NjdhNGQifQ=="/>
    <w:docVar w:name="KSO_WPS_MARK_KEY" w:val="e0a409d7-22be-441e-8ef3-a7b9d9151efa"/>
  </w:docVars>
  <w:rsids>
    <w:rsidRoot w:val="6FE95F5B"/>
    <w:rsid w:val="0005678C"/>
    <w:rsid w:val="000628C2"/>
    <w:rsid w:val="000719FA"/>
    <w:rsid w:val="00072F4A"/>
    <w:rsid w:val="00075072"/>
    <w:rsid w:val="00076A29"/>
    <w:rsid w:val="000A168C"/>
    <w:rsid w:val="000A3B81"/>
    <w:rsid w:val="000B40A8"/>
    <w:rsid w:val="000F33D6"/>
    <w:rsid w:val="0012684C"/>
    <w:rsid w:val="00134255"/>
    <w:rsid w:val="001A489E"/>
    <w:rsid w:val="0020050D"/>
    <w:rsid w:val="00211A96"/>
    <w:rsid w:val="00214D09"/>
    <w:rsid w:val="00216DB8"/>
    <w:rsid w:val="00230380"/>
    <w:rsid w:val="002465BF"/>
    <w:rsid w:val="0028398B"/>
    <w:rsid w:val="00292CC6"/>
    <w:rsid w:val="002B59D4"/>
    <w:rsid w:val="002C1145"/>
    <w:rsid w:val="002D3E90"/>
    <w:rsid w:val="002D7566"/>
    <w:rsid w:val="002E0F5F"/>
    <w:rsid w:val="002E5305"/>
    <w:rsid w:val="00312F96"/>
    <w:rsid w:val="00340A38"/>
    <w:rsid w:val="00347169"/>
    <w:rsid w:val="00351B3D"/>
    <w:rsid w:val="00353E2A"/>
    <w:rsid w:val="00370A4A"/>
    <w:rsid w:val="00386698"/>
    <w:rsid w:val="00394EC8"/>
    <w:rsid w:val="003A5C50"/>
    <w:rsid w:val="003A73F5"/>
    <w:rsid w:val="003B2103"/>
    <w:rsid w:val="003B27F4"/>
    <w:rsid w:val="003C2D18"/>
    <w:rsid w:val="003D229E"/>
    <w:rsid w:val="00401ED0"/>
    <w:rsid w:val="00410755"/>
    <w:rsid w:val="00417D37"/>
    <w:rsid w:val="00423D28"/>
    <w:rsid w:val="0042422B"/>
    <w:rsid w:val="00461923"/>
    <w:rsid w:val="0047594C"/>
    <w:rsid w:val="00487F1A"/>
    <w:rsid w:val="0049614A"/>
    <w:rsid w:val="004A0C68"/>
    <w:rsid w:val="004F6AF9"/>
    <w:rsid w:val="00562017"/>
    <w:rsid w:val="005A5221"/>
    <w:rsid w:val="005A5376"/>
    <w:rsid w:val="005B6FF5"/>
    <w:rsid w:val="005E4E07"/>
    <w:rsid w:val="00612B14"/>
    <w:rsid w:val="00652939"/>
    <w:rsid w:val="006B5323"/>
    <w:rsid w:val="006C18C6"/>
    <w:rsid w:val="006C53C2"/>
    <w:rsid w:val="006D06C4"/>
    <w:rsid w:val="006D6C59"/>
    <w:rsid w:val="006E28A4"/>
    <w:rsid w:val="00717DF4"/>
    <w:rsid w:val="00751565"/>
    <w:rsid w:val="007902C4"/>
    <w:rsid w:val="007A3162"/>
    <w:rsid w:val="007C74DD"/>
    <w:rsid w:val="007F52F3"/>
    <w:rsid w:val="00813920"/>
    <w:rsid w:val="008304FE"/>
    <w:rsid w:val="00832E6F"/>
    <w:rsid w:val="00836854"/>
    <w:rsid w:val="00841DEC"/>
    <w:rsid w:val="00882B0B"/>
    <w:rsid w:val="008A0C86"/>
    <w:rsid w:val="008C4A3F"/>
    <w:rsid w:val="008F5079"/>
    <w:rsid w:val="008F77E6"/>
    <w:rsid w:val="00901261"/>
    <w:rsid w:val="009607F0"/>
    <w:rsid w:val="009A1F57"/>
    <w:rsid w:val="009E7A24"/>
    <w:rsid w:val="00A161EC"/>
    <w:rsid w:val="00A33991"/>
    <w:rsid w:val="00A874B5"/>
    <w:rsid w:val="00A91FFB"/>
    <w:rsid w:val="00AC62B3"/>
    <w:rsid w:val="00B00792"/>
    <w:rsid w:val="00B06B07"/>
    <w:rsid w:val="00B63374"/>
    <w:rsid w:val="00B72B33"/>
    <w:rsid w:val="00B8645B"/>
    <w:rsid w:val="00BA3715"/>
    <w:rsid w:val="00BA48B6"/>
    <w:rsid w:val="00BA657A"/>
    <w:rsid w:val="00BB435E"/>
    <w:rsid w:val="00BD3C48"/>
    <w:rsid w:val="00BE485B"/>
    <w:rsid w:val="00BE7964"/>
    <w:rsid w:val="00C0782A"/>
    <w:rsid w:val="00C222D1"/>
    <w:rsid w:val="00C31A79"/>
    <w:rsid w:val="00C52E2F"/>
    <w:rsid w:val="00C6398A"/>
    <w:rsid w:val="00C929DB"/>
    <w:rsid w:val="00CA0E26"/>
    <w:rsid w:val="00CC6FD3"/>
    <w:rsid w:val="00CD3F45"/>
    <w:rsid w:val="00CD4193"/>
    <w:rsid w:val="00CF0997"/>
    <w:rsid w:val="00D14316"/>
    <w:rsid w:val="00D25CC5"/>
    <w:rsid w:val="00D505C6"/>
    <w:rsid w:val="00E00FEE"/>
    <w:rsid w:val="00E0321E"/>
    <w:rsid w:val="00E417CB"/>
    <w:rsid w:val="00E5149B"/>
    <w:rsid w:val="00E900AC"/>
    <w:rsid w:val="00EB3426"/>
    <w:rsid w:val="00ED65C8"/>
    <w:rsid w:val="00EF5E62"/>
    <w:rsid w:val="00F05CB6"/>
    <w:rsid w:val="00F25072"/>
    <w:rsid w:val="00F41F7C"/>
    <w:rsid w:val="00F601A2"/>
    <w:rsid w:val="00F61BED"/>
    <w:rsid w:val="00F7311E"/>
    <w:rsid w:val="00F83669"/>
    <w:rsid w:val="00F8543C"/>
    <w:rsid w:val="00F90E63"/>
    <w:rsid w:val="00F96776"/>
    <w:rsid w:val="00FD0E0A"/>
    <w:rsid w:val="00FE146C"/>
    <w:rsid w:val="00FF4BFD"/>
    <w:rsid w:val="00FF5B0A"/>
    <w:rsid w:val="01061C0C"/>
    <w:rsid w:val="01AC16ED"/>
    <w:rsid w:val="01E43876"/>
    <w:rsid w:val="01E557E7"/>
    <w:rsid w:val="01F831E8"/>
    <w:rsid w:val="0288699A"/>
    <w:rsid w:val="029344EA"/>
    <w:rsid w:val="03072C83"/>
    <w:rsid w:val="03243BEE"/>
    <w:rsid w:val="035A4E74"/>
    <w:rsid w:val="037E4FBC"/>
    <w:rsid w:val="03923826"/>
    <w:rsid w:val="03D46603"/>
    <w:rsid w:val="03EF595E"/>
    <w:rsid w:val="04067DD0"/>
    <w:rsid w:val="04231503"/>
    <w:rsid w:val="042D5B84"/>
    <w:rsid w:val="043B4FF5"/>
    <w:rsid w:val="049C27D5"/>
    <w:rsid w:val="04C46F90"/>
    <w:rsid w:val="05303DFE"/>
    <w:rsid w:val="05322E93"/>
    <w:rsid w:val="05424315"/>
    <w:rsid w:val="0542684F"/>
    <w:rsid w:val="055514B7"/>
    <w:rsid w:val="05712BF4"/>
    <w:rsid w:val="05947000"/>
    <w:rsid w:val="05A77896"/>
    <w:rsid w:val="05B60CCD"/>
    <w:rsid w:val="05EA0335"/>
    <w:rsid w:val="05F31428"/>
    <w:rsid w:val="06192D58"/>
    <w:rsid w:val="06287762"/>
    <w:rsid w:val="064F67D3"/>
    <w:rsid w:val="06614B30"/>
    <w:rsid w:val="07000E6E"/>
    <w:rsid w:val="07156772"/>
    <w:rsid w:val="075A7221"/>
    <w:rsid w:val="0767791B"/>
    <w:rsid w:val="076E7112"/>
    <w:rsid w:val="07960107"/>
    <w:rsid w:val="07C75183"/>
    <w:rsid w:val="080236CE"/>
    <w:rsid w:val="08093031"/>
    <w:rsid w:val="08C2594B"/>
    <w:rsid w:val="08D6179C"/>
    <w:rsid w:val="092E1232"/>
    <w:rsid w:val="09351EEC"/>
    <w:rsid w:val="09387C3D"/>
    <w:rsid w:val="09461CD3"/>
    <w:rsid w:val="09561FCD"/>
    <w:rsid w:val="09D37676"/>
    <w:rsid w:val="0A0008AA"/>
    <w:rsid w:val="0A03446D"/>
    <w:rsid w:val="0A15612A"/>
    <w:rsid w:val="0A2554C2"/>
    <w:rsid w:val="0A372F4E"/>
    <w:rsid w:val="0A530F0D"/>
    <w:rsid w:val="0A6878BB"/>
    <w:rsid w:val="0B0F117D"/>
    <w:rsid w:val="0B3D4278"/>
    <w:rsid w:val="0B575FF7"/>
    <w:rsid w:val="0B61769D"/>
    <w:rsid w:val="0B7C0033"/>
    <w:rsid w:val="0B9D37CB"/>
    <w:rsid w:val="0BB23EE6"/>
    <w:rsid w:val="0BF40511"/>
    <w:rsid w:val="0BFF42FC"/>
    <w:rsid w:val="0C156BD4"/>
    <w:rsid w:val="0C23550B"/>
    <w:rsid w:val="0C250E1C"/>
    <w:rsid w:val="0C524C61"/>
    <w:rsid w:val="0C7665FA"/>
    <w:rsid w:val="0C9B0435"/>
    <w:rsid w:val="0C9F0100"/>
    <w:rsid w:val="0CAD62C4"/>
    <w:rsid w:val="0CC81C89"/>
    <w:rsid w:val="0CE75AAF"/>
    <w:rsid w:val="0D47367B"/>
    <w:rsid w:val="0D696CDD"/>
    <w:rsid w:val="0D7A0EAE"/>
    <w:rsid w:val="0D7F02AE"/>
    <w:rsid w:val="0D801ED4"/>
    <w:rsid w:val="0DB31D06"/>
    <w:rsid w:val="0DC31F2A"/>
    <w:rsid w:val="0DD8478D"/>
    <w:rsid w:val="0E5974A3"/>
    <w:rsid w:val="0E5A2165"/>
    <w:rsid w:val="0E7C3E91"/>
    <w:rsid w:val="0F1E7653"/>
    <w:rsid w:val="0F25113D"/>
    <w:rsid w:val="0F676C53"/>
    <w:rsid w:val="0F7979B8"/>
    <w:rsid w:val="0FA50F04"/>
    <w:rsid w:val="0FAE4E5F"/>
    <w:rsid w:val="100E76C7"/>
    <w:rsid w:val="101051ED"/>
    <w:rsid w:val="10181DA5"/>
    <w:rsid w:val="101F2400"/>
    <w:rsid w:val="115555F0"/>
    <w:rsid w:val="11B00A36"/>
    <w:rsid w:val="11B21D8F"/>
    <w:rsid w:val="11D07A25"/>
    <w:rsid w:val="11D22BC7"/>
    <w:rsid w:val="11F7143C"/>
    <w:rsid w:val="121C256F"/>
    <w:rsid w:val="124D6FE7"/>
    <w:rsid w:val="12B17A61"/>
    <w:rsid w:val="12DD6AC6"/>
    <w:rsid w:val="13517FF7"/>
    <w:rsid w:val="13784EEC"/>
    <w:rsid w:val="1393198B"/>
    <w:rsid w:val="140008F8"/>
    <w:rsid w:val="141E6154"/>
    <w:rsid w:val="141E6A33"/>
    <w:rsid w:val="144637F4"/>
    <w:rsid w:val="146A0901"/>
    <w:rsid w:val="148E2A7D"/>
    <w:rsid w:val="14C52A4A"/>
    <w:rsid w:val="14F4742C"/>
    <w:rsid w:val="14FA5B60"/>
    <w:rsid w:val="150E79BB"/>
    <w:rsid w:val="15866059"/>
    <w:rsid w:val="15A028A9"/>
    <w:rsid w:val="15E4675F"/>
    <w:rsid w:val="16054E5D"/>
    <w:rsid w:val="16750BCB"/>
    <w:rsid w:val="16986BD2"/>
    <w:rsid w:val="1699418F"/>
    <w:rsid w:val="16DB250A"/>
    <w:rsid w:val="171712B2"/>
    <w:rsid w:val="17601B3C"/>
    <w:rsid w:val="1766157D"/>
    <w:rsid w:val="177911BD"/>
    <w:rsid w:val="17904ADF"/>
    <w:rsid w:val="17987CA0"/>
    <w:rsid w:val="17DA3CDD"/>
    <w:rsid w:val="17E94CA2"/>
    <w:rsid w:val="189015C1"/>
    <w:rsid w:val="18951C7F"/>
    <w:rsid w:val="18EB65DA"/>
    <w:rsid w:val="18FD78BC"/>
    <w:rsid w:val="194B330E"/>
    <w:rsid w:val="19B83701"/>
    <w:rsid w:val="19C342B3"/>
    <w:rsid w:val="19FA5C86"/>
    <w:rsid w:val="1A1966DC"/>
    <w:rsid w:val="1A351993"/>
    <w:rsid w:val="1A357699"/>
    <w:rsid w:val="1A456A79"/>
    <w:rsid w:val="1A534A87"/>
    <w:rsid w:val="1A7139F7"/>
    <w:rsid w:val="1A890064"/>
    <w:rsid w:val="1AA90718"/>
    <w:rsid w:val="1AB3346E"/>
    <w:rsid w:val="1AE96E91"/>
    <w:rsid w:val="1B1D26B5"/>
    <w:rsid w:val="1B21400E"/>
    <w:rsid w:val="1B6D6BD3"/>
    <w:rsid w:val="1BCD1DFB"/>
    <w:rsid w:val="1C054790"/>
    <w:rsid w:val="1C274B4F"/>
    <w:rsid w:val="1C3023B3"/>
    <w:rsid w:val="1C3109C5"/>
    <w:rsid w:val="1C530D57"/>
    <w:rsid w:val="1C773181"/>
    <w:rsid w:val="1CA02734"/>
    <w:rsid w:val="1CA35874"/>
    <w:rsid w:val="1CAC2A24"/>
    <w:rsid w:val="1CCE05A0"/>
    <w:rsid w:val="1D16215F"/>
    <w:rsid w:val="1D616919"/>
    <w:rsid w:val="1D8611E5"/>
    <w:rsid w:val="1D8A76AC"/>
    <w:rsid w:val="1D9D190F"/>
    <w:rsid w:val="1E0B5432"/>
    <w:rsid w:val="1E1E2279"/>
    <w:rsid w:val="1E650DFA"/>
    <w:rsid w:val="1E8F582D"/>
    <w:rsid w:val="1F4D2547"/>
    <w:rsid w:val="1FBA251E"/>
    <w:rsid w:val="1FD877D8"/>
    <w:rsid w:val="1FE0385F"/>
    <w:rsid w:val="1FF52394"/>
    <w:rsid w:val="200E1C18"/>
    <w:rsid w:val="200E3322"/>
    <w:rsid w:val="2051206C"/>
    <w:rsid w:val="20586E69"/>
    <w:rsid w:val="216A233C"/>
    <w:rsid w:val="21D55D49"/>
    <w:rsid w:val="21F232D3"/>
    <w:rsid w:val="22284201"/>
    <w:rsid w:val="22663DBB"/>
    <w:rsid w:val="22BD71A2"/>
    <w:rsid w:val="231121FD"/>
    <w:rsid w:val="23362F77"/>
    <w:rsid w:val="236E35A1"/>
    <w:rsid w:val="23782E33"/>
    <w:rsid w:val="24590BD9"/>
    <w:rsid w:val="24740A7D"/>
    <w:rsid w:val="24D32992"/>
    <w:rsid w:val="24D44FD3"/>
    <w:rsid w:val="254A5265"/>
    <w:rsid w:val="255572BB"/>
    <w:rsid w:val="25867C13"/>
    <w:rsid w:val="258A5156"/>
    <w:rsid w:val="25E250FE"/>
    <w:rsid w:val="26123389"/>
    <w:rsid w:val="2627696F"/>
    <w:rsid w:val="262F08A8"/>
    <w:rsid w:val="26447CB4"/>
    <w:rsid w:val="265E6CAC"/>
    <w:rsid w:val="267A619D"/>
    <w:rsid w:val="26897B0F"/>
    <w:rsid w:val="26BD5C77"/>
    <w:rsid w:val="26D72803"/>
    <w:rsid w:val="27495BBE"/>
    <w:rsid w:val="277F117F"/>
    <w:rsid w:val="278029C3"/>
    <w:rsid w:val="27D72D69"/>
    <w:rsid w:val="28035FB0"/>
    <w:rsid w:val="283A50A6"/>
    <w:rsid w:val="283C15F6"/>
    <w:rsid w:val="28732366"/>
    <w:rsid w:val="28947F0C"/>
    <w:rsid w:val="289C17B8"/>
    <w:rsid w:val="28A06A49"/>
    <w:rsid w:val="28EE02B7"/>
    <w:rsid w:val="29197A7E"/>
    <w:rsid w:val="29217B42"/>
    <w:rsid w:val="294A7C23"/>
    <w:rsid w:val="298176C7"/>
    <w:rsid w:val="299B5B9F"/>
    <w:rsid w:val="29A97319"/>
    <w:rsid w:val="29C4645F"/>
    <w:rsid w:val="29F54205"/>
    <w:rsid w:val="2A0F0766"/>
    <w:rsid w:val="2A0F17F6"/>
    <w:rsid w:val="2A500837"/>
    <w:rsid w:val="2A6349B8"/>
    <w:rsid w:val="2A834AE2"/>
    <w:rsid w:val="2B5078AC"/>
    <w:rsid w:val="2B706456"/>
    <w:rsid w:val="2B917718"/>
    <w:rsid w:val="2BC21298"/>
    <w:rsid w:val="2BF43982"/>
    <w:rsid w:val="2C1E6A67"/>
    <w:rsid w:val="2C774E6F"/>
    <w:rsid w:val="2CEB2E12"/>
    <w:rsid w:val="2D076842"/>
    <w:rsid w:val="2D2751A3"/>
    <w:rsid w:val="2D2D12E5"/>
    <w:rsid w:val="2D507C40"/>
    <w:rsid w:val="2D6055AE"/>
    <w:rsid w:val="2DD75637"/>
    <w:rsid w:val="2DDC7C6C"/>
    <w:rsid w:val="2E105CFC"/>
    <w:rsid w:val="2E1F4014"/>
    <w:rsid w:val="2E93123A"/>
    <w:rsid w:val="2EC42BB2"/>
    <w:rsid w:val="2EF72753"/>
    <w:rsid w:val="2EFE1F2E"/>
    <w:rsid w:val="2F98604D"/>
    <w:rsid w:val="2F9E416C"/>
    <w:rsid w:val="2FA5591F"/>
    <w:rsid w:val="2FFC795C"/>
    <w:rsid w:val="304556D5"/>
    <w:rsid w:val="308210D2"/>
    <w:rsid w:val="30DA7426"/>
    <w:rsid w:val="30ED05B5"/>
    <w:rsid w:val="30F27788"/>
    <w:rsid w:val="31033D7C"/>
    <w:rsid w:val="316A12DE"/>
    <w:rsid w:val="318C6116"/>
    <w:rsid w:val="31AC30F6"/>
    <w:rsid w:val="3203475A"/>
    <w:rsid w:val="32062029"/>
    <w:rsid w:val="321C2A5E"/>
    <w:rsid w:val="32320A9D"/>
    <w:rsid w:val="32880762"/>
    <w:rsid w:val="32C71353"/>
    <w:rsid w:val="32DD5A10"/>
    <w:rsid w:val="32FA0AA1"/>
    <w:rsid w:val="33016CDE"/>
    <w:rsid w:val="330D14F2"/>
    <w:rsid w:val="331E511B"/>
    <w:rsid w:val="33212815"/>
    <w:rsid w:val="33273194"/>
    <w:rsid w:val="332C7C9F"/>
    <w:rsid w:val="338E73F8"/>
    <w:rsid w:val="33C07728"/>
    <w:rsid w:val="33C323F3"/>
    <w:rsid w:val="340019A4"/>
    <w:rsid w:val="344C3CA5"/>
    <w:rsid w:val="34A6487E"/>
    <w:rsid w:val="34C13259"/>
    <w:rsid w:val="352B0654"/>
    <w:rsid w:val="357218B7"/>
    <w:rsid w:val="357B2A2D"/>
    <w:rsid w:val="36301896"/>
    <w:rsid w:val="368C1064"/>
    <w:rsid w:val="3693372F"/>
    <w:rsid w:val="36A15658"/>
    <w:rsid w:val="36A57E05"/>
    <w:rsid w:val="36C8795A"/>
    <w:rsid w:val="377759CE"/>
    <w:rsid w:val="378160F2"/>
    <w:rsid w:val="37836459"/>
    <w:rsid w:val="37F81949"/>
    <w:rsid w:val="38082816"/>
    <w:rsid w:val="38567480"/>
    <w:rsid w:val="385F2F28"/>
    <w:rsid w:val="38BC2174"/>
    <w:rsid w:val="38C62416"/>
    <w:rsid w:val="38FD790B"/>
    <w:rsid w:val="39280E84"/>
    <w:rsid w:val="392C2962"/>
    <w:rsid w:val="394105E5"/>
    <w:rsid w:val="394D35F9"/>
    <w:rsid w:val="3954353D"/>
    <w:rsid w:val="3959005D"/>
    <w:rsid w:val="39736669"/>
    <w:rsid w:val="398E2F47"/>
    <w:rsid w:val="3A0E5622"/>
    <w:rsid w:val="3A15288E"/>
    <w:rsid w:val="3A2F011D"/>
    <w:rsid w:val="3A7E0F0E"/>
    <w:rsid w:val="3AB72319"/>
    <w:rsid w:val="3ADB1B11"/>
    <w:rsid w:val="3B0F28FC"/>
    <w:rsid w:val="3B331EFF"/>
    <w:rsid w:val="3B471B5C"/>
    <w:rsid w:val="3B575321"/>
    <w:rsid w:val="3B5B2E9B"/>
    <w:rsid w:val="3BA44C68"/>
    <w:rsid w:val="3BDD513F"/>
    <w:rsid w:val="3BE25187"/>
    <w:rsid w:val="3C0373B7"/>
    <w:rsid w:val="3C0A74F1"/>
    <w:rsid w:val="3C18275B"/>
    <w:rsid w:val="3CA70B7E"/>
    <w:rsid w:val="3CB30F31"/>
    <w:rsid w:val="3CCF6DBA"/>
    <w:rsid w:val="3D086C8C"/>
    <w:rsid w:val="3D1141CF"/>
    <w:rsid w:val="3D406863"/>
    <w:rsid w:val="3D6860A5"/>
    <w:rsid w:val="3D9D4ADF"/>
    <w:rsid w:val="3DB513CC"/>
    <w:rsid w:val="3DDF544F"/>
    <w:rsid w:val="3DEC0798"/>
    <w:rsid w:val="3E3D0232"/>
    <w:rsid w:val="3EA937C7"/>
    <w:rsid w:val="3EE576C2"/>
    <w:rsid w:val="3F0011CD"/>
    <w:rsid w:val="3F3B7EFD"/>
    <w:rsid w:val="3F9179A1"/>
    <w:rsid w:val="3F99210D"/>
    <w:rsid w:val="3FA960E5"/>
    <w:rsid w:val="40013A50"/>
    <w:rsid w:val="40093884"/>
    <w:rsid w:val="407F1933"/>
    <w:rsid w:val="408804E2"/>
    <w:rsid w:val="40C00457"/>
    <w:rsid w:val="40D95C88"/>
    <w:rsid w:val="40F6789A"/>
    <w:rsid w:val="40FE2323"/>
    <w:rsid w:val="412F2E76"/>
    <w:rsid w:val="415C28EC"/>
    <w:rsid w:val="416119E1"/>
    <w:rsid w:val="417B52A4"/>
    <w:rsid w:val="418A27A2"/>
    <w:rsid w:val="41A21103"/>
    <w:rsid w:val="41CD0CA4"/>
    <w:rsid w:val="422619BB"/>
    <w:rsid w:val="42C22121"/>
    <w:rsid w:val="42F413CF"/>
    <w:rsid w:val="42F943E6"/>
    <w:rsid w:val="43040332"/>
    <w:rsid w:val="431267B6"/>
    <w:rsid w:val="43586AC2"/>
    <w:rsid w:val="43B67A67"/>
    <w:rsid w:val="43C8022C"/>
    <w:rsid w:val="43DB1D54"/>
    <w:rsid w:val="44105092"/>
    <w:rsid w:val="444058F7"/>
    <w:rsid w:val="445F2173"/>
    <w:rsid w:val="4465204A"/>
    <w:rsid w:val="44654541"/>
    <w:rsid w:val="446C5FAC"/>
    <w:rsid w:val="446E367E"/>
    <w:rsid w:val="447A1950"/>
    <w:rsid w:val="447A4D50"/>
    <w:rsid w:val="448B1388"/>
    <w:rsid w:val="44AC7ED5"/>
    <w:rsid w:val="44E32C79"/>
    <w:rsid w:val="450D13D7"/>
    <w:rsid w:val="452A51D6"/>
    <w:rsid w:val="45772680"/>
    <w:rsid w:val="45A3391C"/>
    <w:rsid w:val="45A41698"/>
    <w:rsid w:val="45C4785B"/>
    <w:rsid w:val="45D545C8"/>
    <w:rsid w:val="46130FB8"/>
    <w:rsid w:val="461D282F"/>
    <w:rsid w:val="466C76FB"/>
    <w:rsid w:val="470D4AFE"/>
    <w:rsid w:val="47200A23"/>
    <w:rsid w:val="475A699A"/>
    <w:rsid w:val="476D570A"/>
    <w:rsid w:val="47714024"/>
    <w:rsid w:val="47A06DF6"/>
    <w:rsid w:val="47A55B81"/>
    <w:rsid w:val="47CF7161"/>
    <w:rsid w:val="47E23ED4"/>
    <w:rsid w:val="482F7BFF"/>
    <w:rsid w:val="485A6CB7"/>
    <w:rsid w:val="48D253C7"/>
    <w:rsid w:val="48DD32E1"/>
    <w:rsid w:val="48FE56AD"/>
    <w:rsid w:val="491728CF"/>
    <w:rsid w:val="499822EE"/>
    <w:rsid w:val="49C1766A"/>
    <w:rsid w:val="4A155359"/>
    <w:rsid w:val="4A534ED7"/>
    <w:rsid w:val="4A5C0031"/>
    <w:rsid w:val="4A8D4698"/>
    <w:rsid w:val="4A8F4985"/>
    <w:rsid w:val="4AB77801"/>
    <w:rsid w:val="4AF16B84"/>
    <w:rsid w:val="4AF173EE"/>
    <w:rsid w:val="4AF8063C"/>
    <w:rsid w:val="4B094738"/>
    <w:rsid w:val="4B7818BD"/>
    <w:rsid w:val="4B8B3949"/>
    <w:rsid w:val="4BC41256"/>
    <w:rsid w:val="4C056F4D"/>
    <w:rsid w:val="4C170A0B"/>
    <w:rsid w:val="4C2832E3"/>
    <w:rsid w:val="4C56430C"/>
    <w:rsid w:val="4C666461"/>
    <w:rsid w:val="4C6C31D0"/>
    <w:rsid w:val="4D181058"/>
    <w:rsid w:val="4D21659F"/>
    <w:rsid w:val="4D357A66"/>
    <w:rsid w:val="4D3A32CE"/>
    <w:rsid w:val="4D4A3E41"/>
    <w:rsid w:val="4D7D3F15"/>
    <w:rsid w:val="4D847B01"/>
    <w:rsid w:val="4D8D30B8"/>
    <w:rsid w:val="4DB9141C"/>
    <w:rsid w:val="4E2D1BC0"/>
    <w:rsid w:val="4E4F4B57"/>
    <w:rsid w:val="4E712A1F"/>
    <w:rsid w:val="4EB52D1B"/>
    <w:rsid w:val="4EBC6287"/>
    <w:rsid w:val="4EBF237B"/>
    <w:rsid w:val="4F184326"/>
    <w:rsid w:val="4F457671"/>
    <w:rsid w:val="50320661"/>
    <w:rsid w:val="504C38B5"/>
    <w:rsid w:val="506B1160"/>
    <w:rsid w:val="50804E82"/>
    <w:rsid w:val="50DD28EE"/>
    <w:rsid w:val="50E31FED"/>
    <w:rsid w:val="51883EAB"/>
    <w:rsid w:val="51966E7D"/>
    <w:rsid w:val="51B71B8F"/>
    <w:rsid w:val="51B8433C"/>
    <w:rsid w:val="51D33A2F"/>
    <w:rsid w:val="51D77C12"/>
    <w:rsid w:val="51EF10AE"/>
    <w:rsid w:val="523C0E31"/>
    <w:rsid w:val="528B596D"/>
    <w:rsid w:val="52C42A28"/>
    <w:rsid w:val="53377679"/>
    <w:rsid w:val="5342729E"/>
    <w:rsid w:val="536D7AB6"/>
    <w:rsid w:val="53922D4E"/>
    <w:rsid w:val="53C572CD"/>
    <w:rsid w:val="53E11C4F"/>
    <w:rsid w:val="540006A2"/>
    <w:rsid w:val="54735DCC"/>
    <w:rsid w:val="547A7E1F"/>
    <w:rsid w:val="54814E0E"/>
    <w:rsid w:val="549650AC"/>
    <w:rsid w:val="54AD1C06"/>
    <w:rsid w:val="54B44191"/>
    <w:rsid w:val="54C618EB"/>
    <w:rsid w:val="54CF107E"/>
    <w:rsid w:val="54DE2A32"/>
    <w:rsid w:val="54F544AB"/>
    <w:rsid w:val="550D3283"/>
    <w:rsid w:val="55125B22"/>
    <w:rsid w:val="55213F71"/>
    <w:rsid w:val="554B7252"/>
    <w:rsid w:val="5582400C"/>
    <w:rsid w:val="55936D3E"/>
    <w:rsid w:val="5627302A"/>
    <w:rsid w:val="5642770C"/>
    <w:rsid w:val="564742FE"/>
    <w:rsid w:val="56801F55"/>
    <w:rsid w:val="56BB7FD0"/>
    <w:rsid w:val="56E63BDC"/>
    <w:rsid w:val="56EB34B7"/>
    <w:rsid w:val="56FC15F5"/>
    <w:rsid w:val="57192EC2"/>
    <w:rsid w:val="57315742"/>
    <w:rsid w:val="5765746A"/>
    <w:rsid w:val="57C16F73"/>
    <w:rsid w:val="58303308"/>
    <w:rsid w:val="58746A31"/>
    <w:rsid w:val="589F62C7"/>
    <w:rsid w:val="58A3615A"/>
    <w:rsid w:val="58A47DCE"/>
    <w:rsid w:val="58AB55B1"/>
    <w:rsid w:val="58BA4904"/>
    <w:rsid w:val="58CE2AC0"/>
    <w:rsid w:val="58DF4A53"/>
    <w:rsid w:val="590D1897"/>
    <w:rsid w:val="592F065C"/>
    <w:rsid w:val="5936709D"/>
    <w:rsid w:val="59420E45"/>
    <w:rsid w:val="597B5A48"/>
    <w:rsid w:val="598072F9"/>
    <w:rsid w:val="59831679"/>
    <w:rsid w:val="59F059EB"/>
    <w:rsid w:val="59FD5CE3"/>
    <w:rsid w:val="59FE1C9F"/>
    <w:rsid w:val="5A4602EE"/>
    <w:rsid w:val="5A66437A"/>
    <w:rsid w:val="5A7122F9"/>
    <w:rsid w:val="5A7A0C96"/>
    <w:rsid w:val="5A867B53"/>
    <w:rsid w:val="5AF820D3"/>
    <w:rsid w:val="5B082F15"/>
    <w:rsid w:val="5B0A2639"/>
    <w:rsid w:val="5B1160AF"/>
    <w:rsid w:val="5B2541A1"/>
    <w:rsid w:val="5B487FCC"/>
    <w:rsid w:val="5B4C3F13"/>
    <w:rsid w:val="5B6A5F64"/>
    <w:rsid w:val="5BA0255D"/>
    <w:rsid w:val="5BA303C3"/>
    <w:rsid w:val="5BD65738"/>
    <w:rsid w:val="5BF2722C"/>
    <w:rsid w:val="5C2A6C04"/>
    <w:rsid w:val="5C496ACB"/>
    <w:rsid w:val="5C847623"/>
    <w:rsid w:val="5C8570E6"/>
    <w:rsid w:val="5C8F1D80"/>
    <w:rsid w:val="5CB00F5A"/>
    <w:rsid w:val="5CB0535B"/>
    <w:rsid w:val="5CCC3817"/>
    <w:rsid w:val="5D0B6F6D"/>
    <w:rsid w:val="5D2E3396"/>
    <w:rsid w:val="5D647EF4"/>
    <w:rsid w:val="5D7F1D13"/>
    <w:rsid w:val="5D8F2EC7"/>
    <w:rsid w:val="5DAB6759"/>
    <w:rsid w:val="5DDF6040"/>
    <w:rsid w:val="5E232766"/>
    <w:rsid w:val="5E446FDB"/>
    <w:rsid w:val="5EC61942"/>
    <w:rsid w:val="5EE450D1"/>
    <w:rsid w:val="5F0E45BB"/>
    <w:rsid w:val="5F4C0ED4"/>
    <w:rsid w:val="5F4F240C"/>
    <w:rsid w:val="5F8D5E20"/>
    <w:rsid w:val="5F8F28CB"/>
    <w:rsid w:val="5FA639FC"/>
    <w:rsid w:val="606766A3"/>
    <w:rsid w:val="60883EF9"/>
    <w:rsid w:val="60A53E80"/>
    <w:rsid w:val="60B374E0"/>
    <w:rsid w:val="60C217C8"/>
    <w:rsid w:val="610E08A2"/>
    <w:rsid w:val="611C22FF"/>
    <w:rsid w:val="614D13CA"/>
    <w:rsid w:val="61815124"/>
    <w:rsid w:val="618B1EF3"/>
    <w:rsid w:val="619D5078"/>
    <w:rsid w:val="61A07EAA"/>
    <w:rsid w:val="62307FF0"/>
    <w:rsid w:val="625740C0"/>
    <w:rsid w:val="62606BB5"/>
    <w:rsid w:val="626F5370"/>
    <w:rsid w:val="627829D2"/>
    <w:rsid w:val="62A80882"/>
    <w:rsid w:val="62DF5D12"/>
    <w:rsid w:val="63184B5B"/>
    <w:rsid w:val="6345388C"/>
    <w:rsid w:val="635F3370"/>
    <w:rsid w:val="63765D3F"/>
    <w:rsid w:val="6395152A"/>
    <w:rsid w:val="63C416EC"/>
    <w:rsid w:val="6411046E"/>
    <w:rsid w:val="641877BA"/>
    <w:rsid w:val="641B6CFA"/>
    <w:rsid w:val="6442528F"/>
    <w:rsid w:val="645F3C17"/>
    <w:rsid w:val="64E53364"/>
    <w:rsid w:val="64EC710A"/>
    <w:rsid w:val="653F6CEE"/>
    <w:rsid w:val="663B0604"/>
    <w:rsid w:val="6663343E"/>
    <w:rsid w:val="668F1D75"/>
    <w:rsid w:val="67442F4B"/>
    <w:rsid w:val="67C043CD"/>
    <w:rsid w:val="67E2064D"/>
    <w:rsid w:val="67E26661"/>
    <w:rsid w:val="68031F62"/>
    <w:rsid w:val="682F3772"/>
    <w:rsid w:val="683055A2"/>
    <w:rsid w:val="68842217"/>
    <w:rsid w:val="68A6079A"/>
    <w:rsid w:val="68C63810"/>
    <w:rsid w:val="6937728C"/>
    <w:rsid w:val="694D6296"/>
    <w:rsid w:val="69615C67"/>
    <w:rsid w:val="69827750"/>
    <w:rsid w:val="69D1617D"/>
    <w:rsid w:val="69F00D37"/>
    <w:rsid w:val="69FB2C2E"/>
    <w:rsid w:val="6A7F011B"/>
    <w:rsid w:val="6A993371"/>
    <w:rsid w:val="6AD83ABE"/>
    <w:rsid w:val="6B1A71F5"/>
    <w:rsid w:val="6B412693"/>
    <w:rsid w:val="6B8455AA"/>
    <w:rsid w:val="6BF75629"/>
    <w:rsid w:val="6C47110C"/>
    <w:rsid w:val="6C713532"/>
    <w:rsid w:val="6C912018"/>
    <w:rsid w:val="6C970639"/>
    <w:rsid w:val="6CAD5413"/>
    <w:rsid w:val="6CBD649F"/>
    <w:rsid w:val="6CEB5F3B"/>
    <w:rsid w:val="6D1578C1"/>
    <w:rsid w:val="6D4A2C62"/>
    <w:rsid w:val="6D8B6DD7"/>
    <w:rsid w:val="6DB655A8"/>
    <w:rsid w:val="6DBE0F5A"/>
    <w:rsid w:val="6DF04E6B"/>
    <w:rsid w:val="6DFA4688"/>
    <w:rsid w:val="6E9129BD"/>
    <w:rsid w:val="6EC15DBF"/>
    <w:rsid w:val="6EC45E38"/>
    <w:rsid w:val="6EE175F6"/>
    <w:rsid w:val="6F0545DD"/>
    <w:rsid w:val="6F067523"/>
    <w:rsid w:val="6F454FEE"/>
    <w:rsid w:val="6F4C6CB0"/>
    <w:rsid w:val="6F6278BD"/>
    <w:rsid w:val="6F924E62"/>
    <w:rsid w:val="6F9D6EF4"/>
    <w:rsid w:val="6FDF6D35"/>
    <w:rsid w:val="6FE95F5B"/>
    <w:rsid w:val="6FEA7510"/>
    <w:rsid w:val="6FF57C5F"/>
    <w:rsid w:val="70394425"/>
    <w:rsid w:val="703D7E7D"/>
    <w:rsid w:val="709A3F00"/>
    <w:rsid w:val="70A42756"/>
    <w:rsid w:val="710220D3"/>
    <w:rsid w:val="71090F67"/>
    <w:rsid w:val="7144448C"/>
    <w:rsid w:val="715D3AF0"/>
    <w:rsid w:val="71836742"/>
    <w:rsid w:val="71A24191"/>
    <w:rsid w:val="71A81E54"/>
    <w:rsid w:val="7219554D"/>
    <w:rsid w:val="723802CC"/>
    <w:rsid w:val="7248337C"/>
    <w:rsid w:val="725E0003"/>
    <w:rsid w:val="7275252F"/>
    <w:rsid w:val="72C26316"/>
    <w:rsid w:val="739829F6"/>
    <w:rsid w:val="739B4217"/>
    <w:rsid w:val="73C9344F"/>
    <w:rsid w:val="73EC6624"/>
    <w:rsid w:val="740D32B5"/>
    <w:rsid w:val="741A5ED7"/>
    <w:rsid w:val="742C73A7"/>
    <w:rsid w:val="74612B66"/>
    <w:rsid w:val="7482781E"/>
    <w:rsid w:val="74A75BED"/>
    <w:rsid w:val="74BA691F"/>
    <w:rsid w:val="75064775"/>
    <w:rsid w:val="751D5853"/>
    <w:rsid w:val="751E6016"/>
    <w:rsid w:val="75666269"/>
    <w:rsid w:val="757C4484"/>
    <w:rsid w:val="75810A35"/>
    <w:rsid w:val="75852EB8"/>
    <w:rsid w:val="758D6EB1"/>
    <w:rsid w:val="759929D8"/>
    <w:rsid w:val="76811E83"/>
    <w:rsid w:val="769F07F2"/>
    <w:rsid w:val="76A53D3A"/>
    <w:rsid w:val="76B92C06"/>
    <w:rsid w:val="76C842B2"/>
    <w:rsid w:val="76D518CE"/>
    <w:rsid w:val="76EC61C6"/>
    <w:rsid w:val="770B5AA6"/>
    <w:rsid w:val="773959F8"/>
    <w:rsid w:val="773D67BB"/>
    <w:rsid w:val="779A6C51"/>
    <w:rsid w:val="77AA22F9"/>
    <w:rsid w:val="78165246"/>
    <w:rsid w:val="787663E2"/>
    <w:rsid w:val="787E5528"/>
    <w:rsid w:val="78A4684A"/>
    <w:rsid w:val="78D15FE5"/>
    <w:rsid w:val="78E97583"/>
    <w:rsid w:val="78FD6DDA"/>
    <w:rsid w:val="79034B6F"/>
    <w:rsid w:val="79526D89"/>
    <w:rsid w:val="7971112A"/>
    <w:rsid w:val="797572B9"/>
    <w:rsid w:val="798E57EB"/>
    <w:rsid w:val="79E01C10"/>
    <w:rsid w:val="7A351927"/>
    <w:rsid w:val="7A52091D"/>
    <w:rsid w:val="7A5B6727"/>
    <w:rsid w:val="7A636B3D"/>
    <w:rsid w:val="7A78516B"/>
    <w:rsid w:val="7AAB489A"/>
    <w:rsid w:val="7AC073CB"/>
    <w:rsid w:val="7AE55A90"/>
    <w:rsid w:val="7AFD7566"/>
    <w:rsid w:val="7B3D087F"/>
    <w:rsid w:val="7B4C4049"/>
    <w:rsid w:val="7B606081"/>
    <w:rsid w:val="7B9D1F80"/>
    <w:rsid w:val="7BC10E7B"/>
    <w:rsid w:val="7C267CFE"/>
    <w:rsid w:val="7C410053"/>
    <w:rsid w:val="7C9440BB"/>
    <w:rsid w:val="7CAB0DBF"/>
    <w:rsid w:val="7CD9150D"/>
    <w:rsid w:val="7D0E4A27"/>
    <w:rsid w:val="7D404DF9"/>
    <w:rsid w:val="7D576DC2"/>
    <w:rsid w:val="7D6561F4"/>
    <w:rsid w:val="7E0D38A0"/>
    <w:rsid w:val="7E867050"/>
    <w:rsid w:val="7EC9775F"/>
    <w:rsid w:val="7EF42A2E"/>
    <w:rsid w:val="7F03793F"/>
    <w:rsid w:val="7F1B7214"/>
    <w:rsid w:val="7F750AD5"/>
    <w:rsid w:val="7F7D7A9E"/>
    <w:rsid w:val="7F8A3392"/>
    <w:rsid w:val="7F904007"/>
    <w:rsid w:val="7F967F89"/>
    <w:rsid w:val="7F9969BB"/>
    <w:rsid w:val="7FAE2BAD"/>
    <w:rsid w:val="7FE35B43"/>
    <w:rsid w:val="7FF52F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8"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qFormat="1" w:unhideWhenUsed="0" w:uiPriority="0" w:semiHidden="0" w:name="toc 3"/>
    <w:lsdException w:uiPriority="0" w:name="toc 4"/>
    <w:lsdException w:uiPriority="0" w:name="toc 5"/>
    <w:lsdException w:qFormat="1" w:unhideWhenUsed="0" w:uiPriority="0" w:semiHidden="0" w:name="toc 6"/>
    <w:lsdException w:uiPriority="0" w:name="toc 7"/>
    <w:lsdException w:uiPriority="0" w:name="toc 8"/>
    <w:lsdException w:uiPriority="0" w:name="toc 9"/>
    <w:lsdException w:qFormat="1" w:unhideWhenUsed="0" w:uiPriority="0" w:semiHidden="0" w:name="Normal Indent"/>
    <w:lsdException w:qFormat="1" w:uiPriority="99" w:name="footnote text"/>
    <w:lsdException w:uiPriority="0" w:name="annotation text"/>
    <w:lsdException w:qFormat="1"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name="footnote reference"/>
    <w:lsdException w:uiPriority="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iPriority="0" w:name="table of authorities"/>
    <w:lsdException w:uiPriority="0" w:name="macro"/>
    <w:lsdException w:qFormat="1" w:uiPriority="99"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3"/>
    <w:next w:val="1"/>
    <w:autoRedefine/>
    <w:qFormat/>
    <w:uiPriority w:val="98"/>
    <w:pPr>
      <w:keepNext/>
      <w:keepLines/>
      <w:spacing w:before="340" w:after="330" w:line="578" w:lineRule="auto"/>
    </w:pPr>
    <w:rPr>
      <w:rFonts w:ascii="Times New Roman"/>
      <w:b w:val="0"/>
      <w:bCs w:val="0"/>
      <w:kern w:val="44"/>
      <w:sz w:val="44"/>
      <w:szCs w:val="44"/>
    </w:rPr>
  </w:style>
  <w:style w:type="paragraph" w:styleId="4">
    <w:name w:val="heading 2"/>
    <w:basedOn w:val="1"/>
    <w:next w:val="1"/>
    <w:autoRedefine/>
    <w:qFormat/>
    <w:uiPriority w:val="0"/>
    <w:pPr>
      <w:keepNext/>
      <w:keepLines/>
      <w:tabs>
        <w:tab w:val="left" w:pos="576"/>
        <w:tab w:val="left" w:pos="1296"/>
      </w:tabs>
      <w:adjustRightInd w:val="0"/>
      <w:spacing w:before="120" w:after="120" w:line="416" w:lineRule="atLeast"/>
      <w:jc w:val="left"/>
      <w:textAlignment w:val="baseline"/>
      <w:outlineLvl w:val="1"/>
    </w:pPr>
    <w:rPr>
      <w:rFonts w:ascii="宋体" w:hAnsi="Arial" w:eastAsia="黑体"/>
      <w:b/>
      <w:kern w:val="0"/>
      <w:sz w:val="28"/>
    </w:rPr>
  </w:style>
  <w:style w:type="paragraph" w:styleId="5">
    <w:name w:val="heading 3"/>
    <w:basedOn w:val="1"/>
    <w:next w:val="1"/>
    <w:autoRedefine/>
    <w:unhideWhenUsed/>
    <w:qFormat/>
    <w:uiPriority w:val="9"/>
    <w:pPr>
      <w:keepNext/>
      <w:keepLines/>
      <w:spacing w:before="260" w:after="260" w:line="416" w:lineRule="auto"/>
      <w:outlineLvl w:val="2"/>
    </w:pPr>
    <w:rPr>
      <w:b/>
      <w:bCs/>
      <w:sz w:val="28"/>
      <w:szCs w:val="32"/>
    </w:rPr>
  </w:style>
  <w:style w:type="character" w:default="1" w:styleId="24">
    <w:name w:val="Default Paragraph Font"/>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3">
    <w:name w:val="Title"/>
    <w:basedOn w:val="1"/>
    <w:next w:val="1"/>
    <w:link w:val="41"/>
    <w:autoRedefine/>
    <w:qFormat/>
    <w:uiPriority w:val="0"/>
    <w:pPr>
      <w:spacing w:before="240" w:after="60"/>
      <w:ind w:left="425" w:hanging="425"/>
      <w:jc w:val="center"/>
      <w:outlineLvl w:val="0"/>
    </w:pPr>
    <w:rPr>
      <w:rFonts w:ascii="Arial" w:hAnsi="Arial" w:cs="Arial"/>
      <w:b/>
      <w:bCs/>
      <w:sz w:val="32"/>
      <w:szCs w:val="32"/>
    </w:rPr>
  </w:style>
  <w:style w:type="paragraph" w:styleId="6">
    <w:name w:val="Normal Indent"/>
    <w:basedOn w:val="1"/>
    <w:next w:val="1"/>
    <w:autoRedefine/>
    <w:qFormat/>
    <w:uiPriority w:val="0"/>
    <w:pPr>
      <w:ind w:firstLine="420"/>
    </w:pPr>
    <w:rPr>
      <w:sz w:val="24"/>
    </w:rPr>
  </w:style>
  <w:style w:type="paragraph" w:styleId="7">
    <w:name w:val="toa heading"/>
    <w:basedOn w:val="1"/>
    <w:next w:val="1"/>
    <w:autoRedefine/>
    <w:unhideWhenUsed/>
    <w:qFormat/>
    <w:uiPriority w:val="99"/>
    <w:pPr>
      <w:spacing w:before="120"/>
    </w:pPr>
    <w:rPr>
      <w:rFonts w:ascii="Cambria" w:hAnsi="Cambria"/>
      <w:sz w:val="24"/>
      <w:szCs w:val="24"/>
    </w:rPr>
  </w:style>
  <w:style w:type="paragraph" w:styleId="8">
    <w:name w:val="Body Text"/>
    <w:basedOn w:val="1"/>
    <w:next w:val="9"/>
    <w:qFormat/>
    <w:uiPriority w:val="1"/>
    <w:pPr>
      <w:spacing w:before="182"/>
      <w:ind w:left="720" w:hanging="361"/>
    </w:pPr>
    <w:rPr>
      <w:rFonts w:ascii="微软雅黑" w:hAnsi="微软雅黑" w:eastAsia="微软雅黑" w:cs="微软雅黑"/>
      <w:sz w:val="24"/>
      <w:lang w:val="zh-CN" w:bidi="zh-CN"/>
    </w:rPr>
  </w:style>
  <w:style w:type="paragraph" w:styleId="9">
    <w:name w:val="Body Text First Indent"/>
    <w:basedOn w:val="8"/>
    <w:next w:val="10"/>
    <w:autoRedefine/>
    <w:semiHidden/>
    <w:qFormat/>
    <w:uiPriority w:val="0"/>
    <w:pPr>
      <w:ind w:firstLine="420" w:firstLineChars="100"/>
    </w:pPr>
    <w:rPr>
      <w:rFonts w:eastAsia="仿宋_GB2312"/>
      <w:sz w:val="28"/>
      <w:szCs w:val="28"/>
    </w:rPr>
  </w:style>
  <w:style w:type="paragraph" w:styleId="10">
    <w:name w:val="toc 6"/>
    <w:basedOn w:val="1"/>
    <w:next w:val="1"/>
    <w:qFormat/>
    <w:uiPriority w:val="0"/>
    <w:pPr>
      <w:ind w:left="2100" w:leftChars="1000"/>
    </w:pPr>
  </w:style>
  <w:style w:type="paragraph" w:styleId="11">
    <w:name w:val="Body Text Indent"/>
    <w:basedOn w:val="1"/>
    <w:autoRedefine/>
    <w:qFormat/>
    <w:uiPriority w:val="0"/>
    <w:pPr>
      <w:autoSpaceDE w:val="0"/>
      <w:autoSpaceDN w:val="0"/>
      <w:adjustRightInd w:val="0"/>
      <w:spacing w:line="360" w:lineRule="auto"/>
      <w:ind w:left="567" w:leftChars="270"/>
    </w:pPr>
    <w:rPr>
      <w:rFonts w:ascii="宋体" w:hAnsi="Calibri" w:cs="宋体"/>
      <w:color w:val="000000"/>
      <w:sz w:val="32"/>
      <w:szCs w:val="32"/>
    </w:rPr>
  </w:style>
  <w:style w:type="paragraph" w:styleId="12">
    <w:name w:val="toc 3"/>
    <w:basedOn w:val="1"/>
    <w:next w:val="1"/>
    <w:autoRedefine/>
    <w:qFormat/>
    <w:uiPriority w:val="0"/>
    <w:pPr>
      <w:ind w:left="840" w:leftChars="400"/>
    </w:pPr>
  </w:style>
  <w:style w:type="paragraph" w:styleId="13">
    <w:name w:val="Plain Text"/>
    <w:basedOn w:val="1"/>
    <w:autoRedefine/>
    <w:qFormat/>
    <w:uiPriority w:val="0"/>
    <w:rPr>
      <w:rFonts w:ascii="宋体" w:hAnsi="Courier New" w:cstheme="minorBidi"/>
      <w:sz w:val="11"/>
      <w:szCs w:val="22"/>
    </w:rPr>
  </w:style>
  <w:style w:type="paragraph" w:styleId="14">
    <w:name w:val="Date"/>
    <w:basedOn w:val="1"/>
    <w:next w:val="1"/>
    <w:autoRedefine/>
    <w:qFormat/>
    <w:uiPriority w:val="0"/>
    <w:pPr>
      <w:ind w:left="100" w:leftChars="2500"/>
    </w:pPr>
    <w:rPr>
      <w:szCs w:val="24"/>
    </w:rPr>
  </w:style>
  <w:style w:type="paragraph" w:styleId="15">
    <w:name w:val="endnote text"/>
    <w:basedOn w:val="1"/>
    <w:autoRedefine/>
    <w:qFormat/>
    <w:uiPriority w:val="0"/>
    <w:pPr>
      <w:snapToGrid w:val="0"/>
      <w:jc w:val="left"/>
    </w:pPr>
  </w:style>
  <w:style w:type="paragraph" w:styleId="16">
    <w:name w:val="Balloon Text"/>
    <w:basedOn w:val="1"/>
    <w:link w:val="57"/>
    <w:autoRedefine/>
    <w:qFormat/>
    <w:uiPriority w:val="0"/>
    <w:rPr>
      <w:sz w:val="18"/>
      <w:szCs w:val="18"/>
    </w:rPr>
  </w:style>
  <w:style w:type="paragraph" w:styleId="17">
    <w:name w:val="footer"/>
    <w:basedOn w:val="1"/>
    <w:autoRedefine/>
    <w:qFormat/>
    <w:uiPriority w:val="0"/>
    <w:pPr>
      <w:tabs>
        <w:tab w:val="center" w:pos="4153"/>
        <w:tab w:val="right" w:pos="8306"/>
      </w:tabs>
      <w:snapToGrid w:val="0"/>
      <w:jc w:val="left"/>
    </w:pPr>
    <w:rPr>
      <w:sz w:val="18"/>
    </w:rPr>
  </w:style>
  <w:style w:type="paragraph" w:styleId="18">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39"/>
    <w:pPr>
      <w:spacing w:before="120" w:after="120" w:line="360" w:lineRule="auto"/>
      <w:ind w:firstLine="200" w:firstLineChars="200"/>
      <w:jc w:val="left"/>
    </w:pPr>
    <w:rPr>
      <w:b/>
      <w:bCs/>
      <w:caps/>
      <w:sz w:val="20"/>
    </w:rPr>
  </w:style>
  <w:style w:type="paragraph" w:styleId="20">
    <w:name w:val="footnote text"/>
    <w:basedOn w:val="1"/>
    <w:autoRedefine/>
    <w:semiHidden/>
    <w:unhideWhenUsed/>
    <w:qFormat/>
    <w:uiPriority w:val="99"/>
    <w:pPr>
      <w:snapToGrid w:val="0"/>
      <w:jc w:val="left"/>
    </w:pPr>
    <w:rPr>
      <w:sz w:val="18"/>
      <w:szCs w:val="18"/>
    </w:rPr>
  </w:style>
  <w:style w:type="paragraph" w:styleId="21">
    <w:name w:val="Normal (Web)"/>
    <w:basedOn w:val="1"/>
    <w:autoRedefine/>
    <w:qFormat/>
    <w:uiPriority w:val="99"/>
    <w:pPr>
      <w:widowControl/>
      <w:spacing w:before="100" w:beforeAutospacing="1" w:after="100" w:afterAutospacing="1"/>
      <w:jc w:val="left"/>
    </w:pPr>
    <w:rPr>
      <w:rFonts w:ascii="宋体" w:hAnsi="宋体"/>
      <w:kern w:val="0"/>
      <w:sz w:val="24"/>
    </w:rPr>
  </w:style>
  <w:style w:type="table" w:styleId="23">
    <w:name w:val="Table Grid"/>
    <w:basedOn w:val="22"/>
    <w:autoRedefine/>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rPr>
  </w:style>
  <w:style w:type="character" w:styleId="26">
    <w:name w:val="page number"/>
    <w:basedOn w:val="24"/>
    <w:autoRedefine/>
    <w:qFormat/>
    <w:uiPriority w:val="0"/>
  </w:style>
  <w:style w:type="character" w:styleId="27">
    <w:name w:val="Hyperlink"/>
    <w:autoRedefine/>
    <w:qFormat/>
    <w:uiPriority w:val="99"/>
    <w:rPr>
      <w:color w:val="0000FF"/>
      <w:u w:val="single"/>
    </w:rPr>
  </w:style>
  <w:style w:type="character" w:styleId="28">
    <w:name w:val="footnote reference"/>
    <w:basedOn w:val="24"/>
    <w:autoRedefine/>
    <w:semiHidden/>
    <w:unhideWhenUsed/>
    <w:qFormat/>
    <w:uiPriority w:val="99"/>
    <w:rPr>
      <w:vertAlign w:val="superscript"/>
    </w:rPr>
  </w:style>
  <w:style w:type="character" w:styleId="29">
    <w:name w:val="HTML Sample"/>
    <w:basedOn w:val="24"/>
    <w:autoRedefine/>
    <w:qFormat/>
    <w:uiPriority w:val="0"/>
    <w:rPr>
      <w:rFonts w:ascii="Courier New" w:hAnsi="Courier New"/>
    </w:rPr>
  </w:style>
  <w:style w:type="paragraph" w:customStyle="1" w:styleId="30">
    <w:name w:val="目录 41"/>
    <w:next w:val="1"/>
    <w:autoRedefine/>
    <w:qFormat/>
    <w:uiPriority w:val="0"/>
    <w:pPr>
      <w:wordWrap w:val="0"/>
      <w:ind w:left="1275"/>
      <w:jc w:val="both"/>
    </w:pPr>
    <w:rPr>
      <w:rFonts w:ascii="Calibri" w:hAnsi="Calibri" w:eastAsia="宋体" w:cs="宋体"/>
      <w:sz w:val="21"/>
      <w:lang w:val="en-US" w:eastAsia="zh-CN" w:bidi="ar-SA"/>
    </w:rPr>
  </w:style>
  <w:style w:type="paragraph" w:customStyle="1" w:styleId="31">
    <w:name w:val="BodyText"/>
    <w:basedOn w:val="1"/>
    <w:qFormat/>
    <w:uiPriority w:val="0"/>
    <w:pPr>
      <w:textAlignment w:val="baseline"/>
    </w:pPr>
    <w:rPr>
      <w:rFonts w:ascii="宋体" w:hAnsi="宋体"/>
      <w:color w:val="0000FF"/>
      <w:sz w:val="24"/>
      <w:szCs w:val="24"/>
    </w:rPr>
  </w:style>
  <w:style w:type="paragraph" w:customStyle="1" w:styleId="32">
    <w:name w:val="_Style 1"/>
    <w:basedOn w:val="1"/>
    <w:autoRedefine/>
    <w:qFormat/>
    <w:uiPriority w:val="0"/>
    <w:pPr>
      <w:ind w:firstLine="420" w:firstLineChars="200"/>
    </w:pPr>
    <w:rPr>
      <w:rFonts w:ascii="宋体"/>
      <w:kern w:val="0"/>
      <w:sz w:val="18"/>
      <w:szCs w:val="18"/>
    </w:rPr>
  </w:style>
  <w:style w:type="paragraph" w:customStyle="1" w:styleId="33">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paragraph" w:customStyle="1" w:styleId="34">
    <w:name w:val="5）标书正文 首行缩进2字符"/>
    <w:basedOn w:val="1"/>
    <w:autoRedefine/>
    <w:qFormat/>
    <w:uiPriority w:val="0"/>
    <w:pPr>
      <w:spacing w:line="480" w:lineRule="exact"/>
      <w:ind w:firstLine="200" w:firstLineChars="200"/>
    </w:pPr>
    <w:rPr>
      <w:rFonts w:ascii="仿宋_GB2312" w:eastAsia="仿宋_GB2312"/>
      <w:sz w:val="28"/>
    </w:rPr>
  </w:style>
  <w:style w:type="paragraph" w:customStyle="1" w:styleId="35">
    <w:name w:val="Default Text"/>
    <w:link w:val="44"/>
    <w:autoRedefine/>
    <w:qFormat/>
    <w:uiPriority w:val="0"/>
    <w:pPr>
      <w:widowControl w:val="0"/>
      <w:autoSpaceDE w:val="0"/>
      <w:autoSpaceDN w:val="0"/>
      <w:adjustRightInd w:val="0"/>
    </w:pPr>
    <w:rPr>
      <w:rFonts w:asciiTheme="minorHAnsi" w:hAnsiTheme="minorHAnsi" w:eastAsiaTheme="minorEastAsia" w:cstheme="minorBidi"/>
      <w:color w:val="000000"/>
      <w:kern w:val="2"/>
      <w:sz w:val="24"/>
      <w:szCs w:val="22"/>
      <w:lang w:val="en-US" w:eastAsia="zh-CN" w:bidi="ar-SA"/>
    </w:rPr>
  </w:style>
  <w:style w:type="paragraph" w:customStyle="1" w:styleId="36">
    <w:name w:val="3）三级标题 与下段同页"/>
    <w:basedOn w:val="1"/>
    <w:qFormat/>
    <w:uiPriority w:val="0"/>
    <w:pPr>
      <w:keepNext/>
      <w:spacing w:beforeLines="50" w:afterLines="50"/>
      <w:jc w:val="center"/>
      <w:outlineLvl w:val="2"/>
    </w:pPr>
    <w:rPr>
      <w:rFonts w:ascii="仿宋_GB2312" w:eastAsia="仿宋_GB2312"/>
      <w:b/>
      <w:sz w:val="32"/>
    </w:rPr>
  </w:style>
  <w:style w:type="paragraph" w:customStyle="1" w:styleId="37">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38">
    <w:name w:val="标书正文"/>
    <w:basedOn w:val="1"/>
    <w:autoRedefine/>
    <w:qFormat/>
    <w:uiPriority w:val="0"/>
    <w:pPr>
      <w:spacing w:line="560" w:lineRule="exact"/>
      <w:ind w:firstLine="723" w:firstLineChars="200"/>
      <w:jc w:val="center"/>
    </w:pPr>
    <w:rPr>
      <w:rFonts w:ascii="仿宋_GB2312" w:eastAsia="仿宋_GB2312"/>
      <w:b/>
      <w:sz w:val="36"/>
    </w:rPr>
  </w:style>
  <w:style w:type="paragraph" w:customStyle="1" w:styleId="39">
    <w:name w:val="答复表头"/>
    <w:basedOn w:val="40"/>
    <w:next w:val="1"/>
    <w:autoRedefine/>
    <w:qFormat/>
    <w:uiPriority w:val="0"/>
    <w:pPr>
      <w:tabs>
        <w:tab w:val="left" w:pos="480"/>
      </w:tabs>
    </w:pPr>
  </w:style>
  <w:style w:type="paragraph" w:customStyle="1" w:styleId="40">
    <w:name w:val="正表头"/>
    <w:basedOn w:val="1"/>
    <w:autoRedefine/>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41">
    <w:name w:val="标题 字符"/>
    <w:basedOn w:val="24"/>
    <w:link w:val="3"/>
    <w:autoRedefine/>
    <w:qFormat/>
    <w:uiPriority w:val="0"/>
    <w:rPr>
      <w:rFonts w:ascii="Arial" w:hAnsi="Arial" w:cs="Arial"/>
      <w:b/>
      <w:bCs/>
      <w:sz w:val="32"/>
      <w:szCs w:val="32"/>
    </w:rPr>
  </w:style>
  <w:style w:type="character" w:customStyle="1" w:styleId="42">
    <w:name w:val="7）页眉页脚"/>
    <w:autoRedefine/>
    <w:qFormat/>
    <w:uiPriority w:val="0"/>
    <w:rPr>
      <w:rFonts w:ascii="仿宋_GB2312" w:eastAsia="仿宋_GB2312"/>
      <w:b/>
      <w:i/>
      <w:sz w:val="18"/>
      <w:vertAlign w:val="baseline"/>
    </w:rPr>
  </w:style>
  <w:style w:type="paragraph" w:customStyle="1" w:styleId="43">
    <w:name w:val="Char"/>
    <w:basedOn w:val="1"/>
    <w:autoRedefine/>
    <w:qFormat/>
    <w:uiPriority w:val="0"/>
    <w:rPr>
      <w:rFonts w:ascii="Tahoma" w:hAnsi="Tahoma" w:cs="仿宋_GB2312"/>
      <w:sz w:val="24"/>
      <w:szCs w:val="28"/>
    </w:rPr>
  </w:style>
  <w:style w:type="character" w:customStyle="1" w:styleId="44">
    <w:name w:val="Default Text Char"/>
    <w:link w:val="35"/>
    <w:autoRedefine/>
    <w:qFormat/>
    <w:uiPriority w:val="0"/>
    <w:rPr>
      <w:rFonts w:asciiTheme="minorHAnsi" w:hAnsiTheme="minorHAnsi" w:eastAsiaTheme="minorEastAsia" w:cstheme="minorBidi"/>
      <w:color w:val="000000"/>
      <w:kern w:val="2"/>
      <w:sz w:val="24"/>
      <w:szCs w:val="22"/>
    </w:rPr>
  </w:style>
  <w:style w:type="paragraph" w:styleId="45">
    <w:name w:val="List Paragraph"/>
    <w:basedOn w:val="1"/>
    <w:autoRedefine/>
    <w:qFormat/>
    <w:uiPriority w:val="34"/>
    <w:pPr>
      <w:ind w:firstLine="420" w:firstLineChars="200"/>
    </w:pPr>
    <w:rPr>
      <w:szCs w:val="24"/>
    </w:rPr>
  </w:style>
  <w:style w:type="paragraph" w:customStyle="1" w:styleId="46">
    <w:name w:val="列出段落1"/>
    <w:basedOn w:val="1"/>
    <w:autoRedefine/>
    <w:qFormat/>
    <w:uiPriority w:val="34"/>
    <w:pPr>
      <w:ind w:firstLine="420" w:firstLineChars="200"/>
    </w:pPr>
    <w:rPr>
      <w:szCs w:val="24"/>
    </w:rPr>
  </w:style>
  <w:style w:type="paragraph" w:customStyle="1" w:styleId="47">
    <w:name w:val="普通(网站)1"/>
    <w:basedOn w:val="1"/>
    <w:autoRedefine/>
    <w:qFormat/>
    <w:uiPriority w:val="0"/>
    <w:pPr>
      <w:spacing w:before="100" w:beforeAutospacing="1" w:after="100" w:afterAutospacing="1"/>
      <w:jc w:val="left"/>
    </w:pPr>
    <w:rPr>
      <w:kern w:val="0"/>
      <w:sz w:val="24"/>
    </w:rPr>
  </w:style>
  <w:style w:type="paragraph" w:customStyle="1" w:styleId="48">
    <w:name w:val="UserStyle_3"/>
    <w:basedOn w:val="1"/>
    <w:autoRedefine/>
    <w:qFormat/>
    <w:uiPriority w:val="0"/>
    <w:pPr>
      <w:spacing w:line="480" w:lineRule="exact"/>
      <w:ind w:firstLine="200" w:firstLineChars="200"/>
      <w:textAlignment w:val="baseline"/>
    </w:pPr>
    <w:rPr>
      <w:rFonts w:ascii="仿宋_GB2312" w:eastAsia="仿宋_GB2312"/>
      <w:sz w:val="28"/>
    </w:rPr>
  </w:style>
  <w:style w:type="character" w:customStyle="1" w:styleId="49">
    <w:name w:val="NormalCharacter"/>
    <w:link w:val="50"/>
    <w:autoRedefine/>
    <w:qFormat/>
    <w:uiPriority w:val="0"/>
    <w:rPr>
      <w:rFonts w:ascii="Times New Roman" w:hAnsi="Times New Roman" w:eastAsia="宋体"/>
      <w:kern w:val="2"/>
      <w:sz w:val="21"/>
      <w:szCs w:val="24"/>
      <w:lang w:val="en-US" w:eastAsia="zh-CN" w:bidi="ar-SA"/>
    </w:rPr>
  </w:style>
  <w:style w:type="paragraph" w:customStyle="1" w:styleId="50">
    <w:name w:val="UserStyle_2"/>
    <w:basedOn w:val="1"/>
    <w:link w:val="49"/>
    <w:autoRedefine/>
    <w:qFormat/>
    <w:uiPriority w:val="0"/>
    <w:pPr>
      <w:textAlignment w:val="baseline"/>
    </w:pPr>
    <w:rPr>
      <w:szCs w:val="24"/>
    </w:rPr>
  </w:style>
  <w:style w:type="paragraph" w:customStyle="1" w:styleId="51">
    <w:name w:val="UserStyle_5"/>
    <w:autoRedefine/>
    <w:qFormat/>
    <w:uiPriority w:val="0"/>
    <w:pPr>
      <w:textAlignment w:val="baseline"/>
    </w:pPr>
    <w:rPr>
      <w:rFonts w:ascii="Times New Roman" w:hAnsi="Times New Roman" w:eastAsia="宋体" w:cs="Times New Roman"/>
      <w:color w:val="000000"/>
      <w:sz w:val="24"/>
      <w:lang w:val="en-US" w:eastAsia="zh-CN" w:bidi="ar-SA"/>
    </w:rPr>
  </w:style>
  <w:style w:type="paragraph" w:customStyle="1" w:styleId="52">
    <w:name w:val="UserStyle_9"/>
    <w:basedOn w:val="1"/>
    <w:autoRedefine/>
    <w:qFormat/>
    <w:uiPriority w:val="0"/>
    <w:pPr>
      <w:spacing w:line="560" w:lineRule="exact"/>
      <w:ind w:firstLine="723" w:firstLineChars="200"/>
      <w:jc w:val="center"/>
      <w:textAlignment w:val="baseline"/>
    </w:pPr>
    <w:rPr>
      <w:rFonts w:ascii="仿宋_GB2312" w:eastAsia="仿宋_GB2312"/>
      <w:b/>
      <w:sz w:val="36"/>
    </w:rPr>
  </w:style>
  <w:style w:type="paragraph" w:customStyle="1" w:styleId="53">
    <w:name w:val="UserStyle_11"/>
    <w:basedOn w:val="54"/>
    <w:next w:val="1"/>
    <w:autoRedefine/>
    <w:qFormat/>
    <w:uiPriority w:val="0"/>
    <w:pPr>
      <w:tabs>
        <w:tab w:val="left" w:pos="480"/>
      </w:tabs>
    </w:pPr>
    <w:rPr>
      <w:rFonts w:ascii="Times New Roman" w:hAnsi="Times New Roman"/>
      <w:b/>
    </w:rPr>
  </w:style>
  <w:style w:type="paragraph" w:customStyle="1" w:styleId="54">
    <w:name w:val="UserStyle_10"/>
    <w:basedOn w:val="1"/>
    <w:autoRedefine/>
    <w:qFormat/>
    <w:uiPriority w:val="0"/>
    <w:pPr>
      <w:tabs>
        <w:tab w:val="left" w:pos="480"/>
      </w:tabs>
      <w:jc w:val="center"/>
      <w:textAlignment w:val="baseline"/>
    </w:pPr>
    <w:rPr>
      <w:rFonts w:ascii="宋体" w:hAnsi="Tms Rmn"/>
      <w:color w:val="000000"/>
      <w:kern w:val="0"/>
    </w:rPr>
  </w:style>
  <w:style w:type="paragraph" w:customStyle="1" w:styleId="55">
    <w:name w:val="_Style 3"/>
    <w:basedOn w:val="1"/>
    <w:autoRedefine/>
    <w:qFormat/>
    <w:uiPriority w:val="0"/>
    <w:pPr>
      <w:ind w:firstLine="420" w:firstLineChars="200"/>
    </w:pPr>
    <w:rPr>
      <w:rFonts w:ascii="Calibri" w:hAnsi="Calibri"/>
      <w:szCs w:val="22"/>
    </w:rPr>
  </w:style>
  <w:style w:type="paragraph" w:customStyle="1" w:styleId="56">
    <w:name w:val="Default"/>
    <w:basedOn w:val="3"/>
    <w:next w:val="2"/>
    <w:autoRedefine/>
    <w:qFormat/>
    <w:uiPriority w:val="0"/>
    <w:pPr>
      <w:autoSpaceDE w:val="0"/>
      <w:autoSpaceDN w:val="0"/>
      <w:adjustRightInd w:val="0"/>
    </w:pPr>
    <w:rPr>
      <w:rFonts w:ascii="FZZD Extra JW" w:hAnsi="Times New Roman" w:eastAsia="FZZD Extra JW" w:cs="FZZD Extra JW"/>
      <w:color w:val="000000"/>
      <w:sz w:val="24"/>
      <w:szCs w:val="24"/>
    </w:rPr>
  </w:style>
  <w:style w:type="character" w:customStyle="1" w:styleId="57">
    <w:name w:val="批注框文本 字符"/>
    <w:basedOn w:val="24"/>
    <w:link w:val="16"/>
    <w:autoRedefine/>
    <w:qFormat/>
    <w:uiPriority w:val="0"/>
    <w:rPr>
      <w:kern w:val="2"/>
      <w:sz w:val="18"/>
      <w:szCs w:val="18"/>
    </w:rPr>
  </w:style>
  <w:style w:type="paragraph" w:customStyle="1" w:styleId="58">
    <w:name w:val="Table Paragraph"/>
    <w:basedOn w:val="1"/>
    <w:autoRedefine/>
    <w:qFormat/>
    <w:uiPriority w:val="1"/>
    <w:pPr>
      <w:spacing w:before="135"/>
      <w:ind w:left="106"/>
    </w:pPr>
    <w:rPr>
      <w:rFonts w:ascii="宋体" w:hAnsi="宋体" w:cs="宋体"/>
      <w:lang w:val="zh-CN" w:bidi="zh-CN"/>
    </w:rPr>
  </w:style>
  <w:style w:type="character" w:customStyle="1" w:styleId="59">
    <w:name w:val="font91"/>
    <w:basedOn w:val="24"/>
    <w:autoRedefine/>
    <w:qFormat/>
    <w:uiPriority w:val="0"/>
    <w:rPr>
      <w:rFonts w:hint="eastAsia" w:ascii="微软雅黑" w:hAnsi="微软雅黑" w:eastAsia="微软雅黑" w:cs="微软雅黑"/>
      <w:color w:val="000000"/>
      <w:sz w:val="24"/>
      <w:szCs w:val="24"/>
      <w:u w:val="none"/>
    </w:rPr>
  </w:style>
  <w:style w:type="paragraph" w:customStyle="1" w:styleId="60">
    <w:name w:val="正文_10"/>
    <w:autoRedefine/>
    <w:qFormat/>
    <w:uiPriority w:val="0"/>
    <w:pPr>
      <w:widowControl w:val="0"/>
      <w:jc w:val="both"/>
    </w:pPr>
    <w:rPr>
      <w:rFonts w:ascii="Calibri" w:hAnsi="Calibri" w:eastAsia="宋体" w:cs="Times New Roman"/>
      <w:kern w:val="2"/>
      <w:sz w:val="21"/>
      <w:szCs w:val="22"/>
      <w:lang w:val="en-US" w:eastAsia="zh-CN" w:bidi="ar-SA"/>
    </w:rPr>
  </w:style>
  <w:style w:type="table" w:customStyle="1" w:styleId="61">
    <w:name w:val="Table Normal"/>
    <w:autoRedefine/>
    <w:semiHidden/>
    <w:unhideWhenUsed/>
    <w:qFormat/>
    <w:uiPriority w:val="0"/>
    <w:tblPr>
      <w:tblCellMar>
        <w:top w:w="0" w:type="dxa"/>
        <w:left w:w="0" w:type="dxa"/>
        <w:bottom w:w="0" w:type="dxa"/>
        <w:right w:w="0" w:type="dxa"/>
      </w:tblCellMar>
    </w:tblPr>
  </w:style>
  <w:style w:type="table" w:customStyle="1" w:styleId="62">
    <w:name w:val="浅色底纹1"/>
    <w:basedOn w:val="2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63">
    <w:name w:val="font21"/>
    <w:autoRedefine/>
    <w:qFormat/>
    <w:uiPriority w:val="0"/>
    <w:rPr>
      <w:rFonts w:hint="default" w:ascii="仿宋_GB2312" w:eastAsia="仿宋_GB2312" w:cs="仿宋_GB2312"/>
      <w:color w:val="000000"/>
      <w:sz w:val="20"/>
      <w:szCs w:val="20"/>
      <w:u w:val="none"/>
    </w:rPr>
  </w:style>
  <w:style w:type="character" w:customStyle="1" w:styleId="64">
    <w:name w:val="font71"/>
    <w:autoRedefine/>
    <w:qFormat/>
    <w:uiPriority w:val="0"/>
    <w:rPr>
      <w:rFonts w:hint="eastAsia" w:ascii="仿宋_GB2312" w:eastAsia="仿宋_GB2312" w:cs="仿宋_GB2312"/>
      <w:color w:val="000000"/>
      <w:sz w:val="20"/>
      <w:szCs w:val="20"/>
      <w:u w:val="none"/>
    </w:rPr>
  </w:style>
  <w:style w:type="character" w:customStyle="1" w:styleId="65">
    <w:name w:val="font11"/>
    <w:autoRedefine/>
    <w:qFormat/>
    <w:uiPriority w:val="0"/>
    <w:rPr>
      <w:rFonts w:hint="default" w:ascii="Wingdings" w:hAnsi="Wingdings" w:cs="Wingdings"/>
      <w:color w:val="000000"/>
      <w:sz w:val="20"/>
      <w:szCs w:val="20"/>
    </w:rPr>
  </w:style>
  <w:style w:type="character" w:customStyle="1" w:styleId="66">
    <w:name w:val="apple-style-span"/>
    <w:basedOn w:val="24"/>
    <w:autoRedefine/>
    <w:qFormat/>
    <w:uiPriority w:val="0"/>
  </w:style>
  <w:style w:type="character" w:customStyle="1" w:styleId="67">
    <w:name w:val="font01"/>
    <w:basedOn w:val="24"/>
    <w:autoRedefine/>
    <w:qFormat/>
    <w:uiPriority w:val="0"/>
    <w:rPr>
      <w:rFonts w:hint="eastAsia" w:ascii="宋体" w:hAnsi="宋体" w:eastAsia="宋体" w:cs="宋体"/>
      <w:color w:val="000000"/>
      <w:sz w:val="22"/>
      <w:szCs w:val="22"/>
      <w:u w:val="none"/>
    </w:rPr>
  </w:style>
  <w:style w:type="paragraph" w:customStyle="1" w:styleId="68">
    <w:name w:val="_Style 2"/>
    <w:basedOn w:val="1"/>
    <w:autoRedefine/>
    <w:qFormat/>
    <w:uiPriority w:val="0"/>
    <w:pPr>
      <w:ind w:firstLine="420" w:firstLineChars="200"/>
    </w:pPr>
    <w:rPr>
      <w:szCs w:val="24"/>
    </w:rPr>
  </w:style>
  <w:style w:type="paragraph" w:customStyle="1" w:styleId="69">
    <w:name w:val="Normal_3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27375</Words>
  <Characters>28968</Characters>
  <Lines>240</Lines>
  <Paragraphs>67</Paragraphs>
  <TotalTime>0</TotalTime>
  <ScaleCrop>false</ScaleCrop>
  <LinksUpToDate>false</LinksUpToDate>
  <CharactersWithSpaces>30504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2020-05-22T07:39:00Z</dcterms:created>
  <dc:creator>Administrator</dc:creator>
  <cp:lastModifiedBy>吴坤 新疆新之建工程咨询有限公司</cp:lastModifiedBy>
  <cp:lastPrinted>2020-10-12T03:36:00Z</cp:lastPrinted>
  <dcterms:modified xsi:type="dcterms:W3CDTF">2025-03-11T08:33:45Z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3B95645E4BE749778015251484657E58_13</vt:lpwstr>
  </property>
  <property fmtid="{D5CDD505-2E9C-101B-9397-08002B2CF9AE}" pid="4" name="KSOTemplateDocerSaveRecord">
    <vt:lpwstr>eyJoZGlkIjoiZWQ4NjVjNWM5ZTBkYWMwMmM5OWZkYTFhYjczMWVmOTgiLCJ1c2VySWQiOiI4MzMxOTAxODgifQ==</vt:lpwstr>
  </property>
</Properties>
</file>