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5E862">
      <w:pPr>
        <w:wordWrap w:val="0"/>
        <w:spacing w:line="579" w:lineRule="exact"/>
        <w:ind w:right="39" w:firstLine="640" w:firstLineChars="200"/>
        <w:jc w:val="right"/>
        <w:rPr>
          <w:rFonts w:hint="eastAsia" w:ascii="宋体" w:hAnsi="宋体" w:eastAsia="宋体" w:cs="宋体"/>
          <w:color w:val="auto"/>
          <w:sz w:val="32"/>
          <w:szCs w:val="21"/>
          <w:highlight w:val="none"/>
        </w:rPr>
      </w:pPr>
      <w:r>
        <w:rPr>
          <w:rFonts w:hint="eastAsia" w:ascii="宋体" w:hAnsi="宋体" w:eastAsia="宋体" w:cs="宋体"/>
          <w:color w:val="auto"/>
          <w:sz w:val="32"/>
          <w:szCs w:val="21"/>
          <w:highlight w:val="none"/>
        </w:rPr>
        <w:t xml:space="preserve"> </w:t>
      </w:r>
      <w:r>
        <w:rPr>
          <w:rFonts w:hint="eastAsia" w:ascii="宋体" w:hAnsi="宋体" w:eastAsia="宋体" w:cs="宋体"/>
          <w:color w:val="auto"/>
          <w:sz w:val="32"/>
          <w:szCs w:val="32"/>
          <w:highlight w:val="none"/>
        </w:rPr>
        <w:t xml:space="preserve"> </w:t>
      </w:r>
    </w:p>
    <w:p w14:paraId="49C1EFB2">
      <w:pPr>
        <w:jc w:val="right"/>
        <w:rPr>
          <w:rFonts w:hint="default" w:ascii="宋体" w:hAnsi="宋体" w:eastAsia="宋体" w:cs="宋体"/>
          <w:b/>
          <w:color w:val="auto"/>
          <w:sz w:val="28"/>
          <w:szCs w:val="28"/>
          <w:highlight w:val="none"/>
          <w:lang w:val="en-US" w:eastAsia="zh-CN"/>
        </w:rPr>
      </w:pPr>
      <w:bookmarkStart w:id="0" w:name="EB790a86e3c1eb41218f8ed98579cc8c86"/>
      <w:r>
        <w:rPr>
          <w:rFonts w:hint="eastAsia" w:ascii="宋体" w:hAnsi="宋体" w:eastAsia="宋体" w:cs="宋体"/>
          <w:b/>
          <w:color w:val="auto"/>
          <w:sz w:val="28"/>
          <w:szCs w:val="28"/>
          <w:highlight w:val="none"/>
          <w:lang w:eastAsia="zh-CN"/>
        </w:rPr>
        <w:t>项目编号：</w:t>
      </w:r>
      <w:bookmarkEnd w:id="0"/>
      <w:r>
        <w:rPr>
          <w:rFonts w:hint="eastAsia" w:ascii="宋体" w:hAnsi="宋体" w:eastAsia="宋体" w:cs="宋体"/>
          <w:b/>
          <w:color w:val="auto"/>
          <w:sz w:val="28"/>
          <w:szCs w:val="28"/>
          <w:highlight w:val="none"/>
          <w:lang w:eastAsia="zh-CN"/>
        </w:rPr>
        <w:t>XJSY(FW)2025030401</w:t>
      </w:r>
    </w:p>
    <w:p w14:paraId="7770CC94">
      <w:pPr>
        <w:pStyle w:val="34"/>
        <w:rPr>
          <w:rFonts w:hint="eastAsia" w:ascii="宋体" w:hAnsi="宋体" w:eastAsia="宋体" w:cs="宋体"/>
          <w:color w:val="auto"/>
          <w:highlight w:val="none"/>
        </w:rPr>
      </w:pPr>
    </w:p>
    <w:p w14:paraId="1D366BD1">
      <w:pPr>
        <w:rPr>
          <w:rFonts w:hint="eastAsia" w:ascii="宋体" w:hAnsi="宋体" w:eastAsia="宋体" w:cs="宋体"/>
          <w:color w:val="auto"/>
          <w:highlight w:val="none"/>
        </w:rPr>
      </w:pPr>
    </w:p>
    <w:p w14:paraId="31E9BF8A">
      <w:pPr>
        <w:rPr>
          <w:rFonts w:hint="eastAsia" w:ascii="宋体" w:hAnsi="宋体" w:eastAsia="宋体" w:cs="宋体"/>
          <w:color w:val="auto"/>
          <w:highlight w:val="none"/>
        </w:rPr>
      </w:pPr>
    </w:p>
    <w:p w14:paraId="160D5F96">
      <w:pPr>
        <w:tabs>
          <w:tab w:val="left" w:pos="1134"/>
          <w:tab w:val="left" w:pos="5481"/>
          <w:tab w:val="left" w:pos="5859"/>
        </w:tabs>
        <w:jc w:val="center"/>
        <w:rPr>
          <w:rFonts w:hint="eastAsia" w:ascii="宋体" w:hAnsi="宋体" w:eastAsia="宋体" w:cs="宋体"/>
          <w:b/>
          <w:bCs w:val="0"/>
          <w:color w:val="auto"/>
          <w:sz w:val="48"/>
          <w:szCs w:val="48"/>
          <w:highlight w:val="none"/>
          <w:lang w:val="en-US" w:eastAsia="zh-CN"/>
        </w:rPr>
      </w:pPr>
      <w:r>
        <w:rPr>
          <w:rFonts w:hint="eastAsia" w:ascii="宋体" w:hAnsi="宋体" w:eastAsia="宋体" w:cs="宋体"/>
          <w:b/>
          <w:bCs w:val="0"/>
          <w:color w:val="auto"/>
          <w:sz w:val="48"/>
          <w:szCs w:val="48"/>
          <w:highlight w:val="none"/>
          <w:lang w:eastAsia="zh-CN"/>
        </w:rPr>
        <w:t>大气组分站运维服务项目</w:t>
      </w:r>
    </w:p>
    <w:p w14:paraId="3225758D">
      <w:pPr>
        <w:tabs>
          <w:tab w:val="left" w:pos="1134"/>
          <w:tab w:val="left" w:pos="5481"/>
          <w:tab w:val="left" w:pos="5859"/>
        </w:tabs>
        <w:jc w:val="center"/>
        <w:rPr>
          <w:rFonts w:hint="eastAsia" w:ascii="宋体" w:hAnsi="宋体" w:eastAsia="宋体" w:cs="宋体"/>
          <w:b/>
          <w:bCs w:val="0"/>
          <w:color w:val="auto"/>
          <w:sz w:val="72"/>
          <w:szCs w:val="72"/>
          <w:highlight w:val="none"/>
        </w:rPr>
      </w:pPr>
    </w:p>
    <w:p w14:paraId="6D0CE477">
      <w:pPr>
        <w:tabs>
          <w:tab w:val="left" w:pos="1134"/>
          <w:tab w:val="left" w:pos="5481"/>
          <w:tab w:val="left" w:pos="5859"/>
        </w:tabs>
        <w:jc w:val="center"/>
        <w:rPr>
          <w:rFonts w:hint="eastAsia" w:ascii="宋体" w:hAnsi="宋体" w:eastAsia="宋体" w:cs="宋体"/>
          <w:b/>
          <w:bCs w:val="0"/>
          <w:color w:val="auto"/>
          <w:sz w:val="72"/>
          <w:szCs w:val="72"/>
          <w:highlight w:val="none"/>
        </w:rPr>
      </w:pPr>
    </w:p>
    <w:p w14:paraId="40212E7F">
      <w:pPr>
        <w:tabs>
          <w:tab w:val="left" w:pos="1134"/>
          <w:tab w:val="center" w:pos="4369"/>
          <w:tab w:val="left" w:pos="5481"/>
          <w:tab w:val="left" w:pos="5859"/>
          <w:tab w:val="left" w:pos="6775"/>
        </w:tabs>
        <w:jc w:val="left"/>
        <w:rPr>
          <w:rFonts w:hint="eastAsia" w:ascii="宋体" w:hAnsi="宋体" w:eastAsia="宋体" w:cs="宋体"/>
          <w:b/>
          <w:bCs w:val="0"/>
          <w:color w:val="auto"/>
          <w:sz w:val="72"/>
          <w:szCs w:val="72"/>
          <w:highlight w:val="none"/>
          <w:lang w:eastAsia="zh-CN"/>
        </w:rPr>
      </w:pPr>
      <w:r>
        <w:rPr>
          <w:rFonts w:hint="eastAsia" w:ascii="宋体" w:hAnsi="宋体" w:eastAsia="宋体" w:cs="宋体"/>
          <w:b/>
          <w:bCs w:val="0"/>
          <w:color w:val="auto"/>
          <w:sz w:val="72"/>
          <w:szCs w:val="72"/>
          <w:highlight w:val="none"/>
          <w:lang w:eastAsia="zh-CN"/>
        </w:rPr>
        <w:tab/>
      </w:r>
      <w:r>
        <w:rPr>
          <w:rFonts w:hint="eastAsia" w:ascii="宋体" w:hAnsi="宋体" w:eastAsia="宋体" w:cs="宋体"/>
          <w:b/>
          <w:bCs w:val="0"/>
          <w:color w:val="auto"/>
          <w:sz w:val="72"/>
          <w:szCs w:val="72"/>
          <w:highlight w:val="none"/>
          <w:lang w:eastAsia="zh-CN"/>
        </w:rPr>
        <w:tab/>
      </w:r>
      <w:r>
        <w:rPr>
          <w:rFonts w:hint="eastAsia" w:ascii="宋体" w:hAnsi="宋体" w:eastAsia="宋体" w:cs="宋体"/>
          <w:b/>
          <w:bCs w:val="0"/>
          <w:color w:val="auto"/>
          <w:sz w:val="72"/>
          <w:szCs w:val="72"/>
          <w:highlight w:val="none"/>
        </w:rPr>
        <w:t>招标文件</w:t>
      </w:r>
      <w:r>
        <w:rPr>
          <w:rFonts w:hint="eastAsia" w:ascii="宋体" w:hAnsi="宋体" w:eastAsia="宋体" w:cs="宋体"/>
          <w:b/>
          <w:bCs w:val="0"/>
          <w:color w:val="auto"/>
          <w:sz w:val="72"/>
          <w:szCs w:val="72"/>
          <w:highlight w:val="none"/>
          <w:lang w:eastAsia="zh-CN"/>
        </w:rPr>
        <w:tab/>
      </w:r>
    </w:p>
    <w:p w14:paraId="79F6E095">
      <w:pPr>
        <w:tabs>
          <w:tab w:val="left" w:pos="1134"/>
          <w:tab w:val="left" w:pos="5481"/>
          <w:tab w:val="left" w:pos="5859"/>
          <w:tab w:val="left" w:pos="6300"/>
        </w:tabs>
        <w:jc w:val="left"/>
        <w:rPr>
          <w:rFonts w:hint="eastAsia" w:ascii="宋体" w:hAnsi="宋体" w:eastAsia="宋体" w:cs="宋体"/>
          <w:b/>
          <w:bCs w:val="0"/>
          <w:color w:val="auto"/>
          <w:sz w:val="36"/>
          <w:szCs w:val="36"/>
          <w:highlight w:val="none"/>
          <w:lang w:eastAsia="zh-CN"/>
        </w:rPr>
      </w:pPr>
      <w:r>
        <w:rPr>
          <w:rFonts w:hint="eastAsia" w:ascii="宋体" w:hAnsi="宋体" w:eastAsia="宋体" w:cs="宋体"/>
          <w:b/>
          <w:bCs w:val="0"/>
          <w:color w:val="auto"/>
          <w:sz w:val="36"/>
          <w:szCs w:val="36"/>
          <w:highlight w:val="none"/>
          <w:lang w:eastAsia="zh-CN"/>
        </w:rPr>
        <w:tab/>
      </w:r>
      <w:r>
        <w:rPr>
          <w:rFonts w:hint="eastAsia" w:ascii="宋体" w:hAnsi="宋体" w:eastAsia="宋体" w:cs="宋体"/>
          <w:b/>
          <w:bCs w:val="0"/>
          <w:color w:val="auto"/>
          <w:sz w:val="36"/>
          <w:szCs w:val="36"/>
          <w:highlight w:val="none"/>
          <w:lang w:eastAsia="zh-CN"/>
        </w:rPr>
        <w:tab/>
      </w:r>
    </w:p>
    <w:p w14:paraId="2F6A4092">
      <w:pPr>
        <w:tabs>
          <w:tab w:val="left" w:pos="5481"/>
          <w:tab w:val="left" w:pos="6850"/>
        </w:tabs>
        <w:jc w:val="both"/>
        <w:rPr>
          <w:rFonts w:hint="eastAsia" w:ascii="宋体" w:hAnsi="宋体" w:eastAsia="宋体" w:cs="宋体"/>
          <w:b/>
          <w:bCs w:val="0"/>
          <w:color w:val="auto"/>
          <w:sz w:val="36"/>
          <w:szCs w:val="36"/>
          <w:highlight w:val="none"/>
          <w:lang w:eastAsia="zh-CN"/>
        </w:rPr>
      </w:pPr>
      <w:r>
        <w:rPr>
          <w:rFonts w:hint="eastAsia" w:ascii="宋体" w:hAnsi="宋体" w:eastAsia="宋体" w:cs="宋体"/>
          <w:b/>
          <w:bCs w:val="0"/>
          <w:color w:val="auto"/>
          <w:sz w:val="72"/>
          <w:szCs w:val="72"/>
          <w:highlight w:val="none"/>
        </w:rPr>
        <w:t xml:space="preserve">  </w:t>
      </w:r>
      <w:r>
        <w:rPr>
          <w:rFonts w:hint="eastAsia" w:ascii="宋体" w:hAnsi="宋体" w:eastAsia="宋体" w:cs="宋体"/>
          <w:b/>
          <w:bCs w:val="0"/>
          <w:color w:val="auto"/>
          <w:sz w:val="72"/>
          <w:szCs w:val="72"/>
          <w:highlight w:val="none"/>
          <w:lang w:eastAsia="zh-CN"/>
        </w:rPr>
        <w:tab/>
      </w:r>
      <w:r>
        <w:rPr>
          <w:rFonts w:hint="eastAsia" w:ascii="宋体" w:hAnsi="宋体" w:eastAsia="宋体" w:cs="宋体"/>
          <w:b/>
          <w:bCs w:val="0"/>
          <w:color w:val="auto"/>
          <w:sz w:val="72"/>
          <w:szCs w:val="72"/>
          <w:highlight w:val="none"/>
          <w:lang w:eastAsia="zh-CN"/>
        </w:rPr>
        <w:tab/>
      </w:r>
    </w:p>
    <w:p w14:paraId="6C2D8ADB">
      <w:pPr>
        <w:pStyle w:val="18"/>
        <w:spacing w:line="240" w:lineRule="auto"/>
        <w:ind w:left="0" w:leftChars="0" w:firstLine="0" w:firstLineChars="0"/>
        <w:jc w:val="center"/>
        <w:rPr>
          <w:rFonts w:hint="eastAsia" w:ascii="宋体" w:hAnsi="宋体" w:eastAsia="宋体" w:cs="宋体"/>
          <w:b/>
          <w:bCs w:val="0"/>
          <w:color w:val="auto"/>
          <w:sz w:val="72"/>
          <w:szCs w:val="72"/>
          <w:highlight w:val="none"/>
        </w:rPr>
      </w:pPr>
    </w:p>
    <w:p w14:paraId="2AF44499">
      <w:pPr>
        <w:pStyle w:val="18"/>
        <w:spacing w:line="240" w:lineRule="auto"/>
        <w:ind w:left="0" w:leftChars="0" w:firstLine="0" w:firstLineChars="0"/>
        <w:jc w:val="center"/>
        <w:rPr>
          <w:rFonts w:hint="eastAsia" w:ascii="宋体" w:hAnsi="宋体" w:eastAsia="宋体" w:cs="宋体"/>
          <w:b/>
          <w:bCs w:val="0"/>
          <w:color w:val="auto"/>
          <w:sz w:val="40"/>
          <w:szCs w:val="40"/>
          <w:highlight w:val="none"/>
        </w:rPr>
      </w:pPr>
      <w:r>
        <w:rPr>
          <w:rFonts w:hint="eastAsia" w:ascii="宋体" w:hAnsi="宋体" w:eastAsia="宋体" w:cs="宋体"/>
          <w:b/>
          <w:bCs w:val="0"/>
          <w:color w:val="auto"/>
          <w:sz w:val="72"/>
          <w:szCs w:val="72"/>
          <w:highlight w:val="none"/>
          <w:lang w:eastAsia="zh-CN"/>
        </w:rPr>
        <w:tab/>
      </w:r>
    </w:p>
    <w:p w14:paraId="410CD41E">
      <w:pPr>
        <w:pStyle w:val="18"/>
        <w:spacing w:line="240" w:lineRule="auto"/>
        <w:ind w:left="0" w:leftChars="0" w:firstLine="0" w:firstLineChars="0"/>
        <w:jc w:val="center"/>
        <w:rPr>
          <w:rFonts w:hint="eastAsia" w:ascii="宋体" w:hAnsi="宋体" w:eastAsia="宋体" w:cs="宋体"/>
          <w:b/>
          <w:bCs w:val="0"/>
          <w:color w:val="auto"/>
          <w:sz w:val="40"/>
          <w:szCs w:val="40"/>
          <w:highlight w:val="none"/>
        </w:rPr>
      </w:pPr>
    </w:p>
    <w:p w14:paraId="1884FE20">
      <w:pPr>
        <w:pStyle w:val="18"/>
        <w:spacing w:line="480" w:lineRule="auto"/>
        <w:ind w:left="1606" w:leftChars="153" w:hanging="1285" w:hangingChars="400"/>
        <w:rPr>
          <w:rFonts w:hint="eastAsia" w:ascii="宋体" w:hAnsi="宋体" w:eastAsia="宋体" w:cs="宋体"/>
          <w:b/>
          <w:color w:val="auto"/>
          <w:sz w:val="32"/>
          <w:highlight w:val="none"/>
          <w:lang w:eastAsia="zh-CN"/>
        </w:rPr>
      </w:pPr>
      <w:r>
        <w:rPr>
          <w:rFonts w:hint="eastAsia" w:ascii="宋体" w:hAnsi="宋体" w:eastAsia="宋体" w:cs="宋体"/>
          <w:b/>
          <w:color w:val="auto"/>
          <w:sz w:val="32"/>
          <w:highlight w:val="none"/>
          <w:lang w:eastAsia="zh-CN"/>
        </w:rPr>
        <w:t>采   购  人 ：新疆维吾尔自治区生态环境监测总站</w:t>
      </w:r>
    </w:p>
    <w:p w14:paraId="0503CBA8">
      <w:pPr>
        <w:pStyle w:val="26"/>
        <w:rPr>
          <w:rFonts w:hint="eastAsia" w:ascii="宋体" w:hAnsi="宋体" w:eastAsia="宋体" w:cs="宋体"/>
          <w:color w:val="auto"/>
          <w:highlight w:val="none"/>
          <w:lang w:eastAsia="zh-CN"/>
        </w:rPr>
      </w:pPr>
    </w:p>
    <w:p w14:paraId="305244B0">
      <w:pPr>
        <w:pStyle w:val="26"/>
        <w:rPr>
          <w:rFonts w:hint="eastAsia" w:ascii="宋体" w:hAnsi="宋体" w:eastAsia="宋体" w:cs="宋体"/>
          <w:color w:val="auto"/>
          <w:highlight w:val="none"/>
          <w:lang w:eastAsia="zh-CN"/>
        </w:rPr>
      </w:pPr>
    </w:p>
    <w:p w14:paraId="01F861DD">
      <w:pPr>
        <w:pStyle w:val="18"/>
        <w:spacing w:line="480" w:lineRule="auto"/>
        <w:ind w:left="0" w:leftChars="0" w:firstLine="321" w:firstLineChars="100"/>
        <w:rPr>
          <w:rFonts w:hint="eastAsia" w:ascii="宋体" w:hAnsi="宋体" w:eastAsia="宋体" w:cs="宋体"/>
          <w:b/>
          <w:color w:val="auto"/>
          <w:kern w:val="0"/>
          <w:sz w:val="30"/>
          <w:szCs w:val="30"/>
          <w:highlight w:val="none"/>
        </w:rPr>
      </w:pPr>
      <w:r>
        <w:rPr>
          <w:rFonts w:hint="eastAsia" w:ascii="宋体" w:hAnsi="宋体" w:eastAsia="宋体" w:cs="宋体"/>
          <w:b/>
          <w:color w:val="auto"/>
          <w:sz w:val="32"/>
          <w:highlight w:val="none"/>
        </w:rPr>
        <w:t>采购代理机构：</w:t>
      </w:r>
      <w:r>
        <w:rPr>
          <w:rFonts w:hint="eastAsia" w:ascii="宋体" w:hAnsi="宋体" w:eastAsia="宋体" w:cs="宋体"/>
          <w:b/>
          <w:color w:val="auto"/>
          <w:sz w:val="32"/>
          <w:highlight w:val="none"/>
          <w:lang w:eastAsia="zh-CN"/>
        </w:rPr>
        <w:t>新疆晟业逸腾项目管理有限责任公司</w:t>
      </w:r>
    </w:p>
    <w:p w14:paraId="506612D5">
      <w:pPr>
        <w:autoSpaceDE w:val="0"/>
        <w:autoSpaceDN w:val="0"/>
        <w:spacing w:line="600" w:lineRule="exact"/>
        <w:jc w:val="both"/>
        <w:rPr>
          <w:rFonts w:hint="eastAsia" w:ascii="宋体" w:hAnsi="宋体" w:eastAsia="宋体" w:cs="宋体"/>
          <w:b/>
          <w:bCs/>
          <w:color w:val="auto"/>
          <w:kern w:val="0"/>
          <w:sz w:val="28"/>
          <w:szCs w:val="28"/>
          <w:highlight w:val="none"/>
          <w:lang w:val="en-US" w:eastAsia="zh-CN"/>
        </w:rPr>
      </w:pPr>
    </w:p>
    <w:p w14:paraId="455089E5">
      <w:pPr>
        <w:autoSpaceDE w:val="0"/>
        <w:autoSpaceDN w:val="0"/>
        <w:spacing w:line="600" w:lineRule="exact"/>
        <w:jc w:val="center"/>
        <w:rPr>
          <w:rFonts w:hint="eastAsia" w:ascii="宋体" w:hAnsi="宋体" w:eastAsia="宋体" w:cs="宋体"/>
          <w:b/>
          <w:bCs/>
          <w:color w:val="auto"/>
          <w:kern w:val="0"/>
          <w:sz w:val="28"/>
          <w:szCs w:val="28"/>
          <w:highlight w:val="none"/>
        </w:rPr>
        <w:sectPr>
          <w:headerReference r:id="rId3" w:type="default"/>
          <w:pgSz w:w="11906" w:h="16838"/>
          <w:pgMar w:top="1440" w:right="1489" w:bottom="1440" w:left="1797" w:header="851" w:footer="992" w:gutter="0"/>
          <w:cols w:space="720" w:num="1"/>
          <w:titlePg/>
          <w:docGrid w:linePitch="312" w:charSpace="0"/>
        </w:sectPr>
      </w:pPr>
      <w:r>
        <w:rPr>
          <w:rFonts w:hint="eastAsia" w:ascii="宋体" w:hAnsi="宋体" w:eastAsia="宋体" w:cs="宋体"/>
          <w:b/>
          <w:bCs/>
          <w:color w:val="auto"/>
          <w:kern w:val="0"/>
          <w:sz w:val="28"/>
          <w:szCs w:val="28"/>
          <w:highlight w:val="none"/>
          <w:lang w:val="en-US" w:eastAsia="zh-CN"/>
        </w:rPr>
        <w:t>2025</w:t>
      </w:r>
      <w:r>
        <w:rPr>
          <w:rFonts w:hint="eastAsia" w:ascii="宋体" w:hAnsi="宋体" w:eastAsia="宋体" w:cs="宋体"/>
          <w:b/>
          <w:bCs/>
          <w:color w:val="auto"/>
          <w:kern w:val="0"/>
          <w:sz w:val="28"/>
          <w:szCs w:val="28"/>
          <w:highlight w:val="none"/>
        </w:rPr>
        <w:t>年</w:t>
      </w:r>
      <w:r>
        <w:rPr>
          <w:rFonts w:hint="eastAsia" w:ascii="宋体" w:hAnsi="宋体" w:eastAsia="宋体" w:cs="宋体"/>
          <w:b/>
          <w:bCs/>
          <w:color w:val="auto"/>
          <w:kern w:val="0"/>
          <w:sz w:val="28"/>
          <w:szCs w:val="28"/>
          <w:highlight w:val="none"/>
          <w:lang w:val="en-US" w:eastAsia="zh-CN"/>
        </w:rPr>
        <w:t>3</w:t>
      </w:r>
      <w:r>
        <w:rPr>
          <w:rFonts w:hint="eastAsia" w:ascii="宋体" w:hAnsi="宋体" w:eastAsia="宋体" w:cs="宋体"/>
          <w:b/>
          <w:bCs/>
          <w:color w:val="auto"/>
          <w:kern w:val="0"/>
          <w:sz w:val="28"/>
          <w:szCs w:val="28"/>
          <w:highlight w:val="none"/>
          <w:lang w:eastAsia="zh-CN"/>
        </w:rPr>
        <w:t>月</w:t>
      </w:r>
    </w:p>
    <w:p w14:paraId="3A798396">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zh-CN"/>
        </w:rPr>
        <w:t>目 录</w:t>
      </w:r>
    </w:p>
    <w:p w14:paraId="240223DA">
      <w:pPr>
        <w:pStyle w:val="28"/>
        <w:spacing w:line="600" w:lineRule="auto"/>
        <w:rPr>
          <w:rFonts w:hint="eastAsia" w:ascii="宋体" w:hAnsi="宋体" w:eastAsia="宋体" w:cs="宋体"/>
          <w:color w:val="auto"/>
          <w:sz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TOC \o "1-3" \u </w:instrText>
      </w:r>
      <w:r>
        <w:rPr>
          <w:rFonts w:hint="eastAsia" w:ascii="宋体" w:hAnsi="宋体" w:eastAsia="宋体" w:cs="宋体"/>
          <w:color w:val="auto"/>
          <w:highlight w:val="none"/>
        </w:rPr>
        <w:fldChar w:fldCharType="separate"/>
      </w:r>
      <w:r>
        <w:rPr>
          <w:rFonts w:hint="eastAsia" w:ascii="宋体" w:hAnsi="宋体" w:eastAsia="宋体" w:cs="宋体"/>
          <w:b/>
          <w:color w:val="auto"/>
          <w:highlight w:val="none"/>
        </w:rPr>
        <w:t>第一部分  招标公告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_Toc256000000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p>
    <w:p w14:paraId="5F4B77CA">
      <w:pPr>
        <w:pStyle w:val="28"/>
        <w:spacing w:line="600" w:lineRule="auto"/>
        <w:rPr>
          <w:rFonts w:hint="eastAsia" w:ascii="宋体" w:hAnsi="宋体" w:eastAsia="宋体" w:cs="宋体"/>
          <w:color w:val="auto"/>
          <w:sz w:val="22"/>
          <w:highlight w:val="none"/>
        </w:rPr>
      </w:pPr>
      <w:r>
        <w:rPr>
          <w:rFonts w:hint="eastAsia" w:ascii="宋体" w:hAnsi="宋体" w:eastAsia="宋体" w:cs="宋体"/>
          <w:b/>
          <w:color w:val="auto"/>
          <w:highlight w:val="none"/>
        </w:rPr>
        <w:t>第二部分  投标人须知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_Toc256000001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p>
    <w:p w14:paraId="0910A3C7">
      <w:pPr>
        <w:pStyle w:val="28"/>
        <w:spacing w:line="600" w:lineRule="auto"/>
        <w:rPr>
          <w:rFonts w:hint="eastAsia" w:ascii="宋体" w:hAnsi="宋体" w:eastAsia="宋体" w:cs="宋体"/>
          <w:color w:val="auto"/>
          <w:sz w:val="22"/>
          <w:highlight w:val="none"/>
        </w:rPr>
      </w:pPr>
      <w:r>
        <w:rPr>
          <w:rFonts w:hint="eastAsia" w:ascii="宋体" w:hAnsi="宋体" w:eastAsia="宋体" w:cs="宋体"/>
          <w:b/>
          <w:color w:val="auto"/>
          <w:highlight w:val="none"/>
        </w:rPr>
        <w:t>第三部分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_Toc256000016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rPr>
        <w:fldChar w:fldCharType="end"/>
      </w:r>
    </w:p>
    <w:p w14:paraId="3E9CC0F3">
      <w:pPr>
        <w:pStyle w:val="28"/>
        <w:spacing w:line="600" w:lineRule="auto"/>
        <w:rPr>
          <w:rFonts w:hint="default" w:ascii="宋体" w:hAnsi="宋体" w:eastAsia="宋体" w:cs="宋体"/>
          <w:color w:val="auto"/>
          <w:sz w:val="22"/>
          <w:highlight w:val="none"/>
          <w:lang w:val="en-US" w:eastAsia="zh-CN"/>
        </w:rPr>
      </w:pPr>
      <w:r>
        <w:rPr>
          <w:rFonts w:hint="eastAsia" w:ascii="宋体" w:hAnsi="宋体" w:eastAsia="宋体" w:cs="宋体"/>
          <w:b/>
          <w:color w:val="auto"/>
          <w:highlight w:val="none"/>
        </w:rPr>
        <w:t>第四部分   评审方法（综合评分法）</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34</w:t>
      </w:r>
    </w:p>
    <w:p w14:paraId="1FA4573A">
      <w:pPr>
        <w:pStyle w:val="28"/>
        <w:spacing w:line="600" w:lineRule="auto"/>
        <w:rPr>
          <w:rFonts w:hint="eastAsia" w:ascii="宋体" w:hAnsi="宋体" w:eastAsia="宋体" w:cs="宋体"/>
          <w:color w:val="auto"/>
          <w:sz w:val="22"/>
          <w:highlight w:val="none"/>
        </w:rPr>
      </w:pPr>
      <w:r>
        <w:rPr>
          <w:rFonts w:hint="eastAsia" w:ascii="宋体" w:hAnsi="宋体" w:eastAsia="宋体" w:cs="宋体"/>
          <w:b/>
          <w:color w:val="auto"/>
          <w:highlight w:val="none"/>
        </w:rPr>
        <w:t>第五部分   政府采购合同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_Toc256000018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p>
    <w:p w14:paraId="501AB413">
      <w:pPr>
        <w:pStyle w:val="28"/>
        <w:spacing w:line="600" w:lineRule="auto"/>
        <w:rPr>
          <w:rFonts w:hint="default" w:ascii="宋体" w:hAnsi="宋体" w:eastAsia="宋体" w:cs="宋体"/>
          <w:color w:val="auto"/>
          <w:sz w:val="22"/>
          <w:highlight w:val="none"/>
          <w:lang w:val="en-US" w:eastAsia="zh-CN"/>
        </w:rPr>
      </w:pPr>
      <w:r>
        <w:rPr>
          <w:rFonts w:hint="eastAsia" w:ascii="宋体" w:hAnsi="宋体" w:eastAsia="宋体" w:cs="宋体"/>
          <w:b/>
          <w:color w:val="auto"/>
          <w:highlight w:val="none"/>
        </w:rPr>
        <w:t>第六部分   投标文件格式</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56</w:t>
      </w:r>
    </w:p>
    <w:p w14:paraId="331644D0">
      <w:pPr>
        <w:spacing w:line="60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p w14:paraId="54A145F6">
      <w:pPr>
        <w:tabs>
          <w:tab w:val="left" w:pos="4913"/>
        </w:tabs>
        <w:rPr>
          <w:rFonts w:hint="eastAsia" w:ascii="宋体" w:hAnsi="宋体" w:eastAsia="宋体" w:cs="宋体"/>
          <w:color w:val="auto"/>
          <w:highlight w:val="none"/>
          <w:lang w:eastAsia="zh-CN"/>
        </w:rPr>
      </w:pPr>
      <w:bookmarkStart w:id="1" w:name="_Toc503463616"/>
      <w:bookmarkStart w:id="2" w:name="_Toc256000000"/>
      <w:r>
        <w:rPr>
          <w:rFonts w:hint="eastAsia" w:ascii="宋体" w:hAnsi="宋体" w:eastAsia="宋体" w:cs="宋体"/>
          <w:color w:val="auto"/>
          <w:highlight w:val="none"/>
          <w:lang w:eastAsia="zh-CN"/>
        </w:rPr>
        <w:tab/>
      </w:r>
    </w:p>
    <w:p w14:paraId="3D76D7CF">
      <w:pPr>
        <w:rPr>
          <w:rFonts w:hint="eastAsia" w:ascii="宋体" w:hAnsi="宋体" w:eastAsia="宋体" w:cs="宋体"/>
          <w:color w:val="auto"/>
          <w:highlight w:val="none"/>
        </w:rPr>
      </w:pPr>
    </w:p>
    <w:p w14:paraId="3EB55A76">
      <w:pPr>
        <w:rPr>
          <w:rFonts w:hint="eastAsia" w:ascii="宋体" w:hAnsi="宋体" w:eastAsia="宋体" w:cs="宋体"/>
          <w:color w:val="auto"/>
          <w:highlight w:val="none"/>
        </w:rPr>
      </w:pPr>
    </w:p>
    <w:p w14:paraId="1354A05A">
      <w:pPr>
        <w:rPr>
          <w:rFonts w:hint="eastAsia" w:ascii="宋体" w:hAnsi="宋体" w:eastAsia="宋体" w:cs="宋体"/>
          <w:color w:val="auto"/>
          <w:highlight w:val="none"/>
        </w:rPr>
        <w:sectPr>
          <w:footerReference r:id="rId7" w:type="first"/>
          <w:headerReference r:id="rId4" w:type="default"/>
          <w:footerReference r:id="rId6" w:type="default"/>
          <w:headerReference r:id="rId5" w:type="even"/>
          <w:pgSz w:w="11906" w:h="16838"/>
          <w:pgMar w:top="1440" w:right="1797" w:bottom="1440" w:left="1797" w:header="851" w:footer="992" w:gutter="0"/>
          <w:pgNumType w:fmt="decimal" w:start="1"/>
          <w:cols w:space="720" w:num="1"/>
          <w:titlePg/>
          <w:docGrid w:type="lines" w:linePitch="312" w:charSpace="0"/>
        </w:sectPr>
      </w:pPr>
    </w:p>
    <w:p w14:paraId="71420922">
      <w:pPr>
        <w:pStyle w:val="18"/>
        <w:tabs>
          <w:tab w:val="left" w:pos="0"/>
        </w:tabs>
        <w:spacing w:line="240" w:lineRule="auto"/>
        <w:ind w:left="0" w:leftChars="0" w:firstLine="0" w:firstLineChars="0"/>
        <w:jc w:val="center"/>
        <w:outlineLvl w:val="0"/>
        <w:rPr>
          <w:rFonts w:hint="eastAsia" w:ascii="宋体" w:hAnsi="宋体" w:eastAsia="宋体" w:cs="宋体"/>
          <w:b/>
          <w:color w:val="auto"/>
          <w:sz w:val="36"/>
          <w:highlight w:val="none"/>
        </w:rPr>
      </w:pPr>
      <w:r>
        <w:rPr>
          <w:rFonts w:hint="eastAsia" w:ascii="宋体" w:hAnsi="宋体" w:eastAsia="宋体" w:cs="宋体"/>
          <w:b/>
          <w:color w:val="auto"/>
          <w:sz w:val="36"/>
          <w:highlight w:val="none"/>
        </w:rPr>
        <w:t xml:space="preserve">第一部分  </w:t>
      </w:r>
      <w:bookmarkEnd w:id="1"/>
      <w:r>
        <w:rPr>
          <w:rFonts w:hint="eastAsia" w:ascii="宋体" w:hAnsi="宋体" w:eastAsia="宋体" w:cs="宋体"/>
          <w:b/>
          <w:color w:val="auto"/>
          <w:sz w:val="36"/>
          <w:highlight w:val="none"/>
        </w:rPr>
        <w:t>招标公告</w:t>
      </w:r>
      <w:bookmarkEnd w:id="2"/>
    </w:p>
    <w:p w14:paraId="64F974D1">
      <w:pPr>
        <w:rPr>
          <w:rFonts w:hint="eastAsia" w:ascii="宋体" w:hAnsi="宋体" w:eastAsia="宋体" w:cs="宋体"/>
          <w:color w:val="auto"/>
          <w:sz w:val="20"/>
          <w:highlight w:val="none"/>
        </w:rPr>
      </w:pPr>
      <w:bookmarkStart w:id="3" w:name="EBbcab609e0bf6445cb7952b8c7da88b0a"/>
    </w:p>
    <w:p w14:paraId="642709A3">
      <w:pPr>
        <w:pStyle w:val="121"/>
        <w:wordWrap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14:paraId="36AB4403">
      <w:pPr>
        <w:pStyle w:val="121"/>
        <w:wordWrap w:val="0"/>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采购编号:</w:t>
      </w:r>
      <w:r>
        <w:rPr>
          <w:rFonts w:hint="eastAsia" w:ascii="宋体" w:hAnsi="宋体" w:cs="宋体"/>
          <w:color w:val="auto"/>
          <w:sz w:val="24"/>
          <w:szCs w:val="24"/>
          <w:highlight w:val="none"/>
          <w:lang w:eastAsia="zh-CN"/>
        </w:rPr>
        <w:t xml:space="preserve"> XJ</w:t>
      </w:r>
      <w:r>
        <w:rPr>
          <w:rFonts w:hint="eastAsia" w:ascii="宋体" w:hAnsi="宋体" w:cs="宋体"/>
          <w:color w:val="auto"/>
          <w:sz w:val="24"/>
          <w:szCs w:val="24"/>
          <w:highlight w:val="none"/>
          <w:lang w:val="en-US" w:eastAsia="zh-CN"/>
        </w:rPr>
        <w:t>SY(FW)</w:t>
      </w:r>
      <w:r>
        <w:rPr>
          <w:rFonts w:hint="eastAsia" w:ascii="宋体" w:hAnsi="宋体" w:cs="宋体"/>
          <w:color w:val="auto"/>
          <w:sz w:val="24"/>
          <w:szCs w:val="24"/>
          <w:highlight w:val="none"/>
          <w:lang w:eastAsia="zh-CN"/>
        </w:rPr>
        <w:t>202503040</w:t>
      </w:r>
      <w:r>
        <w:rPr>
          <w:rFonts w:hint="eastAsia" w:ascii="宋体" w:hAnsi="宋体" w:cs="宋体"/>
          <w:color w:val="auto"/>
          <w:sz w:val="24"/>
          <w:szCs w:val="24"/>
          <w:highlight w:val="none"/>
          <w:lang w:val="en-US" w:eastAsia="zh-CN"/>
        </w:rPr>
        <w:t>1</w:t>
      </w:r>
    </w:p>
    <w:p w14:paraId="7DCE6392">
      <w:pPr>
        <w:pStyle w:val="121"/>
        <w:wordWrap w:val="0"/>
        <w:spacing w:line="360" w:lineRule="auto"/>
        <w:ind w:left="479" w:leftChars="228"/>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none"/>
          <w:lang w:eastAsia="zh-CN"/>
        </w:rPr>
        <w:t>大气组分站运维服务项目</w:t>
      </w:r>
    </w:p>
    <w:p w14:paraId="532E8B93">
      <w:pPr>
        <w:pStyle w:val="121"/>
        <w:tabs>
          <w:tab w:val="left" w:pos="7000"/>
        </w:tabs>
        <w:wordWrap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采购方式:</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公开招标</w:t>
      </w:r>
      <w:r>
        <w:rPr>
          <w:rFonts w:hint="eastAsia" w:ascii="宋体" w:hAnsi="宋体" w:cs="宋体"/>
          <w:color w:val="auto"/>
          <w:sz w:val="24"/>
          <w:szCs w:val="24"/>
          <w:highlight w:val="none"/>
          <w:lang w:eastAsia="zh-CN"/>
        </w:rPr>
        <w:tab/>
      </w:r>
    </w:p>
    <w:p w14:paraId="77FF6307">
      <w:pPr>
        <w:pStyle w:val="121"/>
        <w:wordWrap w:val="0"/>
        <w:spacing w:line="360" w:lineRule="auto"/>
        <w:ind w:firstLine="480" w:firstLineChars="200"/>
        <w:jc w:val="left"/>
        <w:rPr>
          <w:rFonts w:hint="default" w:ascii="宋体" w:hAnsi="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rPr>
        <w:t>预算金额（元）：</w:t>
      </w:r>
      <w:r>
        <w:rPr>
          <w:rFonts w:hint="eastAsia" w:ascii="宋体" w:hAnsi="宋体" w:eastAsia="宋体" w:cs="宋体"/>
          <w:color w:val="auto"/>
          <w:sz w:val="24"/>
          <w:highlight w:val="none"/>
          <w:lang w:val="en-US" w:eastAsia="zh-CN"/>
        </w:rPr>
        <w:t>305</w:t>
      </w:r>
      <w:r>
        <w:rPr>
          <w:rFonts w:hint="eastAsia" w:ascii="宋体" w:hAnsi="宋体" w:eastAsia="宋体" w:cs="宋体"/>
          <w:color w:val="auto"/>
          <w:sz w:val="24"/>
          <w:highlight w:val="none"/>
          <w:lang w:eastAsia="zh-CN"/>
        </w:rPr>
        <w:t>0000</w:t>
      </w:r>
    </w:p>
    <w:p w14:paraId="2F085604">
      <w:pPr>
        <w:pStyle w:val="121"/>
        <w:wordWrap w:val="0"/>
        <w:spacing w:line="360" w:lineRule="auto"/>
        <w:ind w:firstLine="480" w:firstLineChars="200"/>
        <w:jc w:val="left"/>
        <w:rPr>
          <w:rFonts w:hint="default" w:ascii="宋体" w:hAnsi="宋体" w:cs="宋体"/>
          <w:color w:val="auto"/>
          <w:spacing w:val="0"/>
          <w:position w:val="0"/>
          <w:sz w:val="24"/>
          <w:szCs w:val="24"/>
          <w:highlight w:val="none"/>
          <w:lang w:val="en-US" w:eastAsia="zh-CN"/>
        </w:rPr>
      </w:pPr>
      <w:r>
        <w:rPr>
          <w:rFonts w:hint="eastAsia" w:ascii="宋体" w:hAnsi="宋体" w:cs="宋体"/>
          <w:color w:val="auto"/>
          <w:spacing w:val="0"/>
          <w:position w:val="0"/>
          <w:sz w:val="24"/>
          <w:szCs w:val="24"/>
          <w:highlight w:val="none"/>
          <w:lang w:val="en-US" w:eastAsia="zh-CN"/>
        </w:rPr>
        <w:t>最高限价（元）：</w:t>
      </w:r>
      <w:r>
        <w:rPr>
          <w:rFonts w:hint="eastAsia" w:ascii="宋体" w:hAnsi="宋体" w:eastAsia="宋体" w:cs="宋体"/>
          <w:color w:val="auto"/>
          <w:sz w:val="24"/>
          <w:highlight w:val="none"/>
          <w:lang w:val="en-US" w:eastAsia="zh-CN"/>
        </w:rPr>
        <w:t>305</w:t>
      </w:r>
      <w:r>
        <w:rPr>
          <w:rFonts w:hint="eastAsia" w:ascii="宋体" w:hAnsi="宋体" w:eastAsia="宋体" w:cs="宋体"/>
          <w:color w:val="auto"/>
          <w:sz w:val="24"/>
          <w:highlight w:val="none"/>
          <w:lang w:eastAsia="zh-CN"/>
        </w:rPr>
        <w:t>0000</w:t>
      </w:r>
    </w:p>
    <w:p w14:paraId="548731BD">
      <w:pPr>
        <w:pStyle w:val="121"/>
        <w:wordWrap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w:t>
      </w:r>
      <w:r>
        <w:rPr>
          <w:rFonts w:hint="eastAsia" w:ascii="宋体" w:hAnsi="宋体" w:cs="宋体"/>
          <w:color w:val="auto"/>
          <w:sz w:val="24"/>
          <w:szCs w:val="24"/>
          <w:highlight w:val="none"/>
          <w:lang w:val="en-US" w:eastAsia="zh-CN"/>
        </w:rPr>
        <w:t>需求</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大气组分站运维服务（详见招标文件）</w:t>
      </w:r>
    </w:p>
    <w:p w14:paraId="695AE1AF">
      <w:pPr>
        <w:pStyle w:val="121"/>
        <w:wordWrap w:val="0"/>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合同履行期限:自合同签订之日起</w:t>
      </w:r>
      <w:r>
        <w:rPr>
          <w:rFonts w:hint="eastAsia" w:ascii="宋体" w:hAnsi="宋体" w:cs="宋体"/>
          <w:color w:val="auto"/>
          <w:sz w:val="24"/>
          <w:szCs w:val="24"/>
          <w:highlight w:val="none"/>
          <w:lang w:val="en-US" w:eastAsia="zh-CN"/>
        </w:rPr>
        <w:t>12个月</w:t>
      </w:r>
    </w:p>
    <w:p w14:paraId="1DACE641">
      <w:pPr>
        <w:pStyle w:val="121"/>
        <w:wordWrap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w:t>
      </w:r>
      <w:r>
        <w:rPr>
          <w:rFonts w:hint="eastAsia" w:ascii="宋体" w:hAnsi="宋体" w:cs="宋体"/>
          <w:color w:val="auto"/>
          <w:sz w:val="24"/>
          <w:szCs w:val="24"/>
          <w:highlight w:val="none"/>
          <w:lang w:val="en-US" w:eastAsia="zh-CN"/>
        </w:rPr>
        <w:t>不</w:t>
      </w:r>
      <w:r>
        <w:rPr>
          <w:rFonts w:hint="eastAsia" w:ascii="宋体" w:hAnsi="宋体" w:eastAsia="宋体" w:cs="宋体"/>
          <w:color w:val="auto"/>
          <w:sz w:val="24"/>
          <w:szCs w:val="24"/>
          <w:highlight w:val="none"/>
        </w:rPr>
        <w:t>接受联合体投标</w:t>
      </w:r>
    </w:p>
    <w:p w14:paraId="4AB24CC5">
      <w:pPr>
        <w:pStyle w:val="121"/>
        <w:tabs>
          <w:tab w:val="left" w:pos="4697"/>
        </w:tabs>
        <w:wordWrap w:val="0"/>
        <w:spacing w:line="360" w:lineRule="auto"/>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二、申请人的资格要求</w:t>
      </w:r>
      <w:r>
        <w:rPr>
          <w:rFonts w:hint="eastAsia" w:ascii="宋体" w:hAnsi="宋体" w:eastAsia="宋体" w:cs="宋体"/>
          <w:b/>
          <w:bCs/>
          <w:color w:val="auto"/>
          <w:sz w:val="24"/>
          <w:szCs w:val="24"/>
          <w:highlight w:val="none"/>
          <w:lang w:eastAsia="zh-CN"/>
        </w:rPr>
        <w:tab/>
      </w:r>
    </w:p>
    <w:p w14:paraId="26EB715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1.满足《中华人民共和国政府采购法》第二十二条规定；</w:t>
      </w:r>
    </w:p>
    <w:p w14:paraId="1B1C546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 xml:space="preserve">    2.落实政府采购政策需满足的资格要求：</w:t>
      </w:r>
      <w:r>
        <w:rPr>
          <w:rFonts w:hint="eastAsia" w:ascii="宋体" w:hAnsi="宋体" w:eastAsia="宋体" w:cs="宋体"/>
          <w:color w:val="auto"/>
          <w:sz w:val="24"/>
          <w:highlight w:val="none"/>
        </w:rPr>
        <w:t>专门面向中小企业采购项目</w:t>
      </w:r>
    </w:p>
    <w:p w14:paraId="25456C2C">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position w:val="0"/>
          <w:sz w:val="24"/>
          <w:szCs w:val="24"/>
          <w:highlight w:val="none"/>
        </w:rPr>
        <w:t>3.本项目的特定资格要求：</w:t>
      </w:r>
      <w:r>
        <w:rPr>
          <w:rFonts w:hint="eastAsia" w:ascii="宋体" w:hAnsi="宋体" w:eastAsia="宋体" w:cs="宋体"/>
          <w:color w:val="auto"/>
          <w:spacing w:val="0"/>
          <w:position w:val="0"/>
          <w:sz w:val="24"/>
          <w:szCs w:val="24"/>
          <w:highlight w:val="none"/>
          <w:lang w:val="en-US" w:eastAsia="zh-CN"/>
        </w:rPr>
        <w:t>/</w:t>
      </w:r>
    </w:p>
    <w:p w14:paraId="283DC537">
      <w:pPr>
        <w:pStyle w:val="121"/>
        <w:wordWrap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6AE9CBB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时间：202</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rPr>
        <w:t>年</w:t>
      </w:r>
      <w:r>
        <w:rPr>
          <w:rFonts w:hint="eastAsia" w:ascii="宋体" w:hAnsi="宋体" w:eastAsia="宋体" w:cs="宋体"/>
          <w:color w:val="auto"/>
          <w:spacing w:val="0"/>
          <w:position w:val="0"/>
          <w:sz w:val="24"/>
          <w:szCs w:val="24"/>
          <w:highlight w:val="none"/>
          <w:lang w:val="en-US" w:eastAsia="zh-CN"/>
        </w:rPr>
        <w:t>3</w:t>
      </w:r>
      <w:r>
        <w:rPr>
          <w:rFonts w:hint="eastAsia" w:ascii="宋体" w:hAnsi="宋体" w:eastAsia="宋体" w:cs="宋体"/>
          <w:color w:val="auto"/>
          <w:spacing w:val="0"/>
          <w:position w:val="0"/>
          <w:sz w:val="24"/>
          <w:szCs w:val="24"/>
          <w:highlight w:val="none"/>
        </w:rPr>
        <w:t>月</w:t>
      </w:r>
      <w:r>
        <w:rPr>
          <w:rFonts w:hint="eastAsia" w:ascii="宋体" w:hAnsi="宋体" w:eastAsia="宋体" w:cs="宋体"/>
          <w:color w:val="auto"/>
          <w:spacing w:val="0"/>
          <w:position w:val="0"/>
          <w:sz w:val="24"/>
          <w:szCs w:val="24"/>
          <w:highlight w:val="none"/>
          <w:lang w:val="en-US" w:eastAsia="zh-CN"/>
        </w:rPr>
        <w:t>11</w:t>
      </w:r>
      <w:r>
        <w:rPr>
          <w:rFonts w:hint="eastAsia" w:ascii="宋体" w:hAnsi="宋体" w:eastAsia="宋体" w:cs="宋体"/>
          <w:color w:val="auto"/>
          <w:spacing w:val="0"/>
          <w:position w:val="0"/>
          <w:sz w:val="24"/>
          <w:szCs w:val="24"/>
          <w:highlight w:val="none"/>
        </w:rPr>
        <w:t>日至202</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rPr>
        <w:t>年</w:t>
      </w:r>
      <w:r>
        <w:rPr>
          <w:rFonts w:hint="eastAsia" w:ascii="宋体" w:hAnsi="宋体" w:eastAsia="宋体" w:cs="宋体"/>
          <w:color w:val="auto"/>
          <w:spacing w:val="0"/>
          <w:position w:val="0"/>
          <w:sz w:val="24"/>
          <w:szCs w:val="24"/>
          <w:highlight w:val="none"/>
          <w:lang w:val="en-US" w:eastAsia="zh-CN"/>
        </w:rPr>
        <w:t>3</w:t>
      </w:r>
      <w:r>
        <w:rPr>
          <w:rFonts w:hint="eastAsia" w:ascii="宋体" w:hAnsi="宋体" w:eastAsia="宋体" w:cs="宋体"/>
          <w:color w:val="auto"/>
          <w:spacing w:val="0"/>
          <w:position w:val="0"/>
          <w:sz w:val="24"/>
          <w:szCs w:val="24"/>
          <w:highlight w:val="none"/>
        </w:rPr>
        <w:t>月</w:t>
      </w:r>
      <w:r>
        <w:rPr>
          <w:rFonts w:hint="eastAsia" w:ascii="宋体" w:hAnsi="宋体" w:eastAsia="宋体" w:cs="宋体"/>
          <w:color w:val="auto"/>
          <w:spacing w:val="0"/>
          <w:position w:val="0"/>
          <w:sz w:val="24"/>
          <w:szCs w:val="24"/>
          <w:highlight w:val="none"/>
          <w:lang w:val="en-US" w:eastAsia="zh-CN"/>
        </w:rPr>
        <w:t>18</w:t>
      </w:r>
      <w:r>
        <w:rPr>
          <w:rFonts w:hint="eastAsia" w:ascii="宋体" w:hAnsi="宋体" w:eastAsia="宋体" w:cs="宋体"/>
          <w:color w:val="auto"/>
          <w:spacing w:val="0"/>
          <w:position w:val="0"/>
          <w:sz w:val="24"/>
          <w:szCs w:val="24"/>
          <w:highlight w:val="none"/>
        </w:rPr>
        <w:t>日，每天上午</w:t>
      </w:r>
      <w:r>
        <w:rPr>
          <w:rFonts w:hint="eastAsia" w:ascii="宋体" w:hAnsi="宋体" w:eastAsia="宋体" w:cs="宋体"/>
          <w:color w:val="auto"/>
          <w:spacing w:val="0"/>
          <w:position w:val="0"/>
          <w:sz w:val="24"/>
          <w:szCs w:val="24"/>
          <w:highlight w:val="none"/>
          <w:lang w:val="en-US" w:eastAsia="zh-CN"/>
        </w:rPr>
        <w:t>0</w:t>
      </w:r>
      <w:r>
        <w:rPr>
          <w:rFonts w:hint="eastAsia" w:ascii="宋体" w:hAnsi="宋体" w:eastAsia="宋体" w:cs="宋体"/>
          <w:color w:val="auto"/>
          <w:spacing w:val="0"/>
          <w:position w:val="0"/>
          <w:sz w:val="24"/>
          <w:szCs w:val="24"/>
          <w:highlight w:val="none"/>
        </w:rPr>
        <w:t>0:00至1</w:t>
      </w:r>
      <w:r>
        <w:rPr>
          <w:rFonts w:hint="eastAsia" w:ascii="宋体" w:hAnsi="宋体" w:eastAsia="宋体" w:cs="宋体"/>
          <w:color w:val="auto"/>
          <w:spacing w:val="0"/>
          <w:position w:val="0"/>
          <w:sz w:val="24"/>
          <w:szCs w:val="24"/>
          <w:highlight w:val="none"/>
          <w:lang w:val="en-US" w:eastAsia="zh-CN"/>
        </w:rPr>
        <w:t>2</w:t>
      </w:r>
      <w:r>
        <w:rPr>
          <w:rFonts w:hint="eastAsia" w:ascii="宋体" w:hAnsi="宋体" w:eastAsia="宋体" w:cs="宋体"/>
          <w:color w:val="auto"/>
          <w:spacing w:val="0"/>
          <w:position w:val="0"/>
          <w:sz w:val="24"/>
          <w:szCs w:val="24"/>
          <w:highlight w:val="none"/>
        </w:rPr>
        <w:t>:</w:t>
      </w:r>
      <w:r>
        <w:rPr>
          <w:rFonts w:hint="eastAsia" w:ascii="宋体" w:hAnsi="宋体" w:eastAsia="宋体" w:cs="宋体"/>
          <w:color w:val="auto"/>
          <w:spacing w:val="0"/>
          <w:position w:val="0"/>
          <w:sz w:val="24"/>
          <w:szCs w:val="24"/>
          <w:highlight w:val="none"/>
          <w:lang w:val="en-US" w:eastAsia="zh-CN"/>
        </w:rPr>
        <w:t>0</w:t>
      </w:r>
      <w:r>
        <w:rPr>
          <w:rFonts w:hint="eastAsia" w:ascii="宋体" w:hAnsi="宋体" w:eastAsia="宋体" w:cs="宋体"/>
          <w:color w:val="auto"/>
          <w:spacing w:val="0"/>
          <w:position w:val="0"/>
          <w:sz w:val="24"/>
          <w:szCs w:val="24"/>
          <w:highlight w:val="none"/>
        </w:rPr>
        <w:t>0，下午1</w:t>
      </w:r>
      <w:r>
        <w:rPr>
          <w:rFonts w:hint="eastAsia" w:ascii="宋体" w:hAnsi="宋体" w:eastAsia="宋体" w:cs="宋体"/>
          <w:color w:val="auto"/>
          <w:spacing w:val="0"/>
          <w:position w:val="0"/>
          <w:sz w:val="24"/>
          <w:szCs w:val="24"/>
          <w:highlight w:val="none"/>
          <w:lang w:val="en-US" w:eastAsia="zh-CN"/>
        </w:rPr>
        <w:t>2</w:t>
      </w:r>
      <w:r>
        <w:rPr>
          <w:rFonts w:hint="eastAsia" w:ascii="宋体" w:hAnsi="宋体" w:eastAsia="宋体" w:cs="宋体"/>
          <w:color w:val="auto"/>
          <w:spacing w:val="0"/>
          <w:position w:val="0"/>
          <w:sz w:val="24"/>
          <w:szCs w:val="24"/>
          <w:highlight w:val="none"/>
        </w:rPr>
        <w:t>:</w:t>
      </w:r>
      <w:r>
        <w:rPr>
          <w:rFonts w:hint="eastAsia" w:ascii="宋体" w:hAnsi="宋体" w:eastAsia="宋体" w:cs="宋体"/>
          <w:color w:val="auto"/>
          <w:spacing w:val="0"/>
          <w:position w:val="0"/>
          <w:sz w:val="24"/>
          <w:szCs w:val="24"/>
          <w:highlight w:val="none"/>
          <w:lang w:val="en-US" w:eastAsia="zh-CN"/>
        </w:rPr>
        <w:t>0</w:t>
      </w:r>
      <w:r>
        <w:rPr>
          <w:rFonts w:hint="eastAsia" w:ascii="宋体" w:hAnsi="宋体" w:eastAsia="宋体" w:cs="宋体"/>
          <w:color w:val="auto"/>
          <w:spacing w:val="0"/>
          <w:position w:val="0"/>
          <w:sz w:val="24"/>
          <w:szCs w:val="24"/>
          <w:highlight w:val="none"/>
        </w:rPr>
        <w:t>0至</w:t>
      </w:r>
      <w:r>
        <w:rPr>
          <w:rFonts w:hint="eastAsia" w:ascii="宋体" w:hAnsi="宋体" w:eastAsia="宋体" w:cs="宋体"/>
          <w:color w:val="auto"/>
          <w:spacing w:val="0"/>
          <w:position w:val="0"/>
          <w:sz w:val="24"/>
          <w:szCs w:val="24"/>
          <w:highlight w:val="none"/>
          <w:lang w:val="en-US" w:eastAsia="zh-CN"/>
        </w:rPr>
        <w:t>23</w:t>
      </w:r>
      <w:r>
        <w:rPr>
          <w:rFonts w:hint="eastAsia" w:ascii="宋体" w:hAnsi="宋体" w:eastAsia="宋体" w:cs="宋体"/>
          <w:color w:val="auto"/>
          <w:spacing w:val="0"/>
          <w:position w:val="0"/>
          <w:sz w:val="24"/>
          <w:szCs w:val="24"/>
          <w:highlight w:val="none"/>
        </w:rPr>
        <w:t>:</w:t>
      </w:r>
      <w:r>
        <w:rPr>
          <w:rFonts w:hint="eastAsia" w:ascii="宋体" w:hAnsi="宋体" w:eastAsia="宋体" w:cs="宋体"/>
          <w:color w:val="auto"/>
          <w:spacing w:val="0"/>
          <w:position w:val="0"/>
          <w:sz w:val="24"/>
          <w:szCs w:val="24"/>
          <w:highlight w:val="none"/>
          <w:lang w:val="en-US" w:eastAsia="zh-CN"/>
        </w:rPr>
        <w:t>59</w:t>
      </w:r>
      <w:r>
        <w:rPr>
          <w:rFonts w:hint="eastAsia" w:ascii="宋体" w:hAnsi="宋体" w:eastAsia="宋体" w:cs="宋体"/>
          <w:color w:val="auto"/>
          <w:spacing w:val="0"/>
          <w:position w:val="0"/>
          <w:sz w:val="24"/>
          <w:szCs w:val="24"/>
          <w:highlight w:val="none"/>
        </w:rPr>
        <w:t>（北京时间，法定节假日除外）</w:t>
      </w:r>
    </w:p>
    <w:p w14:paraId="318FBA33">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地点：政采云线上平台      </w:t>
      </w:r>
    </w:p>
    <w:p w14:paraId="4A99F458">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方式：</w:t>
      </w:r>
      <w:r>
        <w:rPr>
          <w:rStyle w:val="48"/>
          <w:rFonts w:hint="eastAsia" w:ascii="宋体" w:hAnsi="宋体" w:eastAsia="宋体" w:cs="宋体"/>
          <w:b w:val="0"/>
          <w:bCs w:val="0"/>
          <w:i w:val="0"/>
          <w:caps w:val="0"/>
          <w:color w:val="auto"/>
          <w:spacing w:val="0"/>
          <w:w w:val="100"/>
          <w:kern w:val="2"/>
          <w:position w:val="0"/>
          <w:sz w:val="24"/>
          <w:szCs w:val="24"/>
          <w:highlight w:val="none"/>
          <w:lang w:val="en-US" w:eastAsia="zh-CN" w:bidi="ar-SA"/>
        </w:rPr>
        <w:t>供应商登录政采云平台https://www.zcygov.cn/在线申请获取采购文件；</w:t>
      </w:r>
      <w:r>
        <w:rPr>
          <w:rFonts w:hint="eastAsia" w:ascii="宋体" w:hAnsi="宋体" w:eastAsia="宋体" w:cs="宋体"/>
          <w:color w:val="auto"/>
          <w:spacing w:val="0"/>
          <w:position w:val="0"/>
          <w:sz w:val="24"/>
          <w:szCs w:val="24"/>
          <w:highlight w:val="none"/>
        </w:rPr>
        <w:t xml:space="preserve"> </w:t>
      </w:r>
    </w:p>
    <w:bookmarkEnd w:id="3"/>
    <w:p w14:paraId="6A39247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四、</w:t>
      </w:r>
      <w:r>
        <w:rPr>
          <w:rFonts w:hint="eastAsia" w:ascii="宋体" w:hAnsi="宋体" w:eastAsia="宋体" w:cs="宋体"/>
          <w:b/>
          <w:bCs/>
          <w:color w:val="auto"/>
          <w:spacing w:val="0"/>
          <w:position w:val="0"/>
          <w:sz w:val="24"/>
          <w:szCs w:val="24"/>
          <w:highlight w:val="none"/>
          <w:lang w:eastAsia="zh-CN"/>
        </w:rPr>
        <w:t>投标文件</w:t>
      </w:r>
      <w:r>
        <w:rPr>
          <w:rFonts w:hint="eastAsia" w:ascii="宋体" w:hAnsi="宋体" w:eastAsia="宋体" w:cs="宋体"/>
          <w:b/>
          <w:bCs/>
          <w:color w:val="auto"/>
          <w:spacing w:val="0"/>
          <w:position w:val="0"/>
          <w:sz w:val="24"/>
          <w:szCs w:val="24"/>
          <w:highlight w:val="none"/>
        </w:rPr>
        <w:t xml:space="preserve">提交 </w:t>
      </w:r>
    </w:p>
    <w:p w14:paraId="2218F4C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pacing w:val="0"/>
          <w:position w:val="0"/>
          <w:sz w:val="24"/>
          <w:szCs w:val="24"/>
          <w:highlight w:val="none"/>
          <w:lang w:eastAsia="zh-CN"/>
        </w:rPr>
      </w:pPr>
      <w:r>
        <w:rPr>
          <w:rFonts w:hint="eastAsia" w:ascii="宋体" w:hAnsi="宋体" w:eastAsia="宋体" w:cs="宋体"/>
          <w:b w:val="0"/>
          <w:bCs w:val="0"/>
          <w:color w:val="auto"/>
          <w:spacing w:val="0"/>
          <w:position w:val="0"/>
          <w:sz w:val="24"/>
          <w:szCs w:val="24"/>
          <w:highlight w:val="none"/>
        </w:rPr>
        <w:t xml:space="preserve">    截止时间：</w:t>
      </w:r>
      <w:r>
        <w:rPr>
          <w:rFonts w:hint="eastAsia" w:ascii="宋体" w:hAnsi="宋体" w:eastAsia="宋体" w:cs="宋体"/>
          <w:b w:val="0"/>
          <w:bCs w:val="0"/>
          <w:color w:val="auto"/>
          <w:spacing w:val="0"/>
          <w:position w:val="0"/>
          <w:sz w:val="24"/>
          <w:szCs w:val="24"/>
          <w:highlight w:val="none"/>
          <w:lang w:eastAsia="zh-CN"/>
        </w:rPr>
        <w:t>202</w:t>
      </w:r>
      <w:r>
        <w:rPr>
          <w:rFonts w:hint="eastAsia" w:ascii="宋体" w:hAnsi="宋体" w:eastAsia="宋体" w:cs="宋体"/>
          <w:b w:val="0"/>
          <w:bCs w:val="0"/>
          <w:color w:val="auto"/>
          <w:spacing w:val="0"/>
          <w:position w:val="0"/>
          <w:sz w:val="24"/>
          <w:szCs w:val="24"/>
          <w:highlight w:val="none"/>
          <w:lang w:val="en-US" w:eastAsia="zh-CN"/>
        </w:rPr>
        <w:t>5</w:t>
      </w:r>
      <w:r>
        <w:rPr>
          <w:rFonts w:hint="eastAsia" w:ascii="宋体" w:hAnsi="宋体" w:eastAsia="宋体" w:cs="宋体"/>
          <w:b w:val="0"/>
          <w:bCs w:val="0"/>
          <w:color w:val="auto"/>
          <w:spacing w:val="0"/>
          <w:position w:val="0"/>
          <w:sz w:val="24"/>
          <w:szCs w:val="24"/>
          <w:highlight w:val="none"/>
          <w:lang w:eastAsia="zh-CN"/>
        </w:rPr>
        <w:t>年</w:t>
      </w:r>
      <w:r>
        <w:rPr>
          <w:rFonts w:hint="eastAsia" w:ascii="宋体" w:hAnsi="宋体" w:eastAsia="宋体" w:cs="宋体"/>
          <w:b w:val="0"/>
          <w:bCs w:val="0"/>
          <w:color w:val="auto"/>
          <w:spacing w:val="0"/>
          <w:position w:val="0"/>
          <w:sz w:val="24"/>
          <w:szCs w:val="24"/>
          <w:highlight w:val="none"/>
          <w:lang w:val="en-US" w:eastAsia="zh-CN"/>
        </w:rPr>
        <w:t>4月2日11:00</w:t>
      </w:r>
      <w:r>
        <w:rPr>
          <w:rFonts w:hint="eastAsia" w:ascii="宋体" w:hAnsi="宋体" w:eastAsia="宋体" w:cs="宋体"/>
          <w:b w:val="0"/>
          <w:bCs w:val="0"/>
          <w:color w:val="auto"/>
          <w:spacing w:val="0"/>
          <w:position w:val="0"/>
          <w:sz w:val="24"/>
          <w:szCs w:val="24"/>
          <w:highlight w:val="none"/>
          <w:lang w:eastAsia="zh-CN"/>
        </w:rPr>
        <w:t>（北京时间）</w:t>
      </w:r>
    </w:p>
    <w:p w14:paraId="32DD69F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pacing w:val="0"/>
          <w:position w:val="0"/>
          <w:sz w:val="24"/>
          <w:szCs w:val="24"/>
          <w:highlight w:val="none"/>
        </w:rPr>
      </w:pPr>
      <w:r>
        <w:rPr>
          <w:rFonts w:hint="eastAsia" w:ascii="宋体" w:hAnsi="宋体" w:eastAsia="宋体" w:cs="宋体"/>
          <w:b w:val="0"/>
          <w:bCs w:val="0"/>
          <w:color w:val="auto"/>
          <w:spacing w:val="0"/>
          <w:position w:val="0"/>
          <w:sz w:val="24"/>
          <w:szCs w:val="24"/>
          <w:highlight w:val="none"/>
        </w:rPr>
        <w:t xml:space="preserve">    地点：</w:t>
      </w:r>
      <w:r>
        <w:rPr>
          <w:rStyle w:val="53"/>
          <w:rFonts w:hint="eastAsia" w:ascii="宋体" w:hAnsi="宋体" w:eastAsia="宋体" w:cs="宋体"/>
          <w:b w:val="0"/>
          <w:bCs w:val="0"/>
          <w:i w:val="0"/>
          <w:iCs w:val="0"/>
          <w:caps w:val="0"/>
          <w:color w:val="auto"/>
          <w:spacing w:val="0"/>
          <w:w w:val="100"/>
          <w:kern w:val="2"/>
          <w:position w:val="0"/>
          <w:sz w:val="24"/>
          <w:szCs w:val="24"/>
          <w:highlight w:val="none"/>
          <w:lang w:val="en-US" w:eastAsia="zh-CN" w:bidi="ar-SA"/>
        </w:rPr>
        <w:t>新疆政府采购网（http://www.ccgp-xinjiang.gov.cn）政采云线上平台</w:t>
      </w:r>
      <w:r>
        <w:rPr>
          <w:rFonts w:hint="eastAsia" w:ascii="宋体" w:hAnsi="宋体" w:eastAsia="宋体" w:cs="宋体"/>
          <w:b w:val="0"/>
          <w:bCs w:val="0"/>
          <w:color w:val="auto"/>
          <w:spacing w:val="0"/>
          <w:position w:val="0"/>
          <w:sz w:val="24"/>
          <w:szCs w:val="24"/>
          <w:highlight w:val="none"/>
        </w:rPr>
        <w:t xml:space="preserve">  </w:t>
      </w:r>
    </w:p>
    <w:p w14:paraId="26DF3D7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五、</w:t>
      </w:r>
      <w:r>
        <w:rPr>
          <w:rFonts w:hint="eastAsia" w:ascii="宋体" w:hAnsi="宋体" w:eastAsia="宋体" w:cs="宋体"/>
          <w:b/>
          <w:bCs/>
          <w:color w:val="auto"/>
          <w:spacing w:val="0"/>
          <w:position w:val="0"/>
          <w:sz w:val="24"/>
          <w:szCs w:val="24"/>
          <w:highlight w:val="none"/>
          <w:lang w:eastAsia="zh-CN"/>
        </w:rPr>
        <w:t>投标文件</w:t>
      </w:r>
      <w:r>
        <w:rPr>
          <w:rFonts w:hint="eastAsia" w:ascii="宋体" w:hAnsi="宋体" w:eastAsia="宋体" w:cs="宋体"/>
          <w:b/>
          <w:bCs/>
          <w:color w:val="auto"/>
          <w:spacing w:val="0"/>
          <w:position w:val="0"/>
          <w:sz w:val="24"/>
          <w:szCs w:val="24"/>
          <w:highlight w:val="none"/>
        </w:rPr>
        <w:t xml:space="preserve">开启 </w:t>
      </w:r>
    </w:p>
    <w:p w14:paraId="221407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pacing w:val="0"/>
          <w:position w:val="0"/>
          <w:sz w:val="24"/>
          <w:szCs w:val="24"/>
          <w:highlight w:val="none"/>
          <w:lang w:eastAsia="zh-CN"/>
        </w:rPr>
      </w:pPr>
      <w:r>
        <w:rPr>
          <w:rFonts w:hint="eastAsia" w:ascii="宋体" w:hAnsi="宋体" w:eastAsia="宋体" w:cs="宋体"/>
          <w:b w:val="0"/>
          <w:bCs w:val="0"/>
          <w:color w:val="auto"/>
          <w:spacing w:val="0"/>
          <w:position w:val="0"/>
          <w:sz w:val="24"/>
          <w:szCs w:val="24"/>
          <w:highlight w:val="none"/>
        </w:rPr>
        <w:t xml:space="preserve">    开启时间：</w:t>
      </w:r>
      <w:r>
        <w:rPr>
          <w:rFonts w:hint="eastAsia" w:ascii="宋体" w:hAnsi="宋体" w:eastAsia="宋体" w:cs="宋体"/>
          <w:b w:val="0"/>
          <w:bCs w:val="0"/>
          <w:color w:val="auto"/>
          <w:spacing w:val="0"/>
          <w:position w:val="0"/>
          <w:sz w:val="24"/>
          <w:szCs w:val="24"/>
          <w:highlight w:val="none"/>
          <w:lang w:eastAsia="zh-CN"/>
        </w:rPr>
        <w:t>202</w:t>
      </w:r>
      <w:r>
        <w:rPr>
          <w:rFonts w:hint="eastAsia" w:ascii="宋体" w:hAnsi="宋体" w:eastAsia="宋体" w:cs="宋体"/>
          <w:b w:val="0"/>
          <w:bCs w:val="0"/>
          <w:color w:val="auto"/>
          <w:spacing w:val="0"/>
          <w:position w:val="0"/>
          <w:sz w:val="24"/>
          <w:szCs w:val="24"/>
          <w:highlight w:val="none"/>
          <w:lang w:val="en-US" w:eastAsia="zh-CN"/>
        </w:rPr>
        <w:t>5</w:t>
      </w:r>
      <w:r>
        <w:rPr>
          <w:rFonts w:hint="eastAsia" w:ascii="宋体" w:hAnsi="宋体" w:eastAsia="宋体" w:cs="宋体"/>
          <w:b w:val="0"/>
          <w:bCs w:val="0"/>
          <w:color w:val="auto"/>
          <w:spacing w:val="0"/>
          <w:position w:val="0"/>
          <w:sz w:val="24"/>
          <w:szCs w:val="24"/>
          <w:highlight w:val="none"/>
          <w:lang w:eastAsia="zh-CN"/>
        </w:rPr>
        <w:t>年</w:t>
      </w:r>
      <w:r>
        <w:rPr>
          <w:rFonts w:hint="eastAsia" w:ascii="宋体" w:hAnsi="宋体" w:eastAsia="宋体" w:cs="宋体"/>
          <w:b w:val="0"/>
          <w:bCs w:val="0"/>
          <w:color w:val="auto"/>
          <w:spacing w:val="0"/>
          <w:position w:val="0"/>
          <w:sz w:val="24"/>
          <w:szCs w:val="24"/>
          <w:highlight w:val="none"/>
          <w:lang w:val="en-US" w:eastAsia="zh-CN"/>
        </w:rPr>
        <w:t>4月2日11:00</w:t>
      </w:r>
      <w:r>
        <w:rPr>
          <w:rFonts w:hint="eastAsia" w:ascii="宋体" w:hAnsi="宋体" w:eastAsia="宋体" w:cs="宋体"/>
          <w:b w:val="0"/>
          <w:bCs w:val="0"/>
          <w:color w:val="auto"/>
          <w:spacing w:val="0"/>
          <w:position w:val="0"/>
          <w:sz w:val="24"/>
          <w:szCs w:val="24"/>
          <w:highlight w:val="none"/>
          <w:lang w:eastAsia="zh-CN"/>
        </w:rPr>
        <w:t>（北京时间）</w:t>
      </w:r>
    </w:p>
    <w:p w14:paraId="0DBA363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pacing w:val="0"/>
          <w:position w:val="0"/>
          <w:sz w:val="24"/>
          <w:szCs w:val="24"/>
          <w:highlight w:val="none"/>
        </w:rPr>
      </w:pPr>
      <w:r>
        <w:rPr>
          <w:rFonts w:hint="eastAsia" w:ascii="宋体" w:hAnsi="宋体" w:eastAsia="宋体" w:cs="宋体"/>
          <w:b w:val="0"/>
          <w:bCs w:val="0"/>
          <w:color w:val="auto"/>
          <w:spacing w:val="0"/>
          <w:position w:val="0"/>
          <w:sz w:val="24"/>
          <w:szCs w:val="24"/>
          <w:highlight w:val="none"/>
        </w:rPr>
        <w:t xml:space="preserve">    地点：</w:t>
      </w:r>
      <w:r>
        <w:rPr>
          <w:rStyle w:val="53"/>
          <w:rFonts w:hint="eastAsia" w:ascii="宋体" w:hAnsi="宋体" w:eastAsia="宋体" w:cs="宋体"/>
          <w:b w:val="0"/>
          <w:bCs w:val="0"/>
          <w:i w:val="0"/>
          <w:iCs w:val="0"/>
          <w:caps w:val="0"/>
          <w:color w:val="auto"/>
          <w:spacing w:val="0"/>
          <w:w w:val="100"/>
          <w:kern w:val="2"/>
          <w:position w:val="0"/>
          <w:sz w:val="24"/>
          <w:szCs w:val="24"/>
          <w:highlight w:val="none"/>
          <w:lang w:val="en-US" w:eastAsia="zh-CN" w:bidi="ar-SA"/>
        </w:rPr>
        <w:t>新疆政府采购网（http://www.ccgp-xinjiang.gov.cn）政采云线上平台</w:t>
      </w:r>
      <w:r>
        <w:rPr>
          <w:rFonts w:hint="eastAsia" w:ascii="宋体" w:hAnsi="宋体" w:eastAsia="宋体" w:cs="宋体"/>
          <w:b w:val="0"/>
          <w:bCs w:val="0"/>
          <w:color w:val="auto"/>
          <w:spacing w:val="0"/>
          <w:position w:val="0"/>
          <w:sz w:val="24"/>
          <w:szCs w:val="24"/>
          <w:highlight w:val="none"/>
        </w:rPr>
        <w:t xml:space="preserve"> </w:t>
      </w:r>
    </w:p>
    <w:p w14:paraId="3061866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六、公告期限</w:t>
      </w:r>
    </w:p>
    <w:p w14:paraId="622950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pacing w:val="0"/>
          <w:position w:val="0"/>
          <w:sz w:val="24"/>
          <w:szCs w:val="24"/>
          <w:highlight w:val="none"/>
        </w:rPr>
      </w:pPr>
      <w:r>
        <w:rPr>
          <w:rFonts w:hint="eastAsia" w:ascii="宋体" w:hAnsi="宋体" w:eastAsia="宋体" w:cs="宋体"/>
          <w:b w:val="0"/>
          <w:bCs w:val="0"/>
          <w:color w:val="auto"/>
          <w:spacing w:val="0"/>
          <w:position w:val="0"/>
          <w:sz w:val="24"/>
          <w:szCs w:val="24"/>
          <w:highlight w:val="none"/>
        </w:rPr>
        <w:t xml:space="preserve">    自本公告发布之日起</w:t>
      </w:r>
      <w:r>
        <w:rPr>
          <w:rFonts w:hint="eastAsia" w:ascii="宋体" w:hAnsi="宋体" w:eastAsia="宋体" w:cs="宋体"/>
          <w:b w:val="0"/>
          <w:bCs w:val="0"/>
          <w:color w:val="auto"/>
          <w:spacing w:val="0"/>
          <w:position w:val="0"/>
          <w:sz w:val="24"/>
          <w:szCs w:val="24"/>
          <w:highlight w:val="none"/>
          <w:lang w:val="en-US" w:eastAsia="zh-CN"/>
        </w:rPr>
        <w:t>5</w:t>
      </w:r>
      <w:r>
        <w:rPr>
          <w:rFonts w:hint="eastAsia" w:ascii="宋体" w:hAnsi="宋体" w:eastAsia="宋体" w:cs="宋体"/>
          <w:b w:val="0"/>
          <w:bCs w:val="0"/>
          <w:color w:val="auto"/>
          <w:spacing w:val="0"/>
          <w:position w:val="0"/>
          <w:sz w:val="24"/>
          <w:szCs w:val="24"/>
          <w:highlight w:val="none"/>
        </w:rPr>
        <w:t>个工作日。</w:t>
      </w:r>
    </w:p>
    <w:p w14:paraId="7C8F2A8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 xml:space="preserve">七、其他补充事宜 </w:t>
      </w:r>
    </w:p>
    <w:p w14:paraId="2BFFEBC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Style w:val="53"/>
          <w:rFonts w:hint="eastAsia" w:ascii="宋体" w:hAnsi="宋体" w:eastAsia="宋体" w:cs="宋体"/>
          <w:b w:val="0"/>
          <w:i w:val="0"/>
          <w:iCs w:val="0"/>
          <w:caps w:val="0"/>
          <w:color w:val="auto"/>
          <w:spacing w:val="0"/>
          <w:w w:val="100"/>
          <w:kern w:val="2"/>
          <w:position w:val="0"/>
          <w:sz w:val="24"/>
          <w:szCs w:val="24"/>
          <w:highlight w:val="none"/>
          <w:lang w:val="en-US" w:eastAsia="zh-CN" w:bidi="ar-SA"/>
        </w:rPr>
      </w:pPr>
      <w:r>
        <w:rPr>
          <w:rStyle w:val="53"/>
          <w:rFonts w:hint="eastAsia" w:ascii="宋体" w:hAnsi="宋体" w:eastAsia="宋体" w:cs="宋体"/>
          <w:b w:val="0"/>
          <w:bCs w:val="0"/>
          <w:i w:val="0"/>
          <w:iCs w:val="0"/>
          <w:caps w:val="0"/>
          <w:color w:val="auto"/>
          <w:spacing w:val="0"/>
          <w:w w:val="100"/>
          <w:kern w:val="2"/>
          <w:position w:val="0"/>
          <w:sz w:val="24"/>
          <w:szCs w:val="24"/>
          <w:highlight w:val="none"/>
          <w:lang w:val="en-US" w:eastAsia="zh-CN" w:bidi="ar-SA"/>
        </w:rPr>
        <w:t>1.本项目实行网上投标，采用</w:t>
      </w:r>
      <w:r>
        <w:rPr>
          <w:rStyle w:val="53"/>
          <w:rFonts w:hint="eastAsia" w:ascii="宋体" w:hAnsi="宋体" w:eastAsia="宋体" w:cs="宋体"/>
          <w:b w:val="0"/>
          <w:i w:val="0"/>
          <w:iCs w:val="0"/>
          <w:caps w:val="0"/>
          <w:color w:val="auto"/>
          <w:spacing w:val="0"/>
          <w:w w:val="100"/>
          <w:kern w:val="2"/>
          <w:position w:val="0"/>
          <w:sz w:val="24"/>
          <w:szCs w:val="24"/>
          <w:highlight w:val="none"/>
          <w:lang w:val="en-US" w:eastAsia="zh-CN" w:bidi="ar-SA"/>
        </w:rPr>
        <w:t>加密电子投标投标文件(供应商须使用CA加密设备通过政采云电子投标客户端制作投标投标文件)。若供应商参与投标，自行承担投标一切费用。</w:t>
      </w:r>
    </w:p>
    <w:p w14:paraId="153DCD8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Style w:val="53"/>
          <w:rFonts w:hint="eastAsia" w:ascii="宋体" w:hAnsi="宋体" w:eastAsia="宋体" w:cs="宋体"/>
          <w:b w:val="0"/>
          <w:i w:val="0"/>
          <w:iCs w:val="0"/>
          <w:caps w:val="0"/>
          <w:color w:val="auto"/>
          <w:spacing w:val="0"/>
          <w:w w:val="100"/>
          <w:kern w:val="2"/>
          <w:position w:val="0"/>
          <w:sz w:val="24"/>
          <w:szCs w:val="24"/>
          <w:highlight w:val="none"/>
          <w:lang w:val="en-US" w:eastAsia="zh-CN" w:bidi="ar-SA"/>
        </w:rPr>
      </w:pPr>
      <w:r>
        <w:rPr>
          <w:rStyle w:val="53"/>
          <w:rFonts w:hint="eastAsia" w:ascii="宋体" w:hAnsi="宋体" w:eastAsia="宋体" w:cs="宋体"/>
          <w:b w:val="0"/>
          <w:i w:val="0"/>
          <w:iCs w:val="0"/>
          <w:caps w:val="0"/>
          <w:color w:val="auto"/>
          <w:spacing w:val="0"/>
          <w:w w:val="100"/>
          <w:kern w:val="2"/>
          <w:position w:val="0"/>
          <w:sz w:val="24"/>
          <w:szCs w:val="24"/>
          <w:highlight w:val="none"/>
          <w:lang w:val="en-US" w:eastAsia="zh-CN" w:bidi="ar-SA"/>
        </w:rPr>
        <w:t>2.各供应商在开标前应确保成为新疆政府采购网正式注册入库供应商，并完成CA数字证书申领。因未注册入库、未办理CA数字证书等原因造成无法投标或投标失败等后果由供应商自行承担。</w:t>
      </w:r>
    </w:p>
    <w:p w14:paraId="1A2FD88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Style w:val="53"/>
          <w:rFonts w:hint="eastAsia" w:ascii="宋体" w:hAnsi="宋体" w:eastAsia="宋体" w:cs="宋体"/>
          <w:b w:val="0"/>
          <w:i w:val="0"/>
          <w:iCs w:val="0"/>
          <w:caps w:val="0"/>
          <w:color w:val="auto"/>
          <w:spacing w:val="0"/>
          <w:w w:val="100"/>
          <w:kern w:val="2"/>
          <w:position w:val="0"/>
          <w:sz w:val="24"/>
          <w:szCs w:val="24"/>
          <w:highlight w:val="none"/>
          <w:lang w:val="en-US" w:eastAsia="zh-CN" w:bidi="ar-SA"/>
        </w:rPr>
      </w:pPr>
      <w:r>
        <w:rPr>
          <w:rStyle w:val="53"/>
          <w:rFonts w:hint="eastAsia" w:ascii="宋体" w:hAnsi="宋体" w:eastAsia="宋体" w:cs="宋体"/>
          <w:b w:val="0"/>
          <w:i w:val="0"/>
          <w:iCs w:val="0"/>
          <w:caps w:val="0"/>
          <w:color w:val="auto"/>
          <w:spacing w:val="0"/>
          <w:w w:val="100"/>
          <w:kern w:val="2"/>
          <w:position w:val="0"/>
          <w:sz w:val="24"/>
          <w:szCs w:val="24"/>
          <w:highlight w:val="none"/>
          <w:lang w:val="en-US" w:eastAsia="zh-CN" w:bidi="ar-SA"/>
        </w:rPr>
        <w:t>3.各供应商在开标前应确保成为新疆政府采购网正式注册入库供应商，并完成CA数字证书申领。因未注册入库、未办理CA数字证书等原因造成无法投标或投标失败等后果由供应商自行承担。</w:t>
      </w:r>
    </w:p>
    <w:p w14:paraId="773AC02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Style w:val="53"/>
          <w:rFonts w:hint="eastAsia" w:ascii="宋体" w:hAnsi="宋体" w:eastAsia="宋体" w:cs="宋体"/>
          <w:b w:val="0"/>
          <w:i w:val="0"/>
          <w:iCs w:val="0"/>
          <w:caps w:val="0"/>
          <w:color w:val="auto"/>
          <w:spacing w:val="0"/>
          <w:w w:val="100"/>
          <w:kern w:val="2"/>
          <w:position w:val="0"/>
          <w:sz w:val="24"/>
          <w:szCs w:val="24"/>
          <w:highlight w:val="none"/>
          <w:lang w:val="en-US" w:eastAsia="zh-CN" w:bidi="ar-SA"/>
        </w:rPr>
      </w:pPr>
      <w:r>
        <w:rPr>
          <w:rStyle w:val="53"/>
          <w:rFonts w:hint="eastAsia" w:ascii="宋体" w:hAnsi="宋体" w:eastAsia="宋体" w:cs="宋体"/>
          <w:b w:val="0"/>
          <w:i w:val="0"/>
          <w:iCs w:val="0"/>
          <w:caps w:val="0"/>
          <w:color w:val="auto"/>
          <w:spacing w:val="0"/>
          <w:w w:val="100"/>
          <w:kern w:val="2"/>
          <w:position w:val="0"/>
          <w:sz w:val="24"/>
          <w:szCs w:val="24"/>
          <w:highlight w:val="none"/>
          <w:lang w:val="en-US" w:eastAsia="zh-CN" w:bidi="ar-SA"/>
        </w:rPr>
        <w:t>4.供应商将政采云电子交易客户端下载、安装完成后，可通过账号密码或CA登录客户端进行投标投标文件制作。在使用政采云投标客户端时，建议使用WIN7及以上操作系统。客户端请至政采云平台（https://login.zcygov.cn/user-login/#/login）下载专区查看。</w:t>
      </w:r>
    </w:p>
    <w:p w14:paraId="7B650E5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Style w:val="53"/>
          <w:rFonts w:hint="eastAsia" w:ascii="宋体" w:hAnsi="宋体" w:eastAsia="宋体" w:cs="宋体"/>
          <w:b w:val="0"/>
          <w:i w:val="0"/>
          <w:iCs w:val="0"/>
          <w:caps w:val="0"/>
          <w:color w:val="auto"/>
          <w:spacing w:val="0"/>
          <w:w w:val="100"/>
          <w:kern w:val="2"/>
          <w:position w:val="0"/>
          <w:sz w:val="24"/>
          <w:szCs w:val="24"/>
          <w:highlight w:val="none"/>
          <w:lang w:val="en-US" w:eastAsia="zh-CN" w:bidi="ar-SA"/>
        </w:rPr>
      </w:pPr>
      <w:r>
        <w:rPr>
          <w:rStyle w:val="53"/>
          <w:rFonts w:hint="eastAsia" w:ascii="宋体" w:hAnsi="宋体" w:eastAsia="宋体" w:cs="宋体"/>
          <w:b w:val="0"/>
          <w:i w:val="0"/>
          <w:iCs w:val="0"/>
          <w:caps w:val="0"/>
          <w:color w:val="auto"/>
          <w:spacing w:val="0"/>
          <w:w w:val="100"/>
          <w:kern w:val="2"/>
          <w:position w:val="0"/>
          <w:sz w:val="24"/>
          <w:szCs w:val="24"/>
          <w:highlight w:val="none"/>
          <w:lang w:val="en-US" w:eastAsia="zh-CN" w:bidi="ar-SA"/>
        </w:rPr>
        <w:t>5.供应商在开标时须使用制作加密电子投标投标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p>
    <w:p w14:paraId="544D8C6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Style w:val="53"/>
          <w:rFonts w:hint="eastAsia" w:ascii="宋体" w:hAnsi="宋体" w:eastAsia="宋体" w:cs="宋体"/>
          <w:b w:val="0"/>
          <w:i w:val="0"/>
          <w:iCs w:val="0"/>
          <w:caps w:val="0"/>
          <w:color w:val="auto"/>
          <w:spacing w:val="0"/>
          <w:w w:val="100"/>
          <w:kern w:val="2"/>
          <w:position w:val="0"/>
          <w:sz w:val="24"/>
          <w:szCs w:val="24"/>
          <w:highlight w:val="none"/>
          <w:lang w:val="en-US" w:eastAsia="zh-CN" w:bidi="ar-SA"/>
        </w:rPr>
      </w:pPr>
      <w:r>
        <w:rPr>
          <w:rStyle w:val="53"/>
          <w:rFonts w:hint="eastAsia" w:ascii="宋体" w:hAnsi="宋体" w:eastAsia="宋体" w:cs="宋体"/>
          <w:b w:val="0"/>
          <w:i w:val="0"/>
          <w:iCs w:val="0"/>
          <w:caps w:val="0"/>
          <w:color w:val="auto"/>
          <w:spacing w:val="0"/>
          <w:w w:val="100"/>
          <w:kern w:val="2"/>
          <w:position w:val="0"/>
          <w:sz w:val="24"/>
          <w:szCs w:val="24"/>
          <w:highlight w:val="none"/>
          <w:lang w:val="en-US" w:eastAsia="zh-CN" w:bidi="ar-SA"/>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294F42C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八、凡对本次招标提出询问，请按以下方式联系</w:t>
      </w:r>
    </w:p>
    <w:p w14:paraId="10AF723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1.采购人信息</w:t>
      </w:r>
    </w:p>
    <w:p w14:paraId="667E5D4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名称：</w:t>
      </w:r>
      <w:r>
        <w:rPr>
          <w:rFonts w:hint="eastAsia" w:ascii="宋体" w:hAnsi="宋体" w:eastAsia="宋体" w:cs="宋体"/>
          <w:color w:val="auto"/>
          <w:spacing w:val="0"/>
          <w:position w:val="0"/>
          <w:sz w:val="24"/>
          <w:szCs w:val="24"/>
          <w:highlight w:val="none"/>
          <w:lang w:eastAsia="zh-CN"/>
        </w:rPr>
        <w:t>新疆维吾尔自治区生态环境监测总站</w:t>
      </w:r>
      <w:r>
        <w:rPr>
          <w:rFonts w:hint="eastAsia" w:ascii="宋体" w:hAnsi="宋体" w:eastAsia="宋体" w:cs="宋体"/>
          <w:color w:val="auto"/>
          <w:spacing w:val="0"/>
          <w:position w:val="0"/>
          <w:sz w:val="24"/>
          <w:szCs w:val="24"/>
          <w:highlight w:val="none"/>
        </w:rPr>
        <w:t xml:space="preserve">  </w:t>
      </w:r>
    </w:p>
    <w:p w14:paraId="347888D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地址：</w:t>
      </w:r>
      <w:r>
        <w:rPr>
          <w:rFonts w:hint="eastAsia" w:ascii="宋体" w:hAnsi="宋体" w:eastAsia="宋体" w:cs="宋体"/>
          <w:color w:val="auto"/>
          <w:sz w:val="24"/>
          <w:highlight w:val="none"/>
        </w:rPr>
        <w:t>新疆乌鲁木齐市高新区（新市区）二工乡空港三街1818号</w:t>
      </w:r>
    </w:p>
    <w:p w14:paraId="2A854CA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联系方式：</w:t>
      </w:r>
      <w:r>
        <w:rPr>
          <w:rFonts w:hint="eastAsia" w:ascii="宋体" w:hAnsi="宋体" w:eastAsia="宋体" w:cs="宋体"/>
          <w:color w:val="auto"/>
          <w:sz w:val="24"/>
          <w:highlight w:val="none"/>
          <w:lang w:val="en-US" w:eastAsia="zh-CN"/>
        </w:rPr>
        <w:t xml:space="preserve">杨焕明 </w:t>
      </w:r>
      <w:r>
        <w:rPr>
          <w:rFonts w:hint="eastAsia" w:ascii="宋体" w:hAnsi="宋体" w:eastAsia="宋体" w:cs="宋体"/>
          <w:color w:val="auto"/>
          <w:sz w:val="24"/>
          <w:szCs w:val="24"/>
          <w:highlight w:val="none"/>
        </w:rPr>
        <w:t>18999179586</w:t>
      </w:r>
    </w:p>
    <w:p w14:paraId="764E571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2.采购代理机构信息</w:t>
      </w:r>
    </w:p>
    <w:p w14:paraId="108BECB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名 称：</w:t>
      </w:r>
      <w:r>
        <w:rPr>
          <w:rFonts w:hint="eastAsia" w:ascii="宋体" w:hAnsi="宋体" w:eastAsia="宋体" w:cs="宋体"/>
          <w:color w:val="auto"/>
          <w:spacing w:val="0"/>
          <w:position w:val="0"/>
          <w:sz w:val="24"/>
          <w:szCs w:val="24"/>
          <w:highlight w:val="none"/>
          <w:lang w:eastAsia="zh-CN"/>
        </w:rPr>
        <w:t>新疆晟业逸腾项目管理有限责任公司</w:t>
      </w:r>
    </w:p>
    <w:p w14:paraId="4558E8E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地 址：新疆乌鲁木齐市米东区稻香北路1195号1幢201室</w:t>
      </w:r>
      <w:r>
        <w:rPr>
          <w:rFonts w:hint="eastAsia" w:ascii="宋体" w:hAnsi="宋体" w:eastAsia="宋体" w:cs="宋体"/>
          <w:color w:val="auto"/>
          <w:spacing w:val="0"/>
          <w:position w:val="0"/>
          <w:sz w:val="24"/>
          <w:szCs w:val="24"/>
          <w:highlight w:val="none"/>
          <w:lang w:eastAsia="zh-CN"/>
        </w:rPr>
        <w:t> </w:t>
      </w:r>
    </w:p>
    <w:p w14:paraId="5350B33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rPr>
        <w:t>联系方式：</w:t>
      </w:r>
      <w:r>
        <w:rPr>
          <w:rFonts w:hint="eastAsia" w:ascii="宋体" w:hAnsi="宋体" w:eastAsia="宋体" w:cs="宋体"/>
          <w:color w:val="auto"/>
          <w:spacing w:val="0"/>
          <w:position w:val="0"/>
          <w:sz w:val="24"/>
          <w:szCs w:val="24"/>
          <w:highlight w:val="none"/>
          <w:lang w:val="en-US" w:eastAsia="zh-CN"/>
        </w:rPr>
        <w:t>杨乐13809959953</w:t>
      </w:r>
    </w:p>
    <w:p w14:paraId="040B26CC">
      <w:pPr>
        <w:rPr>
          <w:rFonts w:hint="eastAsia" w:ascii="宋体" w:hAnsi="宋体" w:eastAsia="宋体" w:cs="宋体"/>
          <w:color w:val="auto"/>
          <w:sz w:val="20"/>
          <w:highlight w:val="none"/>
        </w:rPr>
      </w:pPr>
    </w:p>
    <w:p w14:paraId="3BE7BCA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FFB9C70">
      <w:pPr>
        <w:pStyle w:val="18"/>
        <w:tabs>
          <w:tab w:val="left" w:pos="0"/>
        </w:tabs>
        <w:spacing w:line="240" w:lineRule="auto"/>
        <w:ind w:left="0" w:leftChars="0" w:firstLine="0" w:firstLineChars="0"/>
        <w:jc w:val="center"/>
        <w:outlineLvl w:val="0"/>
        <w:rPr>
          <w:rFonts w:hint="eastAsia" w:ascii="宋体" w:hAnsi="宋体" w:eastAsia="宋体" w:cs="宋体"/>
          <w:color w:val="auto"/>
          <w:sz w:val="20"/>
          <w:highlight w:val="none"/>
        </w:rPr>
      </w:pPr>
      <w:bookmarkStart w:id="4" w:name="_Toc503463617"/>
      <w:bookmarkStart w:id="5" w:name="_Toc256000001"/>
      <w:r>
        <w:rPr>
          <w:rFonts w:hint="eastAsia" w:ascii="宋体" w:hAnsi="宋体" w:eastAsia="宋体" w:cs="宋体"/>
          <w:b/>
          <w:color w:val="auto"/>
          <w:sz w:val="36"/>
          <w:highlight w:val="none"/>
        </w:rPr>
        <w:t>第二部分  投标人须知</w:t>
      </w:r>
      <w:bookmarkEnd w:id="4"/>
      <w:bookmarkEnd w:id="5"/>
      <w:bookmarkStart w:id="6" w:name="EBa8d2f72bef714875b4f7f1dcbc2ec5b5"/>
    </w:p>
    <w:p w14:paraId="2E273530">
      <w:pPr>
        <w:pStyle w:val="139"/>
        <w:spacing w:line="500" w:lineRule="exact"/>
        <w:outlineLvl w:val="1"/>
        <w:rPr>
          <w:rFonts w:hint="eastAsia" w:ascii="宋体" w:hAnsi="宋体" w:eastAsia="宋体" w:cs="宋体"/>
          <w:b/>
          <w:bCs/>
          <w:color w:val="auto"/>
          <w:sz w:val="28"/>
          <w:szCs w:val="28"/>
          <w:highlight w:val="none"/>
        </w:rPr>
      </w:pPr>
      <w:bookmarkStart w:id="7" w:name="_Toc256000002"/>
      <w:r>
        <w:rPr>
          <w:rFonts w:hint="eastAsia" w:ascii="宋体" w:hAnsi="宋体" w:eastAsia="宋体" w:cs="宋体"/>
          <w:b/>
          <w:bCs/>
          <w:color w:val="auto"/>
          <w:sz w:val="28"/>
          <w:szCs w:val="28"/>
          <w:highlight w:val="none"/>
        </w:rPr>
        <w:t>投标人须知前附表</w:t>
      </w:r>
      <w:bookmarkEnd w:id="7"/>
    </w:p>
    <w:tbl>
      <w:tblPr>
        <w:tblStyle w:val="38"/>
        <w:tblW w:w="9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664"/>
        <w:gridCol w:w="6203"/>
      </w:tblGrid>
      <w:tr w14:paraId="0A0B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6786AEED">
            <w:pPr>
              <w:pStyle w:val="139"/>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2664" w:type="dxa"/>
            <w:tcBorders>
              <w:top w:val="single" w:color="auto" w:sz="4" w:space="0"/>
              <w:left w:val="nil"/>
              <w:bottom w:val="single" w:color="auto" w:sz="4" w:space="0"/>
              <w:right w:val="single" w:color="auto" w:sz="4" w:space="0"/>
            </w:tcBorders>
            <w:noWrap w:val="0"/>
            <w:vAlign w:val="center"/>
          </w:tcPr>
          <w:p w14:paraId="0D896168">
            <w:pPr>
              <w:pStyle w:val="139"/>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内容</w:t>
            </w:r>
          </w:p>
        </w:tc>
        <w:tc>
          <w:tcPr>
            <w:tcW w:w="6203" w:type="dxa"/>
            <w:tcBorders>
              <w:top w:val="single" w:color="auto" w:sz="4" w:space="0"/>
              <w:left w:val="nil"/>
              <w:bottom w:val="single" w:color="auto" w:sz="4" w:space="0"/>
              <w:right w:val="single" w:color="auto" w:sz="4" w:space="0"/>
            </w:tcBorders>
            <w:noWrap w:val="0"/>
            <w:vAlign w:val="center"/>
          </w:tcPr>
          <w:p w14:paraId="5145F83A">
            <w:pPr>
              <w:pStyle w:val="158"/>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说明与要求</w:t>
            </w:r>
          </w:p>
        </w:tc>
      </w:tr>
      <w:tr w14:paraId="493EB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5BBD1BAD">
            <w:pPr>
              <w:pStyle w:val="139"/>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p>
        </w:tc>
        <w:tc>
          <w:tcPr>
            <w:tcW w:w="2664" w:type="dxa"/>
            <w:tcBorders>
              <w:top w:val="single" w:color="auto" w:sz="4" w:space="0"/>
              <w:left w:val="nil"/>
              <w:bottom w:val="single" w:color="auto" w:sz="4" w:space="0"/>
              <w:right w:val="single" w:color="auto" w:sz="4" w:space="0"/>
            </w:tcBorders>
            <w:noWrap w:val="0"/>
            <w:vAlign w:val="center"/>
          </w:tcPr>
          <w:p w14:paraId="72719F91">
            <w:pPr>
              <w:pStyle w:val="158"/>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203" w:type="dxa"/>
            <w:tcBorders>
              <w:top w:val="single" w:color="auto" w:sz="4" w:space="0"/>
              <w:left w:val="nil"/>
              <w:bottom w:val="single" w:color="auto" w:sz="4" w:space="0"/>
              <w:right w:val="single" w:color="auto" w:sz="4" w:space="0"/>
            </w:tcBorders>
            <w:noWrap w:val="0"/>
            <w:vAlign w:val="center"/>
          </w:tcPr>
          <w:p w14:paraId="2C2E8747">
            <w:pPr>
              <w:pStyle w:val="139"/>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u w:val="none"/>
                <w:lang w:eastAsia="zh-CN"/>
              </w:rPr>
              <w:t>大气组分站运维服务项目</w:t>
            </w:r>
          </w:p>
        </w:tc>
      </w:tr>
      <w:tr w14:paraId="6080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580CAEEE">
            <w:pPr>
              <w:pStyle w:val="139"/>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w:t>
            </w:r>
          </w:p>
        </w:tc>
        <w:tc>
          <w:tcPr>
            <w:tcW w:w="2664" w:type="dxa"/>
            <w:tcBorders>
              <w:top w:val="single" w:color="auto" w:sz="4" w:space="0"/>
              <w:left w:val="nil"/>
              <w:bottom w:val="single" w:color="auto" w:sz="4" w:space="0"/>
              <w:right w:val="single" w:color="auto" w:sz="4" w:space="0"/>
            </w:tcBorders>
            <w:noWrap w:val="0"/>
            <w:vAlign w:val="center"/>
          </w:tcPr>
          <w:p w14:paraId="3E9BC500">
            <w:pPr>
              <w:pStyle w:val="142"/>
              <w:keepNext w:val="0"/>
              <w:keepLines w:val="0"/>
              <w:pageBreakBefore w:val="0"/>
              <w:numPr>
                <w:ilvl w:val="0"/>
                <w:numId w:val="0"/>
              </w:numPr>
              <w:suppressLineNumbers w:val="0"/>
              <w:kinsoku/>
              <w:overflowPunct/>
              <w:topLinePunct w:val="0"/>
              <w:bidi w:val="0"/>
              <w:snapToGrid/>
              <w:spacing w:before="0" w:beforeAutospacing="0" w:after="0" w:afterAutospacing="0" w:line="440" w:lineRule="exact"/>
              <w:ind w:left="0" w:leftChars="0" w:right="0" w:rightChars="0" w:firstLine="0" w:firstLineChars="0"/>
              <w:jc w:val="center"/>
              <w:outlineLvl w:val="9"/>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bCs w:val="0"/>
                <w:color w:val="auto"/>
                <w:spacing w:val="0"/>
                <w:position w:val="0"/>
                <w:sz w:val="24"/>
                <w:szCs w:val="24"/>
                <w:highlight w:val="none"/>
                <w:u w:val="none"/>
              </w:rPr>
              <w:t>采购人</w:t>
            </w:r>
          </w:p>
        </w:tc>
        <w:tc>
          <w:tcPr>
            <w:tcW w:w="6203" w:type="dxa"/>
            <w:tcBorders>
              <w:top w:val="single" w:color="auto" w:sz="4" w:space="0"/>
              <w:left w:val="nil"/>
              <w:bottom w:val="single" w:color="auto" w:sz="4" w:space="0"/>
              <w:right w:val="single" w:color="auto" w:sz="4" w:space="0"/>
            </w:tcBorders>
            <w:noWrap w:val="0"/>
            <w:vAlign w:val="center"/>
          </w:tcPr>
          <w:p w14:paraId="4683B22C">
            <w:pPr>
              <w:keepNext w:val="0"/>
              <w:keepLines w:val="0"/>
              <w:pageBreakBefore w:val="0"/>
              <w:suppressLineNumbers w:val="0"/>
              <w:kinsoku/>
              <w:overflowPunct/>
              <w:topLinePunct w:val="0"/>
              <w:bidi w:val="0"/>
              <w:snapToGrid/>
              <w:spacing w:before="0" w:beforeAutospacing="0" w:after="0" w:afterAutospacing="0" w:line="440" w:lineRule="exact"/>
              <w:ind w:left="0" w:right="0" w:firstLine="0" w:firstLineChars="0"/>
              <w:jc w:val="both"/>
              <w:rPr>
                <w:rFonts w:hint="eastAsia" w:ascii="宋体" w:hAnsi="宋体" w:eastAsia="宋体" w:cs="宋体"/>
                <w:color w:val="auto"/>
                <w:kern w:val="0"/>
                <w:sz w:val="24"/>
                <w:szCs w:val="24"/>
                <w:highlight w:val="none"/>
                <w:u w:val="single"/>
                <w:lang w:val="en-US" w:eastAsia="zh-CN"/>
              </w:rPr>
            </w:pPr>
            <w:r>
              <w:rPr>
                <w:rFonts w:hint="eastAsia" w:asciiTheme="minorEastAsia" w:hAnsiTheme="minorEastAsia" w:eastAsiaTheme="minorEastAsia" w:cstheme="minorEastAsia"/>
                <w:color w:val="auto"/>
                <w:spacing w:val="0"/>
                <w:position w:val="0"/>
                <w:sz w:val="24"/>
                <w:szCs w:val="24"/>
                <w:highlight w:val="none"/>
                <w:u w:val="none"/>
                <w:lang w:eastAsia="zh-CN"/>
              </w:rPr>
              <w:t>新疆维吾尔自治区生态环境监测总站</w:t>
            </w:r>
          </w:p>
        </w:tc>
      </w:tr>
      <w:tr w14:paraId="7262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520A999D">
            <w:pPr>
              <w:pStyle w:val="139"/>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w:t>
            </w:r>
          </w:p>
        </w:tc>
        <w:tc>
          <w:tcPr>
            <w:tcW w:w="2664" w:type="dxa"/>
            <w:tcBorders>
              <w:top w:val="single" w:color="auto" w:sz="4" w:space="0"/>
              <w:left w:val="nil"/>
              <w:bottom w:val="single" w:color="auto" w:sz="4" w:space="0"/>
              <w:right w:val="single" w:color="auto" w:sz="4" w:space="0"/>
            </w:tcBorders>
            <w:noWrap w:val="0"/>
            <w:vAlign w:val="center"/>
          </w:tcPr>
          <w:p w14:paraId="152EA3FD">
            <w:pPr>
              <w:keepNext w:val="0"/>
              <w:keepLines w:val="0"/>
              <w:pageBreakBefore w:val="0"/>
              <w:suppressLineNumbers w:val="0"/>
              <w:kinsoku/>
              <w:overflowPunct/>
              <w:topLinePunct w:val="0"/>
              <w:bidi w:val="0"/>
              <w:snapToGrid/>
              <w:spacing w:before="0" w:beforeAutospacing="0" w:after="0" w:afterAutospacing="0" w:line="440" w:lineRule="exact"/>
              <w:ind w:left="0" w:leftChars="0" w:right="0" w:rightChars="0" w:firstLine="0" w:firstLineChars="0"/>
              <w:jc w:val="center"/>
              <w:rPr>
                <w:rFonts w:hint="eastAsia" w:ascii="宋体" w:hAnsi="宋体" w:eastAsia="宋体" w:cs="宋体"/>
                <w:b/>
                <w:bCs/>
                <w:color w:val="auto"/>
                <w:kern w:val="0"/>
                <w:sz w:val="24"/>
                <w:szCs w:val="24"/>
                <w:highlight w:val="none"/>
              </w:rPr>
            </w:pPr>
            <w:r>
              <w:rPr>
                <w:rFonts w:hint="eastAsia" w:asciiTheme="minorEastAsia" w:hAnsiTheme="minorEastAsia" w:eastAsiaTheme="minorEastAsia" w:cstheme="minorEastAsia"/>
                <w:b/>
                <w:color w:val="auto"/>
                <w:spacing w:val="0"/>
                <w:kern w:val="0"/>
                <w:position w:val="0"/>
                <w:sz w:val="24"/>
                <w:szCs w:val="24"/>
                <w:highlight w:val="none"/>
                <w:u w:val="none"/>
              </w:rPr>
              <w:t>采购代理机构</w:t>
            </w:r>
          </w:p>
        </w:tc>
        <w:tc>
          <w:tcPr>
            <w:tcW w:w="6203" w:type="dxa"/>
            <w:tcBorders>
              <w:top w:val="single" w:color="auto" w:sz="4" w:space="0"/>
              <w:left w:val="nil"/>
              <w:bottom w:val="single" w:color="auto" w:sz="4" w:space="0"/>
              <w:right w:val="single" w:color="auto" w:sz="4" w:space="0"/>
            </w:tcBorders>
            <w:noWrap w:val="0"/>
            <w:vAlign w:val="center"/>
          </w:tcPr>
          <w:p w14:paraId="57176B09">
            <w:pPr>
              <w:keepNext w:val="0"/>
              <w:keepLines w:val="0"/>
              <w:pageBreakBefore w:val="0"/>
              <w:widowControl/>
              <w:suppressLineNumbers w:val="0"/>
              <w:kinsoku/>
              <w:overflowPunct/>
              <w:topLinePunct w:val="0"/>
              <w:bidi w:val="0"/>
              <w:snapToGrid/>
              <w:spacing w:before="0" w:beforeAutospacing="0" w:after="0" w:afterAutospacing="0" w:line="440" w:lineRule="exact"/>
              <w:ind w:left="0" w:right="0" w:firstLine="0" w:firstLineChars="0"/>
              <w:jc w:val="both"/>
              <w:rPr>
                <w:rFonts w:hint="eastAsia" w:ascii="宋体" w:hAnsi="宋体" w:eastAsia="宋体" w:cs="宋体"/>
                <w:color w:val="auto"/>
                <w:sz w:val="24"/>
                <w:szCs w:val="24"/>
                <w:highlight w:val="none"/>
                <w:u w:val="single"/>
              </w:rPr>
            </w:pPr>
            <w:r>
              <w:rPr>
                <w:rFonts w:hint="eastAsia" w:asciiTheme="minorEastAsia" w:hAnsiTheme="minorEastAsia" w:eastAsiaTheme="minorEastAsia" w:cstheme="minorEastAsia"/>
                <w:color w:val="auto"/>
                <w:spacing w:val="0"/>
                <w:position w:val="0"/>
                <w:sz w:val="24"/>
                <w:szCs w:val="24"/>
                <w:highlight w:val="none"/>
                <w:u w:val="none"/>
                <w:lang w:eastAsia="zh-CN"/>
              </w:rPr>
              <w:t>新疆晟业逸腾项目管理有限责任公司</w:t>
            </w:r>
            <w:r>
              <w:rPr>
                <w:rFonts w:hint="eastAsia" w:asciiTheme="minorEastAsia" w:hAnsiTheme="minorEastAsia" w:eastAsiaTheme="minorEastAsia" w:cstheme="minorEastAsia"/>
                <w:color w:val="auto"/>
                <w:spacing w:val="0"/>
                <w:position w:val="0"/>
                <w:sz w:val="24"/>
                <w:szCs w:val="24"/>
                <w:highlight w:val="none"/>
                <w:u w:val="none"/>
              </w:rPr>
              <w:t xml:space="preserve">                                  </w:t>
            </w:r>
          </w:p>
        </w:tc>
      </w:tr>
      <w:tr w14:paraId="27DB4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0CBF58B0">
            <w:pPr>
              <w:pStyle w:val="139"/>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4</w:t>
            </w:r>
          </w:p>
        </w:tc>
        <w:tc>
          <w:tcPr>
            <w:tcW w:w="2664" w:type="dxa"/>
            <w:tcBorders>
              <w:top w:val="single" w:color="auto" w:sz="4" w:space="0"/>
              <w:left w:val="nil"/>
              <w:bottom w:val="single" w:color="auto" w:sz="4" w:space="0"/>
              <w:right w:val="single" w:color="auto" w:sz="4" w:space="0"/>
            </w:tcBorders>
            <w:noWrap w:val="0"/>
            <w:vAlign w:val="center"/>
          </w:tcPr>
          <w:p w14:paraId="417BBBB1">
            <w:pPr>
              <w:pStyle w:val="139"/>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采购内容</w:t>
            </w:r>
          </w:p>
        </w:tc>
        <w:tc>
          <w:tcPr>
            <w:tcW w:w="6203" w:type="dxa"/>
            <w:tcBorders>
              <w:top w:val="single" w:color="auto" w:sz="4" w:space="0"/>
              <w:left w:val="nil"/>
              <w:bottom w:val="single" w:color="auto" w:sz="4" w:space="0"/>
              <w:right w:val="single" w:color="auto" w:sz="4" w:space="0"/>
            </w:tcBorders>
            <w:noWrap w:val="0"/>
            <w:vAlign w:val="center"/>
          </w:tcPr>
          <w:p w14:paraId="392DC14B">
            <w:pPr>
              <w:pStyle w:val="139"/>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大气组分站运维服务</w:t>
            </w:r>
          </w:p>
        </w:tc>
      </w:tr>
      <w:tr w14:paraId="66B61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2E085A91">
            <w:pPr>
              <w:pStyle w:val="139"/>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5</w:t>
            </w:r>
          </w:p>
        </w:tc>
        <w:tc>
          <w:tcPr>
            <w:tcW w:w="2664" w:type="dxa"/>
            <w:tcBorders>
              <w:top w:val="single" w:color="auto" w:sz="4" w:space="0"/>
              <w:left w:val="nil"/>
              <w:bottom w:val="single" w:color="auto" w:sz="4" w:space="0"/>
              <w:right w:val="single" w:color="auto" w:sz="4" w:space="0"/>
            </w:tcBorders>
            <w:noWrap w:val="0"/>
            <w:vAlign w:val="center"/>
          </w:tcPr>
          <w:p w14:paraId="393F252A">
            <w:pPr>
              <w:pStyle w:val="139"/>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投标人资格要求</w:t>
            </w:r>
          </w:p>
        </w:tc>
        <w:tc>
          <w:tcPr>
            <w:tcW w:w="6203" w:type="dxa"/>
            <w:tcBorders>
              <w:top w:val="single" w:color="auto" w:sz="4" w:space="0"/>
              <w:left w:val="nil"/>
              <w:bottom w:val="single" w:color="auto" w:sz="4" w:space="0"/>
              <w:right w:val="single" w:color="auto" w:sz="4" w:space="0"/>
            </w:tcBorders>
            <w:noWrap w:val="0"/>
            <w:vAlign w:val="center"/>
          </w:tcPr>
          <w:p w14:paraId="6E2C3A27">
            <w:pPr>
              <w:pStyle w:val="1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highlight w:val="none"/>
                <w:u w:val="none"/>
              </w:rPr>
            </w:pPr>
            <w:bookmarkStart w:id="8" w:name="EB7907836f74a6455bb75d2ff8b438afad"/>
            <w:bookmarkEnd w:id="8"/>
            <w:r>
              <w:rPr>
                <w:rFonts w:hint="eastAsia" w:ascii="宋体" w:hAnsi="宋体" w:eastAsia="宋体" w:cs="宋体"/>
                <w:color w:val="auto"/>
                <w:sz w:val="24"/>
                <w:szCs w:val="24"/>
                <w:highlight w:val="none"/>
                <w:u w:val="none"/>
              </w:rPr>
              <w:t>1.满足《中华人民共和国政府采购法》第二十二条规定；</w:t>
            </w:r>
          </w:p>
          <w:p w14:paraId="08D14005">
            <w:pPr>
              <w:pStyle w:val="1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2.落实政府采购政策需满足的资格要求：</w:t>
            </w:r>
            <w:r>
              <w:rPr>
                <w:rFonts w:hint="eastAsia" w:ascii="宋体" w:hAnsi="宋体" w:eastAsia="宋体" w:cs="宋体"/>
                <w:color w:val="auto"/>
                <w:sz w:val="24"/>
                <w:highlight w:val="none"/>
              </w:rPr>
              <w:t>专门面向中小企业采购项目</w:t>
            </w:r>
          </w:p>
          <w:p w14:paraId="370407BD">
            <w:pPr>
              <w:pStyle w:val="1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3.本项目的特定资格要求：/</w:t>
            </w:r>
          </w:p>
        </w:tc>
      </w:tr>
      <w:tr w14:paraId="6F58A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09A0E0D1">
            <w:pPr>
              <w:pStyle w:val="139"/>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val="en-US" w:eastAsia="zh-CN"/>
              </w:rPr>
              <w:t>6</w:t>
            </w:r>
          </w:p>
        </w:tc>
        <w:tc>
          <w:tcPr>
            <w:tcW w:w="2664" w:type="dxa"/>
            <w:tcBorders>
              <w:top w:val="single" w:color="auto" w:sz="4" w:space="0"/>
              <w:left w:val="nil"/>
              <w:bottom w:val="single" w:color="auto" w:sz="4" w:space="0"/>
              <w:right w:val="single" w:color="auto" w:sz="4" w:space="0"/>
            </w:tcBorders>
            <w:noWrap w:val="0"/>
            <w:vAlign w:val="center"/>
          </w:tcPr>
          <w:p w14:paraId="66482376">
            <w:pPr>
              <w:pStyle w:val="139"/>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是否允许联合体投标</w:t>
            </w:r>
          </w:p>
        </w:tc>
        <w:tc>
          <w:tcPr>
            <w:tcW w:w="6203" w:type="dxa"/>
            <w:tcBorders>
              <w:top w:val="single" w:color="auto" w:sz="4" w:space="0"/>
              <w:left w:val="nil"/>
              <w:bottom w:val="single" w:color="auto" w:sz="4" w:space="0"/>
              <w:right w:val="single" w:color="auto" w:sz="4" w:space="0"/>
            </w:tcBorders>
            <w:noWrap w:val="0"/>
            <w:vAlign w:val="center"/>
          </w:tcPr>
          <w:p w14:paraId="3A85A314">
            <w:pPr>
              <w:pStyle w:val="139"/>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color w:val="auto"/>
                <w:kern w:val="0"/>
                <w:sz w:val="24"/>
                <w:szCs w:val="24"/>
                <w:highlight w:val="none"/>
                <w:u w:val="single"/>
              </w:rPr>
            </w:pPr>
            <w:bookmarkStart w:id="9" w:name="EBc6ac0877da194e1ead2e51743a97925a"/>
            <w:bookmarkEnd w:id="9"/>
            <w:r>
              <w:rPr>
                <w:rFonts w:hint="eastAsia" w:ascii="宋体" w:hAnsi="宋体" w:eastAsia="宋体" w:cs="宋体"/>
                <w:color w:val="auto"/>
                <w:kern w:val="0"/>
                <w:sz w:val="24"/>
                <w:szCs w:val="24"/>
                <w:highlight w:val="none"/>
              </w:rPr>
              <w:t>否</w:t>
            </w:r>
          </w:p>
        </w:tc>
      </w:tr>
      <w:tr w14:paraId="38C1B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2CC7A4D7">
            <w:pPr>
              <w:pStyle w:val="139"/>
              <w:keepNext w:val="0"/>
              <w:keepLines w:val="0"/>
              <w:suppressLineNumbers w:val="0"/>
              <w:spacing w:before="0" w:beforeAutospacing="0" w:after="0" w:afterAutospacing="0" w:line="360" w:lineRule="auto"/>
              <w:ind w:left="0" w:right="0"/>
              <w:jc w:val="center"/>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7</w:t>
            </w:r>
          </w:p>
        </w:tc>
        <w:tc>
          <w:tcPr>
            <w:tcW w:w="2664" w:type="dxa"/>
            <w:tcBorders>
              <w:top w:val="single" w:color="auto" w:sz="4" w:space="0"/>
              <w:left w:val="nil"/>
              <w:bottom w:val="single" w:color="auto" w:sz="4" w:space="0"/>
              <w:right w:val="single" w:color="auto" w:sz="4" w:space="0"/>
            </w:tcBorders>
            <w:noWrap w:val="0"/>
            <w:vAlign w:val="center"/>
          </w:tcPr>
          <w:p w14:paraId="4AB1299C">
            <w:pPr>
              <w:keepNext w:val="0"/>
              <w:keepLines w:val="0"/>
              <w:pageBreakBefore w:val="0"/>
              <w:suppressLineNumbers w:val="0"/>
              <w:kinsoku/>
              <w:overflowPunct/>
              <w:topLinePunct w:val="0"/>
              <w:bidi w:val="0"/>
              <w:adjustRightInd w:val="0"/>
              <w:snapToGrid w:val="0"/>
              <w:spacing w:before="0" w:beforeAutospacing="0" w:after="0" w:afterAutospacing="0" w:line="440" w:lineRule="exact"/>
              <w:ind w:left="0" w:leftChars="0" w:right="0" w:firstLine="0" w:firstLineChars="0"/>
              <w:jc w:val="center"/>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position w:val="0"/>
                <w:sz w:val="24"/>
                <w:szCs w:val="24"/>
                <w:highlight w:val="none"/>
                <w:lang w:val="en-US" w:eastAsia="zh-CN"/>
              </w:rPr>
              <w:t>最高限价</w:t>
            </w:r>
          </w:p>
        </w:tc>
        <w:tc>
          <w:tcPr>
            <w:tcW w:w="6203" w:type="dxa"/>
            <w:tcBorders>
              <w:top w:val="single" w:color="auto" w:sz="4" w:space="0"/>
              <w:left w:val="nil"/>
              <w:bottom w:val="single" w:color="auto" w:sz="4" w:space="0"/>
              <w:right w:val="single" w:color="auto" w:sz="4" w:space="0"/>
            </w:tcBorders>
            <w:noWrap w:val="0"/>
            <w:vAlign w:val="center"/>
          </w:tcPr>
          <w:p w14:paraId="11678A4B">
            <w:pPr>
              <w:keepNext w:val="0"/>
              <w:keepLines w:val="0"/>
              <w:pageBreakBefore w:val="0"/>
              <w:suppressLineNumbers w:val="0"/>
              <w:kinsoku/>
              <w:overflowPunct/>
              <w:topLinePunct w:val="0"/>
              <w:bidi w:val="0"/>
              <w:adjustRightInd w:val="0"/>
              <w:snapToGrid w:val="0"/>
              <w:spacing w:before="0" w:beforeAutospacing="0" w:after="0" w:afterAutospacing="0" w:line="440" w:lineRule="exact"/>
              <w:ind w:left="0" w:leftChars="0" w:right="0" w:firstLine="0" w:firstLineChars="0"/>
              <w:rPr>
                <w:rFonts w:hint="default" w:ascii="宋体" w:hAnsi="宋体" w:eastAsia="宋体" w:cs="宋体"/>
                <w:color w:val="auto"/>
                <w:spacing w:val="0"/>
                <w:kern w:val="2"/>
                <w:position w:val="0"/>
                <w:sz w:val="24"/>
                <w:szCs w:val="24"/>
                <w:highlight w:val="none"/>
                <w:u w:val="single"/>
                <w:lang w:val="en-US" w:eastAsia="zh-CN" w:bidi="ar-SA"/>
              </w:rPr>
            </w:pPr>
            <w:r>
              <w:rPr>
                <w:rFonts w:hint="eastAsia" w:ascii="宋体" w:hAnsi="宋体" w:eastAsia="宋体" w:cs="宋体"/>
                <w:color w:val="auto"/>
                <w:sz w:val="24"/>
                <w:highlight w:val="none"/>
                <w:lang w:val="en-US" w:eastAsia="zh-CN"/>
              </w:rPr>
              <w:t>305</w:t>
            </w:r>
            <w:r>
              <w:rPr>
                <w:rFonts w:hint="eastAsia" w:ascii="宋体" w:hAnsi="宋体" w:eastAsia="宋体" w:cs="宋体"/>
                <w:color w:val="auto"/>
                <w:sz w:val="24"/>
                <w:highlight w:val="none"/>
                <w:lang w:eastAsia="zh-CN"/>
              </w:rPr>
              <w:t>0000</w:t>
            </w:r>
            <w:r>
              <w:rPr>
                <w:rFonts w:hint="eastAsia" w:ascii="宋体" w:hAnsi="宋体" w:eastAsia="宋体" w:cs="宋体"/>
                <w:color w:val="auto"/>
                <w:spacing w:val="0"/>
                <w:kern w:val="2"/>
                <w:position w:val="0"/>
                <w:sz w:val="24"/>
                <w:szCs w:val="24"/>
                <w:highlight w:val="none"/>
                <w:u w:val="none"/>
                <w:lang w:val="en-US" w:eastAsia="zh-CN" w:bidi="ar-SA"/>
              </w:rPr>
              <w:t>元</w:t>
            </w:r>
          </w:p>
        </w:tc>
      </w:tr>
      <w:tr w14:paraId="41F68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11F3AA90">
            <w:pPr>
              <w:pStyle w:val="139"/>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8</w:t>
            </w:r>
          </w:p>
        </w:tc>
        <w:tc>
          <w:tcPr>
            <w:tcW w:w="2664" w:type="dxa"/>
            <w:tcBorders>
              <w:top w:val="single" w:color="auto" w:sz="4" w:space="0"/>
              <w:left w:val="nil"/>
              <w:bottom w:val="single" w:color="auto" w:sz="4" w:space="0"/>
              <w:right w:val="single" w:color="auto" w:sz="4" w:space="0"/>
            </w:tcBorders>
            <w:noWrap w:val="0"/>
            <w:vAlign w:val="center"/>
          </w:tcPr>
          <w:p w14:paraId="0E9929CC">
            <w:pPr>
              <w:pStyle w:val="139"/>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踏勘现场</w:t>
            </w:r>
          </w:p>
        </w:tc>
        <w:tc>
          <w:tcPr>
            <w:tcW w:w="6203" w:type="dxa"/>
            <w:tcBorders>
              <w:top w:val="single" w:color="auto" w:sz="4" w:space="0"/>
              <w:left w:val="nil"/>
              <w:bottom w:val="single" w:color="auto" w:sz="4" w:space="0"/>
              <w:right w:val="single" w:color="auto" w:sz="4" w:space="0"/>
            </w:tcBorders>
            <w:noWrap w:val="0"/>
            <w:vAlign w:val="center"/>
          </w:tcPr>
          <w:p w14:paraId="7C6CC1E1">
            <w:pPr>
              <w:pStyle w:val="134"/>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color w:val="auto"/>
                <w:kern w:val="0"/>
                <w:sz w:val="24"/>
                <w:szCs w:val="24"/>
                <w:highlight w:val="none"/>
                <w:u w:val="single"/>
              </w:rPr>
            </w:pPr>
            <w:bookmarkStart w:id="10" w:name="EBbb43714198e3424880ac7b30e46e04ef"/>
            <w:bookmarkEnd w:id="10"/>
            <w:r>
              <w:rPr>
                <w:rFonts w:hint="eastAsia" w:ascii="宋体" w:hAnsi="宋体" w:eastAsia="宋体" w:cs="宋体"/>
                <w:color w:val="auto"/>
                <w:kern w:val="0"/>
                <w:sz w:val="24"/>
                <w:szCs w:val="24"/>
                <w:highlight w:val="none"/>
              </w:rPr>
              <w:t>自行踏勘</w:t>
            </w:r>
          </w:p>
        </w:tc>
      </w:tr>
      <w:tr w14:paraId="26406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7EF38F54">
            <w:pPr>
              <w:pStyle w:val="139"/>
              <w:keepNext w:val="0"/>
              <w:keepLines w:val="0"/>
              <w:suppressLineNumbers w:val="0"/>
              <w:spacing w:before="0" w:beforeAutospacing="0" w:after="0" w:afterAutospacing="0" w:line="360" w:lineRule="auto"/>
              <w:ind w:left="0" w:right="0"/>
              <w:jc w:val="center"/>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w:t>
            </w:r>
          </w:p>
        </w:tc>
        <w:tc>
          <w:tcPr>
            <w:tcW w:w="2664" w:type="dxa"/>
            <w:tcBorders>
              <w:top w:val="single" w:color="auto" w:sz="4" w:space="0"/>
              <w:left w:val="nil"/>
              <w:bottom w:val="single" w:color="auto" w:sz="4" w:space="0"/>
              <w:right w:val="single" w:color="auto" w:sz="4" w:space="0"/>
            </w:tcBorders>
            <w:noWrap w:val="0"/>
            <w:vAlign w:val="center"/>
          </w:tcPr>
          <w:p w14:paraId="567BC6EF">
            <w:pPr>
              <w:pStyle w:val="139"/>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投标有效期</w:t>
            </w:r>
          </w:p>
        </w:tc>
        <w:tc>
          <w:tcPr>
            <w:tcW w:w="6203" w:type="dxa"/>
            <w:tcBorders>
              <w:top w:val="single" w:color="auto" w:sz="4" w:space="0"/>
              <w:left w:val="nil"/>
              <w:bottom w:val="single" w:color="auto" w:sz="4" w:space="0"/>
              <w:right w:val="single" w:color="auto" w:sz="4" w:space="0"/>
            </w:tcBorders>
            <w:noWrap w:val="0"/>
            <w:vAlign w:val="center"/>
          </w:tcPr>
          <w:p w14:paraId="60745ABF">
            <w:pPr>
              <w:pStyle w:val="139"/>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自投标截止之日起</w:t>
            </w:r>
            <w:bookmarkStart w:id="11" w:name="EB5a3362fe8fc1402b9d5cafc876bbbffd"/>
            <w:bookmarkEnd w:id="11"/>
            <w:r>
              <w:rPr>
                <w:rFonts w:hint="eastAsia" w:ascii="宋体" w:hAnsi="宋体" w:eastAsia="宋体" w:cs="宋体"/>
                <w:color w:val="auto"/>
                <w:sz w:val="24"/>
                <w:szCs w:val="24"/>
                <w:highlight w:val="none"/>
                <w:u w:val="none"/>
                <w:lang w:val="en-US" w:eastAsia="zh-CN"/>
              </w:rPr>
              <w:t>90</w:t>
            </w:r>
            <w:r>
              <w:rPr>
                <w:rFonts w:hint="eastAsia" w:ascii="宋体" w:hAnsi="宋体" w:eastAsia="宋体" w:cs="宋体"/>
                <w:color w:val="auto"/>
                <w:sz w:val="24"/>
                <w:szCs w:val="24"/>
                <w:highlight w:val="none"/>
              </w:rPr>
              <w:t>日历天。</w:t>
            </w:r>
          </w:p>
        </w:tc>
      </w:tr>
      <w:tr w14:paraId="77987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468C4917">
            <w:pPr>
              <w:pStyle w:val="139"/>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p>
        </w:tc>
        <w:tc>
          <w:tcPr>
            <w:tcW w:w="2664" w:type="dxa"/>
            <w:tcBorders>
              <w:top w:val="single" w:color="auto" w:sz="4" w:space="0"/>
              <w:left w:val="nil"/>
              <w:bottom w:val="single" w:color="auto" w:sz="4" w:space="0"/>
              <w:right w:val="single" w:color="auto" w:sz="4" w:space="0"/>
            </w:tcBorders>
            <w:noWrap w:val="0"/>
            <w:vAlign w:val="center"/>
          </w:tcPr>
          <w:p w14:paraId="56E74E8B">
            <w:pPr>
              <w:pStyle w:val="139"/>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投标截止时间（开标时间）</w:t>
            </w:r>
          </w:p>
        </w:tc>
        <w:tc>
          <w:tcPr>
            <w:tcW w:w="6203" w:type="dxa"/>
            <w:tcBorders>
              <w:top w:val="single" w:color="auto" w:sz="4" w:space="0"/>
              <w:left w:val="nil"/>
              <w:bottom w:val="single" w:color="auto" w:sz="4" w:space="0"/>
              <w:right w:val="single" w:color="auto" w:sz="4" w:space="0"/>
            </w:tcBorders>
            <w:noWrap w:val="0"/>
            <w:vAlign w:val="center"/>
          </w:tcPr>
          <w:p w14:paraId="39105DBC">
            <w:pPr>
              <w:pStyle w:val="139"/>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bookmarkStart w:id="12" w:name="EB7d3dd1e1f72448c6869af9e368eca561"/>
            <w:bookmarkEnd w:id="12"/>
            <w:r>
              <w:rPr>
                <w:rFonts w:hint="eastAsia" w:ascii="宋体" w:hAnsi="宋体" w:eastAsia="宋体" w:cs="宋体"/>
                <w:color w:val="auto"/>
                <w:sz w:val="24"/>
                <w:szCs w:val="24"/>
                <w:highlight w:val="none"/>
                <w:lang w:eastAsia="zh-CN"/>
              </w:rPr>
              <w:t>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日</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点00分</w:t>
            </w:r>
            <w:r>
              <w:rPr>
                <w:rFonts w:hint="eastAsia" w:ascii="宋体" w:hAnsi="宋体" w:eastAsia="宋体" w:cs="宋体"/>
                <w:color w:val="auto"/>
                <w:sz w:val="24"/>
                <w:szCs w:val="24"/>
                <w:highlight w:val="none"/>
              </w:rPr>
              <w:t>（北京时间）</w:t>
            </w:r>
          </w:p>
        </w:tc>
      </w:tr>
      <w:tr w14:paraId="565C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1B22DCC2">
            <w:pPr>
              <w:pStyle w:val="139"/>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p>
        </w:tc>
        <w:tc>
          <w:tcPr>
            <w:tcW w:w="2664" w:type="dxa"/>
            <w:tcBorders>
              <w:top w:val="single" w:color="auto" w:sz="4" w:space="0"/>
              <w:left w:val="nil"/>
              <w:bottom w:val="single" w:color="auto" w:sz="4" w:space="0"/>
              <w:right w:val="single" w:color="auto" w:sz="4" w:space="0"/>
            </w:tcBorders>
            <w:noWrap w:val="0"/>
            <w:vAlign w:val="center"/>
          </w:tcPr>
          <w:p w14:paraId="6C9197ED">
            <w:pPr>
              <w:pStyle w:val="139"/>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开标时间及地点</w:t>
            </w:r>
          </w:p>
        </w:tc>
        <w:tc>
          <w:tcPr>
            <w:tcW w:w="6203" w:type="dxa"/>
            <w:tcBorders>
              <w:top w:val="single" w:color="auto" w:sz="4" w:space="0"/>
              <w:left w:val="nil"/>
              <w:bottom w:val="single" w:color="auto" w:sz="4" w:space="0"/>
              <w:right w:val="single" w:color="auto" w:sz="4" w:space="0"/>
            </w:tcBorders>
            <w:noWrap w:val="0"/>
            <w:vAlign w:val="center"/>
          </w:tcPr>
          <w:p w14:paraId="00BDD930">
            <w:pPr>
              <w:pStyle w:val="139"/>
              <w:keepNext w:val="0"/>
              <w:keepLines w:val="0"/>
              <w:widowControl/>
              <w:suppressLineNumbers w:val="0"/>
              <w:spacing w:before="0" w:beforeAutospacing="0" w:after="0" w:afterAutospacing="0" w:line="320" w:lineRule="exact"/>
              <w:ind w:left="0" w:right="0"/>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采用</w:t>
            </w:r>
            <w:r>
              <w:rPr>
                <w:rFonts w:hint="eastAsia" w:ascii="宋体" w:hAnsi="宋体" w:eastAsia="宋体" w:cs="宋体"/>
                <w:color w:val="auto"/>
                <w:kern w:val="0"/>
                <w:sz w:val="24"/>
                <w:szCs w:val="24"/>
                <w:highlight w:val="none"/>
              </w:rPr>
              <w:t>不见面开标：</w:t>
            </w:r>
          </w:p>
          <w:p w14:paraId="3A7CF166">
            <w:pPr>
              <w:pStyle w:val="139"/>
              <w:keepNext w:val="0"/>
              <w:keepLines w:val="0"/>
              <w:suppressLineNumbers w:val="0"/>
              <w:spacing w:before="0" w:beforeAutospacing="0" w:after="0" w:afterAutospacing="0" w:line="360" w:lineRule="auto"/>
              <w:ind w:left="0" w:leftChars="-1" w:right="0" w:hanging="2" w:hangingChars="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w:t>
            </w:r>
            <w:r>
              <w:rPr>
                <w:rFonts w:hint="eastAsia" w:ascii="宋体" w:hAnsi="宋体" w:eastAsia="宋体" w:cs="宋体"/>
                <w:color w:val="auto"/>
                <w:sz w:val="24"/>
                <w:szCs w:val="24"/>
                <w:highlight w:val="none"/>
                <w:lang w:eastAsia="zh-CN"/>
              </w:rPr>
              <w:t>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日</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点00分</w:t>
            </w:r>
            <w:r>
              <w:rPr>
                <w:rFonts w:hint="eastAsia" w:ascii="宋体" w:hAnsi="宋体" w:eastAsia="宋体" w:cs="宋体"/>
                <w:color w:val="auto"/>
                <w:sz w:val="24"/>
                <w:szCs w:val="24"/>
                <w:highlight w:val="none"/>
              </w:rPr>
              <w:t>（北京时间）</w:t>
            </w:r>
          </w:p>
          <w:p w14:paraId="0574CB54">
            <w:pPr>
              <w:pStyle w:val="139"/>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开标地点：远程不见面开标大厅</w:t>
            </w:r>
          </w:p>
          <w:p w14:paraId="0F72DA15">
            <w:pPr>
              <w:pStyle w:val="139"/>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0分钟 </w:t>
            </w:r>
          </w:p>
          <w:p w14:paraId="4920C4DC">
            <w:pPr>
              <w:pStyle w:val="139"/>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关于能否延长解密时间的约定：</w:t>
            </w:r>
            <w:r>
              <w:rPr>
                <w:rFonts w:hint="eastAsia" w:ascii="宋体" w:hAnsi="宋体" w:eastAsia="宋体" w:cs="宋体"/>
                <w:color w:val="auto"/>
                <w:sz w:val="24"/>
                <w:szCs w:val="24"/>
                <w:highlight w:val="none"/>
                <w:u w:val="single"/>
              </w:rPr>
              <w:t>开标现场若发现默认解密时长不足，由采购人决定是否延长解密时长。</w:t>
            </w:r>
          </w:p>
        </w:tc>
      </w:tr>
      <w:tr w14:paraId="3E39A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40919399">
            <w:pPr>
              <w:pStyle w:val="139"/>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p>
        </w:tc>
        <w:tc>
          <w:tcPr>
            <w:tcW w:w="2664" w:type="dxa"/>
            <w:tcBorders>
              <w:top w:val="single" w:color="auto" w:sz="4" w:space="0"/>
              <w:left w:val="nil"/>
              <w:bottom w:val="single" w:color="auto" w:sz="4" w:space="0"/>
              <w:right w:val="single" w:color="auto" w:sz="4" w:space="0"/>
            </w:tcBorders>
            <w:noWrap w:val="0"/>
            <w:vAlign w:val="center"/>
          </w:tcPr>
          <w:p w14:paraId="03706310">
            <w:pPr>
              <w:pStyle w:val="139"/>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评标委员会的组成</w:t>
            </w:r>
          </w:p>
        </w:tc>
        <w:tc>
          <w:tcPr>
            <w:tcW w:w="6203" w:type="dxa"/>
            <w:tcBorders>
              <w:top w:val="single" w:color="auto" w:sz="4" w:space="0"/>
              <w:left w:val="nil"/>
              <w:bottom w:val="single" w:color="auto" w:sz="4" w:space="0"/>
              <w:right w:val="single" w:color="auto" w:sz="4" w:space="0"/>
            </w:tcBorders>
            <w:noWrap w:val="0"/>
            <w:vAlign w:val="center"/>
          </w:tcPr>
          <w:p w14:paraId="0E070018">
            <w:pPr>
              <w:pStyle w:val="139"/>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评标委员会</w:t>
            </w:r>
            <w:r>
              <w:rPr>
                <w:rFonts w:hint="eastAsia" w:ascii="宋体" w:hAnsi="宋体" w:eastAsia="宋体" w:cs="宋体"/>
                <w:b w:val="0"/>
                <w:bCs w:val="0"/>
                <w:color w:val="auto"/>
                <w:sz w:val="24"/>
                <w:szCs w:val="24"/>
                <w:highlight w:val="none"/>
              </w:rPr>
              <w:t>构成：</w:t>
            </w:r>
            <w:bookmarkStart w:id="13" w:name="EB72d16e85338144d4a2d954e860d91604"/>
            <w:bookmarkEnd w:id="13"/>
            <w:r>
              <w:rPr>
                <w:rFonts w:hint="eastAsia" w:ascii="宋体" w:hAnsi="宋体" w:eastAsia="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4</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人，其中招标人代表</w:t>
            </w:r>
            <w:bookmarkStart w:id="14" w:name="EB2a6ee956a7614937981c4694c7a0091e"/>
            <w:bookmarkEnd w:id="14"/>
            <w:r>
              <w:rPr>
                <w:rFonts w:hint="eastAsia" w:ascii="宋体" w:hAnsi="宋体" w:eastAsia="宋体" w:cs="宋体"/>
                <w:b w:val="0"/>
                <w:bCs w:val="0"/>
                <w:color w:val="auto"/>
                <w:sz w:val="24"/>
                <w:szCs w:val="24"/>
                <w:highlight w:val="none"/>
              </w:rPr>
              <w:t>人</w:t>
            </w:r>
            <w:r>
              <w:rPr>
                <w:rFonts w:hint="eastAsia" w:ascii="宋体" w:hAnsi="宋体" w:eastAsia="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1 </w:t>
            </w:r>
            <w:r>
              <w:rPr>
                <w:rFonts w:hint="eastAsia" w:ascii="宋体" w:hAnsi="宋体" w:eastAsia="宋体" w:cs="宋体"/>
                <w:b w:val="0"/>
                <w:bCs w:val="0"/>
                <w:color w:val="auto"/>
                <w:sz w:val="24"/>
                <w:szCs w:val="24"/>
                <w:highlight w:val="none"/>
              </w:rPr>
              <w:t>人</w:t>
            </w:r>
          </w:p>
          <w:p w14:paraId="72AAEAE4">
            <w:pPr>
              <w:pStyle w:val="139"/>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评委确定方式：</w:t>
            </w:r>
            <w:bookmarkStart w:id="15" w:name="EB6479c32eb2ce45839a2e1507d7cdac93"/>
            <w:bookmarkEnd w:id="15"/>
            <w:r>
              <w:rPr>
                <w:rFonts w:hint="eastAsia" w:ascii="宋体" w:hAnsi="宋体" w:eastAsia="宋体" w:cs="宋体"/>
                <w:b w:val="0"/>
                <w:bCs w:val="0"/>
                <w:color w:val="auto"/>
                <w:sz w:val="24"/>
                <w:szCs w:val="24"/>
                <w:highlight w:val="none"/>
                <w:lang w:eastAsia="zh-CN"/>
              </w:rPr>
              <w:t>在新疆政采云专家库中抽取</w:t>
            </w:r>
          </w:p>
        </w:tc>
      </w:tr>
      <w:tr w14:paraId="62411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735" w:type="dxa"/>
            <w:tcBorders>
              <w:top w:val="nil"/>
              <w:left w:val="single" w:color="auto" w:sz="4" w:space="0"/>
              <w:bottom w:val="single" w:color="auto" w:sz="4" w:space="0"/>
              <w:right w:val="single" w:color="auto" w:sz="4" w:space="0"/>
            </w:tcBorders>
            <w:noWrap w:val="0"/>
            <w:vAlign w:val="center"/>
          </w:tcPr>
          <w:p w14:paraId="501C6B9F">
            <w:pPr>
              <w:pStyle w:val="139"/>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p>
        </w:tc>
        <w:tc>
          <w:tcPr>
            <w:tcW w:w="2664" w:type="dxa"/>
            <w:tcBorders>
              <w:top w:val="nil"/>
              <w:left w:val="nil"/>
              <w:bottom w:val="single" w:color="auto" w:sz="4" w:space="0"/>
              <w:right w:val="single" w:color="auto" w:sz="4" w:space="0"/>
            </w:tcBorders>
            <w:noWrap w:val="0"/>
            <w:vAlign w:val="center"/>
          </w:tcPr>
          <w:p w14:paraId="63DF0814">
            <w:pPr>
              <w:pStyle w:val="139"/>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投标保证金</w:t>
            </w:r>
          </w:p>
        </w:tc>
        <w:tc>
          <w:tcPr>
            <w:tcW w:w="6203" w:type="dxa"/>
            <w:tcBorders>
              <w:top w:val="single" w:color="auto" w:sz="4" w:space="0"/>
              <w:left w:val="nil"/>
              <w:bottom w:val="single" w:color="auto" w:sz="4" w:space="0"/>
              <w:right w:val="single" w:color="auto" w:sz="4" w:space="0"/>
            </w:tcBorders>
            <w:noWrap w:val="0"/>
            <w:vAlign w:val="center"/>
          </w:tcPr>
          <w:p w14:paraId="61377B64">
            <w:pPr>
              <w:keepNext w:val="0"/>
              <w:keepLines w:val="0"/>
              <w:pageBreakBefore w:val="0"/>
              <w:suppressLineNumbers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53"/>
                <w:rFonts w:hint="default" w:ascii="宋体" w:hAnsi="宋体" w:eastAsia="宋体" w:cs="宋体"/>
                <w:b w:val="0"/>
                <w:i w:val="0"/>
                <w:caps w:val="0"/>
                <w:smallCaps w:val="0"/>
                <w:color w:val="auto"/>
                <w:spacing w:val="0"/>
                <w:w w:val="100"/>
                <w:kern w:val="2"/>
                <w:position w:val="0"/>
                <w:sz w:val="24"/>
                <w:szCs w:val="24"/>
                <w:highlight w:val="none"/>
                <w:lang w:val="en-US" w:eastAsia="zh-CN" w:bidi="ar-SA"/>
              </w:rPr>
            </w:pPr>
            <w:r>
              <w:rPr>
                <w:rStyle w:val="53"/>
                <w:rFonts w:hint="eastAsia" w:ascii="宋体" w:hAnsi="宋体" w:eastAsia="宋体" w:cs="宋体"/>
                <w:b w:val="0"/>
                <w:i w:val="0"/>
                <w:caps w:val="0"/>
                <w:smallCaps w:val="0"/>
                <w:color w:val="auto"/>
                <w:spacing w:val="0"/>
                <w:w w:val="100"/>
                <w:kern w:val="2"/>
                <w:position w:val="0"/>
                <w:sz w:val="24"/>
                <w:szCs w:val="24"/>
                <w:highlight w:val="none"/>
                <w:lang w:val="en-US" w:eastAsia="zh-CN" w:bidi="ar-SA"/>
              </w:rPr>
              <w:t>投标保证金额为：</w:t>
            </w:r>
            <w:r>
              <w:rPr>
                <w:rStyle w:val="53"/>
                <w:rFonts w:hint="eastAsia" w:ascii="宋体" w:hAnsi="宋体" w:cs="宋体"/>
                <w:b w:val="0"/>
                <w:i w:val="0"/>
                <w:caps w:val="0"/>
                <w:smallCaps w:val="0"/>
                <w:color w:val="auto"/>
                <w:spacing w:val="0"/>
                <w:w w:val="100"/>
                <w:kern w:val="2"/>
                <w:position w:val="0"/>
                <w:sz w:val="24"/>
                <w:szCs w:val="24"/>
                <w:highlight w:val="none"/>
                <w:lang w:val="en-US" w:eastAsia="zh-CN" w:bidi="ar-SA"/>
              </w:rPr>
              <w:t>30000</w:t>
            </w:r>
            <w:r>
              <w:rPr>
                <w:rStyle w:val="53"/>
                <w:rFonts w:hint="eastAsia" w:ascii="宋体" w:hAnsi="宋体" w:eastAsia="宋体" w:cs="宋体"/>
                <w:b w:val="0"/>
                <w:i w:val="0"/>
                <w:caps w:val="0"/>
                <w:smallCaps w:val="0"/>
                <w:color w:val="auto"/>
                <w:spacing w:val="0"/>
                <w:w w:val="100"/>
                <w:kern w:val="2"/>
                <w:position w:val="0"/>
                <w:sz w:val="24"/>
                <w:szCs w:val="24"/>
                <w:highlight w:val="none"/>
                <w:lang w:val="en-US" w:eastAsia="zh-CN" w:bidi="ar-SA"/>
              </w:rPr>
              <w:t>元</w:t>
            </w:r>
          </w:p>
          <w:p w14:paraId="10B7C915">
            <w:pPr>
              <w:keepNext w:val="0"/>
              <w:keepLines w:val="0"/>
              <w:pageBreakBefore w:val="0"/>
              <w:suppressLineNumbers w:val="0"/>
              <w:kinsoku/>
              <w:wordWrap/>
              <w:overflowPunct/>
              <w:topLinePunct w:val="0"/>
              <w:bidi w:val="0"/>
              <w:snapToGrid/>
              <w:spacing w:before="0" w:beforeAutospacing="0" w:after="0" w:afterAutospacing="0" w:line="440" w:lineRule="exact"/>
              <w:ind w:left="0" w:right="0" w:firstLine="0" w:firstLineChars="0"/>
              <w:jc w:val="left"/>
              <w:textAlignment w:val="baseline"/>
              <w:rPr>
                <w:rStyle w:val="53"/>
                <w:rFonts w:hint="eastAsia" w:asciiTheme="minorEastAsia" w:hAnsiTheme="minorEastAsia" w:eastAsiaTheme="minorEastAsia" w:cstheme="minorEastAsia"/>
                <w:b w:val="0"/>
                <w:bCs/>
                <w:i w:val="0"/>
                <w:caps w:val="0"/>
                <w:color w:val="auto"/>
                <w:spacing w:val="0"/>
                <w:w w:val="100"/>
                <w:kern w:val="0"/>
                <w:position w:val="0"/>
                <w:sz w:val="24"/>
                <w:szCs w:val="24"/>
                <w:highlight w:val="none"/>
                <w:lang w:val="en-US" w:eastAsia="zh-CN" w:bidi="ar-SA"/>
              </w:rPr>
            </w:pPr>
            <w:r>
              <w:rPr>
                <w:rStyle w:val="53"/>
                <w:rFonts w:hint="eastAsia" w:asciiTheme="minorEastAsia" w:hAnsiTheme="minorEastAsia" w:eastAsiaTheme="minorEastAsia" w:cstheme="minorEastAsia"/>
                <w:b w:val="0"/>
                <w:bCs/>
                <w:i w:val="0"/>
                <w:caps w:val="0"/>
                <w:color w:val="auto"/>
                <w:spacing w:val="0"/>
                <w:w w:val="100"/>
                <w:kern w:val="0"/>
                <w:position w:val="0"/>
                <w:sz w:val="24"/>
                <w:szCs w:val="24"/>
                <w:highlight w:val="none"/>
                <w:lang w:val="en-US" w:eastAsia="zh-CN" w:bidi="ar-SA"/>
              </w:rPr>
              <w:t>投标保证金缴纳方式：银行汇票、银行电汇、转账、本票或者金融机构、担保机构出具的保函等非现金形式提交。</w:t>
            </w:r>
          </w:p>
          <w:p w14:paraId="1D52C085">
            <w:pPr>
              <w:keepNext w:val="0"/>
              <w:keepLines w:val="0"/>
              <w:pageBreakBefore w:val="0"/>
              <w:suppressLineNumbers w:val="0"/>
              <w:kinsoku/>
              <w:wordWrap/>
              <w:overflowPunct/>
              <w:topLinePunct w:val="0"/>
              <w:bidi w:val="0"/>
              <w:snapToGrid/>
              <w:spacing w:before="0" w:beforeAutospacing="0" w:after="0" w:afterAutospacing="0" w:line="440" w:lineRule="exact"/>
              <w:ind w:left="0" w:right="0" w:firstLine="0" w:firstLineChars="0"/>
              <w:jc w:val="left"/>
              <w:textAlignment w:val="baseline"/>
              <w:rPr>
                <w:rStyle w:val="53"/>
                <w:rFonts w:hint="eastAsia" w:asciiTheme="minorEastAsia" w:hAnsiTheme="minorEastAsia" w:eastAsiaTheme="minorEastAsia" w:cstheme="minorEastAsia"/>
                <w:b w:val="0"/>
                <w:bCs/>
                <w:i w:val="0"/>
                <w:caps w:val="0"/>
                <w:color w:val="auto"/>
                <w:spacing w:val="0"/>
                <w:w w:val="100"/>
                <w:kern w:val="0"/>
                <w:position w:val="0"/>
                <w:sz w:val="24"/>
                <w:szCs w:val="24"/>
                <w:highlight w:val="none"/>
                <w:lang w:val="en-US" w:eastAsia="zh-CN" w:bidi="ar-SA"/>
              </w:rPr>
            </w:pPr>
            <w:r>
              <w:rPr>
                <w:rStyle w:val="53"/>
                <w:rFonts w:hint="eastAsia" w:asciiTheme="minorEastAsia" w:hAnsiTheme="minorEastAsia" w:eastAsiaTheme="minorEastAsia" w:cstheme="minorEastAsia"/>
                <w:b w:val="0"/>
                <w:bCs/>
                <w:i w:val="0"/>
                <w:caps w:val="0"/>
                <w:color w:val="auto"/>
                <w:spacing w:val="0"/>
                <w:w w:val="100"/>
                <w:kern w:val="0"/>
                <w:position w:val="0"/>
                <w:sz w:val="24"/>
                <w:szCs w:val="24"/>
                <w:highlight w:val="none"/>
                <w:lang w:val="en-US" w:eastAsia="zh-CN" w:bidi="ar-SA"/>
              </w:rPr>
              <w:t>一、电汇或网银方式：</w:t>
            </w:r>
          </w:p>
          <w:p w14:paraId="03DD5058">
            <w:pPr>
              <w:keepNext w:val="0"/>
              <w:keepLines w:val="0"/>
              <w:pageBreakBefore w:val="0"/>
              <w:suppressLineNumbers w:val="0"/>
              <w:kinsoku/>
              <w:wordWrap/>
              <w:overflowPunct/>
              <w:topLinePunct w:val="0"/>
              <w:bidi w:val="0"/>
              <w:snapToGrid/>
              <w:spacing w:before="0" w:beforeAutospacing="0" w:after="0" w:afterAutospacing="0" w:line="440" w:lineRule="exact"/>
              <w:ind w:left="0" w:right="0" w:firstLine="0" w:firstLineChars="0"/>
              <w:jc w:val="left"/>
              <w:textAlignment w:val="baseline"/>
              <w:rPr>
                <w:rStyle w:val="53"/>
                <w:rFonts w:hint="eastAsia" w:asciiTheme="minorEastAsia" w:hAnsiTheme="minorEastAsia" w:eastAsiaTheme="minorEastAsia" w:cstheme="minorEastAsia"/>
                <w:b w:val="0"/>
                <w:bCs/>
                <w:i w:val="0"/>
                <w:caps w:val="0"/>
                <w:color w:val="auto"/>
                <w:spacing w:val="0"/>
                <w:w w:val="100"/>
                <w:kern w:val="0"/>
                <w:position w:val="0"/>
                <w:sz w:val="24"/>
                <w:szCs w:val="24"/>
                <w:highlight w:val="none"/>
                <w:lang w:val="en-US" w:eastAsia="zh-CN" w:bidi="ar-SA"/>
              </w:rPr>
            </w:pPr>
            <w:r>
              <w:rPr>
                <w:rStyle w:val="53"/>
                <w:rFonts w:hint="eastAsia" w:asciiTheme="minorEastAsia" w:hAnsiTheme="minorEastAsia" w:eastAsiaTheme="minorEastAsia" w:cstheme="minorEastAsia"/>
                <w:b w:val="0"/>
                <w:bCs/>
                <w:i w:val="0"/>
                <w:caps w:val="0"/>
                <w:color w:val="auto"/>
                <w:spacing w:val="0"/>
                <w:w w:val="100"/>
                <w:kern w:val="0"/>
                <w:position w:val="0"/>
                <w:sz w:val="24"/>
                <w:szCs w:val="24"/>
                <w:highlight w:val="none"/>
                <w:lang w:val="en-US" w:eastAsia="zh-CN" w:bidi="ar-SA"/>
              </w:rPr>
              <w:t>①投标保证金于投标文件递交截止时间（以到帐时间为准）之前从供应商基本账户以银行电汇形式或网银汇至新疆晟业逸腾项目管理有限责任公司账户，否则其投标文件将被拒绝评审，供应商提交投标保证金应充分考虑资金在途时间。</w:t>
            </w:r>
          </w:p>
          <w:p w14:paraId="4DE91A8B">
            <w:pPr>
              <w:keepNext w:val="0"/>
              <w:keepLines w:val="0"/>
              <w:pageBreakBefore w:val="0"/>
              <w:suppressLineNumbers w:val="0"/>
              <w:kinsoku/>
              <w:wordWrap/>
              <w:overflowPunct/>
              <w:topLinePunct w:val="0"/>
              <w:bidi w:val="0"/>
              <w:snapToGrid/>
              <w:spacing w:before="0" w:beforeAutospacing="0" w:after="0" w:afterAutospacing="0" w:line="440" w:lineRule="exact"/>
              <w:ind w:left="0" w:right="0" w:firstLine="0" w:firstLineChars="0"/>
              <w:jc w:val="left"/>
              <w:textAlignment w:val="baseline"/>
              <w:rPr>
                <w:rStyle w:val="53"/>
                <w:rFonts w:hint="eastAsia" w:asciiTheme="minorEastAsia" w:hAnsiTheme="minorEastAsia" w:eastAsiaTheme="minorEastAsia" w:cstheme="minorEastAsia"/>
                <w:b w:val="0"/>
                <w:bCs/>
                <w:i w:val="0"/>
                <w:caps w:val="0"/>
                <w:color w:val="auto"/>
                <w:spacing w:val="0"/>
                <w:w w:val="100"/>
                <w:kern w:val="0"/>
                <w:position w:val="0"/>
                <w:sz w:val="24"/>
                <w:szCs w:val="24"/>
                <w:highlight w:val="none"/>
                <w:lang w:val="en-US" w:eastAsia="zh-CN" w:bidi="ar-SA"/>
              </w:rPr>
            </w:pPr>
            <w:r>
              <w:rPr>
                <w:rStyle w:val="53"/>
                <w:rFonts w:hint="eastAsia" w:asciiTheme="minorEastAsia" w:hAnsiTheme="minorEastAsia" w:eastAsiaTheme="minorEastAsia" w:cstheme="minorEastAsia"/>
                <w:b w:val="0"/>
                <w:bCs/>
                <w:i w:val="0"/>
                <w:caps w:val="0"/>
                <w:color w:val="auto"/>
                <w:spacing w:val="0"/>
                <w:w w:val="100"/>
                <w:kern w:val="0"/>
                <w:position w:val="0"/>
                <w:sz w:val="24"/>
                <w:szCs w:val="24"/>
                <w:highlight w:val="none"/>
                <w:lang w:val="en-US" w:eastAsia="zh-CN" w:bidi="ar-SA"/>
              </w:rPr>
              <w:t>②供应商向银行办理投标保证金汇（转）款时，应在用途栏（备注栏）准确注明"本项目招标编号投标保证金"字样（每个标段应分别汇款），由于未按要求准确注明信息而导致的一切后果由供应商承担。</w:t>
            </w:r>
          </w:p>
          <w:p w14:paraId="6EB5066C">
            <w:pPr>
              <w:keepNext w:val="0"/>
              <w:keepLines w:val="0"/>
              <w:pageBreakBefore w:val="0"/>
              <w:suppressLineNumbers w:val="0"/>
              <w:kinsoku/>
              <w:wordWrap/>
              <w:overflowPunct/>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b w:val="0"/>
                <w:bCs/>
                <w:color w:val="auto"/>
                <w:spacing w:val="0"/>
                <w:kern w:val="0"/>
                <w:position w:val="0"/>
                <w:sz w:val="24"/>
                <w:szCs w:val="24"/>
                <w:highlight w:val="none"/>
                <w:u w:val="none"/>
                <w:lang w:val="en-US" w:eastAsia="zh-CN"/>
              </w:rPr>
            </w:pPr>
            <w:r>
              <w:rPr>
                <w:rFonts w:hint="eastAsia" w:asciiTheme="minorEastAsia" w:hAnsiTheme="minorEastAsia" w:eastAsiaTheme="minorEastAsia" w:cstheme="minorEastAsia"/>
                <w:b w:val="0"/>
                <w:bCs/>
                <w:color w:val="auto"/>
                <w:spacing w:val="0"/>
                <w:kern w:val="0"/>
                <w:position w:val="0"/>
                <w:sz w:val="24"/>
                <w:szCs w:val="24"/>
                <w:highlight w:val="none"/>
                <w:u w:val="none"/>
                <w:lang w:val="en-US" w:eastAsia="zh-CN"/>
              </w:rPr>
              <w:t>③缴纳保证金账号信息：</w:t>
            </w:r>
          </w:p>
          <w:p w14:paraId="7950F03E">
            <w:pPr>
              <w:pStyle w:val="139"/>
              <w:keepNext w:val="0"/>
              <w:keepLines w:val="0"/>
              <w:suppressLineNumbers w:val="0"/>
              <w:spacing w:before="0" w:beforeAutospacing="0" w:after="0" w:afterAutospacing="0" w:line="360" w:lineRule="auto"/>
              <w:ind w:left="0" w:right="0"/>
              <w:rPr>
                <w:rStyle w:val="53"/>
                <w:rFonts w:hint="eastAsia" w:asciiTheme="minorEastAsia" w:hAnsiTheme="minorEastAsia" w:eastAsiaTheme="minorEastAsia" w:cstheme="minorEastAsia"/>
                <w:b w:val="0"/>
                <w:bCs/>
                <w:i w:val="0"/>
                <w:caps w:val="0"/>
                <w:color w:val="auto"/>
                <w:spacing w:val="0"/>
                <w:w w:val="100"/>
                <w:kern w:val="0"/>
                <w:position w:val="0"/>
                <w:sz w:val="24"/>
                <w:szCs w:val="24"/>
                <w:highlight w:val="none"/>
                <w:lang w:val="en-US" w:eastAsia="zh-CN" w:bidi="ar-SA"/>
              </w:rPr>
            </w:pPr>
            <w:r>
              <w:rPr>
                <w:rStyle w:val="53"/>
                <w:rFonts w:hint="eastAsia" w:asciiTheme="minorEastAsia" w:hAnsiTheme="minorEastAsia" w:eastAsiaTheme="minorEastAsia" w:cstheme="minorEastAsia"/>
                <w:b w:val="0"/>
                <w:bCs/>
                <w:i w:val="0"/>
                <w:caps w:val="0"/>
                <w:color w:val="auto"/>
                <w:spacing w:val="0"/>
                <w:w w:val="100"/>
                <w:kern w:val="0"/>
                <w:position w:val="0"/>
                <w:sz w:val="24"/>
                <w:szCs w:val="24"/>
                <w:highlight w:val="none"/>
                <w:lang w:val="en-US" w:eastAsia="zh-CN" w:bidi="ar-SA"/>
              </w:rPr>
              <w:t>开户单位名称：新疆晟业逸腾项目管理有限责任公司</w:t>
            </w:r>
          </w:p>
          <w:p w14:paraId="3EF923C3">
            <w:pPr>
              <w:pStyle w:val="139"/>
              <w:keepNext w:val="0"/>
              <w:keepLines w:val="0"/>
              <w:suppressLineNumbers w:val="0"/>
              <w:spacing w:before="0" w:beforeAutospacing="0" w:after="0" w:afterAutospacing="0" w:line="360" w:lineRule="auto"/>
              <w:ind w:left="0" w:right="0"/>
              <w:rPr>
                <w:rStyle w:val="53"/>
                <w:rFonts w:hint="eastAsia" w:asciiTheme="minorEastAsia" w:hAnsiTheme="minorEastAsia" w:eastAsiaTheme="minorEastAsia" w:cstheme="minorEastAsia"/>
                <w:b w:val="0"/>
                <w:bCs/>
                <w:i w:val="0"/>
                <w:caps w:val="0"/>
                <w:color w:val="auto"/>
                <w:spacing w:val="0"/>
                <w:w w:val="100"/>
                <w:kern w:val="0"/>
                <w:position w:val="0"/>
                <w:sz w:val="24"/>
                <w:szCs w:val="24"/>
                <w:highlight w:val="none"/>
                <w:lang w:val="en-US" w:eastAsia="zh-CN" w:bidi="ar-SA"/>
              </w:rPr>
            </w:pPr>
            <w:r>
              <w:rPr>
                <w:rStyle w:val="53"/>
                <w:rFonts w:hint="eastAsia" w:asciiTheme="minorEastAsia" w:hAnsiTheme="minorEastAsia" w:eastAsiaTheme="minorEastAsia" w:cstheme="minorEastAsia"/>
                <w:b w:val="0"/>
                <w:bCs/>
                <w:i w:val="0"/>
                <w:caps w:val="0"/>
                <w:color w:val="auto"/>
                <w:spacing w:val="0"/>
                <w:w w:val="100"/>
                <w:kern w:val="0"/>
                <w:position w:val="0"/>
                <w:sz w:val="24"/>
                <w:szCs w:val="24"/>
                <w:highlight w:val="none"/>
                <w:lang w:val="en-US" w:eastAsia="zh-CN" w:bidi="ar-SA"/>
              </w:rPr>
              <w:t>开 户 行：新疆银行股份有限公司乌鲁木齐米东区支行</w:t>
            </w:r>
          </w:p>
          <w:p w14:paraId="35FDE198">
            <w:pPr>
              <w:pStyle w:val="139"/>
              <w:keepNext w:val="0"/>
              <w:keepLines w:val="0"/>
              <w:suppressLineNumbers w:val="0"/>
              <w:spacing w:before="0" w:beforeAutospacing="0" w:after="0" w:afterAutospacing="0" w:line="360" w:lineRule="auto"/>
              <w:ind w:left="0" w:right="0"/>
              <w:rPr>
                <w:rStyle w:val="53"/>
                <w:rFonts w:hint="eastAsia" w:asciiTheme="minorEastAsia" w:hAnsiTheme="minorEastAsia" w:eastAsiaTheme="minorEastAsia" w:cstheme="minorEastAsia"/>
                <w:b w:val="0"/>
                <w:bCs/>
                <w:i w:val="0"/>
                <w:caps w:val="0"/>
                <w:color w:val="auto"/>
                <w:spacing w:val="0"/>
                <w:w w:val="100"/>
                <w:kern w:val="0"/>
                <w:position w:val="0"/>
                <w:sz w:val="24"/>
                <w:szCs w:val="24"/>
                <w:highlight w:val="none"/>
                <w:lang w:val="en-US" w:eastAsia="zh-CN" w:bidi="ar-SA"/>
              </w:rPr>
            </w:pPr>
            <w:r>
              <w:rPr>
                <w:rStyle w:val="53"/>
                <w:rFonts w:hint="eastAsia" w:asciiTheme="minorEastAsia" w:hAnsiTheme="minorEastAsia" w:eastAsiaTheme="minorEastAsia" w:cstheme="minorEastAsia"/>
                <w:b w:val="0"/>
                <w:bCs/>
                <w:i w:val="0"/>
                <w:caps w:val="0"/>
                <w:color w:val="auto"/>
                <w:spacing w:val="0"/>
                <w:w w:val="100"/>
                <w:kern w:val="0"/>
                <w:position w:val="0"/>
                <w:sz w:val="24"/>
                <w:szCs w:val="24"/>
                <w:highlight w:val="none"/>
                <w:lang w:val="en-US" w:eastAsia="zh-CN" w:bidi="ar-SA"/>
              </w:rPr>
              <w:t>银行账号：0801210000012440</w:t>
            </w:r>
          </w:p>
          <w:p w14:paraId="35A2DEC5">
            <w:pPr>
              <w:pStyle w:val="139"/>
              <w:keepNext w:val="0"/>
              <w:keepLines w:val="0"/>
              <w:suppressLineNumbers w:val="0"/>
              <w:spacing w:before="0" w:beforeAutospacing="0" w:after="0" w:afterAutospacing="0" w:line="360" w:lineRule="auto"/>
              <w:ind w:left="0" w:right="0"/>
              <w:rPr>
                <w:rStyle w:val="53"/>
                <w:rFonts w:hint="eastAsia" w:asciiTheme="minorEastAsia" w:hAnsiTheme="minorEastAsia" w:eastAsiaTheme="minorEastAsia" w:cstheme="minorEastAsia"/>
                <w:b w:val="0"/>
                <w:bCs/>
                <w:i w:val="0"/>
                <w:caps w:val="0"/>
                <w:color w:val="auto"/>
                <w:spacing w:val="0"/>
                <w:w w:val="100"/>
                <w:kern w:val="0"/>
                <w:position w:val="0"/>
                <w:sz w:val="24"/>
                <w:szCs w:val="24"/>
                <w:highlight w:val="none"/>
                <w:lang w:val="en-US" w:eastAsia="zh-CN" w:bidi="ar-SA"/>
              </w:rPr>
            </w:pPr>
            <w:r>
              <w:rPr>
                <w:rStyle w:val="53"/>
                <w:rFonts w:hint="eastAsia" w:asciiTheme="minorEastAsia" w:hAnsiTheme="minorEastAsia" w:eastAsiaTheme="minorEastAsia" w:cstheme="minorEastAsia"/>
                <w:b w:val="0"/>
                <w:bCs/>
                <w:i w:val="0"/>
                <w:caps w:val="0"/>
                <w:color w:val="auto"/>
                <w:spacing w:val="0"/>
                <w:w w:val="100"/>
                <w:kern w:val="0"/>
                <w:position w:val="0"/>
                <w:sz w:val="24"/>
                <w:szCs w:val="24"/>
                <w:highlight w:val="none"/>
                <w:lang w:val="en-US" w:eastAsia="zh-CN" w:bidi="ar-SA"/>
              </w:rPr>
              <w:t>行    号：313881080036</w:t>
            </w:r>
          </w:p>
          <w:p w14:paraId="7A233D7D">
            <w:pPr>
              <w:pStyle w:val="139"/>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4"/>
                <w:szCs w:val="24"/>
                <w:highlight w:val="none"/>
                <w:lang w:eastAsia="zh-CN"/>
              </w:rPr>
            </w:pPr>
            <w:r>
              <w:rPr>
                <w:rStyle w:val="53"/>
                <w:rFonts w:hint="eastAsia" w:asciiTheme="minorEastAsia" w:hAnsiTheme="minorEastAsia" w:eastAsiaTheme="minorEastAsia" w:cstheme="minorEastAsia"/>
                <w:b w:val="0"/>
                <w:bCs/>
                <w:i w:val="0"/>
                <w:caps w:val="0"/>
                <w:color w:val="auto"/>
                <w:spacing w:val="0"/>
                <w:w w:val="100"/>
                <w:kern w:val="0"/>
                <w:position w:val="0"/>
                <w:sz w:val="24"/>
                <w:szCs w:val="24"/>
                <w:highlight w:val="none"/>
                <w:lang w:val="en-US" w:eastAsia="zh-CN" w:bidi="ar-SA"/>
              </w:rPr>
              <w:t>二、保险或保函方式：以银行、保险公司、担保机构等金融机构出具的针对本项目的保函、保险等形式，须提供原件的扫描件于投标文件中，否则视为无效。</w:t>
            </w:r>
          </w:p>
        </w:tc>
      </w:tr>
      <w:tr w14:paraId="22E6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6BFDD5BE">
            <w:pPr>
              <w:pStyle w:val="139"/>
              <w:keepNext w:val="0"/>
              <w:keepLines w:val="0"/>
              <w:suppressLineNumbers w:val="0"/>
              <w:spacing w:before="0" w:beforeAutospacing="0" w:after="0" w:afterAutospacing="0" w:line="360" w:lineRule="auto"/>
              <w:ind w:left="0" w:right="0"/>
              <w:jc w:val="center"/>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1</w:t>
            </w:r>
            <w:r>
              <w:rPr>
                <w:rFonts w:hint="eastAsia" w:ascii="宋体" w:hAnsi="宋体" w:cs="宋体"/>
                <w:b/>
                <w:bCs/>
                <w:color w:val="auto"/>
                <w:kern w:val="0"/>
                <w:sz w:val="24"/>
                <w:szCs w:val="24"/>
                <w:highlight w:val="none"/>
                <w:lang w:val="en-US" w:eastAsia="zh-CN"/>
              </w:rPr>
              <w:t>4</w:t>
            </w:r>
          </w:p>
        </w:tc>
        <w:tc>
          <w:tcPr>
            <w:tcW w:w="2664" w:type="dxa"/>
            <w:tcBorders>
              <w:top w:val="single" w:color="auto" w:sz="4" w:space="0"/>
              <w:left w:val="nil"/>
              <w:bottom w:val="single" w:color="auto" w:sz="4" w:space="0"/>
              <w:right w:val="single" w:color="auto" w:sz="4" w:space="0"/>
            </w:tcBorders>
            <w:noWrap w:val="0"/>
            <w:vAlign w:val="center"/>
          </w:tcPr>
          <w:p w14:paraId="747DBF71">
            <w:pPr>
              <w:keepNext w:val="0"/>
              <w:keepLines w:val="0"/>
              <w:pageBreakBefore w:val="0"/>
              <w:suppressLineNumbers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Fonts w:hint="eastAsia" w:ascii="宋体" w:hAnsi="宋体" w:eastAsia="宋体" w:cs="宋体"/>
                <w:b/>
                <w:bCs/>
                <w:color w:val="auto"/>
                <w:kern w:val="0"/>
                <w:sz w:val="24"/>
                <w:szCs w:val="24"/>
                <w:highlight w:val="none"/>
              </w:rPr>
            </w:pPr>
            <w:r>
              <w:rPr>
                <w:rFonts w:hint="eastAsia" w:asciiTheme="minorEastAsia" w:hAnsiTheme="minorEastAsia" w:eastAsiaTheme="minorEastAsia" w:cstheme="minorEastAsia"/>
                <w:b/>
                <w:i w:val="0"/>
                <w:caps w:val="0"/>
                <w:color w:val="auto"/>
                <w:spacing w:val="0"/>
                <w:w w:val="100"/>
                <w:kern w:val="0"/>
                <w:position w:val="0"/>
                <w:sz w:val="24"/>
                <w:szCs w:val="24"/>
                <w:highlight w:val="none"/>
                <w:lang w:val="en-US" w:eastAsia="zh-CN" w:bidi="ar-SA"/>
              </w:rPr>
              <w:t>政府采购政策落实</w:t>
            </w:r>
          </w:p>
        </w:tc>
        <w:tc>
          <w:tcPr>
            <w:tcW w:w="6203" w:type="dxa"/>
            <w:tcBorders>
              <w:top w:val="single" w:color="auto" w:sz="4" w:space="0"/>
              <w:left w:val="nil"/>
              <w:bottom w:val="single" w:color="auto" w:sz="4" w:space="0"/>
              <w:right w:val="single" w:color="auto" w:sz="4" w:space="0"/>
            </w:tcBorders>
            <w:noWrap w:val="0"/>
            <w:vAlign w:val="center"/>
          </w:tcPr>
          <w:p w14:paraId="78A899A7">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一、是否为专门面向中小企业采购：是</w:t>
            </w:r>
          </w:p>
          <w:p w14:paraId="4A34D2BE">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二、中小企业评审优惠内容及价格扣除幅度：</w:t>
            </w:r>
          </w:p>
          <w:p w14:paraId="00C24490">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1、本项目无价格扣除。</w:t>
            </w:r>
          </w:p>
          <w:p w14:paraId="571E93D6">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2、中小企业评审优惠内容及价格扣除幅度，执行政策如下：</w:t>
            </w:r>
          </w:p>
          <w:p w14:paraId="33177CB0">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根据工信部等部委发布的《关于印发中小企业划型标准规定的通知》（工信部联企业〔2011〕300号），本次采购项目所属行业为“其他未列明行业”。对于符合本次采购项目所属行业条件的中小微企业应按照竞争性招标文件格式要求提供《中小企业声明函》。</w:t>
            </w:r>
          </w:p>
          <w:p w14:paraId="28E545F2">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2）根据财政部发布的《政府采购促进中小企业发展管理办法》（财库〔2020〕46号）规定，对小微企业报价给予10%-20%（工程项目为3%—5%）的扣除，用扣除后的价格参加评审。在货物采购项目中，只有当供应商提供的全部标的均由小微企业制造，才能享受价格扣除政策；在工程、服务采购项目中，只有由小微企业承建、承接，才能享受价格扣除政策；允许联合体形式参加政府采购活动的，联合体各方均为小微企业的，联合体视同小微企业。专门面向中小企业采购的项目或者采购包，不再执行价格评审优惠的扶持政策。</w:t>
            </w:r>
          </w:p>
          <w:p w14:paraId="5AA913C2">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3）若所投产品为进口产品的，不适用《政府采购促进中小企业发展管理办法》。</w:t>
            </w:r>
          </w:p>
          <w:p w14:paraId="5D6F1DF4">
            <w:pPr>
              <w:keepNext w:val="0"/>
              <w:keepLines w:val="0"/>
              <w:pageBreakBefore w:val="0"/>
              <w:suppressLineNumbers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highlight w:val="none"/>
                <w:lang w:val="en-US" w:eastAsia="zh-CN" w:bidi="ar"/>
              </w:rPr>
              <w:t>4）监狱企业、残疾人福利性单位，视同为小型和微型企业。供应商若为监狱企业、残疾人福利性单位，须在投标文件中提供《监狱企业声明函》、《残疾人福利性单位声明函》，否则将不给予价格扣除。供应商须对其声明的真实性负责，若与事实不符的，将依照《政府采购法》第七十七条第一款的规定追究法律责任。</w:t>
            </w:r>
          </w:p>
        </w:tc>
      </w:tr>
      <w:tr w14:paraId="153A2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04128441">
            <w:pPr>
              <w:pStyle w:val="139"/>
              <w:keepNext w:val="0"/>
              <w:keepLines w:val="0"/>
              <w:suppressLineNumbers w:val="0"/>
              <w:spacing w:before="0" w:beforeAutospacing="0" w:after="0" w:afterAutospacing="0" w:line="360" w:lineRule="auto"/>
              <w:ind w:left="0" w:right="0"/>
              <w:jc w:val="center"/>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15</w:t>
            </w:r>
          </w:p>
        </w:tc>
        <w:tc>
          <w:tcPr>
            <w:tcW w:w="2664" w:type="dxa"/>
            <w:tcBorders>
              <w:top w:val="single" w:color="auto" w:sz="4" w:space="0"/>
              <w:left w:val="nil"/>
              <w:bottom w:val="single" w:color="auto" w:sz="4" w:space="0"/>
              <w:right w:val="single" w:color="auto" w:sz="4" w:space="0"/>
            </w:tcBorders>
            <w:noWrap w:val="0"/>
            <w:vAlign w:val="center"/>
          </w:tcPr>
          <w:p w14:paraId="365D52B0">
            <w:pPr>
              <w:pStyle w:val="139"/>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评审方法</w:t>
            </w:r>
          </w:p>
        </w:tc>
        <w:tc>
          <w:tcPr>
            <w:tcW w:w="6203" w:type="dxa"/>
            <w:tcBorders>
              <w:top w:val="single" w:color="auto" w:sz="4" w:space="0"/>
              <w:left w:val="nil"/>
              <w:bottom w:val="single" w:color="auto" w:sz="4" w:space="0"/>
              <w:right w:val="single" w:color="auto" w:sz="4" w:space="0"/>
            </w:tcBorders>
            <w:noWrap w:val="0"/>
            <w:vAlign w:val="center"/>
          </w:tcPr>
          <w:p w14:paraId="672934D4">
            <w:pPr>
              <w:pStyle w:val="144"/>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4"/>
                <w:szCs w:val="24"/>
                <w:highlight w:val="none"/>
              </w:rPr>
            </w:pPr>
            <w:bookmarkStart w:id="16" w:name="EBfac76cf65e4c418cba0e15c753f1359b"/>
            <w:bookmarkEnd w:id="16"/>
            <w:r>
              <w:rPr>
                <w:rFonts w:hint="eastAsia" w:ascii="宋体" w:hAnsi="宋体" w:eastAsia="宋体" w:cs="宋体"/>
                <w:color w:val="auto"/>
                <w:kern w:val="0"/>
                <w:sz w:val="24"/>
                <w:szCs w:val="24"/>
                <w:highlight w:val="none"/>
              </w:rPr>
              <w:t>综合评分法</w:t>
            </w:r>
          </w:p>
          <w:p w14:paraId="51E3E36D">
            <w:pPr>
              <w:pStyle w:val="139"/>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u w:val="none"/>
              </w:rPr>
              <w:t>注：综合评分法是指在最大限度地满足招标文件实质性要求前提下，按照招标文件中规定的评分细则评审后，以评标最终得分最高的</w:t>
            </w:r>
            <w:r>
              <w:rPr>
                <w:rFonts w:hint="eastAsia" w:asciiTheme="minorEastAsia" w:hAnsiTheme="minorEastAsia" w:eastAsiaTheme="minorEastAsia" w:cstheme="minorEastAsia"/>
                <w:color w:val="auto"/>
                <w:spacing w:val="0"/>
                <w:kern w:val="0"/>
                <w:position w:val="0"/>
                <w:sz w:val="24"/>
                <w:szCs w:val="24"/>
                <w:highlight w:val="none"/>
                <w:u w:val="none"/>
                <w:lang w:eastAsia="zh-CN"/>
              </w:rPr>
              <w:t>供应商</w:t>
            </w:r>
            <w:r>
              <w:rPr>
                <w:rFonts w:hint="eastAsia" w:asciiTheme="minorEastAsia" w:hAnsiTheme="minorEastAsia" w:eastAsiaTheme="minorEastAsia" w:cstheme="minorEastAsia"/>
                <w:color w:val="auto"/>
                <w:spacing w:val="0"/>
                <w:kern w:val="0"/>
                <w:position w:val="0"/>
                <w:sz w:val="24"/>
                <w:szCs w:val="24"/>
                <w:highlight w:val="none"/>
                <w:u w:val="none"/>
              </w:rPr>
              <w:t>作为中标人的评标方法</w:t>
            </w:r>
            <w:r>
              <w:rPr>
                <w:rFonts w:hint="eastAsia" w:asciiTheme="minorEastAsia" w:hAnsiTheme="minorEastAsia" w:eastAsiaTheme="minorEastAsia" w:cstheme="minorEastAsia"/>
                <w:color w:val="auto"/>
                <w:spacing w:val="0"/>
                <w:kern w:val="0"/>
                <w:position w:val="0"/>
                <w:sz w:val="24"/>
                <w:szCs w:val="24"/>
                <w:highlight w:val="none"/>
                <w:u w:val="none"/>
                <w:lang w:eastAsia="zh-CN"/>
              </w:rPr>
              <w:t>，</w:t>
            </w:r>
            <w:r>
              <w:rPr>
                <w:rFonts w:hint="eastAsia" w:asciiTheme="minorEastAsia" w:hAnsiTheme="minorEastAsia" w:eastAsiaTheme="minorEastAsia" w:cstheme="minorEastAsia"/>
                <w:color w:val="auto"/>
                <w:spacing w:val="0"/>
                <w:kern w:val="0"/>
                <w:position w:val="0"/>
                <w:sz w:val="24"/>
                <w:szCs w:val="24"/>
                <w:highlight w:val="none"/>
                <w:u w:val="none"/>
              </w:rPr>
              <w:t>每一</w:t>
            </w:r>
            <w:r>
              <w:rPr>
                <w:rFonts w:hint="eastAsia" w:asciiTheme="minorEastAsia" w:hAnsiTheme="minorEastAsia" w:eastAsiaTheme="minorEastAsia" w:cstheme="minorEastAsia"/>
                <w:color w:val="auto"/>
                <w:spacing w:val="0"/>
                <w:kern w:val="0"/>
                <w:position w:val="0"/>
                <w:sz w:val="24"/>
                <w:szCs w:val="24"/>
                <w:highlight w:val="none"/>
                <w:u w:val="none"/>
                <w:lang w:eastAsia="zh-CN"/>
              </w:rPr>
              <w:t>供应商</w:t>
            </w:r>
            <w:r>
              <w:rPr>
                <w:rFonts w:hint="eastAsia" w:asciiTheme="minorEastAsia" w:hAnsiTheme="minorEastAsia" w:eastAsiaTheme="minorEastAsia" w:cstheme="minorEastAsia"/>
                <w:color w:val="auto"/>
                <w:spacing w:val="0"/>
                <w:kern w:val="0"/>
                <w:position w:val="0"/>
                <w:sz w:val="24"/>
                <w:szCs w:val="24"/>
                <w:highlight w:val="none"/>
                <w:u w:val="none"/>
              </w:rPr>
              <w:t>的最终得分为所有评委评分的算术平均值</w:t>
            </w:r>
            <w:r>
              <w:rPr>
                <w:rFonts w:hint="eastAsia" w:asciiTheme="minorEastAsia" w:hAnsiTheme="minorEastAsia" w:eastAsiaTheme="minorEastAsia" w:cstheme="minorEastAsia"/>
                <w:b w:val="0"/>
                <w:bCs/>
                <w:color w:val="auto"/>
                <w:spacing w:val="0"/>
                <w:kern w:val="0"/>
                <w:position w:val="0"/>
                <w:sz w:val="24"/>
                <w:szCs w:val="24"/>
                <w:highlight w:val="none"/>
                <w:u w:val="none"/>
                <w:lang w:eastAsia="zh-CN"/>
              </w:rPr>
              <w:t>，</w:t>
            </w:r>
            <w:r>
              <w:rPr>
                <w:rFonts w:hint="eastAsia" w:asciiTheme="minorEastAsia" w:hAnsiTheme="minorEastAsia" w:eastAsiaTheme="minorEastAsia" w:cstheme="minorEastAsia"/>
                <w:color w:val="auto"/>
                <w:spacing w:val="0"/>
                <w:kern w:val="0"/>
                <w:position w:val="0"/>
                <w:sz w:val="24"/>
                <w:szCs w:val="24"/>
                <w:highlight w:val="none"/>
                <w:u w:val="none"/>
              </w:rPr>
              <w:t>得分相同的，报价较低的一方为中标人</w:t>
            </w:r>
            <w:r>
              <w:rPr>
                <w:rFonts w:hint="eastAsia" w:asciiTheme="minorEastAsia" w:hAnsiTheme="minorEastAsia" w:eastAsiaTheme="minorEastAsia" w:cstheme="minorEastAsia"/>
                <w:color w:val="auto"/>
                <w:spacing w:val="0"/>
                <w:kern w:val="0"/>
                <w:position w:val="0"/>
                <w:sz w:val="24"/>
                <w:szCs w:val="24"/>
                <w:highlight w:val="none"/>
                <w:u w:val="none"/>
                <w:lang w:eastAsia="zh-CN"/>
              </w:rPr>
              <w:t>，</w:t>
            </w:r>
            <w:r>
              <w:rPr>
                <w:rFonts w:hint="eastAsia" w:asciiTheme="minorEastAsia" w:hAnsiTheme="minorEastAsia" w:eastAsiaTheme="minorEastAsia" w:cstheme="minorEastAsia"/>
                <w:color w:val="auto"/>
                <w:spacing w:val="0"/>
                <w:kern w:val="0"/>
                <w:position w:val="0"/>
                <w:sz w:val="24"/>
                <w:szCs w:val="24"/>
                <w:highlight w:val="none"/>
                <w:u w:val="none"/>
              </w:rPr>
              <w:t>得分且投标报价相同的，技术指标较优的一方为中标人。</w:t>
            </w:r>
          </w:p>
        </w:tc>
      </w:tr>
      <w:tr w14:paraId="6C77F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35" w:type="dxa"/>
            <w:tcBorders>
              <w:top w:val="nil"/>
              <w:left w:val="single" w:color="auto" w:sz="4" w:space="0"/>
              <w:bottom w:val="single" w:color="auto" w:sz="4" w:space="0"/>
              <w:right w:val="single" w:color="auto" w:sz="4" w:space="0"/>
            </w:tcBorders>
            <w:noWrap w:val="0"/>
            <w:vAlign w:val="center"/>
          </w:tcPr>
          <w:p w14:paraId="56A15061">
            <w:pPr>
              <w:pStyle w:val="139"/>
              <w:keepNext w:val="0"/>
              <w:keepLines w:val="0"/>
              <w:suppressLineNumbers w:val="0"/>
              <w:spacing w:before="0" w:beforeAutospacing="0" w:after="0" w:afterAutospacing="0" w:line="360" w:lineRule="auto"/>
              <w:ind w:left="0" w:right="0"/>
              <w:jc w:val="center"/>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16</w:t>
            </w:r>
          </w:p>
        </w:tc>
        <w:tc>
          <w:tcPr>
            <w:tcW w:w="2664" w:type="dxa"/>
            <w:tcBorders>
              <w:top w:val="nil"/>
              <w:left w:val="nil"/>
              <w:bottom w:val="single" w:color="auto" w:sz="4" w:space="0"/>
              <w:right w:val="single" w:color="auto" w:sz="4" w:space="0"/>
            </w:tcBorders>
            <w:noWrap w:val="0"/>
            <w:vAlign w:val="center"/>
          </w:tcPr>
          <w:p w14:paraId="04914BD2">
            <w:pPr>
              <w:pStyle w:val="139"/>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履约</w:t>
            </w:r>
            <w:r>
              <w:rPr>
                <w:rFonts w:hint="eastAsia" w:ascii="宋体" w:hAnsi="宋体" w:cs="宋体"/>
                <w:b/>
                <w:bCs/>
                <w:color w:val="auto"/>
                <w:kern w:val="0"/>
                <w:sz w:val="24"/>
                <w:szCs w:val="24"/>
                <w:highlight w:val="none"/>
                <w:lang w:val="en-US" w:eastAsia="zh-CN"/>
              </w:rPr>
              <w:t>担保</w:t>
            </w:r>
          </w:p>
        </w:tc>
        <w:tc>
          <w:tcPr>
            <w:tcW w:w="6203" w:type="dxa"/>
            <w:tcBorders>
              <w:top w:val="single" w:color="auto" w:sz="4" w:space="0"/>
              <w:left w:val="nil"/>
              <w:bottom w:val="single" w:color="auto" w:sz="4" w:space="0"/>
              <w:right w:val="single" w:color="auto" w:sz="4" w:space="0"/>
            </w:tcBorders>
            <w:noWrap w:val="0"/>
            <w:vAlign w:val="center"/>
          </w:tcPr>
          <w:p w14:paraId="6E8EE8EA">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履约担保形式：银行保函或者转账</w:t>
            </w:r>
            <w:r>
              <w:rPr>
                <w:rFonts w:hint="eastAsia" w:ascii="宋体" w:hAnsi="宋体" w:eastAsia="宋体" w:cs="宋体"/>
                <w:color w:val="auto"/>
                <w:kern w:val="0"/>
                <w:sz w:val="24"/>
                <w:highlight w:val="none"/>
                <w:lang w:val="en-US" w:eastAsia="zh-CN" w:bidi="ar"/>
              </w:rPr>
              <w:t xml:space="preserve"> </w:t>
            </w:r>
          </w:p>
          <w:p w14:paraId="66C6297E">
            <w:pPr>
              <w:pStyle w:val="139"/>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highlight w:val="none"/>
                <w:lang w:bidi="ar"/>
              </w:rPr>
              <w:t>履约担保金额：中标价的</w:t>
            </w:r>
            <w:r>
              <w:rPr>
                <w:rFonts w:hint="eastAsia" w:ascii="宋体" w:hAnsi="宋体" w:eastAsia="宋体" w:cs="宋体"/>
                <w:color w:val="auto"/>
                <w:kern w:val="0"/>
                <w:sz w:val="24"/>
                <w:highlight w:val="none"/>
                <w:lang w:val="en-US" w:eastAsia="zh-CN" w:bidi="ar"/>
              </w:rPr>
              <w:t>5</w:t>
            </w:r>
            <w:r>
              <w:rPr>
                <w:rFonts w:hint="eastAsia" w:ascii="宋体" w:hAnsi="宋体" w:eastAsia="宋体" w:cs="宋体"/>
                <w:color w:val="auto"/>
                <w:kern w:val="0"/>
                <w:sz w:val="24"/>
                <w:highlight w:val="none"/>
                <w:lang w:bidi="ar"/>
              </w:rPr>
              <w:t>%</w:t>
            </w:r>
          </w:p>
        </w:tc>
      </w:tr>
      <w:tr w14:paraId="1403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52FD564C">
            <w:pPr>
              <w:pStyle w:val="139"/>
              <w:keepNext w:val="0"/>
              <w:keepLines w:val="0"/>
              <w:suppressLineNumbers w:val="0"/>
              <w:spacing w:before="0" w:beforeAutospacing="0" w:after="0" w:afterAutospacing="0" w:line="360" w:lineRule="auto"/>
              <w:ind w:left="0" w:right="0"/>
              <w:jc w:val="center"/>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17</w:t>
            </w:r>
          </w:p>
        </w:tc>
        <w:tc>
          <w:tcPr>
            <w:tcW w:w="2664" w:type="dxa"/>
            <w:tcBorders>
              <w:top w:val="single" w:color="auto" w:sz="4" w:space="0"/>
              <w:left w:val="nil"/>
              <w:bottom w:val="single" w:color="auto" w:sz="4" w:space="0"/>
              <w:right w:val="single" w:color="auto" w:sz="4" w:space="0"/>
            </w:tcBorders>
            <w:noWrap w:val="0"/>
            <w:vAlign w:val="center"/>
          </w:tcPr>
          <w:p w14:paraId="588F73B2">
            <w:pPr>
              <w:pStyle w:val="139"/>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代理服务费</w:t>
            </w:r>
          </w:p>
        </w:tc>
        <w:tc>
          <w:tcPr>
            <w:tcW w:w="6203" w:type="dxa"/>
            <w:tcBorders>
              <w:top w:val="single" w:color="auto" w:sz="4" w:space="0"/>
              <w:left w:val="nil"/>
              <w:bottom w:val="single" w:color="auto" w:sz="4" w:space="0"/>
              <w:right w:val="single" w:color="auto" w:sz="4" w:space="0"/>
            </w:tcBorders>
            <w:noWrap w:val="0"/>
            <w:vAlign w:val="center"/>
          </w:tcPr>
          <w:p w14:paraId="3EB81820">
            <w:pPr>
              <w:pStyle w:val="181"/>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u w:val="single"/>
              </w:rPr>
            </w:pPr>
            <w:bookmarkStart w:id="17" w:name="EB61747f1953474773bc4afe96f1735977"/>
            <w:bookmarkEnd w:id="17"/>
            <w:r>
              <w:rPr>
                <w:rFonts w:hint="eastAsia" w:asciiTheme="minorEastAsia" w:hAnsiTheme="minorEastAsia" w:eastAsiaTheme="minorEastAsia" w:cstheme="minorEastAsia"/>
                <w:b w:val="0"/>
                <w:i w:val="0"/>
                <w:caps w:val="0"/>
                <w:smallCaps w:val="0"/>
                <w:color w:val="auto"/>
                <w:spacing w:val="0"/>
                <w:w w:val="100"/>
                <w:kern w:val="2"/>
                <w:position w:val="0"/>
                <w:sz w:val="24"/>
                <w:szCs w:val="24"/>
                <w:highlight w:val="none"/>
                <w:u w:val="none" w:color="auto"/>
                <w:lang w:val="en-US" w:eastAsia="zh-CN" w:bidi="ar-SA"/>
              </w:rPr>
              <w:t>本次招标代理服务费参照《招标代理服务收费管理暂行办法》计价格[2002]1980号文收取。由中标人在领取中标通知书之前支付招标代理服务费。</w:t>
            </w:r>
          </w:p>
        </w:tc>
      </w:tr>
      <w:tr w14:paraId="7021B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61CDA56B">
            <w:pPr>
              <w:pStyle w:val="139"/>
              <w:keepNext w:val="0"/>
              <w:keepLines w:val="0"/>
              <w:suppressLineNumbers w:val="0"/>
              <w:spacing w:before="0" w:beforeAutospacing="0" w:after="0" w:afterAutospacing="0" w:line="360" w:lineRule="auto"/>
              <w:ind w:left="0" w:right="0"/>
              <w:jc w:val="center"/>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18</w:t>
            </w:r>
          </w:p>
        </w:tc>
        <w:tc>
          <w:tcPr>
            <w:tcW w:w="2664" w:type="dxa"/>
            <w:tcBorders>
              <w:top w:val="single" w:color="auto" w:sz="4" w:space="0"/>
              <w:left w:val="nil"/>
              <w:bottom w:val="single" w:color="auto" w:sz="4" w:space="0"/>
              <w:right w:val="single" w:color="auto" w:sz="4" w:space="0"/>
            </w:tcBorders>
            <w:noWrap w:val="0"/>
            <w:vAlign w:val="center"/>
          </w:tcPr>
          <w:p w14:paraId="4C778003">
            <w:pPr>
              <w:pStyle w:val="139"/>
              <w:keepNext w:val="0"/>
              <w:keepLines w:val="0"/>
              <w:suppressLineNumbers w:val="0"/>
              <w:spacing w:before="0" w:beforeAutospacing="0" w:after="0" w:afterAutospacing="0" w:line="360" w:lineRule="auto"/>
              <w:ind w:left="1592" w:right="0" w:hanging="1592"/>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付款方式</w:t>
            </w:r>
          </w:p>
        </w:tc>
        <w:tc>
          <w:tcPr>
            <w:tcW w:w="6203" w:type="dxa"/>
            <w:tcBorders>
              <w:top w:val="single" w:color="auto" w:sz="4" w:space="0"/>
              <w:left w:val="nil"/>
              <w:bottom w:val="single" w:color="auto" w:sz="4" w:space="0"/>
              <w:right w:val="single" w:color="auto" w:sz="4" w:space="0"/>
            </w:tcBorders>
            <w:noWrap w:val="0"/>
            <w:vAlign w:val="center"/>
          </w:tcPr>
          <w:p w14:paraId="5288CD43">
            <w:pPr>
              <w:keepNext w:val="0"/>
              <w:keepLines w:val="0"/>
              <w:pageBreakBefore w:val="0"/>
              <w:suppressLineNumbers w:val="0"/>
              <w:kinsoku/>
              <w:wordWrap/>
              <w:overflowPunct/>
              <w:topLinePunct w:val="0"/>
              <w:bidi w:val="0"/>
              <w:snapToGrid/>
              <w:spacing w:before="0" w:beforeAutospacing="0" w:after="0" w:afterAutospacing="0" w:line="440" w:lineRule="exact"/>
              <w:ind w:left="0" w:right="0"/>
              <w:jc w:val="left"/>
              <w:rPr>
                <w:rFonts w:hint="eastAsia" w:asciiTheme="minorEastAsia" w:hAnsiTheme="minorEastAsia" w:eastAsiaTheme="minorEastAsia" w:cstheme="minorEastAsia"/>
                <w:color w:val="auto"/>
                <w:spacing w:val="0"/>
                <w:position w:val="0"/>
                <w:sz w:val="24"/>
                <w:szCs w:val="24"/>
                <w:highlight w:val="none"/>
              </w:rPr>
            </w:pPr>
            <w:bookmarkStart w:id="18" w:name="EB2dc74b14846046859499e4929e78dd41"/>
            <w:bookmarkEnd w:id="18"/>
            <w:r>
              <w:rPr>
                <w:rFonts w:hint="eastAsia" w:asciiTheme="minorEastAsia" w:hAnsiTheme="minorEastAsia" w:eastAsiaTheme="minorEastAsia" w:cstheme="minorEastAsia"/>
                <w:color w:val="auto"/>
                <w:spacing w:val="0"/>
                <w:position w:val="0"/>
                <w:sz w:val="24"/>
                <w:szCs w:val="24"/>
                <w:highlight w:val="none"/>
              </w:rPr>
              <w:t>1、付款币种</w:t>
            </w:r>
            <w:r>
              <w:rPr>
                <w:rFonts w:hint="eastAsia" w:asciiTheme="minorEastAsia" w:hAnsiTheme="minorEastAsia" w:eastAsiaTheme="minorEastAsia" w:cstheme="minorEastAsia"/>
                <w:color w:val="auto"/>
                <w:spacing w:val="0"/>
                <w:position w:val="0"/>
                <w:sz w:val="24"/>
                <w:szCs w:val="24"/>
                <w:highlight w:val="none"/>
                <w:lang w:eastAsia="zh-CN"/>
              </w:rPr>
              <w:t>：</w:t>
            </w:r>
            <w:r>
              <w:rPr>
                <w:rFonts w:hint="eastAsia" w:asciiTheme="minorEastAsia" w:hAnsiTheme="minorEastAsia" w:eastAsiaTheme="minorEastAsia" w:cstheme="minorEastAsia"/>
                <w:color w:val="auto"/>
                <w:spacing w:val="0"/>
                <w:position w:val="0"/>
                <w:sz w:val="24"/>
                <w:szCs w:val="24"/>
                <w:highlight w:val="none"/>
              </w:rPr>
              <w:t>本次招标所述的项目资金均以人民币支付。</w:t>
            </w:r>
          </w:p>
          <w:p w14:paraId="0851DA67">
            <w:pPr>
              <w:pStyle w:val="134"/>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4"/>
                <w:highlight w:val="none"/>
                <w:u w:val="single"/>
                <w:lang w:val="en-US" w:eastAsia="zh-CN"/>
              </w:rPr>
            </w:pPr>
            <w:r>
              <w:rPr>
                <w:rFonts w:hint="eastAsia" w:asciiTheme="minorEastAsia" w:hAnsiTheme="minorEastAsia" w:eastAsiaTheme="minorEastAsia" w:cstheme="minorEastAsia"/>
                <w:color w:val="auto"/>
                <w:spacing w:val="0"/>
                <w:position w:val="0"/>
                <w:sz w:val="24"/>
                <w:szCs w:val="24"/>
                <w:highlight w:val="none"/>
              </w:rPr>
              <w:t>2、付款方式：</w:t>
            </w:r>
            <w:r>
              <w:rPr>
                <w:rFonts w:hint="eastAsia" w:asciiTheme="minorEastAsia" w:hAnsiTheme="minorEastAsia" w:eastAsiaTheme="minorEastAsia" w:cstheme="minorEastAsia"/>
                <w:color w:val="auto"/>
                <w:spacing w:val="0"/>
                <w:position w:val="0"/>
                <w:sz w:val="24"/>
                <w:szCs w:val="24"/>
                <w:highlight w:val="none"/>
                <w:lang w:val="en-US" w:eastAsia="zh-CN"/>
              </w:rPr>
              <w:t>最终付款方式以和</w:t>
            </w:r>
            <w:r>
              <w:rPr>
                <w:rFonts w:hint="eastAsia" w:asciiTheme="minorEastAsia" w:hAnsiTheme="minorEastAsia" w:cstheme="minorEastAsia"/>
                <w:color w:val="auto"/>
                <w:spacing w:val="0"/>
                <w:position w:val="0"/>
                <w:sz w:val="24"/>
                <w:szCs w:val="24"/>
                <w:highlight w:val="none"/>
                <w:lang w:val="en-US" w:eastAsia="zh-CN"/>
              </w:rPr>
              <w:t>采购</w:t>
            </w:r>
            <w:r>
              <w:rPr>
                <w:rFonts w:hint="eastAsia" w:asciiTheme="minorEastAsia" w:hAnsiTheme="minorEastAsia" w:eastAsiaTheme="minorEastAsia" w:cstheme="minorEastAsia"/>
                <w:color w:val="auto"/>
                <w:spacing w:val="0"/>
                <w:position w:val="0"/>
                <w:sz w:val="24"/>
                <w:szCs w:val="24"/>
                <w:highlight w:val="none"/>
                <w:lang w:val="en-US" w:eastAsia="zh-CN"/>
              </w:rPr>
              <w:t>方</w:t>
            </w:r>
            <w:r>
              <w:rPr>
                <w:rFonts w:hint="eastAsia" w:asciiTheme="minorEastAsia" w:hAnsiTheme="minorEastAsia" w:cstheme="minorEastAsia"/>
                <w:color w:val="auto"/>
                <w:spacing w:val="0"/>
                <w:position w:val="0"/>
                <w:sz w:val="24"/>
                <w:szCs w:val="24"/>
                <w:highlight w:val="none"/>
                <w:lang w:val="en-US" w:eastAsia="zh-CN"/>
              </w:rPr>
              <w:t>实际</w:t>
            </w:r>
            <w:r>
              <w:rPr>
                <w:rFonts w:hint="eastAsia" w:asciiTheme="minorEastAsia" w:hAnsiTheme="minorEastAsia" w:eastAsiaTheme="minorEastAsia" w:cstheme="minorEastAsia"/>
                <w:color w:val="auto"/>
                <w:spacing w:val="0"/>
                <w:position w:val="0"/>
                <w:sz w:val="24"/>
                <w:szCs w:val="24"/>
                <w:highlight w:val="none"/>
                <w:lang w:val="en-US" w:eastAsia="zh-CN"/>
              </w:rPr>
              <w:t>签订合同为准</w:t>
            </w:r>
          </w:p>
        </w:tc>
      </w:tr>
      <w:tr w14:paraId="4DA00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5928E883">
            <w:pPr>
              <w:pStyle w:val="139"/>
              <w:keepNext w:val="0"/>
              <w:keepLines w:val="0"/>
              <w:suppressLineNumbers w:val="0"/>
              <w:spacing w:before="0" w:beforeAutospacing="0" w:after="0" w:afterAutospacing="0" w:line="360" w:lineRule="auto"/>
              <w:ind w:left="0" w:right="0"/>
              <w:jc w:val="center"/>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19</w:t>
            </w:r>
          </w:p>
        </w:tc>
        <w:tc>
          <w:tcPr>
            <w:tcW w:w="2664" w:type="dxa"/>
            <w:tcBorders>
              <w:top w:val="single" w:color="auto" w:sz="4" w:space="0"/>
              <w:left w:val="nil"/>
              <w:bottom w:val="single" w:color="auto" w:sz="4" w:space="0"/>
              <w:right w:val="single" w:color="auto" w:sz="4" w:space="0"/>
            </w:tcBorders>
            <w:noWrap w:val="0"/>
            <w:vAlign w:val="center"/>
          </w:tcPr>
          <w:p w14:paraId="50FD5329">
            <w:pPr>
              <w:pStyle w:val="139"/>
              <w:keepNext w:val="0"/>
              <w:keepLines w:val="0"/>
              <w:suppressLineNumbers w:val="0"/>
              <w:spacing w:before="0" w:beforeAutospacing="0" w:after="0" w:afterAutospacing="0" w:line="360" w:lineRule="auto"/>
              <w:ind w:left="0" w:right="0"/>
              <w:jc w:val="center"/>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服务期限</w:t>
            </w:r>
          </w:p>
        </w:tc>
        <w:tc>
          <w:tcPr>
            <w:tcW w:w="6203" w:type="dxa"/>
            <w:tcBorders>
              <w:top w:val="single" w:color="auto" w:sz="4" w:space="0"/>
              <w:left w:val="nil"/>
              <w:bottom w:val="single" w:color="auto" w:sz="4" w:space="0"/>
              <w:right w:val="single" w:color="auto" w:sz="4" w:space="0"/>
            </w:tcBorders>
            <w:noWrap w:val="0"/>
            <w:vAlign w:val="center"/>
          </w:tcPr>
          <w:p w14:paraId="0E29F5C5">
            <w:pPr>
              <w:pStyle w:val="134"/>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4"/>
                <w:highlight w:val="none"/>
                <w:u w:val="single"/>
                <w:lang w:val="en-US" w:eastAsia="zh-CN"/>
              </w:rPr>
            </w:pPr>
            <w:bookmarkStart w:id="19" w:name="EB18b15cc3091846bba088c32790cb7a66"/>
            <w:bookmarkEnd w:id="19"/>
            <w:r>
              <w:rPr>
                <w:rFonts w:hint="eastAsia" w:ascii="宋体" w:hAnsi="宋体" w:eastAsia="宋体" w:cs="宋体"/>
                <w:color w:val="auto"/>
                <w:sz w:val="24"/>
                <w:szCs w:val="24"/>
                <w:highlight w:val="none"/>
              </w:rPr>
              <w:t>自合同签订之日起</w:t>
            </w:r>
            <w:r>
              <w:rPr>
                <w:rFonts w:hint="eastAsia" w:ascii="宋体" w:hAnsi="宋体" w:cs="宋体"/>
                <w:color w:val="auto"/>
                <w:sz w:val="24"/>
                <w:szCs w:val="24"/>
                <w:highlight w:val="none"/>
                <w:lang w:val="en-US" w:eastAsia="zh-CN"/>
              </w:rPr>
              <w:t>12个月</w:t>
            </w:r>
          </w:p>
        </w:tc>
      </w:tr>
      <w:tr w14:paraId="33C3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1132A81A">
            <w:pPr>
              <w:pStyle w:val="139"/>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val="en-US" w:eastAsia="zh-CN"/>
              </w:rPr>
              <w:t>2</w:t>
            </w:r>
            <w:r>
              <w:rPr>
                <w:rFonts w:hint="eastAsia" w:ascii="宋体" w:hAnsi="宋体" w:cs="宋体"/>
                <w:b/>
                <w:bCs/>
                <w:color w:val="auto"/>
                <w:kern w:val="0"/>
                <w:sz w:val="24"/>
                <w:szCs w:val="24"/>
                <w:highlight w:val="none"/>
                <w:lang w:val="en-US" w:eastAsia="zh-CN"/>
              </w:rPr>
              <w:t>0</w:t>
            </w:r>
          </w:p>
        </w:tc>
        <w:tc>
          <w:tcPr>
            <w:tcW w:w="2664" w:type="dxa"/>
            <w:tcBorders>
              <w:top w:val="single" w:color="auto" w:sz="4" w:space="0"/>
              <w:left w:val="nil"/>
              <w:bottom w:val="single" w:color="auto" w:sz="4" w:space="0"/>
              <w:right w:val="single" w:color="auto" w:sz="4" w:space="0"/>
            </w:tcBorders>
            <w:noWrap w:val="0"/>
            <w:vAlign w:val="center"/>
          </w:tcPr>
          <w:p w14:paraId="60952C07">
            <w:pPr>
              <w:pStyle w:val="139"/>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服务</w:t>
            </w:r>
            <w:r>
              <w:rPr>
                <w:rFonts w:hint="eastAsia" w:ascii="宋体" w:hAnsi="宋体" w:eastAsia="宋体" w:cs="宋体"/>
                <w:b/>
                <w:bCs/>
                <w:color w:val="auto"/>
                <w:kern w:val="0"/>
                <w:sz w:val="24"/>
                <w:szCs w:val="24"/>
                <w:highlight w:val="none"/>
              </w:rPr>
              <w:t>地点</w:t>
            </w:r>
          </w:p>
        </w:tc>
        <w:tc>
          <w:tcPr>
            <w:tcW w:w="6203" w:type="dxa"/>
            <w:tcBorders>
              <w:top w:val="single" w:color="auto" w:sz="4" w:space="0"/>
              <w:left w:val="nil"/>
              <w:bottom w:val="single" w:color="auto" w:sz="4" w:space="0"/>
              <w:right w:val="single" w:color="auto" w:sz="4" w:space="0"/>
            </w:tcBorders>
            <w:noWrap w:val="0"/>
            <w:vAlign w:val="center"/>
          </w:tcPr>
          <w:p w14:paraId="11FC2433">
            <w:pPr>
              <w:pStyle w:val="144"/>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u w:val="single"/>
              </w:rPr>
            </w:pPr>
            <w:bookmarkStart w:id="20" w:name="EB164305855d7d4c53942a57bb4dac7000"/>
            <w:bookmarkEnd w:id="20"/>
            <w:r>
              <w:rPr>
                <w:rFonts w:hint="eastAsia" w:ascii="宋体" w:hAnsi="宋体" w:eastAsia="宋体" w:cs="宋体"/>
                <w:color w:val="auto"/>
                <w:sz w:val="24"/>
                <w:szCs w:val="24"/>
                <w:highlight w:val="none"/>
              </w:rPr>
              <w:t>采购人指定</w:t>
            </w:r>
            <w:r>
              <w:rPr>
                <w:rFonts w:hint="eastAsia" w:ascii="宋体" w:hAnsi="宋体" w:cs="宋体"/>
                <w:color w:val="auto"/>
                <w:sz w:val="24"/>
                <w:szCs w:val="24"/>
                <w:highlight w:val="none"/>
                <w:lang w:val="en-US" w:eastAsia="zh-CN"/>
              </w:rPr>
              <w:t>地点</w:t>
            </w:r>
            <w:r>
              <w:rPr>
                <w:rFonts w:hint="eastAsia" w:ascii="宋体" w:hAnsi="宋体" w:eastAsia="宋体" w:cs="宋体"/>
                <w:color w:val="auto"/>
                <w:sz w:val="24"/>
                <w:szCs w:val="24"/>
                <w:highlight w:val="none"/>
              </w:rPr>
              <w:t xml:space="preserve">                                        </w:t>
            </w:r>
          </w:p>
        </w:tc>
      </w:tr>
      <w:tr w14:paraId="508A3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342269C1">
            <w:pPr>
              <w:pStyle w:val="139"/>
              <w:keepNext w:val="0"/>
              <w:keepLines w:val="0"/>
              <w:suppressLineNumbers w:val="0"/>
              <w:spacing w:before="0" w:beforeAutospacing="0" w:after="0" w:afterAutospacing="0" w:line="360" w:lineRule="auto"/>
              <w:ind w:left="0" w:right="0"/>
              <w:jc w:val="center"/>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21</w:t>
            </w:r>
          </w:p>
        </w:tc>
        <w:tc>
          <w:tcPr>
            <w:tcW w:w="2664" w:type="dxa"/>
            <w:tcBorders>
              <w:top w:val="single" w:color="auto" w:sz="4" w:space="0"/>
              <w:left w:val="nil"/>
              <w:bottom w:val="single" w:color="auto" w:sz="4" w:space="0"/>
              <w:right w:val="single" w:color="auto" w:sz="4" w:space="0"/>
            </w:tcBorders>
            <w:noWrap w:val="0"/>
            <w:vAlign w:val="center"/>
          </w:tcPr>
          <w:p w14:paraId="45D527BA">
            <w:pPr>
              <w:pStyle w:val="139"/>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质保期</w:t>
            </w:r>
          </w:p>
        </w:tc>
        <w:tc>
          <w:tcPr>
            <w:tcW w:w="6203" w:type="dxa"/>
            <w:tcBorders>
              <w:top w:val="single" w:color="auto" w:sz="4" w:space="0"/>
              <w:left w:val="nil"/>
              <w:bottom w:val="single" w:color="auto" w:sz="4" w:space="0"/>
              <w:right w:val="single" w:color="auto" w:sz="4" w:space="0"/>
            </w:tcBorders>
            <w:noWrap w:val="0"/>
            <w:vAlign w:val="center"/>
          </w:tcPr>
          <w:p w14:paraId="43943D15">
            <w:pPr>
              <w:pStyle w:val="139"/>
              <w:keepNext w:val="0"/>
              <w:keepLines w:val="0"/>
              <w:suppressLineNumbers w:val="0"/>
              <w:autoSpaceDE w:val="0"/>
              <w:autoSpaceDN w:val="0"/>
              <w:adjustRightInd w:val="0"/>
              <w:spacing w:before="0" w:beforeAutospacing="0" w:after="0" w:afterAutospacing="0" w:line="360" w:lineRule="auto"/>
              <w:ind w:left="360" w:right="0" w:hanging="360"/>
              <w:rPr>
                <w:rFonts w:hint="default" w:ascii="宋体" w:hAnsi="宋体" w:eastAsia="宋体" w:cs="宋体"/>
                <w:color w:val="auto"/>
                <w:sz w:val="24"/>
                <w:szCs w:val="24"/>
                <w:highlight w:val="none"/>
                <w:u w:val="single"/>
                <w:lang w:val="en-US" w:eastAsia="zh-CN"/>
              </w:rPr>
            </w:pPr>
            <w:bookmarkStart w:id="21" w:name="EB4545dfd19ee14bf990935163cccc2961"/>
            <w:bookmarkEnd w:id="21"/>
            <w:r>
              <w:rPr>
                <w:rFonts w:hint="eastAsia" w:ascii="宋体" w:hAnsi="宋体" w:cs="宋体"/>
                <w:color w:val="auto"/>
                <w:sz w:val="24"/>
                <w:szCs w:val="24"/>
                <w:highlight w:val="none"/>
                <w:u w:val="none"/>
                <w:lang w:val="en-US" w:eastAsia="zh-CN"/>
              </w:rPr>
              <w:t>无</w:t>
            </w:r>
          </w:p>
        </w:tc>
      </w:tr>
      <w:tr w14:paraId="1853A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1C3E9446">
            <w:pPr>
              <w:pStyle w:val="139"/>
              <w:keepNext w:val="0"/>
              <w:keepLines w:val="0"/>
              <w:suppressLineNumbers w:val="0"/>
              <w:spacing w:before="0" w:beforeAutospacing="0" w:after="0" w:afterAutospacing="0" w:line="360" w:lineRule="auto"/>
              <w:ind w:left="0" w:right="0"/>
              <w:jc w:val="center"/>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22</w:t>
            </w:r>
          </w:p>
        </w:tc>
        <w:tc>
          <w:tcPr>
            <w:tcW w:w="2664" w:type="dxa"/>
            <w:tcBorders>
              <w:top w:val="single" w:color="auto" w:sz="4" w:space="0"/>
              <w:left w:val="nil"/>
              <w:bottom w:val="single" w:color="auto" w:sz="4" w:space="0"/>
              <w:right w:val="single" w:color="auto" w:sz="4" w:space="0"/>
            </w:tcBorders>
            <w:noWrap w:val="0"/>
            <w:vAlign w:val="center"/>
          </w:tcPr>
          <w:p w14:paraId="0BF2CF07">
            <w:pPr>
              <w:pStyle w:val="139"/>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现场陈述</w:t>
            </w:r>
          </w:p>
        </w:tc>
        <w:tc>
          <w:tcPr>
            <w:tcW w:w="6203" w:type="dxa"/>
            <w:tcBorders>
              <w:top w:val="single" w:color="auto" w:sz="4" w:space="0"/>
              <w:left w:val="nil"/>
              <w:bottom w:val="single" w:color="auto" w:sz="4" w:space="0"/>
              <w:right w:val="single" w:color="auto" w:sz="4" w:space="0"/>
            </w:tcBorders>
            <w:noWrap w:val="0"/>
            <w:vAlign w:val="center"/>
          </w:tcPr>
          <w:p w14:paraId="1597F05B">
            <w:pPr>
              <w:pStyle w:val="139"/>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color w:val="auto"/>
                <w:sz w:val="24"/>
                <w:szCs w:val="24"/>
                <w:highlight w:val="none"/>
              </w:rPr>
            </w:pPr>
            <w:bookmarkStart w:id="22" w:name="EB2bf8f7172c8d4220b807b8bf667df51d"/>
            <w:bookmarkEnd w:id="22"/>
            <w:r>
              <w:rPr>
                <w:rFonts w:hint="eastAsia" w:ascii="宋体" w:hAnsi="宋体" w:eastAsia="宋体" w:cs="宋体"/>
                <w:color w:val="auto"/>
                <w:sz w:val="24"/>
                <w:szCs w:val="24"/>
                <w:highlight w:val="none"/>
              </w:rPr>
              <w:t>不需要</w:t>
            </w:r>
          </w:p>
        </w:tc>
      </w:tr>
      <w:tr w14:paraId="6FD1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41A70C5E">
            <w:pPr>
              <w:pStyle w:val="139"/>
              <w:keepNext w:val="0"/>
              <w:keepLines w:val="0"/>
              <w:suppressLineNumbers w:val="0"/>
              <w:spacing w:before="0" w:beforeAutospacing="0" w:after="0" w:afterAutospacing="0" w:line="360" w:lineRule="auto"/>
              <w:ind w:left="0" w:right="0"/>
              <w:jc w:val="center"/>
              <w:rPr>
                <w:rFonts w:hint="default"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23</w:t>
            </w:r>
          </w:p>
        </w:tc>
        <w:tc>
          <w:tcPr>
            <w:tcW w:w="2664" w:type="dxa"/>
            <w:tcBorders>
              <w:top w:val="single" w:color="auto" w:sz="4" w:space="0"/>
              <w:left w:val="nil"/>
              <w:bottom w:val="single" w:color="auto" w:sz="4" w:space="0"/>
              <w:right w:val="single" w:color="auto" w:sz="4" w:space="0"/>
            </w:tcBorders>
            <w:noWrap w:val="0"/>
            <w:vAlign w:val="center"/>
          </w:tcPr>
          <w:p w14:paraId="1E992A69">
            <w:pPr>
              <w:keepNext w:val="0"/>
              <w:keepLines w:val="0"/>
              <w:pageBreakBefore w:val="0"/>
              <w:suppressLineNumbers w:val="0"/>
              <w:kinsoku/>
              <w:overflowPunct/>
              <w:topLinePunct w:val="0"/>
              <w:bidi w:val="0"/>
              <w:adjustRightInd w:val="0"/>
              <w:snapToGrid w:val="0"/>
              <w:spacing w:before="0" w:beforeAutospacing="0" w:after="0" w:afterAutospacing="0" w:line="440" w:lineRule="exact"/>
              <w:ind w:left="0" w:leftChars="0" w:right="0" w:rightChars="0"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u w:val="none"/>
                <w:lang w:val="en-US" w:eastAsia="zh-CN"/>
              </w:rPr>
              <w:t>推荐中标候选人</w:t>
            </w:r>
          </w:p>
        </w:tc>
        <w:tc>
          <w:tcPr>
            <w:tcW w:w="6203" w:type="dxa"/>
            <w:tcBorders>
              <w:top w:val="single" w:color="auto" w:sz="4" w:space="0"/>
              <w:left w:val="nil"/>
              <w:bottom w:val="single" w:color="auto" w:sz="4" w:space="0"/>
              <w:right w:val="single" w:color="auto" w:sz="4" w:space="0"/>
            </w:tcBorders>
            <w:noWrap w:val="0"/>
            <w:vAlign w:val="center"/>
          </w:tcPr>
          <w:p w14:paraId="5DED3273">
            <w:pPr>
              <w:keepNext w:val="0"/>
              <w:keepLines w:val="0"/>
              <w:pageBreakBefore w:val="0"/>
              <w:suppressLineNumbers w:val="0"/>
              <w:kinsoku/>
              <w:wordWrap w:val="0"/>
              <w:overflowPunct/>
              <w:topLinePunct w:val="0"/>
              <w:bidi w:val="0"/>
              <w:spacing w:before="0" w:beforeAutospacing="0" w:after="0" w:afterAutospacing="0" w:line="440" w:lineRule="exact"/>
              <w:ind w:left="0" w:leftChars="0" w:right="0" w:righ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pacing w:val="0"/>
                <w:kern w:val="2"/>
                <w:position w:val="0"/>
                <w:sz w:val="24"/>
                <w:szCs w:val="24"/>
                <w:highlight w:val="none"/>
                <w:u w:val="none"/>
                <w:lang w:val="en-US" w:eastAsia="zh-CN" w:bidi="ar-SA"/>
              </w:rPr>
              <w:t>推荐中标候选人数量：3 名</w:t>
            </w:r>
          </w:p>
        </w:tc>
      </w:tr>
      <w:tr w14:paraId="4DC4F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6A0DAEF3">
            <w:pPr>
              <w:pStyle w:val="139"/>
              <w:keepNext w:val="0"/>
              <w:keepLines w:val="0"/>
              <w:suppressLineNumbers w:val="0"/>
              <w:spacing w:before="0" w:beforeAutospacing="0" w:after="0" w:afterAutospacing="0" w:line="360" w:lineRule="auto"/>
              <w:ind w:left="0" w:right="0"/>
              <w:jc w:val="center"/>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24</w:t>
            </w:r>
          </w:p>
        </w:tc>
        <w:tc>
          <w:tcPr>
            <w:tcW w:w="2664" w:type="dxa"/>
            <w:tcBorders>
              <w:top w:val="single" w:color="auto" w:sz="4" w:space="0"/>
              <w:left w:val="nil"/>
              <w:bottom w:val="single" w:color="auto" w:sz="4" w:space="0"/>
              <w:right w:val="single" w:color="auto" w:sz="4" w:space="0"/>
            </w:tcBorders>
            <w:noWrap w:val="0"/>
            <w:vAlign w:val="center"/>
          </w:tcPr>
          <w:p w14:paraId="2FC01E57">
            <w:pPr>
              <w:keepNext w:val="0"/>
              <w:keepLines w:val="0"/>
              <w:suppressLineNumbers w:val="0"/>
              <w:overflowPunct w:val="0"/>
              <w:snapToGri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低于成本不正当竞争预防措施</w:t>
            </w:r>
          </w:p>
        </w:tc>
        <w:tc>
          <w:tcPr>
            <w:tcW w:w="6203" w:type="dxa"/>
            <w:tcBorders>
              <w:top w:val="single" w:color="auto" w:sz="4" w:space="0"/>
              <w:left w:val="nil"/>
              <w:bottom w:val="single" w:color="auto" w:sz="4" w:space="0"/>
              <w:right w:val="single" w:color="auto" w:sz="4" w:space="0"/>
            </w:tcBorders>
            <w:noWrap w:val="0"/>
            <w:vAlign w:val="center"/>
          </w:tcPr>
          <w:p w14:paraId="7CF770D9">
            <w:pPr>
              <w:keepNext w:val="0"/>
              <w:keepLines w:val="0"/>
              <w:suppressLineNumbers w:val="0"/>
              <w:overflowPunct w:val="0"/>
              <w:snapToGrid w:val="0"/>
              <w:spacing w:before="0" w:beforeAutospacing="0" w:after="0" w:afterAutospacing="0" w:line="360" w:lineRule="auto"/>
              <w:ind w:left="0" w:right="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在评标过程中，供应商报价低于其他有效供应商报价有可能影响服务质量或者不能诚信履约的，评标委员会应当要求其在评标现场合理的时间内提供成本构成书面说明，并提交相关证明材料。</w:t>
            </w:r>
          </w:p>
          <w:p w14:paraId="51A79913">
            <w:pPr>
              <w:keepNext w:val="0"/>
              <w:keepLines w:val="0"/>
              <w:suppressLineNumbers w:val="0"/>
              <w:overflowPunct w:val="0"/>
              <w:snapToGrid w:val="0"/>
              <w:spacing w:before="0" w:beforeAutospacing="0" w:after="0" w:afterAutospacing="0" w:line="360" w:lineRule="auto"/>
              <w:ind w:left="0" w:right="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书面说明应当按照国家财务会计制度的规定要求，逐项就供应商提供的服务的主营业务成本（应根据供应商企业类型予以区别）、税金及附加、人员费用、管理费用、财务费用等成本构成事项详细陈述。供应商书面说明应当签字确认或者加盖公章，否则无效。书面说明的签字确认，供应商为法人的，由法定代表人或者委托代理人签字确认。</w:t>
            </w:r>
          </w:p>
          <w:p w14:paraId="43028823">
            <w:pPr>
              <w:keepNext w:val="0"/>
              <w:keepLines w:val="0"/>
              <w:suppressLineNumbers w:val="0"/>
              <w:overflowPunct w:val="0"/>
              <w:snapToGrid w:val="0"/>
              <w:spacing w:before="0" w:beforeAutospacing="0" w:after="0" w:afterAutospacing="0" w:line="360" w:lineRule="auto"/>
              <w:ind w:left="0" w:right="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响应文件作为无效处理</w:t>
            </w:r>
          </w:p>
        </w:tc>
      </w:tr>
      <w:tr w14:paraId="510E8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2D6D2EF4">
            <w:pPr>
              <w:pStyle w:val="139"/>
              <w:keepNext w:val="0"/>
              <w:keepLines w:val="0"/>
              <w:suppressLineNumbers w:val="0"/>
              <w:spacing w:before="0" w:beforeAutospacing="0" w:after="0" w:afterAutospacing="0" w:line="360" w:lineRule="auto"/>
              <w:ind w:left="0" w:right="0"/>
              <w:jc w:val="center"/>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25</w:t>
            </w:r>
          </w:p>
        </w:tc>
        <w:tc>
          <w:tcPr>
            <w:tcW w:w="2664" w:type="dxa"/>
            <w:tcBorders>
              <w:top w:val="single" w:color="auto" w:sz="4" w:space="0"/>
              <w:left w:val="nil"/>
              <w:bottom w:val="single" w:color="auto" w:sz="4" w:space="0"/>
              <w:right w:val="single" w:color="auto" w:sz="4" w:space="0"/>
            </w:tcBorders>
            <w:noWrap w:val="0"/>
            <w:vAlign w:val="center"/>
          </w:tcPr>
          <w:p w14:paraId="261FE049">
            <w:pPr>
              <w:pStyle w:val="139"/>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其他</w:t>
            </w:r>
          </w:p>
        </w:tc>
        <w:tc>
          <w:tcPr>
            <w:tcW w:w="6203" w:type="dxa"/>
            <w:tcBorders>
              <w:top w:val="single" w:color="auto" w:sz="4" w:space="0"/>
              <w:left w:val="nil"/>
              <w:bottom w:val="single" w:color="auto" w:sz="4" w:space="0"/>
              <w:right w:val="single" w:color="auto" w:sz="4" w:space="0"/>
            </w:tcBorders>
            <w:noWrap w:val="0"/>
            <w:vAlign w:val="center"/>
          </w:tcPr>
          <w:p w14:paraId="593EEC99">
            <w:pPr>
              <w:pStyle w:val="139"/>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1、各投标人必须针对投标文件均必须满足招标文件制作等要求，否则将导致投标被拒绝。 </w:t>
            </w:r>
          </w:p>
          <w:p w14:paraId="6996F191">
            <w:pPr>
              <w:pStyle w:val="139"/>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2、本项目的招标投标活动以及相关当事人须接受财政监督部门依法实施的监督。</w:t>
            </w:r>
          </w:p>
        </w:tc>
      </w:tr>
      <w:tr w14:paraId="0F678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01A0784D">
            <w:pPr>
              <w:pStyle w:val="139"/>
              <w:keepNext w:val="0"/>
              <w:keepLines w:val="0"/>
              <w:suppressLineNumbers w:val="0"/>
              <w:spacing w:before="0" w:beforeAutospacing="0" w:after="0" w:afterAutospacing="0" w:line="360" w:lineRule="auto"/>
              <w:ind w:left="0" w:right="0"/>
              <w:jc w:val="center"/>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26</w:t>
            </w:r>
          </w:p>
        </w:tc>
        <w:tc>
          <w:tcPr>
            <w:tcW w:w="2664" w:type="dxa"/>
            <w:tcBorders>
              <w:top w:val="single" w:color="auto" w:sz="4" w:space="0"/>
              <w:left w:val="nil"/>
              <w:bottom w:val="single" w:color="auto" w:sz="4" w:space="0"/>
              <w:right w:val="single" w:color="auto" w:sz="4" w:space="0"/>
            </w:tcBorders>
            <w:noWrap w:val="0"/>
            <w:vAlign w:val="center"/>
          </w:tcPr>
          <w:p w14:paraId="599CE8BC">
            <w:pPr>
              <w:pStyle w:val="139"/>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招标人补充的其他内容</w:t>
            </w:r>
          </w:p>
        </w:tc>
        <w:tc>
          <w:tcPr>
            <w:tcW w:w="6203" w:type="dxa"/>
            <w:tcBorders>
              <w:top w:val="single" w:color="auto" w:sz="4" w:space="0"/>
              <w:left w:val="nil"/>
              <w:bottom w:val="single" w:color="auto" w:sz="4" w:space="0"/>
              <w:right w:val="single" w:color="auto" w:sz="4" w:space="0"/>
            </w:tcBorders>
            <w:noWrap w:val="0"/>
            <w:vAlign w:val="center"/>
          </w:tcPr>
          <w:p w14:paraId="4D97569C">
            <w:pPr>
              <w:pStyle w:val="144"/>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color w:val="auto"/>
                <w:sz w:val="24"/>
                <w:szCs w:val="24"/>
                <w:highlight w:val="none"/>
                <w:u w:val="none"/>
                <w:lang w:val="en-US" w:eastAsia="zh-CN"/>
              </w:rPr>
            </w:pPr>
            <w:bookmarkStart w:id="23" w:name="EB74ae452a189a4b2c993499fc5939ae2d"/>
            <w:bookmarkEnd w:id="23"/>
            <w:r>
              <w:rPr>
                <w:rFonts w:hint="eastAsia" w:ascii="宋体" w:hAnsi="宋体" w:eastAsia="宋体" w:cs="宋体"/>
                <w:b w:val="0"/>
                <w:bCs w:val="0"/>
                <w:color w:val="auto"/>
                <w:sz w:val="24"/>
                <w:szCs w:val="24"/>
                <w:highlight w:val="none"/>
                <w:u w:val="none"/>
              </w:rPr>
              <w:t>中标公告发布后3日内</w:t>
            </w:r>
            <w:r>
              <w:rPr>
                <w:rFonts w:hint="eastAsia" w:ascii="宋体" w:hAnsi="宋体" w:eastAsia="宋体" w:cs="宋体"/>
                <w:b w:val="0"/>
                <w:bCs w:val="0"/>
                <w:color w:val="auto"/>
                <w:sz w:val="24"/>
                <w:szCs w:val="24"/>
                <w:highlight w:val="none"/>
                <w:u w:val="none"/>
                <w:lang w:eastAsia="zh-CN"/>
              </w:rPr>
              <w:t>，请各个</w:t>
            </w:r>
            <w:r>
              <w:rPr>
                <w:rFonts w:hint="eastAsia" w:ascii="宋体" w:hAnsi="宋体" w:cs="宋体"/>
                <w:b w:val="0"/>
                <w:bCs w:val="0"/>
                <w:color w:val="auto"/>
                <w:sz w:val="24"/>
                <w:szCs w:val="24"/>
                <w:highlight w:val="none"/>
                <w:u w:val="none"/>
                <w:lang w:val="en-US" w:eastAsia="zh-CN"/>
              </w:rPr>
              <w:t>投标</w:t>
            </w:r>
            <w:r>
              <w:rPr>
                <w:rFonts w:hint="eastAsia" w:ascii="宋体" w:hAnsi="宋体" w:eastAsia="宋体" w:cs="宋体"/>
                <w:b w:val="0"/>
                <w:bCs w:val="0"/>
                <w:color w:val="auto"/>
                <w:sz w:val="24"/>
                <w:szCs w:val="24"/>
                <w:highlight w:val="none"/>
                <w:u w:val="none"/>
              </w:rPr>
              <w:t>单位需提供投标文件纸质版一正</w:t>
            </w:r>
            <w:r>
              <w:rPr>
                <w:rFonts w:hint="eastAsia" w:ascii="宋体" w:hAnsi="宋体" w:cs="宋体"/>
                <w:b w:val="0"/>
                <w:bCs w:val="0"/>
                <w:color w:val="auto"/>
                <w:sz w:val="24"/>
                <w:szCs w:val="24"/>
                <w:highlight w:val="none"/>
                <w:u w:val="none"/>
                <w:lang w:val="en-US" w:eastAsia="zh-CN"/>
              </w:rPr>
              <w:t>两</w:t>
            </w:r>
            <w:r>
              <w:rPr>
                <w:rFonts w:hint="eastAsia" w:ascii="宋体" w:hAnsi="宋体" w:eastAsia="宋体" w:cs="宋体"/>
                <w:b w:val="0"/>
                <w:bCs w:val="0"/>
                <w:color w:val="auto"/>
                <w:sz w:val="24"/>
                <w:szCs w:val="24"/>
                <w:highlight w:val="none"/>
                <w:u w:val="none"/>
              </w:rPr>
              <w:t>副，电子版</w:t>
            </w:r>
            <w:r>
              <w:rPr>
                <w:rFonts w:hint="eastAsia" w:ascii="宋体" w:hAnsi="宋体" w:cs="宋体"/>
                <w:b w:val="0"/>
                <w:bCs w:val="0"/>
                <w:color w:val="auto"/>
                <w:sz w:val="24"/>
                <w:szCs w:val="24"/>
                <w:highlight w:val="none"/>
                <w:u w:val="none"/>
                <w:lang w:val="en-US" w:eastAsia="zh-CN"/>
              </w:rPr>
              <w:t>2</w:t>
            </w:r>
            <w:r>
              <w:rPr>
                <w:rFonts w:hint="eastAsia" w:ascii="宋体" w:hAnsi="宋体" w:eastAsia="宋体" w:cs="宋体"/>
                <w:b w:val="0"/>
                <w:bCs w:val="0"/>
                <w:color w:val="auto"/>
                <w:sz w:val="24"/>
                <w:szCs w:val="24"/>
                <w:highlight w:val="none"/>
                <w:u w:val="none"/>
              </w:rPr>
              <w:t>份（两个U盘，word版和盖章PDF版，其内容与纸质文件一致），邮寄或递交至</w:t>
            </w:r>
            <w:r>
              <w:rPr>
                <w:rFonts w:hint="eastAsia" w:ascii="宋体" w:hAnsi="宋体" w:cs="宋体"/>
                <w:b w:val="0"/>
                <w:bCs w:val="0"/>
                <w:color w:val="auto"/>
                <w:sz w:val="24"/>
                <w:szCs w:val="24"/>
                <w:highlight w:val="none"/>
                <w:u w:val="none"/>
                <w:lang w:eastAsia="zh-CN"/>
              </w:rPr>
              <w:t>新疆晟业逸腾项目管理有限责任公司（</w:t>
            </w:r>
            <w:r>
              <w:rPr>
                <w:rFonts w:hint="eastAsia" w:ascii="宋体" w:hAnsi="宋体" w:cs="宋体"/>
                <w:b w:val="0"/>
                <w:bCs w:val="0"/>
                <w:color w:val="auto"/>
                <w:sz w:val="24"/>
                <w:szCs w:val="24"/>
                <w:highlight w:val="none"/>
                <w:u w:val="none"/>
                <w:lang w:val="en-US" w:eastAsia="zh-CN"/>
              </w:rPr>
              <w:t>联系</w:t>
            </w:r>
            <w:r>
              <w:rPr>
                <w:rFonts w:hint="eastAsia" w:ascii="宋体" w:hAnsi="宋体" w:cs="宋体"/>
                <w:b w:val="0"/>
                <w:bCs w:val="0"/>
                <w:color w:val="auto"/>
                <w:sz w:val="24"/>
                <w:szCs w:val="24"/>
                <w:highlight w:val="none"/>
                <w:u w:val="none"/>
                <w:lang w:eastAsia="zh-CN"/>
              </w:rPr>
              <w:t>电话：13809959953）</w:t>
            </w:r>
            <w:r>
              <w:rPr>
                <w:rFonts w:hint="eastAsia" w:ascii="宋体" w:hAnsi="宋体" w:eastAsia="宋体" w:cs="宋体"/>
                <w:b w:val="0"/>
                <w:bCs w:val="0"/>
                <w:color w:val="auto"/>
                <w:sz w:val="24"/>
                <w:szCs w:val="24"/>
                <w:highlight w:val="none"/>
                <w:u w:val="none"/>
              </w:rPr>
              <w:t>，费用自行承担</w:t>
            </w:r>
            <w:r>
              <w:rPr>
                <w:rFonts w:hint="eastAsia" w:ascii="宋体" w:hAnsi="宋体" w:eastAsia="宋体" w:cs="宋体"/>
                <w:b w:val="0"/>
                <w:bCs w:val="0"/>
                <w:color w:val="auto"/>
                <w:sz w:val="24"/>
                <w:szCs w:val="24"/>
                <w:highlight w:val="none"/>
                <w:u w:val="none"/>
                <w:lang w:eastAsia="zh-CN"/>
              </w:rPr>
              <w:t>。</w:t>
            </w:r>
          </w:p>
        </w:tc>
      </w:tr>
      <w:tr w14:paraId="38C87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045A600F">
            <w:pPr>
              <w:pStyle w:val="139"/>
              <w:keepNext w:val="0"/>
              <w:keepLines w:val="0"/>
              <w:suppressLineNumbers w:val="0"/>
              <w:spacing w:before="0" w:beforeAutospacing="0" w:after="0" w:afterAutospacing="0" w:line="360" w:lineRule="auto"/>
              <w:ind w:left="0" w:right="0"/>
              <w:jc w:val="center"/>
              <w:rPr>
                <w:rFonts w:hint="default"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27</w:t>
            </w:r>
          </w:p>
        </w:tc>
        <w:tc>
          <w:tcPr>
            <w:tcW w:w="2664" w:type="dxa"/>
            <w:tcBorders>
              <w:top w:val="single" w:color="auto" w:sz="4" w:space="0"/>
              <w:left w:val="nil"/>
              <w:bottom w:val="single" w:color="auto" w:sz="4" w:space="0"/>
              <w:right w:val="single" w:color="auto" w:sz="4" w:space="0"/>
            </w:tcBorders>
            <w:noWrap w:val="0"/>
            <w:vAlign w:val="center"/>
          </w:tcPr>
          <w:p w14:paraId="69572B14">
            <w:pPr>
              <w:pStyle w:val="139"/>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类似项目业绩</w:t>
            </w:r>
          </w:p>
        </w:tc>
        <w:tc>
          <w:tcPr>
            <w:tcW w:w="6203" w:type="dxa"/>
            <w:tcBorders>
              <w:top w:val="single" w:color="auto" w:sz="4" w:space="0"/>
              <w:left w:val="nil"/>
              <w:bottom w:val="single" w:color="auto" w:sz="4" w:space="0"/>
              <w:right w:val="single" w:color="auto" w:sz="4" w:space="0"/>
            </w:tcBorders>
            <w:noWrap w:val="0"/>
            <w:vAlign w:val="center"/>
          </w:tcPr>
          <w:p w14:paraId="738D6F3E">
            <w:pPr>
              <w:pStyle w:val="144"/>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eastAsia="宋体" w:cs="宋体"/>
                <w:b w:val="0"/>
                <w:bCs w:val="0"/>
                <w:color w:val="auto"/>
                <w:sz w:val="24"/>
                <w:szCs w:val="24"/>
                <w:highlight w:val="none"/>
                <w:u w:val="none"/>
                <w:lang w:val="en-US" w:eastAsia="zh-CN"/>
              </w:rPr>
            </w:pPr>
            <w:r>
              <w:rPr>
                <w:rFonts w:hint="eastAsia" w:ascii="宋体" w:hAnsi="宋体" w:cs="宋体"/>
                <w:b w:val="0"/>
                <w:bCs w:val="0"/>
                <w:color w:val="auto"/>
                <w:sz w:val="24"/>
                <w:szCs w:val="24"/>
                <w:highlight w:val="none"/>
                <w:u w:val="none"/>
                <w:lang w:val="en-US" w:eastAsia="zh-CN"/>
              </w:rPr>
              <w:t>指与本项目内容、性质类似的项目业绩</w:t>
            </w:r>
          </w:p>
        </w:tc>
      </w:tr>
      <w:tr w14:paraId="3A39F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26736CA5">
            <w:pPr>
              <w:pStyle w:val="139"/>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c>
          <w:tcPr>
            <w:tcW w:w="8867" w:type="dxa"/>
            <w:gridSpan w:val="2"/>
            <w:tcBorders>
              <w:top w:val="single" w:color="auto" w:sz="4" w:space="0"/>
              <w:left w:val="nil"/>
              <w:bottom w:val="single" w:color="auto" w:sz="4" w:space="0"/>
              <w:right w:val="single" w:color="auto" w:sz="4" w:space="0"/>
            </w:tcBorders>
            <w:noWrap w:val="0"/>
            <w:vAlign w:val="center"/>
          </w:tcPr>
          <w:p w14:paraId="3765A857">
            <w:pPr>
              <w:pStyle w:val="139"/>
              <w:keepNext w:val="0"/>
              <w:keepLines w:val="0"/>
              <w:widowControl/>
              <w:suppressLineNumbers w:val="0"/>
              <w:wordWrap w:val="0"/>
              <w:spacing w:before="0" w:beforeAutospacing="0" w:after="0" w:afterAutospacing="0"/>
              <w:ind w:left="0" w:right="0"/>
              <w:rPr>
                <w:rFonts w:hint="eastAsia" w:ascii="宋体" w:hAnsi="宋体" w:eastAsia="宋体" w:cs="宋体"/>
                <w:color w:val="auto"/>
                <w:highlight w:val="none"/>
                <w:u w:val="single"/>
              </w:rPr>
            </w:pPr>
            <w:r>
              <w:rPr>
                <w:rFonts w:hint="eastAsia" w:ascii="宋体" w:hAnsi="宋体" w:eastAsia="宋体" w:cs="宋体"/>
                <w:color w:val="auto"/>
                <w:sz w:val="24"/>
                <w:szCs w:val="24"/>
                <w:highlight w:val="none"/>
                <w:u w:val="none"/>
              </w:rPr>
              <w:t>如果投标人电子投标文件无法制作或无法导入及导出等疑问，请与</w:t>
            </w:r>
            <w:r>
              <w:rPr>
                <w:rFonts w:hint="eastAsia" w:ascii="宋体" w:hAnsi="宋体" w:eastAsia="宋体" w:cs="宋体"/>
                <w:color w:val="auto"/>
                <w:sz w:val="24"/>
                <w:szCs w:val="24"/>
                <w:highlight w:val="none"/>
                <w:u w:val="none"/>
                <w:lang w:eastAsia="zh-CN"/>
              </w:rPr>
              <w:t>政采云有限公司</w:t>
            </w:r>
            <w:r>
              <w:rPr>
                <w:rFonts w:hint="eastAsia" w:ascii="宋体" w:hAnsi="宋体" w:eastAsia="宋体" w:cs="宋体"/>
                <w:color w:val="auto"/>
                <w:sz w:val="24"/>
                <w:szCs w:val="24"/>
                <w:highlight w:val="none"/>
                <w:u w:val="none"/>
              </w:rPr>
              <w:t>联系</w:t>
            </w:r>
            <w:r>
              <w:rPr>
                <w:rFonts w:hint="eastAsia" w:ascii="宋体" w:hAnsi="宋体" w:eastAsia="宋体" w:cs="宋体"/>
                <w:color w:val="auto"/>
                <w:sz w:val="24"/>
                <w:szCs w:val="24"/>
                <w:highlight w:val="none"/>
                <w:u w:val="none"/>
                <w:lang w:eastAsia="zh-CN"/>
              </w:rPr>
              <w:t>。</w:t>
            </w:r>
          </w:p>
        </w:tc>
      </w:tr>
    </w:tbl>
    <w:p w14:paraId="47BBD72F">
      <w:pPr>
        <w:pStyle w:val="139"/>
        <w:spacing w:line="440" w:lineRule="exact"/>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注：本表内容与招标文件其它内容不一致的，应当以本表内容为准。</w:t>
      </w:r>
    </w:p>
    <w:p w14:paraId="38734983">
      <w:pPr>
        <w:pStyle w:val="139"/>
        <w:spacing w:line="500" w:lineRule="exact"/>
        <w:outlineLvl w:val="1"/>
        <w:rPr>
          <w:rFonts w:hint="eastAsia" w:ascii="宋体" w:hAnsi="宋体" w:eastAsia="宋体" w:cs="宋体"/>
          <w:b/>
          <w:bCs/>
          <w:color w:val="auto"/>
          <w:sz w:val="28"/>
          <w:szCs w:val="28"/>
          <w:highlight w:val="none"/>
        </w:rPr>
      </w:pPr>
      <w:r>
        <w:rPr>
          <w:rFonts w:hint="eastAsia" w:ascii="宋体" w:hAnsi="宋体" w:eastAsia="宋体" w:cs="宋体"/>
          <w:color w:val="auto"/>
          <w:sz w:val="20"/>
          <w:szCs w:val="20"/>
          <w:highlight w:val="none"/>
        </w:rPr>
        <w:t xml:space="preserve"> </w:t>
      </w:r>
      <w:bookmarkStart w:id="24" w:name="_Toc256000003"/>
      <w:r>
        <w:rPr>
          <w:rFonts w:hint="eastAsia" w:ascii="宋体" w:hAnsi="宋体" w:eastAsia="宋体" w:cs="宋体"/>
          <w:b/>
          <w:bCs/>
          <w:color w:val="auto"/>
          <w:sz w:val="28"/>
          <w:szCs w:val="28"/>
          <w:highlight w:val="none"/>
        </w:rPr>
        <w:t>投标人须知正文部分</w:t>
      </w:r>
      <w:bookmarkEnd w:id="24"/>
    </w:p>
    <w:p w14:paraId="3FF151AE">
      <w:pPr>
        <w:pStyle w:val="139"/>
        <w:rPr>
          <w:rFonts w:hint="eastAsia" w:ascii="宋体" w:hAnsi="宋体" w:eastAsia="宋体" w:cs="宋体"/>
          <w:color w:val="auto"/>
          <w:highlight w:val="none"/>
        </w:rPr>
      </w:pPr>
      <w:r>
        <w:rPr>
          <w:rFonts w:hint="eastAsia" w:ascii="宋体" w:hAnsi="宋体" w:eastAsia="宋体" w:cs="宋体"/>
          <w:color w:val="auto"/>
          <w:sz w:val="20"/>
          <w:szCs w:val="20"/>
          <w:highlight w:val="none"/>
        </w:rPr>
        <w:t xml:space="preserve">  </w:t>
      </w:r>
    </w:p>
    <w:p w14:paraId="5157435B">
      <w:pPr>
        <w:pStyle w:val="122"/>
        <w:spacing w:line="360" w:lineRule="auto"/>
        <w:ind w:firstLine="480" w:firstLineChars="200"/>
        <w:rPr>
          <w:rFonts w:hint="eastAsia" w:ascii="宋体" w:hAnsi="宋体" w:eastAsia="宋体" w:cs="宋体"/>
          <w:color w:val="auto"/>
          <w:sz w:val="24"/>
          <w:highlight w:val="none"/>
        </w:rPr>
      </w:pPr>
      <w:bookmarkStart w:id="25" w:name="_Toc256000004"/>
      <w:bookmarkStart w:id="26" w:name="_Toc519111260"/>
      <w:r>
        <w:rPr>
          <w:rFonts w:hint="eastAsia" w:ascii="宋体" w:hAnsi="宋体" w:eastAsia="宋体" w:cs="宋体"/>
          <w:color w:val="auto"/>
          <w:sz w:val="24"/>
          <w:highlight w:val="none"/>
        </w:rPr>
        <w:t>一、总则</w:t>
      </w:r>
      <w:bookmarkEnd w:id="25"/>
      <w:bookmarkEnd w:id="26"/>
    </w:p>
    <w:p w14:paraId="3713E263">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1.说明</w:t>
      </w:r>
    </w:p>
    <w:p w14:paraId="5C035325">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1.1本招标文件适用于本次招标采购项目的招标投标。</w:t>
      </w:r>
    </w:p>
    <w:p w14:paraId="3323E6DA">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2.定义</w:t>
      </w:r>
    </w:p>
    <w:p w14:paraId="3BB07248">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2.1“采购人”名称见本招标文件第二部分“投标人须知前附表”。</w:t>
      </w:r>
    </w:p>
    <w:p w14:paraId="544AB212">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2.2“采购代理机构”名称见本招标文件第二部分“投标人须知前附表”。</w:t>
      </w:r>
    </w:p>
    <w:p w14:paraId="6D4D4BE6">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2.3“招标货物”指招标文件第三部分所述所有货物；“服务”指招标文件第三部分所述投标人应该履行的承诺和义务。</w:t>
      </w:r>
    </w:p>
    <w:p w14:paraId="5D2BA9E8">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2.4“潜在投标人”指符合招标文件各项规定的供应商。</w:t>
      </w:r>
    </w:p>
    <w:p w14:paraId="5D2C9517">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2.5“投标人”指符合招标文件规定并参加投标的供应商。</w:t>
      </w:r>
    </w:p>
    <w:p w14:paraId="4A8F4BA3">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2.6“投标人公章”在投标文件中指与投标人标准公章一致的投标人电子签章。</w:t>
      </w:r>
    </w:p>
    <w:p w14:paraId="52B0CB81">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2.7“电子投标文件”编制加密的投标文件。</w:t>
      </w:r>
    </w:p>
    <w:p w14:paraId="4A0DCA3C">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3.合格投标人的条件</w:t>
      </w:r>
    </w:p>
    <w:p w14:paraId="09541603">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3.1具有本项目生产、制造、供应或实施能力，符合、承认并承诺履行本文件各项规定的国内法人、其他组织或自然人均可参加投标。</w:t>
      </w:r>
    </w:p>
    <w:p w14:paraId="366DB12E">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3.2遵守有关的国家法律、法规和条例，具备《中华人民共和国政府采购法》和本文件中规定的条件：</w:t>
      </w:r>
    </w:p>
    <w:p w14:paraId="2983FF4A">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1)具有独立承担民事责任的能力； </w:t>
      </w:r>
    </w:p>
    <w:p w14:paraId="4C0E79EF">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14:paraId="3CECF63D">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14:paraId="5E92794A">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4)具有依法缴纳税收和社会保障资金的良好记录；</w:t>
      </w:r>
    </w:p>
    <w:p w14:paraId="1C82381A">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5)参加政府采购活动前三年内，在经营活动中没有重大违法记录；</w:t>
      </w:r>
    </w:p>
    <w:p w14:paraId="41C0BA78">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6)法律、行政法规规定的其他条件；</w:t>
      </w:r>
    </w:p>
    <w:p w14:paraId="3E228B39">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7)具有本招标文件第二部分“投标人须知前附表”中第5项规定的资格条件。</w:t>
      </w:r>
    </w:p>
    <w:p w14:paraId="1E861D17">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3.3投标人之间如果存在下列情形之一的，不得同时参加同一包（标段）或者不分包（标段）的同一项目投标：</w:t>
      </w:r>
    </w:p>
    <w:p w14:paraId="574FFEA9">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3.3.1法定代表人为同一个人的两个及两个以上法人；</w:t>
      </w:r>
    </w:p>
    <w:p w14:paraId="6EFC5845">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3.3.2母公司、全资子公司及其控股公司；</w:t>
      </w:r>
    </w:p>
    <w:p w14:paraId="423E5E5E">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3.3.3参加投标的其他组织之间存在特殊的利害关系的；</w:t>
      </w:r>
    </w:p>
    <w:p w14:paraId="675FF0F2">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3.3.4法律和行政法规规定的其他情形。</w:t>
      </w:r>
    </w:p>
    <w:p w14:paraId="26494BE0">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3.4投标人须持有《法定代表人授权委托书》。</w:t>
      </w:r>
    </w:p>
    <w:p w14:paraId="1241B51B">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3.5投标人在政采云平台内针对本项目下载了电子采购文件。</w:t>
      </w:r>
    </w:p>
    <w:p w14:paraId="3DDD004F">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3.6投标人按时足额交纳投标保证金。</w:t>
      </w:r>
    </w:p>
    <w:p w14:paraId="3875909A">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3.7本次招标是否允许由两个以上投标人组成一个联合体以一个投标人身份共同投标，按照招标文件第二部分“投标人须知前附表”中的规定。如果允许，除均应符合上述规定外，还应符合下列要求：</w:t>
      </w:r>
    </w:p>
    <w:p w14:paraId="2B7A372C">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联合投标体应提供“联合投标协议书”，该协议书对联合投标各方均具有法律约束力。联合投标体必须确定其中一方为投标的全权代表参加投标活动，并承担投标及履约活动中的全部责任与义务，且联合体各方无论是否实际参加、发生的情形怎样，一旦该联合体实际开始投标，联合体各方均应当就本次采购所引起或相关的任何或所有事项、义务、责任、损失等承担连带责任。申请参与本项目联合投标成员各自均应具备政府有权机构核发的有效营业执照；均应是自主经营、独立核算、处于持续正常经营状态的经济实体。</w:t>
      </w:r>
    </w:p>
    <w:p w14:paraId="0AC100C2">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2）联合体各方中至少应当有一方对应满足本项目规定的相应资质条件，并且联合体投标人整体应当符合本项目的资质要求，否则，其提交的联合投标将被拒绝。</w:t>
      </w:r>
    </w:p>
    <w:p w14:paraId="07792E17">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3）由不同专业的投标人组成的联合体, 首先以投标的全权代表方的应答材料作为认定资质以及商务评审的依据；涉及行业专属的资质,按照所属行业所对应的投标人的应答材料确定。</w:t>
      </w:r>
    </w:p>
    <w:p w14:paraId="58F70C31">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联合体中标后，合同应由各成员的合法授权代表签字并加盖各成员公章，以便对联合体成员作为整体和他们各自作为独立体均具有法律约束力，但若该等签字或公章不齐全或缺乏，该联合体的牵头人的签署或类似的意思表示人具有代表该联合体的签署或意思表示的法律效力，并且据此各成员为履行合同应向采购代理机构与采购人承担连带责任。</w:t>
      </w:r>
    </w:p>
    <w:p w14:paraId="47ABB1AC">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5）联合体或其成员不得将其在合同项下的权利或义务全部或部分转让给第三人，有关分包事项或服务委托等须事先取得采购代理机构书面同意并且须遵守相关法律、法规、本次招标的全部相关规定。</w:t>
      </w:r>
    </w:p>
    <w:p w14:paraId="32B191AD">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6）联合体各方均不得同时再以自己独立的名义单独投标，也不得再同时参加其他的联合体投标。若该等情形被发现，其单独的投标和与此有关的联合体的投标均将被一并拒绝。</w:t>
      </w:r>
    </w:p>
    <w:p w14:paraId="5DFD7846">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3.7投标人不得与采购人、采购代理机构等有利害关系。</w:t>
      </w:r>
    </w:p>
    <w:p w14:paraId="5DC77D46">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4.投标费用</w:t>
      </w:r>
    </w:p>
    <w:p w14:paraId="747568CE">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4.1投标人应承担所有与准备和参加投标有关的费用。</w:t>
      </w:r>
    </w:p>
    <w:p w14:paraId="16EFA3C5">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5.纪律</w:t>
      </w:r>
    </w:p>
    <w:p w14:paraId="2CE16FBF">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5.1投标人的投标行为应遵守中国的有关法律、法规和规章。</w:t>
      </w:r>
    </w:p>
    <w:p w14:paraId="468DB3D6">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5.2投标人不得相互串通投标报价，不得妨碍其他投标人的公平竞争，不得损害采购人或其他投标人的合法权益，投标人不得以向采购人、评标委员会成员行贿或者采取其他不正当手段谋取中标。</w:t>
      </w:r>
    </w:p>
    <w:p w14:paraId="6C7D9496">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5.2.1有下列情形之一的，属于投标人相互串通投标：</w:t>
      </w:r>
    </w:p>
    <w:p w14:paraId="3168CD32">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5.2.1.1投标人之间协商投标报价等投标文件的实质性内容；</w:t>
      </w:r>
    </w:p>
    <w:p w14:paraId="32EB9FEA">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5.2.1.2投标人之间约定中标人；</w:t>
      </w:r>
    </w:p>
    <w:p w14:paraId="1DBB8EA4">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5.2.1.3投标人之间约定部分投标人放弃投标或者中标；</w:t>
      </w:r>
    </w:p>
    <w:p w14:paraId="67A47E3D">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5.2.1.4属于同一集团、协会、商会等组织成员的投标人按照该组织要求协同投标；</w:t>
      </w:r>
    </w:p>
    <w:p w14:paraId="31195012">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5.2.1.5投标人之间为谋取中标或者排斥特定投标人而采取的其他联合行动。</w:t>
      </w:r>
    </w:p>
    <w:p w14:paraId="782061B8">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5.2.2有下列情形之一的，视为投标人相互串通投标：</w:t>
      </w:r>
    </w:p>
    <w:p w14:paraId="7D123336">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5.2.2.1不同投标人的投标文件由同一单位或者个人编制；</w:t>
      </w:r>
    </w:p>
    <w:p w14:paraId="657AF8B8">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5.2.2.2不同投标人委托同一单位或者个人办理投标事宜，或制作电子投标文件的文件制作机器码（mac地址）一致，或制作电子投标文件的文件创建标识码一致；</w:t>
      </w:r>
    </w:p>
    <w:p w14:paraId="473CC7EA">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5.2.2.3不同投标人的投标文件载明的项目管理成员为同一人；</w:t>
      </w:r>
    </w:p>
    <w:p w14:paraId="5D196836">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5.2.2.4不同投标人的投标文件异常一致或者投标报价呈规律性差异；</w:t>
      </w:r>
    </w:p>
    <w:p w14:paraId="764A5E61">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5.2.2.5不同投标人的投标文件相互混装；</w:t>
      </w:r>
    </w:p>
    <w:p w14:paraId="0259C364">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5.2.2.6不同投标人的投标保证金从同一单位或者个人的账户转出。</w:t>
      </w:r>
    </w:p>
    <w:p w14:paraId="4FC240A6">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6.通知</w:t>
      </w:r>
    </w:p>
    <w:p w14:paraId="235DE117">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对与本项目有关的通知，采购代理机构将以书面（包括书面材料、信函、传真等，下同）或在本次招标公告刊登的媒体上发布公告并在政采云发送变更通知及/或答疑文件的形式，向潜在投标人发出，传真和电话号码以潜在投标人的登记为准。收到通知的投标人须立即予以回复确认，但投标人未回复或采购代理机构未收到回复时，并不应当被理解为采购代理机构知道或应当知道投标人是否收到通知。因登记有误、传真线路故障或其它任何意外情形，导致所发出的通知延迟送达或无法到达投标人，采购代理机构不因此承担任何责任，有关的招标活动可以继续有效地进行。</w:t>
      </w:r>
      <w:bookmarkStart w:id="27" w:name="EBc6a03dd891814c4aab5f5c17df4988bb"/>
      <w:r>
        <w:rPr>
          <w:rFonts w:hint="eastAsia" w:ascii="宋体" w:hAnsi="宋体" w:eastAsia="宋体" w:cs="宋体"/>
          <w:color w:val="auto"/>
          <w:sz w:val="24"/>
          <w:highlight w:val="none"/>
        </w:rPr>
        <w:t xml:space="preserve"> </w:t>
      </w:r>
      <w:bookmarkEnd w:id="27"/>
    </w:p>
    <w:p w14:paraId="0E7B75AF">
      <w:pPr>
        <w:pStyle w:val="122"/>
        <w:spacing w:line="360" w:lineRule="auto"/>
        <w:ind w:firstLine="480" w:firstLineChars="200"/>
        <w:rPr>
          <w:rFonts w:hint="eastAsia" w:ascii="宋体" w:hAnsi="宋体" w:eastAsia="宋体" w:cs="宋体"/>
          <w:color w:val="auto"/>
          <w:sz w:val="24"/>
          <w:highlight w:val="none"/>
        </w:rPr>
      </w:pPr>
      <w:bookmarkStart w:id="28" w:name="_Toc519111261"/>
      <w:bookmarkStart w:id="29" w:name="_Toc256000005"/>
      <w:r>
        <w:rPr>
          <w:rFonts w:hint="eastAsia" w:ascii="宋体" w:hAnsi="宋体" w:eastAsia="宋体" w:cs="宋体"/>
          <w:color w:val="auto"/>
          <w:sz w:val="24"/>
          <w:highlight w:val="none"/>
        </w:rPr>
        <w:t>二、招标文件</w:t>
      </w:r>
      <w:bookmarkEnd w:id="28"/>
      <w:bookmarkEnd w:id="29"/>
    </w:p>
    <w:p w14:paraId="1F57B3BD">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7.招标文件组成</w:t>
      </w:r>
    </w:p>
    <w:p w14:paraId="16733C8C">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7.1招标文件由招标文件目录所列内容组成。</w:t>
      </w:r>
    </w:p>
    <w:p w14:paraId="4A7225C8">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8.踏勘现场</w:t>
      </w:r>
    </w:p>
    <w:p w14:paraId="788A3481">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8.1本项目是否统一组织投标人踏勘现场见招标文件第二部分“投标人须知前附表”中的规定。无论是否统一组织，投标人应对供货现场和周围环境进行勘察，以获取编制投标文件所需的资料。</w:t>
      </w:r>
    </w:p>
    <w:p w14:paraId="5EFB0A75">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8.2踏勘现场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14:paraId="10361CA2">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8.3除非有特殊要求，招标文件不单独提供供货使用地的自然环境、气候条件、公用设施等情况，投标人被视为熟悉上述与履行合同有关的一切情况。</w:t>
      </w:r>
    </w:p>
    <w:p w14:paraId="066F3E01">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8.4除采购人原因外，投标人自行负责在踏勘现场中所发生的人员伤亡和财产损失。</w:t>
      </w:r>
    </w:p>
    <w:p w14:paraId="4B8EE838">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9.知识产权</w:t>
      </w:r>
    </w:p>
    <w:p w14:paraId="66156036">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14:paraId="18A838BE">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9.2投标人如欲在项目实施过程中采用自有知识成果，须在投标文件中声明，并提供相关知识产权证明文件。使用该知识成果后，投标人须提供开发接口和开发手册等技术文档。</w:t>
      </w:r>
    </w:p>
    <w:p w14:paraId="13587294">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10.答疑及招标文件的澄清和修改</w:t>
      </w:r>
    </w:p>
    <w:p w14:paraId="3F3FC2B7">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10.1投标人如果对招标文件有疑问或要求进行澄清的，应按照招标文件第二部分“投标人须知前附表”规定向采购代理机构提出。提出后，请投标人及时通过交易平台“答疑文件下载”栏目查看答疑文件或澄清文件。必要时，采购代理机构将组织相关专家召开答疑会，如召开，答疑会安排另行通知。</w:t>
      </w:r>
    </w:p>
    <w:p w14:paraId="27937E79">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投标人在规定的时间内未对招标文件提出疑问或要求澄清的，采购代理机构将视其为同意，对在“答疑接受时间”后就招标文件内容提出的疑问及澄清要求将不予受理。</w:t>
      </w:r>
    </w:p>
    <w:p w14:paraId="3D0FA319">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10.2无论出于何种原因，采购代理机构主动或出于解答投标人疑问对已发出的招标文件进行必要澄清或修改的，应当在招标文件要求提交投标文件截止时间15日前，以当面交接、邮寄、传真或电子邮件、网站披露等其中至少一种方式，向潜在投标人发出澄清、修改的补充文件。需要为此调整投标文件提交截止时间的，应当重新确定，并就变更后的投标截止时间重新发出通知。</w:t>
      </w:r>
    </w:p>
    <w:p w14:paraId="6A558DAB">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特殊情况下，采购代理机构发布澄清、修改文件后，征得投标人同意，可不改变投标截止时间和开标时间。</w:t>
      </w:r>
    </w:p>
    <w:p w14:paraId="63F50F46">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10.3采购代理机构一旦对招标文件作出了澄清、修改，即刻发生效力，采购代理机构有关的补充文件，将作为招标文件的组成部分，对所有现实的或潜在的投标人均具有约束力，而无论是否已经实际收到上述文件。同时，采购代理机构和投标人的权利及义务将受到新的截止期的约束。</w:t>
      </w:r>
    </w:p>
    <w:p w14:paraId="3C23133F">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10.4采购代理机构对招标文件作出的澄清、修改在政采云内进行披露，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14:paraId="40A79E8F">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上述澄清、修改在交易平台上发布的同时，交易平台将通过第三方短信群发方式提醒投标人进行查询。此短信仅系友情提示，并不具有任何约束性和必要性，采购代理机构不承担投标人未收到短信而引起的一切后果和法律责任。</w:t>
      </w:r>
    </w:p>
    <w:p w14:paraId="059E879E">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10.5澄清、修改文件发出后，投标人必须使用最新的答疑、澄清文件制作电子投标文件，否则将无法完成上传。</w:t>
      </w:r>
      <w:bookmarkStart w:id="30" w:name="EB0ee97c2df9374b61990b315328f26394"/>
      <w:r>
        <w:rPr>
          <w:rFonts w:hint="eastAsia" w:ascii="宋体" w:hAnsi="宋体" w:eastAsia="宋体" w:cs="宋体"/>
          <w:color w:val="auto"/>
          <w:sz w:val="24"/>
          <w:highlight w:val="none"/>
        </w:rPr>
        <w:t xml:space="preserve"> </w:t>
      </w:r>
      <w:bookmarkEnd w:id="30"/>
    </w:p>
    <w:p w14:paraId="5E85C74E">
      <w:pPr>
        <w:pStyle w:val="122"/>
        <w:spacing w:line="360" w:lineRule="auto"/>
        <w:ind w:firstLine="480" w:firstLineChars="200"/>
        <w:rPr>
          <w:rFonts w:hint="eastAsia" w:ascii="宋体" w:hAnsi="宋体" w:eastAsia="宋体" w:cs="宋体"/>
          <w:color w:val="auto"/>
          <w:sz w:val="24"/>
          <w:highlight w:val="none"/>
        </w:rPr>
      </w:pPr>
      <w:bookmarkStart w:id="31" w:name="_Toc256000006"/>
      <w:bookmarkStart w:id="32" w:name="_Toc519111262"/>
      <w:r>
        <w:rPr>
          <w:rFonts w:hint="eastAsia" w:ascii="宋体" w:hAnsi="宋体" w:eastAsia="宋体" w:cs="宋体"/>
          <w:color w:val="auto"/>
          <w:sz w:val="24"/>
          <w:highlight w:val="none"/>
        </w:rPr>
        <w:t>三、投标文件</w:t>
      </w:r>
      <w:bookmarkEnd w:id="31"/>
      <w:bookmarkEnd w:id="32"/>
    </w:p>
    <w:p w14:paraId="0BAFCFF5">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11.投标文件的语言及计量单位</w:t>
      </w:r>
    </w:p>
    <w:p w14:paraId="469046BE">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11.1投标人提交的投标文件（包括技术文件和资料、图纸中的说明）以及投标人与采购代理机构就有关投标的所有来往函电均应使用中文简体字。</w:t>
      </w:r>
    </w:p>
    <w:p w14:paraId="1AFFA52D">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原版为外文的证书类、证明类文件，与投标人名称或其他实际情况不符的，投标人应当提供相关证明文件。</w:t>
      </w:r>
    </w:p>
    <w:p w14:paraId="4C0BCDBD">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11.3除非招标文件另有规定，投标文件所使用的计量单位，应使用国家法定计量单位。</w:t>
      </w:r>
    </w:p>
    <w:p w14:paraId="6F3FCA3A">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11.4对违反上述规定情形的，评标委员会有权要求投标人限期提供相应文件或决定对其投标予以拒绝。</w:t>
      </w:r>
    </w:p>
    <w:p w14:paraId="0682D675">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11.5电报、电话、传真形式的投标概不接受。投标人的投标文件一律不予退还。</w:t>
      </w:r>
    </w:p>
    <w:p w14:paraId="6D46A905">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12.投标文件组成及编制</w:t>
      </w:r>
    </w:p>
    <w:p w14:paraId="3EC7C0BF">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12.1投标文件分为资格审查资料、商务文件、技术文件和服务文件。</w:t>
      </w:r>
    </w:p>
    <w:p w14:paraId="1680FEC9">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商务文件指投标人提交的证明其有资格参加投标和中标后有能力履行合同的文件。技术和服务文件指投标人提交的能够证明其提供的货物及服务符合招标文件规定的文件。本次招标，投标人须按招标文件第二部分“投标人须知前附表”中规定提交资格审查资料、商务文件、技术文件和服务文件。</w:t>
      </w:r>
    </w:p>
    <w:p w14:paraId="34F1002F">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12.2投标人递交的投标文件及相关要求按照招标文件第二部分“投标人须知前附表”中的规定。</w:t>
      </w:r>
    </w:p>
    <w:p w14:paraId="0F9CAC9B">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12.2.1电子投标文件的编制</w:t>
      </w:r>
    </w:p>
    <w:p w14:paraId="2CD6629F">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12.2.1.1投标文件制作时，按照招标文件中明确的投标文件目录和格式进行编制，保证目录清晰、内容完整。           </w:t>
      </w:r>
    </w:p>
    <w:p w14:paraId="4C43AFCE">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12.2.1.2电子投标文件须使用投标人公章的电子签章以及法定代表人的电子签章。若无电子签章，则视为无效投标。</w:t>
      </w:r>
    </w:p>
    <w:p w14:paraId="70F9270A">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12.2.1.3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将导致其投标被拒绝。</w:t>
      </w:r>
    </w:p>
    <w:p w14:paraId="5F232D00">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12.2.1.4电子投标文件制作工具在生成加密投标文件时，同时生成非加密投标文件一份。未加密的电子投标文件由投标人使用光盘制作（投标人须保证启用光盘时能正常读取）。 </w:t>
      </w:r>
    </w:p>
    <w:p w14:paraId="6F5C72CC">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13.投标报价</w:t>
      </w:r>
    </w:p>
    <w:p w14:paraId="53779F06">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13.1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7BFB645A">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13.2投标人投报多包的，须对每包分别制作投标文件并报价。</w:t>
      </w:r>
    </w:p>
    <w:p w14:paraId="3D71FF93">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13.3除非招标文件另有规定，不接受可选择或可调整的投标方案和报价，任何有选择的或可调整的投标方案和报价将被视为非响应性投标而被拒绝。</w:t>
      </w:r>
    </w:p>
    <w:p w14:paraId="51DA82D2">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13.4本项目是否接受进口产品按照招标文件第二部分“投标人须知前附表中”中的规定。</w:t>
      </w:r>
    </w:p>
    <w:p w14:paraId="003DA3C0">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13.5本项目是否允许投标人将项目的非主体、非关键性工作交由他人完成按照招标文件第二部分“投标人须知前附表”中的规定。如允许，投标人根据采购项目的实际情况，拟在中标后将中标项目的非主体、非关键性工作交由他人完成，须在技术文件中载明。</w:t>
      </w:r>
    </w:p>
    <w:p w14:paraId="06CA7639">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13.6投标人须严格按照报价明细表规定的内容填写货物单价以及其他事项。</w:t>
      </w:r>
    </w:p>
    <w:p w14:paraId="5B9575F2">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13.7投标人对投标报价若有说明应在投标文件中显著处注明。</w:t>
      </w:r>
    </w:p>
    <w:p w14:paraId="2164A0DA">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除政策性文件规定以外，投标人所报价格在合同实施期间不因市场变化因素而变动。</w:t>
      </w:r>
    </w:p>
    <w:p w14:paraId="2F9BF1C9">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13.8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7F574F72">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13.9最低报价不能作为中标的保证。</w:t>
      </w:r>
    </w:p>
    <w:p w14:paraId="6B2B753A">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14.投标有效期</w:t>
      </w:r>
    </w:p>
    <w:p w14:paraId="25981A27">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14.1本项目的投标有效期按照招标文件第二部分“投标人须知前附表中”中的规定。投标有效期自开标之日起计算，短于规定期限的投标将按无效投标处理。</w:t>
      </w:r>
    </w:p>
    <w:p w14:paraId="03CD1B16">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在特殊情况下，采购代理机构可与投标人协商延长投标有效期。这种要求和答复都应以书面形式进行。此时，规定的投标保证金的有效期也相应延长。投标人可以拒绝接受延期要求而不会被没收保证金。同意延长有效期的投标人除按照采购代理机构要求修改投标有效期外，不能修改投标文件的其他内容。</w:t>
      </w:r>
    </w:p>
    <w:p w14:paraId="62011F74">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15.投标内容填写说明</w:t>
      </w:r>
    </w:p>
    <w:p w14:paraId="19352892">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15.1投标人应详细阅读招标文件的全部内容。投标文件须对招标文件中的内容作出实质性和完整的响应，如果投标文件填报的内容不详，或没有提供招标文件中所要求的全部资料及数据，将可能导致投标被拒绝。</w:t>
      </w:r>
    </w:p>
    <w:p w14:paraId="156F9560">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15.2投标文件须严格按照招标文件第六部分规定的格式提交，并按规定的统一格式逐项填写，不准有空项；无相应内容可填的项，应填写“无”、“未测试”、“没有相应指标”等明确的回答文字。由于编排混乱导致投标文件被误读或查找不到，其责任由投标人承担。投标文件未按规定提交或留有空项，将被视为不完整响应的投标文件，其投标有可能被拒绝。</w:t>
      </w:r>
    </w:p>
    <w:p w14:paraId="7E198650">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15.3开标一览表为在开标仪式上唱标的内容，要求按格式统一填写，不得自行增减内容。</w:t>
      </w:r>
    </w:p>
    <w:p w14:paraId="64D9BC42">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15.4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予以处理，乃至对该投标予以拒绝。</w:t>
      </w:r>
    </w:p>
    <w:p w14:paraId="2154CD2E">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15.5投标人必须保证投标文件所提供的全部资料真实可靠，并接受采购代理机构或评标委员会对其中任何资料进一步审查的要求。</w:t>
      </w:r>
    </w:p>
    <w:p w14:paraId="1576A50B">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15.6投标人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14:paraId="653199F6">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15.7本项目技术部分是否采用“暗标”评审方式按照招标文件第二部分“投标人须知前附表中”中的规定。如果采用暗标评审方式的，投标人在制作投标文件时应当以能够隐去投标人的身份为原则并需严格遵守以下各项规定：</w:t>
      </w:r>
    </w:p>
    <w:p w14:paraId="2400C4AB">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15.7.1技术部分中纳入“暗标”部分的内容：样品。</w:t>
      </w:r>
    </w:p>
    <w:p w14:paraId="630218F9">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15.7.2暗标的编制要求</w:t>
      </w:r>
    </w:p>
    <w:p w14:paraId="29D027B7">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15.7.2.1投标文件技术部分全部内容中不能出现任何本投标人的名称和其它可识别投标人身份的字符、企业徽标或符号、人员名称以及其他特殊标记等（如有此类文件应放于商务文件“用于评审的证明材料”中），否则将导致投标被拒绝。</w:t>
      </w:r>
    </w:p>
    <w:p w14:paraId="6D92C637">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15.7.2.2页面设置及字体要求：采用标准A4纸张，上下页边距为2.54cm，左右页边距为3.17cm，装订线位置为左；不得设置页码；正文使用四号宋体字，单倍行距，段前段后0行间距；标题为二号黑体字，图、表中的字体统一用宋体小四，1.5倍行距，段前段后0行间距。</w:t>
      </w:r>
    </w:p>
    <w:p w14:paraId="38027F9F">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15.7.2.3任何情况下，技术部分（“暗标”部分）中不得出现任何投标人的审阅或者批注痕迹，否则将导致投标被拒绝。</w:t>
      </w:r>
    </w:p>
    <w:p w14:paraId="5769FD96">
      <w:pPr>
        <w:pStyle w:val="122"/>
        <w:spacing w:line="360" w:lineRule="auto"/>
        <w:ind w:firstLine="480" w:firstLineChars="200"/>
        <w:rPr>
          <w:rFonts w:hint="eastAsia" w:ascii="宋体" w:hAnsi="宋体" w:eastAsia="宋体" w:cs="宋体"/>
          <w:color w:val="auto"/>
          <w:sz w:val="24"/>
          <w:highlight w:val="none"/>
        </w:rPr>
      </w:pPr>
      <w:bookmarkStart w:id="33" w:name="EB375a660a87bc46de991bb01ce9d3c87e"/>
      <w:r>
        <w:rPr>
          <w:rFonts w:hint="eastAsia" w:ascii="宋体" w:hAnsi="宋体" w:eastAsia="宋体" w:cs="宋体"/>
          <w:color w:val="auto"/>
          <w:sz w:val="24"/>
          <w:highlight w:val="none"/>
        </w:rPr>
        <w:t xml:space="preserve"> </w:t>
      </w:r>
      <w:bookmarkEnd w:id="33"/>
      <w:bookmarkStart w:id="34" w:name="EB8652ab10f8fb48a1bca0cd56bdb70bdf"/>
      <w:r>
        <w:rPr>
          <w:rFonts w:hint="eastAsia" w:ascii="宋体" w:hAnsi="宋体" w:eastAsia="宋体" w:cs="宋体"/>
          <w:color w:val="auto"/>
          <w:sz w:val="24"/>
          <w:highlight w:val="none"/>
        </w:rPr>
        <w:t xml:space="preserve"> </w:t>
      </w:r>
      <w:bookmarkEnd w:id="34"/>
      <w:bookmarkStart w:id="35" w:name="EB37ccbadaa0f64c5193a77496d92cca0e"/>
      <w:r>
        <w:rPr>
          <w:rFonts w:hint="eastAsia" w:ascii="宋体" w:hAnsi="宋体" w:eastAsia="宋体" w:cs="宋体"/>
          <w:color w:val="auto"/>
          <w:sz w:val="24"/>
          <w:highlight w:val="none"/>
        </w:rPr>
        <w:t xml:space="preserve"> </w:t>
      </w:r>
      <w:bookmarkEnd w:id="35"/>
    </w:p>
    <w:p w14:paraId="160840C4">
      <w:pPr>
        <w:pStyle w:val="122"/>
        <w:spacing w:line="360" w:lineRule="auto"/>
        <w:ind w:firstLine="480" w:firstLineChars="200"/>
        <w:rPr>
          <w:rFonts w:hint="eastAsia" w:ascii="宋体" w:hAnsi="宋体" w:eastAsia="宋体" w:cs="宋体"/>
          <w:color w:val="auto"/>
          <w:sz w:val="24"/>
          <w:highlight w:val="none"/>
        </w:rPr>
      </w:pPr>
      <w:bookmarkStart w:id="36" w:name="_Toc256000007"/>
      <w:bookmarkStart w:id="37" w:name="_Toc519111263"/>
      <w:r>
        <w:rPr>
          <w:rFonts w:hint="eastAsia" w:ascii="宋体" w:hAnsi="宋体" w:eastAsia="宋体" w:cs="宋体"/>
          <w:color w:val="auto"/>
          <w:sz w:val="24"/>
          <w:highlight w:val="none"/>
        </w:rPr>
        <w:t>四、投标保证金</w:t>
      </w:r>
      <w:bookmarkEnd w:id="36"/>
      <w:bookmarkEnd w:id="37"/>
    </w:p>
    <w:p w14:paraId="7B76941D">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16.投标保证金 </w:t>
      </w:r>
    </w:p>
    <w:p w14:paraId="04B7567A">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16.1投标人应按照招标文件第二部分“投标人须知前附表”中的规定交纳。投标保证金须于到账截止时间前到帐，并经采购代理机构确认。</w:t>
      </w:r>
    </w:p>
    <w:p w14:paraId="0C5ED992">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16.2采购代理机构不接收以现金或汇票等其他形式递交的投标保证金。未按要求提交投标保证金的，将被视为无效投标。</w:t>
      </w:r>
    </w:p>
    <w:p w14:paraId="09FF0AC4">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16.3未中标的投标人的投标保证金在中标通知书发出之日起5个工作日内退还；中标人的投标保证金将在交纳履约保证金并于合同生效后5个工作日内退还。</w:t>
      </w:r>
    </w:p>
    <w:p w14:paraId="57D2A848">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16.4投标保证金退还一律采用网上银行转帐方式退还至投标人的汇款帐户，资金原路返回。</w:t>
      </w:r>
      <w:bookmarkStart w:id="38" w:name="EBf1929d16032b4422bab371becffb21ba"/>
      <w:r>
        <w:rPr>
          <w:rFonts w:hint="eastAsia" w:ascii="宋体" w:hAnsi="宋体" w:eastAsia="宋体" w:cs="宋体"/>
          <w:color w:val="auto"/>
          <w:sz w:val="24"/>
          <w:highlight w:val="none"/>
        </w:rPr>
        <w:t xml:space="preserve"> </w:t>
      </w:r>
      <w:bookmarkEnd w:id="38"/>
    </w:p>
    <w:p w14:paraId="77CD66B4">
      <w:pPr>
        <w:pStyle w:val="122"/>
        <w:spacing w:line="360" w:lineRule="auto"/>
        <w:ind w:firstLine="480" w:firstLineChars="200"/>
        <w:rPr>
          <w:rFonts w:hint="eastAsia" w:ascii="宋体" w:hAnsi="宋体" w:eastAsia="宋体" w:cs="宋体"/>
          <w:color w:val="auto"/>
          <w:sz w:val="24"/>
          <w:highlight w:val="none"/>
        </w:rPr>
      </w:pPr>
      <w:bookmarkStart w:id="39" w:name="_Toc519111264"/>
      <w:bookmarkStart w:id="40" w:name="_Toc256000008"/>
      <w:r>
        <w:rPr>
          <w:rFonts w:hint="eastAsia" w:ascii="宋体" w:hAnsi="宋体" w:eastAsia="宋体" w:cs="宋体"/>
          <w:color w:val="auto"/>
          <w:sz w:val="24"/>
          <w:highlight w:val="none"/>
        </w:rPr>
        <w:t>五、投标文件的递交</w:t>
      </w:r>
      <w:bookmarkEnd w:id="39"/>
      <w:bookmarkEnd w:id="40"/>
    </w:p>
    <w:p w14:paraId="716939DD">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17.投标文件的密封和标记</w:t>
      </w:r>
    </w:p>
    <w:p w14:paraId="0B9ECAD6">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17.1投标人应通过电子投标文件制作工具严格按招标文件要求制作投标文件，在投标截止时间前完成上传经过数字证书电子签章并加密的投标文件（加密和解密须用同一把数字证书）。投标人在投标截止时间前，可以对其所递交的投标文件进行修改并重新上传，但以投标截止时间前最后一次上传的投标文件为有效投标文件。</w:t>
      </w:r>
    </w:p>
    <w:p w14:paraId="17C3C21F">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投标截止时间以政采云显示的时间为准，逾期系统将自动关闭，未完成上传的投标文件视为逾期送达，将被拒绝。</w:t>
      </w:r>
    </w:p>
    <w:p w14:paraId="692D9D38">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17.2是否采用不见面开标方式详见投标人须知前附表，若本项目采用不见面开标，无需提供电子投标文件U盘、纸质投标文件。</w:t>
      </w:r>
    </w:p>
    <w:p w14:paraId="5FC0010D">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18.投标文件的递交</w:t>
      </w:r>
    </w:p>
    <w:p w14:paraId="20ABBE62">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18.1投标人应当在招标文件要求提交投标文件的截止时间前网上投标，并将未加密的电子投标文件光盘密封送达指定开标地点。</w:t>
      </w:r>
    </w:p>
    <w:p w14:paraId="17119136">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18.2在招标文件要求提交投标文件的截止时间之后送达的投标文件，为无效投标文件，采购代理机构将拒绝接收。</w:t>
      </w:r>
    </w:p>
    <w:p w14:paraId="0D4D6786">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18.3是否采用不见面开标详见投标人须知前附表，若项目采用不见面开标。只需将加密电子投标文件在投标截止时间前通过政采云平台上传完成。上传时必须得到电脑“上传成功”的确认回复后方为上传成功。逾期上传的或者未上传到平台的投标文件，采购人不予受理。</w:t>
      </w:r>
    </w:p>
    <w:p w14:paraId="10009409">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19.投标文件的修改和撤回</w:t>
      </w:r>
    </w:p>
    <w:p w14:paraId="5D350460">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19.1投标人在递交投标文件后，可以修改或撤回其投标，但这种修改和撤回，必须在规定的投标截止时间前。在投标截止时间后，投标人不得要求修改或撤回其投标文件。</w:t>
      </w:r>
      <w:bookmarkStart w:id="41" w:name="EB7fb588e3cf564fc3b18ea5a32cf64de9"/>
      <w:r>
        <w:rPr>
          <w:rFonts w:hint="eastAsia" w:ascii="宋体" w:hAnsi="宋体" w:eastAsia="宋体" w:cs="宋体"/>
          <w:color w:val="auto"/>
          <w:sz w:val="24"/>
          <w:highlight w:val="none"/>
        </w:rPr>
        <w:t xml:space="preserve"> </w:t>
      </w:r>
      <w:bookmarkEnd w:id="41"/>
      <w:bookmarkStart w:id="42" w:name="EB5650e158602a4e7f8a34bed54c824b18"/>
      <w:r>
        <w:rPr>
          <w:rFonts w:hint="eastAsia" w:ascii="宋体" w:hAnsi="宋体" w:eastAsia="宋体" w:cs="宋体"/>
          <w:color w:val="auto"/>
          <w:sz w:val="24"/>
          <w:highlight w:val="none"/>
        </w:rPr>
        <w:t xml:space="preserve"> </w:t>
      </w:r>
      <w:bookmarkEnd w:id="42"/>
    </w:p>
    <w:p w14:paraId="12967F66">
      <w:pPr>
        <w:pStyle w:val="122"/>
        <w:spacing w:line="360" w:lineRule="auto"/>
        <w:ind w:firstLine="480" w:firstLineChars="200"/>
        <w:rPr>
          <w:rFonts w:hint="eastAsia" w:ascii="宋体" w:hAnsi="宋体" w:eastAsia="宋体" w:cs="宋体"/>
          <w:color w:val="auto"/>
          <w:sz w:val="24"/>
          <w:highlight w:val="none"/>
        </w:rPr>
      </w:pPr>
      <w:bookmarkStart w:id="43" w:name="_Toc256000009"/>
      <w:bookmarkStart w:id="44" w:name="_Toc519111265"/>
      <w:r>
        <w:rPr>
          <w:rFonts w:hint="eastAsia" w:ascii="宋体" w:hAnsi="宋体" w:eastAsia="宋体" w:cs="宋体"/>
          <w:color w:val="auto"/>
          <w:sz w:val="24"/>
          <w:highlight w:val="none"/>
        </w:rPr>
        <w:t>六、开标</w:t>
      </w:r>
      <w:bookmarkEnd w:id="43"/>
      <w:bookmarkEnd w:id="44"/>
    </w:p>
    <w:p w14:paraId="5CFCEE27">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20.开标</w:t>
      </w:r>
    </w:p>
    <w:p w14:paraId="2B30D930">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A．采用见面开标方式</w:t>
      </w:r>
    </w:p>
    <w:p w14:paraId="5256865A">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20.1采购代理机构按照招标文件规定的时间、地点主持开标。投标人法定代表人或授权代理人应携带身份证明、电子密钥（电子证书）、未加密的电子投标文件（用信封密封）及应当提交的其他资料参加开标并签到。</w:t>
      </w:r>
    </w:p>
    <w:p w14:paraId="1ED81EC0">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20.2开标前，采购代理机构将会同监督人员或公证人员进行验标（检查网上招标系统正常与否，检查未加密的电子投标文件，检查投标人保证金交纳情况），确认无误后开标。开标时，各投标人应对本单位的加密的电子投标文件现场解密，采购代理机构工作人员在监督人员或公证人员监督下解密所有投标文件。</w:t>
      </w:r>
    </w:p>
    <w:p w14:paraId="13195C8D">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因网上招标系统故障导致所有投标人均解密失败时，投标人使用未加密的电子投标文件进行开评标。</w:t>
      </w:r>
    </w:p>
    <w:p w14:paraId="2611E775">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20.3开标时，采购代理机构将通过网上开标系统公布投标人名称、投标价格，以及采购代理机构认为合适的其它详细内容。投标人若有报价和优惠未被唱出，应在开标时及时声明或提请注意，否则采购代理机构对此不承担任何责任。</w:t>
      </w:r>
    </w:p>
    <w:p w14:paraId="74AD7884">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20.4在评审结束前，未得到采购代理机构允许，投标人法定代表人或授权代理人不得离开开标现场。</w:t>
      </w:r>
    </w:p>
    <w:p w14:paraId="4CCBD662">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20.5公证员对开标过程进行全程公证。</w:t>
      </w:r>
    </w:p>
    <w:p w14:paraId="0C34D450">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B．采用不见面开标方式（是否采用详见投标人须知前附表）</w:t>
      </w:r>
    </w:p>
    <w:p w14:paraId="16E418A4">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人在规定的投标截止时间（开标时间）和投标人须知前附表规定的地点开标。投标人的法定代表人或其委托代理人无需到达开标现场，仅需在任意地点通过政采云不见面开标系统，使用数字证书密钥完成远程解密、提疑澄清、开标唱标、结果公布等交互环节。</w:t>
      </w:r>
    </w:p>
    <w:p w14:paraId="4FE6AF16">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0DD582FB">
      <w:pPr>
        <w:pStyle w:val="122"/>
        <w:spacing w:line="360" w:lineRule="auto"/>
        <w:ind w:firstLine="480" w:firstLineChars="200"/>
        <w:rPr>
          <w:rFonts w:hint="eastAsia" w:ascii="宋体" w:hAnsi="宋体" w:eastAsia="宋体" w:cs="宋体"/>
          <w:color w:val="auto"/>
          <w:sz w:val="24"/>
          <w:highlight w:val="none"/>
        </w:rPr>
      </w:pPr>
      <w:bookmarkStart w:id="45" w:name="_Toc256000010"/>
      <w:bookmarkStart w:id="46" w:name="_Toc519111266"/>
      <w:r>
        <w:rPr>
          <w:rFonts w:hint="eastAsia" w:ascii="宋体" w:hAnsi="宋体" w:eastAsia="宋体" w:cs="宋体"/>
          <w:color w:val="auto"/>
          <w:sz w:val="24"/>
          <w:highlight w:val="none"/>
        </w:rPr>
        <w:t>七、评标步骤和要求</w:t>
      </w:r>
      <w:bookmarkEnd w:id="45"/>
      <w:bookmarkEnd w:id="46"/>
    </w:p>
    <w:p w14:paraId="01680666">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21.组建评标委员会</w:t>
      </w:r>
    </w:p>
    <w:p w14:paraId="336F1778">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21.1采购代理机构根据有关法律法规和本招标文件的规定，结合招标项目的特点组建评标委员会，对投标文件进行评估和比较。评标委员会由五人以上单数组成，其中经济、技术等方面的专家不少于三分之二。</w:t>
      </w:r>
    </w:p>
    <w:p w14:paraId="79964934">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21.2参与过本项目的论证专家不得作为评标专家参加评标，采购人不得以专家身份参与评标。</w:t>
      </w:r>
    </w:p>
    <w:p w14:paraId="2D6395D3">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22、资格审查</w:t>
      </w:r>
    </w:p>
    <w:p w14:paraId="12B0C9A7">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22.1公开招标采购项目开标结束后，采购人或者采购代理机构应当依法对投标人的资格进行审查。合格投标人不足3家的，不得评标。</w:t>
      </w:r>
    </w:p>
    <w:p w14:paraId="1FF5FCB2">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23.初步评审</w:t>
      </w:r>
    </w:p>
    <w:p w14:paraId="0C571628">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23.1评标委员会审查投标文件是否符合招标文件的基本要求：内容是否完整、资格证明文件是否合格、文件签署是否齐全、有无计算错误等。 </w:t>
      </w:r>
    </w:p>
    <w:p w14:paraId="66C3AD69">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23.2评标委员会审查投标文件是否实质上响应招标文件的要求。</w:t>
      </w:r>
    </w:p>
    <w:p w14:paraId="5CC7EF03">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1）实质上响应的投标是指与招标文件上的条款、条件和规格相符，没有重大偏离或保留，否则将视为无效投标。</w:t>
      </w:r>
    </w:p>
    <w:p w14:paraId="2989CE6A">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重大偏离或保留系指投标货物的质量、数量和交付日期等明显不能满足招标文件的要求，或者实质上与招标文件不一致，纠正这些偏离或保留将对其他实质上响应要求的投标人的竞争地位产生不公正的影响。包括但不限于：</w:t>
      </w:r>
    </w:p>
    <w:p w14:paraId="58301C50">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A</w:t>
      </w:r>
      <w:r>
        <w:rPr>
          <w:rFonts w:hint="eastAsia" w:ascii="宋体" w:hAnsi="宋体" w:eastAsia="宋体" w:cs="宋体"/>
          <w:color w:val="auto"/>
          <w:sz w:val="24"/>
          <w:highlight w:val="none"/>
        </w:rPr>
        <w:t>、投标文件未按招标文件的规定签章的；</w:t>
      </w:r>
    </w:p>
    <w:p w14:paraId="00FFDFE1">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B</w:t>
      </w:r>
      <w:r>
        <w:rPr>
          <w:rFonts w:hint="eastAsia" w:ascii="宋体" w:hAnsi="宋体" w:eastAsia="宋体" w:cs="宋体"/>
          <w:color w:val="auto"/>
          <w:sz w:val="24"/>
          <w:highlight w:val="none"/>
        </w:rPr>
        <w:t>、未按投标文件份数要求提交投标文件的；</w:t>
      </w:r>
    </w:p>
    <w:p w14:paraId="0C2C7992">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C</w:t>
      </w:r>
      <w:r>
        <w:rPr>
          <w:rFonts w:hint="eastAsia" w:ascii="宋体" w:hAnsi="宋体" w:eastAsia="宋体" w:cs="宋体"/>
          <w:color w:val="auto"/>
          <w:sz w:val="24"/>
          <w:highlight w:val="none"/>
        </w:rPr>
        <w:t>、报价超过项目预算或经评标委员会认定低于成本的；</w:t>
      </w:r>
    </w:p>
    <w:p w14:paraId="6C2F0D3C">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D</w:t>
      </w:r>
      <w:r>
        <w:rPr>
          <w:rFonts w:hint="eastAsia" w:ascii="宋体" w:hAnsi="宋体" w:eastAsia="宋体" w:cs="宋体"/>
          <w:color w:val="auto"/>
          <w:sz w:val="24"/>
          <w:highlight w:val="none"/>
        </w:rPr>
        <w:t>、投标有效期不足的；</w:t>
      </w:r>
    </w:p>
    <w:p w14:paraId="028E2E51">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E</w:t>
      </w:r>
      <w:r>
        <w:rPr>
          <w:rFonts w:hint="eastAsia" w:ascii="宋体" w:hAnsi="宋体" w:eastAsia="宋体" w:cs="宋体"/>
          <w:color w:val="auto"/>
          <w:sz w:val="24"/>
          <w:highlight w:val="none"/>
        </w:rPr>
        <w:t>、联合体投标文件未附联合体投标协议书的；</w:t>
      </w:r>
    </w:p>
    <w:p w14:paraId="04C05129">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F</w:t>
      </w:r>
      <w:r>
        <w:rPr>
          <w:rFonts w:hint="eastAsia" w:ascii="宋体" w:hAnsi="宋体" w:eastAsia="宋体" w:cs="宋体"/>
          <w:color w:val="auto"/>
          <w:sz w:val="24"/>
          <w:highlight w:val="none"/>
        </w:rPr>
        <w:t>、不符合招标文件中有关分包规定的；</w:t>
      </w:r>
    </w:p>
    <w:p w14:paraId="2B7DD1A0">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G</w:t>
      </w:r>
      <w:r>
        <w:rPr>
          <w:rFonts w:hint="eastAsia" w:ascii="宋体" w:hAnsi="宋体" w:eastAsia="宋体" w:cs="宋体"/>
          <w:color w:val="auto"/>
          <w:sz w:val="24"/>
          <w:highlight w:val="none"/>
        </w:rPr>
        <w:t>、有串通投标或弄虚作假或有其他违法行为的；</w:t>
      </w:r>
    </w:p>
    <w:p w14:paraId="3C333B12">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H</w:t>
      </w:r>
      <w:r>
        <w:rPr>
          <w:rFonts w:hint="eastAsia" w:ascii="宋体" w:hAnsi="宋体" w:eastAsia="宋体" w:cs="宋体"/>
          <w:color w:val="auto"/>
          <w:sz w:val="24"/>
          <w:highlight w:val="none"/>
        </w:rPr>
        <w:t>、投标人递交的电子投标文件（加密电子投标文件和未加密电子投标文件）均无法满足正常开标、评标使用功能的；</w:t>
      </w:r>
    </w:p>
    <w:p w14:paraId="5DFF3AE9">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I</w:t>
      </w:r>
      <w:r>
        <w:rPr>
          <w:rFonts w:hint="eastAsia" w:ascii="宋体" w:hAnsi="宋体" w:eastAsia="宋体" w:cs="宋体"/>
          <w:color w:val="auto"/>
          <w:sz w:val="24"/>
          <w:highlight w:val="none"/>
        </w:rPr>
        <w:t>、投标人名称或组织结构与领取采购文件时不一致且无有效变更证明的；</w:t>
      </w:r>
    </w:p>
    <w:p w14:paraId="3E10D193">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J</w:t>
      </w:r>
      <w:r>
        <w:rPr>
          <w:rFonts w:hint="eastAsia" w:ascii="宋体" w:hAnsi="宋体" w:eastAsia="宋体" w:cs="宋体"/>
          <w:color w:val="auto"/>
          <w:sz w:val="24"/>
          <w:highlight w:val="none"/>
        </w:rPr>
        <w:t>、不符合招标文件中规定的其他实质性要求。</w:t>
      </w:r>
    </w:p>
    <w:p w14:paraId="4E6E5F93">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23.3投标文件的细微偏差是指在实质上响应招标文件要求，但在个别地方存在漏项或者提供了不完整的技术信息和数据等情况，并且补正这些遗漏或者不完整，不会对其他投标人造成不公正的结果。细微偏差不影响投标文件的有效性。</w:t>
      </w:r>
    </w:p>
    <w:p w14:paraId="01C017F2">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23.4初步评审中，对明显的文字和计算错误按下述原则处理，若出现相互矛盾之处，应以排列在先的原则为准优先处理：        </w:t>
      </w:r>
    </w:p>
    <w:p w14:paraId="7D293ED1">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1）投标文件中的开标一览表与明细表内容不一致的，以开标一览表为准。</w:t>
      </w:r>
    </w:p>
    <w:p w14:paraId="2B4F1A23">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2）如果以文字表示的数据与数字表示的有差别，以文字为准修正数字。如果大写金额和小写金额不一致的，以大写金额为准；</w:t>
      </w:r>
    </w:p>
    <w:p w14:paraId="0A5049FF">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3）如果单价乘以数量不等于总价，以单价为准修正总价，但单价金额小数点有明显错位的，应以总价为准，并修改单价。如果明细价格相加不等于汇总价格，以明细价格为准。</w:t>
      </w:r>
    </w:p>
    <w:p w14:paraId="7D5B5FDD">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4）调整后的数据对投标人具有约束力，投标人不同意以上修正，其投标将被拒绝。</w:t>
      </w:r>
    </w:p>
    <w:p w14:paraId="401C2E88">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23.5评标委员会对投标文件的判定，只依据投标文件内容本身，不依据其他外来证明。</w:t>
      </w:r>
    </w:p>
    <w:p w14:paraId="022C5991">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24.投标的澄清</w:t>
      </w:r>
    </w:p>
    <w:p w14:paraId="630BBF95">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评标委员会有权要求投标人对投标文件中含义不明确、对同类问题表述不一致或者有明显文字和计算错误等内容作必要的澄清、说明或者补正。该要求应当采用书面形式，并由评标委员会成员签字。评标委员会不接受投标人主动提出的澄清、说明或者补正。</w:t>
      </w:r>
    </w:p>
    <w:p w14:paraId="2EBFC818">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投标人必须按照评标委员会通知的内容和时间做出书面答复，该答复经法定代表人或授权代理人的签字认可，将作为投标文件内容的一部分。澄清、说明或者补正不得超出投标文件的范围或者改变投标文件的实质性内容。投标人拒不按照要求对投标文件进行澄清、说明或者补正的，评标委员会可拒绝该投标。</w:t>
      </w:r>
    </w:p>
    <w:p w14:paraId="2950DC94">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24.3如评标委员会一致认为某个投标人的报价明显不合理，有降低质量、不能诚信履行的可能时，评标委员会有权决定是否通知投标人限期进行书面解释或提供相关证明材料。若已要求，而该投标人在规定期限内未做出解释、作出的解释不合理或不能提供证明材料的，经评标委员会取得一致意见后，可拒绝该投标。</w:t>
      </w:r>
    </w:p>
    <w:p w14:paraId="5206BCAC">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24.4公开招标采购项目开标结束后，采购人或者采购代理机构应当依法对投标人的资格进行审查。合格投标人不足3家的，不得评标。</w:t>
      </w:r>
    </w:p>
    <w:p w14:paraId="7B54C23A">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25.详细评审</w:t>
      </w:r>
    </w:p>
    <w:p w14:paraId="57A1D428">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25.1评标委员会只对实质上响应招标文件的投标进行评价和比较；评审应严格按照招标文件第二部分“投标人须知前附表”中规定以及招标文件的要求进行。具体要求等详见招标文件第五部分“评审方法”。</w:t>
      </w:r>
    </w:p>
    <w:p w14:paraId="7617067E">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25.2评标委员会依法独立评审，严格遵守评审工作纪律。对需要共同认定的事项存在争议的，按照少数服从多数的原则作出评审结论。持不同意见的评标委员会成员应当在评标报告上签署不同意见并说明理由，不签署不同意见的视为同意。</w:t>
      </w:r>
    </w:p>
    <w:p w14:paraId="535899DF">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26.确定中标人</w:t>
      </w:r>
    </w:p>
    <w:p w14:paraId="3AB0BBC7">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26.1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14DD469">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26.2 评标委员会根据评审结果及招标文件的规定确定中标人。</w:t>
      </w:r>
    </w:p>
    <w:p w14:paraId="1DED063E">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27.评标过程要求</w:t>
      </w:r>
    </w:p>
    <w:p w14:paraId="5ED7588E">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27.1开标之后，直到签订合同止，凡是属于审查、澄清、评价和比较投标的有关资料以及定标意向等，均不向投标人或者其他与评标无关的人员透露。</w:t>
      </w:r>
    </w:p>
    <w:p w14:paraId="6048042C">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27.2在确定中标人之前，投标人试图在投标文件审查、澄清、比较和评标时对评标委员会、采购人和采购代理机构施加任何影响都可能导致其投标无效。</w:t>
      </w:r>
    </w:p>
    <w:p w14:paraId="56A90EB0">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27.3电子招投标的应急措施</w:t>
      </w:r>
    </w:p>
    <w:p w14:paraId="7E391DB2">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27.3.1电子开标、评标如出现下列原因，导致系统无法正常运行或无法正常评标时，应采取应急措施。</w:t>
      </w:r>
    </w:p>
    <w:p w14:paraId="3F18195D">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（1）系统服务器发生故障，无法访问或无法使用系统；</w:t>
      </w:r>
    </w:p>
    <w:p w14:paraId="74AB2BC5">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（2）系统的软件或数据库出现错误，不能进行正常操作；</w:t>
      </w:r>
    </w:p>
    <w:p w14:paraId="4A947B49">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（3）系统发现有安全漏洞，有潜在的泄密危险；</w:t>
      </w:r>
    </w:p>
    <w:p w14:paraId="0ED62D67">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（4）病毒发作或受到外来病毒的攻击；</w:t>
      </w:r>
    </w:p>
    <w:p w14:paraId="699C94A5">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（5）出现其他不可抗拒的客观原因造成开评标系统无法正常使用。</w:t>
      </w:r>
    </w:p>
    <w:p w14:paraId="5036BF98">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出现上述情况时，应对未开标的暂停开标。已在系统内开标、评标的立即停止。采取应急措施时，必须对原有资料及信息作出妥善保密处理。</w:t>
      </w:r>
    </w:p>
    <w:p w14:paraId="3C85903A">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27.3.2因系统原因导致投标人均无法解密电子投标文件时，采购代理机构可在开标现场直接导入投标人在投标截止时间前递交的未加密的电子投标文件进行开标、评标。</w:t>
      </w:r>
    </w:p>
    <w:p w14:paraId="3A9EBB8E">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28.投标人瑕疵滞后发现的处理规则</w:t>
      </w:r>
    </w:p>
    <w:p w14:paraId="35909052">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28.1无论基于何种原因，各项本应作拒绝处理的情形即便未被及时发现而使该投标人进入初审、综合评审或其他后续程序，包括已经签订合同的情形，一旦投标人被拒绝或该投标人的此前评议结果被取消，其现有的位置将被其他投标人依序替代，相关的一切损失均由该投标人承担。</w:t>
      </w:r>
    </w:p>
    <w:p w14:paraId="2C1A74B0">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29.采购项目废标</w:t>
      </w:r>
    </w:p>
    <w:p w14:paraId="5CBD1B81">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29.1在评标过程中，评标委员会发现有下列情形之一的，应对采购项目予以废标：</w:t>
      </w:r>
    </w:p>
    <w:p w14:paraId="0F5B2142">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1）符合专业条件的供应商或者对招标文件作实质响应的供应商数量不足，导致进入详细评审、打分阶段的供应商不足3家的； </w:t>
      </w:r>
    </w:p>
    <w:p w14:paraId="3DBCC132">
      <w:pPr>
        <w:pStyle w:val="122"/>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2）投标人的报价均超过了采购预算；</w:t>
      </w:r>
    </w:p>
    <w:p w14:paraId="1170A48B">
      <w:pPr>
        <w:pStyle w:val="122"/>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3）出现影响采购公正的违法、违规行为的；</w:t>
      </w:r>
    </w:p>
    <w:p w14:paraId="312848EE">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4）因重大变故，采购任务取消的。</w:t>
      </w:r>
    </w:p>
    <w:p w14:paraId="540E3FD1">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29.2投标人存在下列情况之一的,投标无效；</w:t>
      </w:r>
    </w:p>
    <w:p w14:paraId="728C7391">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(一)未按照招标文件的规定提交投标保证金的；</w:t>
      </w:r>
    </w:p>
    <w:p w14:paraId="6C5333B2">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(二)投标文件未按招标文件要求签署、盖章的；</w:t>
      </w:r>
    </w:p>
    <w:p w14:paraId="13F0B932">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(三)不具备招标文件中规定的资格要求的；</w:t>
      </w:r>
    </w:p>
    <w:p w14:paraId="54055B35">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(四)报价超过招标文件中规定的预算金额或者最高限价的；</w:t>
      </w:r>
    </w:p>
    <w:p w14:paraId="6E4A5A1E">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(五)投标文件含有采购人不能接受的附加条件的；</w:t>
      </w:r>
    </w:p>
    <w:p w14:paraId="12FBB551">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(六)法律、法规和招标文件规定的其他无效情形；</w:t>
      </w:r>
    </w:p>
    <w:p w14:paraId="19D5A602">
      <w:pPr>
        <w:pStyle w:val="122"/>
        <w:spacing w:line="360" w:lineRule="auto"/>
        <w:ind w:firstLine="480" w:firstLineChars="200"/>
        <w:rPr>
          <w:rFonts w:hint="eastAsia" w:ascii="宋体" w:hAnsi="宋体" w:eastAsia="宋体" w:cs="宋体"/>
          <w:color w:val="auto"/>
          <w:sz w:val="24"/>
          <w:highlight w:val="none"/>
        </w:rPr>
      </w:pPr>
      <w:bookmarkStart w:id="47" w:name="_Toc519111267"/>
      <w:bookmarkStart w:id="48" w:name="_Toc256000011"/>
      <w:r>
        <w:rPr>
          <w:rFonts w:hint="eastAsia" w:ascii="宋体" w:hAnsi="宋体" w:eastAsia="宋体" w:cs="宋体"/>
          <w:color w:val="auto"/>
          <w:sz w:val="24"/>
          <w:highlight w:val="none"/>
        </w:rPr>
        <w:t>八、履约保证金</w:t>
      </w:r>
      <w:bookmarkEnd w:id="47"/>
      <w:bookmarkEnd w:id="48"/>
    </w:p>
    <w:p w14:paraId="3A460860">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30.履约保证金</w:t>
      </w:r>
    </w:p>
    <w:p w14:paraId="21915178">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30.1履约保证金按照招标文件第二部分“投标人须知前附表”中规定，在签订合同前交纳。</w:t>
      </w:r>
    </w:p>
    <w:p w14:paraId="498FE586">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30.2中标人在中标公告发布后及时足额交纳履约保证金。</w:t>
      </w:r>
      <w:bookmarkStart w:id="49" w:name="EB7370d285b276481f868774732930cd2f"/>
      <w:r>
        <w:rPr>
          <w:rFonts w:hint="eastAsia" w:ascii="宋体" w:hAnsi="宋体" w:eastAsia="宋体" w:cs="宋体"/>
          <w:color w:val="auto"/>
          <w:sz w:val="24"/>
          <w:highlight w:val="none"/>
        </w:rPr>
        <w:t xml:space="preserve"> </w:t>
      </w:r>
      <w:bookmarkEnd w:id="49"/>
      <w:bookmarkStart w:id="50" w:name="EBfdb2486223e74b778d63b1ded8d27ae7"/>
      <w:r>
        <w:rPr>
          <w:rFonts w:hint="eastAsia" w:ascii="宋体" w:hAnsi="宋体" w:eastAsia="宋体" w:cs="宋体"/>
          <w:color w:val="auto"/>
          <w:sz w:val="24"/>
          <w:highlight w:val="none"/>
        </w:rPr>
        <w:t xml:space="preserve"> </w:t>
      </w:r>
      <w:bookmarkEnd w:id="50"/>
      <w:bookmarkStart w:id="51" w:name="EB083471dead2545f9b38e3247d415dd16"/>
      <w:r>
        <w:rPr>
          <w:rFonts w:hint="eastAsia" w:ascii="宋体" w:hAnsi="宋体" w:eastAsia="宋体" w:cs="宋体"/>
          <w:color w:val="auto"/>
          <w:sz w:val="24"/>
          <w:highlight w:val="none"/>
        </w:rPr>
        <w:t xml:space="preserve"> </w:t>
      </w:r>
      <w:bookmarkEnd w:id="51"/>
    </w:p>
    <w:p w14:paraId="58290AE9">
      <w:pPr>
        <w:pStyle w:val="122"/>
        <w:spacing w:line="360" w:lineRule="auto"/>
        <w:ind w:firstLine="480" w:firstLineChars="200"/>
        <w:rPr>
          <w:rFonts w:hint="eastAsia" w:ascii="宋体" w:hAnsi="宋体" w:eastAsia="宋体" w:cs="宋体"/>
          <w:color w:val="auto"/>
          <w:sz w:val="24"/>
          <w:highlight w:val="none"/>
        </w:rPr>
      </w:pPr>
      <w:bookmarkStart w:id="52" w:name="_Toc519111268"/>
      <w:bookmarkStart w:id="53" w:name="_Toc256000012"/>
      <w:r>
        <w:rPr>
          <w:rFonts w:hint="eastAsia" w:ascii="宋体" w:hAnsi="宋体" w:eastAsia="宋体" w:cs="宋体"/>
          <w:color w:val="auto"/>
          <w:sz w:val="24"/>
          <w:highlight w:val="none"/>
        </w:rPr>
        <w:t>九、代理服务费、公证费</w:t>
      </w:r>
      <w:bookmarkEnd w:id="52"/>
      <w:bookmarkEnd w:id="53"/>
    </w:p>
    <w:p w14:paraId="2554E377">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31.代理服务费、公证费</w:t>
      </w:r>
    </w:p>
    <w:p w14:paraId="6FF51724">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31.1代理服务费、公证费按照招标文件第二部分“投标人须知前附表”中的规定由中标人交纳，请投标人在测算投标报价时充分考虑这一因素。</w:t>
      </w:r>
    </w:p>
    <w:p w14:paraId="34F610B0">
      <w:pPr>
        <w:pStyle w:val="122"/>
        <w:spacing w:line="360" w:lineRule="auto"/>
        <w:ind w:firstLine="480" w:firstLineChars="200"/>
        <w:rPr>
          <w:rFonts w:hint="eastAsia" w:ascii="宋体" w:hAnsi="宋体" w:eastAsia="宋体" w:cs="宋体"/>
          <w:color w:val="auto"/>
          <w:sz w:val="24"/>
          <w:highlight w:val="none"/>
        </w:rPr>
      </w:pPr>
      <w:bookmarkStart w:id="54" w:name="_Toc519111269"/>
      <w:bookmarkStart w:id="55" w:name="_Toc256000013"/>
      <w:r>
        <w:rPr>
          <w:rFonts w:hint="eastAsia" w:ascii="宋体" w:hAnsi="宋体" w:eastAsia="宋体" w:cs="宋体"/>
          <w:color w:val="auto"/>
          <w:sz w:val="24"/>
          <w:highlight w:val="none"/>
        </w:rPr>
        <w:t>十、签订、审核合同</w:t>
      </w:r>
      <w:bookmarkEnd w:id="54"/>
      <w:bookmarkEnd w:id="55"/>
    </w:p>
    <w:p w14:paraId="3CCABE7D">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32.中标通知</w:t>
      </w:r>
    </w:p>
    <w:p w14:paraId="451D876B">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32.1中标人确定后,采购代理机构将在相关政府采购信息发布媒体上发布中标公告，并以书面形式向中标人发出中标通知书，但该中标结果的有效性不依赖于未中标的投标人是否已经收到该通知。中标人应按照上述第23、24、26条的规定交纳履约保证金、代理服务费和公证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14:paraId="40C0BBB2">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32.2采购代理机构对未中标的投标人不作未中标原因的解释，但中标结果的有效性不以未中标的投标人是否收到相应的通知为前提。</w:t>
      </w:r>
    </w:p>
    <w:p w14:paraId="36E4E626">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32.3中标通知书是合同的组成部分。</w:t>
      </w:r>
    </w:p>
    <w:p w14:paraId="6604DED1">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33.签订合同</w:t>
      </w:r>
    </w:p>
    <w:p w14:paraId="318B8048">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33.1中标人须在中标通知书发出之日起15日内与采购人签订采购合同。</w:t>
      </w:r>
    </w:p>
    <w:p w14:paraId="19E12BD3">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33.2中标人须按照招标文件、投标文件及评标过程中的有关澄清、说明或者补正文件的内容与采购人签订合同。中标人不得再与采购人签订背离合同实质性内容的其他协议或声明。</w:t>
      </w:r>
    </w:p>
    <w:p w14:paraId="4A8AB9CA">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33.3采购人如需追加与合同标的相同的货物，在不改变合同其他条款的前提下，提交追加合同的申请报经同级财政部门审核后，可与中标人签订补充合同，但所有补充合同的采购金额不得超过原合同金额的百分之十。</w:t>
      </w:r>
    </w:p>
    <w:p w14:paraId="516E612A">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33.4中标人一旦中标及签订合同后，不得转包，亦不得将合同全部及任何权利、义务向第三方转让。</w:t>
      </w:r>
    </w:p>
    <w:p w14:paraId="7DF1381C">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33.5中标人不履行合同的，采购人可在报经同级人民政府财政部门核准后，与排位在中标人之后的第一位中标候选供应商签订合同，以此类推；或在报经同级人民政府财政部门核准后重新组织采购。</w:t>
      </w:r>
    </w:p>
    <w:p w14:paraId="107A1022">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33.6违反32.1条、32.2条的规定，给对方造成损失的，应承担赔偿责任。</w:t>
      </w:r>
    </w:p>
    <w:p w14:paraId="04204EE3">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34.审核合同</w:t>
      </w:r>
    </w:p>
    <w:p w14:paraId="75BA9BE3">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34.1中标人持政府采购合同于签订合同之日起3个工作日内到政采云进行备案留存。</w:t>
      </w:r>
      <w:bookmarkStart w:id="56" w:name="EBe1ca8e93d3eb48f0942a054457d44144"/>
      <w:r>
        <w:rPr>
          <w:rFonts w:hint="eastAsia" w:ascii="宋体" w:hAnsi="宋体" w:eastAsia="宋体" w:cs="宋体"/>
          <w:color w:val="auto"/>
          <w:sz w:val="24"/>
          <w:highlight w:val="none"/>
        </w:rPr>
        <w:t xml:space="preserve"> </w:t>
      </w:r>
      <w:bookmarkEnd w:id="56"/>
      <w:bookmarkStart w:id="57" w:name="EB6bd86286c9bc4c4ba2552cfdd0fee3d0"/>
      <w:r>
        <w:rPr>
          <w:rFonts w:hint="eastAsia" w:ascii="宋体" w:hAnsi="宋体" w:eastAsia="宋体" w:cs="宋体"/>
          <w:color w:val="auto"/>
          <w:sz w:val="24"/>
          <w:highlight w:val="none"/>
        </w:rPr>
        <w:t xml:space="preserve"> </w:t>
      </w:r>
      <w:bookmarkEnd w:id="57"/>
      <w:bookmarkStart w:id="58" w:name="EBa988c80f708b478fb07bfc90609eef70"/>
      <w:r>
        <w:rPr>
          <w:rFonts w:hint="eastAsia" w:ascii="宋体" w:hAnsi="宋体" w:eastAsia="宋体" w:cs="宋体"/>
          <w:color w:val="auto"/>
          <w:sz w:val="24"/>
          <w:highlight w:val="none"/>
        </w:rPr>
        <w:t xml:space="preserve"> </w:t>
      </w:r>
      <w:bookmarkEnd w:id="58"/>
    </w:p>
    <w:p w14:paraId="162F8ED8">
      <w:pPr>
        <w:pStyle w:val="122"/>
        <w:spacing w:line="360" w:lineRule="auto"/>
        <w:ind w:firstLine="480" w:firstLineChars="200"/>
        <w:rPr>
          <w:rFonts w:hint="eastAsia" w:ascii="宋体" w:hAnsi="宋体" w:eastAsia="宋体" w:cs="宋体"/>
          <w:color w:val="auto"/>
          <w:sz w:val="24"/>
          <w:highlight w:val="none"/>
        </w:rPr>
      </w:pPr>
      <w:bookmarkStart w:id="59" w:name="_Toc519111270"/>
      <w:bookmarkStart w:id="60" w:name="_Toc256000014"/>
      <w:r>
        <w:rPr>
          <w:rFonts w:hint="eastAsia" w:ascii="宋体" w:hAnsi="宋体" w:eastAsia="宋体" w:cs="宋体"/>
          <w:color w:val="auto"/>
          <w:sz w:val="24"/>
          <w:highlight w:val="none"/>
        </w:rPr>
        <w:t>十一、处罚、询问和质疑</w:t>
      </w:r>
      <w:bookmarkEnd w:id="59"/>
      <w:bookmarkEnd w:id="60"/>
      <w:r>
        <w:rPr>
          <w:rFonts w:hint="eastAsia" w:ascii="宋体" w:hAnsi="宋体" w:eastAsia="宋体" w:cs="宋体"/>
          <w:color w:val="auto"/>
          <w:sz w:val="24"/>
          <w:highlight w:val="none"/>
        </w:rPr>
        <w:t xml:space="preserve"> </w:t>
      </w:r>
    </w:p>
    <w:p w14:paraId="4B307C08">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35.处罚</w:t>
      </w:r>
    </w:p>
    <w:p w14:paraId="701EB588">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35.1发生下列情况之一，投标人的保证金不予退还；情节严重的将其列入不良记录名单。</w:t>
      </w:r>
    </w:p>
    <w:p w14:paraId="52A87A58">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1）开标后在投标有效期内，投标人撤回其投标；</w:t>
      </w:r>
    </w:p>
    <w:p w14:paraId="11E7D81D">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2）中标后无正当理由不与采购人签订合同的；</w:t>
      </w:r>
    </w:p>
    <w:p w14:paraId="38A2BAA5">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3）中标人与采购人订立背离合同实质性内容的其他协议；</w:t>
      </w:r>
    </w:p>
    <w:p w14:paraId="1B2F6B24">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4）将中标项目转让给他人，或者在投标文件中未说明，且未经采购代理机构同意，将中标项目分包给他人的；</w:t>
      </w:r>
    </w:p>
    <w:p w14:paraId="710E0037">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5）存在串通投标行为的；</w:t>
      </w:r>
    </w:p>
    <w:p w14:paraId="72345E31">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6）存在弄虚作假或提供虚假材料谋取中标的；</w:t>
      </w:r>
    </w:p>
    <w:p w14:paraId="12A61026">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7）投标人其他未按招标文件规定和合同约定履行义务的行为。</w:t>
      </w:r>
    </w:p>
    <w:p w14:paraId="340518A9">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36．询问</w:t>
      </w:r>
    </w:p>
    <w:p w14:paraId="0DA238A3">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36.1投标人对采购事项有疑问的，可以向采购人或采购代理机构提出询问。</w:t>
      </w:r>
    </w:p>
    <w:p w14:paraId="44969A9E">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37.投标人有权就招标事宜提出质疑</w:t>
      </w:r>
    </w:p>
    <w:p w14:paraId="02EF7127">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37.1投标人认为招标文件、采购过程和中标结果使自已的权益受到损害的，可以在知道或者应知其权益受到损害之日起7个工作日内，以书面形式提出质疑。</w:t>
      </w:r>
    </w:p>
    <w:p w14:paraId="2434FB18">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37.2质疑应当按照《中华人民共和国政府采购法》、《中华人民共和国政府采购法实施条例》、《政府采购质疑和投诉办法》等法律法规的相关规定，以书面形式向采购代理机构提出。</w:t>
      </w:r>
    </w:p>
    <w:p w14:paraId="30A39815">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37.3质疑书应当附上相关证明材料，否则质疑将视为无有效证据支持，将被予以驳回，并不得以上述理由要求延长质疑有效期。未递交投标文件的供应商，其未参加后续采购活动，不得对递交投标文件截止后的采购过程、采购结果提出质疑。</w:t>
      </w:r>
    </w:p>
    <w:p w14:paraId="6B129086">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37.4质疑人可以采取直接送达或者邮寄方式提交质疑书。采购代理机构收到质疑书后，对质疑书进行审查，对符合质疑条件的将办理签收手续，自签收质疑书之日起即为受理。</w:t>
      </w:r>
    </w:p>
    <w:p w14:paraId="52A0C61C">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37.5采购代理机构将在受理书面质疑后7个工作日内审查质疑事项，作出答复或相关处理决定，并以书面形式通知质疑人和其他相关供应商，但答复的内容不涉及商业秘密。</w:t>
      </w:r>
    </w:p>
    <w:p w14:paraId="2E141A2D">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37.6投标人进行虚假和恶意质疑的，采购代理机构将提请有关部门将其列入不良记录名单，在一至三年内禁止参加政府采购活动，并将处理决定在相关政府采购媒体上公布。</w:t>
      </w:r>
    </w:p>
    <w:p w14:paraId="2B494BE5">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37.7质疑人对答复不满意以及采购代理机构未在规定的时间内作出答复的，可以在答复期满后15个工作日内向财政部门投拆。</w:t>
      </w:r>
    </w:p>
    <w:p w14:paraId="0AD4C603">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37.8提出质疑时需向采购代理机构提交如下材料纸质版原件：</w:t>
      </w:r>
    </w:p>
    <w:p w14:paraId="7DA99E35">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质疑函原件并加盖公章；质疑函应当按照财政部令第94号《政府采购质疑和投诉办法》的相关规定编写；</w:t>
      </w:r>
    </w:p>
    <w:p w14:paraId="72DBF509">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(1)法定代表人授权委托书原件。授权委托书应当载明代理人的姓名或者名称、代理事项、具体权限、期限和相关事项，并由法定代表人、主要负责人签字或者盖章，并加盖公章；</w:t>
      </w:r>
    </w:p>
    <w:p w14:paraId="5EF309EC">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(2)下载招标文件的凭证（投标截止日之前提出质疑须提供）；</w:t>
      </w:r>
    </w:p>
    <w:p w14:paraId="0EC3D4D3">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(3)其他必要的证明材料（如有请提供）。</w:t>
      </w:r>
    </w:p>
    <w:p w14:paraId="5D2C4495">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37.9 投标人在法定质疑期内需一次性提出针对同一采购程序环节的质疑。对同一采购程序环节提出的后续多次质疑将不被接受。</w:t>
      </w:r>
    </w:p>
    <w:p w14:paraId="279F065F">
      <w:pPr>
        <w:pStyle w:val="122"/>
        <w:spacing w:line="360" w:lineRule="auto"/>
        <w:ind w:firstLine="480" w:firstLineChars="200"/>
        <w:rPr>
          <w:rFonts w:hint="eastAsia" w:ascii="宋体" w:hAnsi="宋体" w:eastAsia="宋体" w:cs="宋体"/>
          <w:color w:val="auto"/>
          <w:sz w:val="24"/>
          <w:highlight w:val="none"/>
        </w:rPr>
      </w:pPr>
      <w:bookmarkStart w:id="61" w:name="_Toc256000015"/>
      <w:bookmarkStart w:id="62" w:name="_Toc519111271"/>
      <w:r>
        <w:rPr>
          <w:rFonts w:hint="eastAsia" w:ascii="宋体" w:hAnsi="宋体" w:eastAsia="宋体" w:cs="宋体"/>
          <w:color w:val="auto"/>
          <w:sz w:val="24"/>
          <w:highlight w:val="none"/>
        </w:rPr>
        <w:t>十二、保密和披露</w:t>
      </w:r>
      <w:bookmarkEnd w:id="61"/>
      <w:bookmarkEnd w:id="62"/>
    </w:p>
    <w:p w14:paraId="40E6394D">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38.保密和披露</w:t>
      </w:r>
    </w:p>
    <w:p w14:paraId="34EBCD31">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38.1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4C8FDFD3">
      <w:pPr>
        <w:pStyle w:val="12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38.2采购代理机构有权将投标人提供的所有资料向有关政府部门或评审标书的有关人员披露。</w:t>
      </w:r>
    </w:p>
    <w:p w14:paraId="6FE9BD27">
      <w:pPr>
        <w:pStyle w:val="122"/>
        <w:spacing w:line="360" w:lineRule="auto"/>
        <w:ind w:firstLine="480" w:firstLineChars="200"/>
        <w:rPr>
          <w:rFonts w:hint="eastAsia" w:ascii="宋体" w:hAnsi="宋体" w:eastAsia="宋体" w:cs="宋体"/>
          <w:color w:val="auto"/>
          <w:sz w:val="20"/>
          <w:highlight w:val="none"/>
        </w:rPr>
      </w:pPr>
      <w:r>
        <w:rPr>
          <w:rFonts w:hint="eastAsia" w:ascii="宋体" w:hAnsi="宋体" w:eastAsia="宋体" w:cs="宋体"/>
          <w:color w:val="auto"/>
          <w:sz w:val="24"/>
          <w:highlight w:val="none"/>
        </w:rPr>
        <w:t>38.3在采购代理机构认为适当时、国家机关调查、审查、审计时以及其他符合法律规定的情形下，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bookmarkEnd w:id="6"/>
      <w:r>
        <w:rPr>
          <w:rFonts w:hint="eastAsia" w:ascii="宋体" w:hAnsi="宋体" w:eastAsia="宋体" w:cs="宋体"/>
          <w:b/>
          <w:color w:val="auto"/>
          <w:sz w:val="36"/>
          <w:highlight w:val="none"/>
        </w:rPr>
        <w:t xml:space="preserve"> </w:t>
      </w:r>
    </w:p>
    <w:p w14:paraId="5FCB0420">
      <w:pPr>
        <w:pStyle w:val="18"/>
        <w:numPr>
          <w:ilvl w:val="0"/>
          <w:numId w:val="2"/>
        </w:numPr>
        <w:tabs>
          <w:tab w:val="left" w:pos="0"/>
        </w:tabs>
        <w:spacing w:line="240" w:lineRule="auto"/>
        <w:ind w:left="0" w:leftChars="0" w:firstLine="0" w:firstLineChars="0"/>
        <w:jc w:val="center"/>
        <w:outlineLvl w:val="0"/>
        <w:rPr>
          <w:rFonts w:hint="eastAsia" w:ascii="宋体" w:hAnsi="宋体" w:eastAsia="宋体" w:cs="宋体"/>
          <w:b/>
          <w:color w:val="auto"/>
          <w:sz w:val="36"/>
          <w:highlight w:val="none"/>
        </w:rPr>
      </w:pPr>
      <w:r>
        <w:rPr>
          <w:rFonts w:hint="eastAsia" w:ascii="宋体" w:hAnsi="宋体" w:eastAsia="宋体" w:cs="宋体"/>
          <w:color w:val="auto"/>
          <w:highlight w:val="none"/>
        </w:rPr>
        <w:br w:type="page"/>
      </w:r>
      <w:bookmarkStart w:id="63" w:name="_Toc256000016"/>
      <w:r>
        <w:rPr>
          <w:rFonts w:hint="eastAsia" w:ascii="宋体" w:hAnsi="宋体" w:eastAsia="宋体" w:cs="宋体"/>
          <w:b/>
          <w:color w:val="auto"/>
          <w:sz w:val="36"/>
          <w:highlight w:val="none"/>
        </w:rPr>
        <w:t xml:space="preserve"> 采购需求</w:t>
      </w:r>
      <w:bookmarkEnd w:id="63"/>
    </w:p>
    <w:p w14:paraId="4AB85D63">
      <w:pPr>
        <w:widowControl/>
        <w:spacing w:line="360" w:lineRule="auto"/>
        <w:rPr>
          <w:rFonts w:ascii="Calibri" w:hAnsi="Calibri" w:eastAsia="宋体" w:cs="Times New Roman"/>
          <w:color w:val="auto"/>
          <w:sz w:val="24"/>
          <w:highlight w:val="none"/>
        </w:rPr>
      </w:pPr>
      <w:bookmarkStart w:id="64" w:name="_Toc503463633"/>
      <w:bookmarkStart w:id="65" w:name="_Toc3195"/>
      <w:bookmarkStart w:id="66" w:name="_Toc503463635"/>
      <w:bookmarkStart w:id="67" w:name="_Toc256000018"/>
    </w:p>
    <w:p w14:paraId="1C420C2D">
      <w:pPr>
        <w:spacing w:line="44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项目内容：由自治区生态环境监测总站委托第三方社会化运维机构对一个</w:t>
      </w:r>
      <w:r>
        <w:rPr>
          <w:rFonts w:hint="eastAsia" w:ascii="Times New Roman" w:hAnsi="Times New Roman" w:eastAsia="仿宋" w:cs="Times New Roman"/>
          <w:color w:val="auto"/>
          <w:sz w:val="24"/>
          <w:highlight w:val="none"/>
          <w:lang w:eastAsia="zh-CN"/>
        </w:rPr>
        <w:t>大气组分站</w:t>
      </w:r>
      <w:r>
        <w:rPr>
          <w:rFonts w:hint="default" w:ascii="Times New Roman" w:hAnsi="Times New Roman" w:eastAsia="仿宋" w:cs="Times New Roman"/>
          <w:color w:val="auto"/>
          <w:sz w:val="24"/>
          <w:highlight w:val="none"/>
        </w:rPr>
        <w:t>开展</w:t>
      </w:r>
      <w:r>
        <w:rPr>
          <w:rFonts w:hint="eastAsia"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rPr>
        <w:t>年期运维服务，包括严格按照相关技术规范对站内常规大气监测、气溶胶化学组成在线监测、光化学污染在线监测、温室气体的在线监测、气象参数在线监测等23台套设备开展日常运维和质控，保障监测数据质量，定期编制综合分析报告，实时掌握大气污染变化趋势并开展溯源。要求3名（研究生学历及以上）经验丰富的</w:t>
      </w:r>
      <w:r>
        <w:rPr>
          <w:rFonts w:hint="eastAsia" w:ascii="Times New Roman" w:hAnsi="Times New Roman" w:eastAsia="仿宋" w:cs="Times New Roman"/>
          <w:color w:val="auto"/>
          <w:sz w:val="24"/>
          <w:highlight w:val="none"/>
          <w:lang w:eastAsia="zh-CN"/>
        </w:rPr>
        <w:t>大气组分站</w:t>
      </w:r>
      <w:r>
        <w:rPr>
          <w:rFonts w:hint="default" w:ascii="Times New Roman" w:hAnsi="Times New Roman" w:eastAsia="仿宋" w:cs="Times New Roman"/>
          <w:color w:val="auto"/>
          <w:sz w:val="24"/>
          <w:highlight w:val="none"/>
        </w:rPr>
        <w:t>数据分析工程师负责数据分析，定期编制分析报告。</w:t>
      </w:r>
      <w:r>
        <w:rPr>
          <w:rFonts w:hint="default"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rPr>
        <w:t>人一年（2年以上运维经验）驻点运维，负责现场仪器设备运维与故障维修。</w:t>
      </w:r>
    </w:p>
    <w:p w14:paraId="1AF3EE75">
      <w:pPr>
        <w:spacing w:line="44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新疆</w:t>
      </w:r>
      <w:r>
        <w:rPr>
          <w:rFonts w:hint="eastAsia" w:ascii="Times New Roman" w:hAnsi="Times New Roman" w:eastAsia="仿宋" w:cs="Times New Roman"/>
          <w:color w:val="auto"/>
          <w:sz w:val="24"/>
          <w:highlight w:val="none"/>
          <w:lang w:eastAsia="zh-CN"/>
        </w:rPr>
        <w:t>大气组分站</w:t>
      </w:r>
      <w:r>
        <w:rPr>
          <w:rFonts w:hint="default" w:ascii="Times New Roman" w:hAnsi="Times New Roman" w:eastAsia="仿宋" w:cs="Times New Roman"/>
          <w:color w:val="auto"/>
          <w:sz w:val="24"/>
          <w:highlight w:val="none"/>
        </w:rPr>
        <w:t xml:space="preserve">运维及质控保障项目运维设备清单及要求如下： </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181"/>
        <w:gridCol w:w="4316"/>
        <w:gridCol w:w="1084"/>
        <w:gridCol w:w="2093"/>
      </w:tblGrid>
      <w:tr w14:paraId="2874F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80" w:type="dxa"/>
            <w:noWrap w:val="0"/>
            <w:vAlign w:val="center"/>
          </w:tcPr>
          <w:p w14:paraId="416AAA9B">
            <w:pPr>
              <w:keepNext w:val="0"/>
              <w:keepLines w:val="0"/>
              <w:widowControl/>
              <w:suppressLineNumbers w:val="0"/>
              <w:adjustRightInd w:val="0"/>
              <w:snapToGrid w:val="0"/>
              <w:spacing w:before="0" w:beforeAutospacing="0" w:after="0" w:afterAutospacing="0" w:line="320" w:lineRule="exact"/>
              <w:ind w:left="0" w:right="0" w:firstLine="180" w:firstLineChars="100"/>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序号</w:t>
            </w:r>
          </w:p>
        </w:tc>
        <w:tc>
          <w:tcPr>
            <w:tcW w:w="5497" w:type="dxa"/>
            <w:gridSpan w:val="2"/>
            <w:noWrap w:val="0"/>
            <w:vAlign w:val="center"/>
          </w:tcPr>
          <w:p w14:paraId="13786C0B">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仪器设备</w:t>
            </w:r>
          </w:p>
        </w:tc>
        <w:tc>
          <w:tcPr>
            <w:tcW w:w="1084" w:type="dxa"/>
            <w:noWrap w:val="0"/>
            <w:vAlign w:val="center"/>
          </w:tcPr>
          <w:p w14:paraId="1E501F67">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数量</w:t>
            </w:r>
          </w:p>
        </w:tc>
        <w:tc>
          <w:tcPr>
            <w:tcW w:w="2093" w:type="dxa"/>
            <w:noWrap w:val="0"/>
            <w:vAlign w:val="center"/>
          </w:tcPr>
          <w:p w14:paraId="7D9889D3">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要求</w:t>
            </w:r>
          </w:p>
        </w:tc>
      </w:tr>
      <w:tr w14:paraId="52252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80" w:type="dxa"/>
            <w:noWrap w:val="0"/>
            <w:vAlign w:val="center"/>
          </w:tcPr>
          <w:p w14:paraId="763282E0">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1</w:t>
            </w:r>
          </w:p>
        </w:tc>
        <w:tc>
          <w:tcPr>
            <w:tcW w:w="1181" w:type="dxa"/>
            <w:vMerge w:val="restart"/>
            <w:noWrap w:val="0"/>
            <w:vAlign w:val="center"/>
          </w:tcPr>
          <w:p w14:paraId="09C1BB86">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常规参数监测</w:t>
            </w:r>
          </w:p>
        </w:tc>
        <w:tc>
          <w:tcPr>
            <w:tcW w:w="4316" w:type="dxa"/>
            <w:noWrap w:val="0"/>
            <w:vAlign w:val="center"/>
          </w:tcPr>
          <w:p w14:paraId="4B7511FA">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SO</w:t>
            </w:r>
            <w:r>
              <w:rPr>
                <w:rFonts w:hint="default" w:ascii="Times New Roman" w:hAnsi="Times New Roman" w:cs="Times New Roman"/>
                <w:color w:val="auto"/>
                <w:kern w:val="0"/>
                <w:sz w:val="18"/>
                <w:highlight w:val="none"/>
                <w:vertAlign w:val="subscript"/>
              </w:rPr>
              <w:t>2</w:t>
            </w:r>
            <w:r>
              <w:rPr>
                <w:rFonts w:hint="default" w:ascii="Times New Roman" w:hAnsi="Times New Roman" w:cs="Times New Roman"/>
                <w:color w:val="auto"/>
                <w:kern w:val="0"/>
                <w:sz w:val="18"/>
                <w:highlight w:val="none"/>
              </w:rPr>
              <w:t>/NOx/CO/O</w:t>
            </w:r>
            <w:r>
              <w:rPr>
                <w:rFonts w:hint="default" w:ascii="Times New Roman" w:hAnsi="Times New Roman" w:cs="Times New Roman"/>
                <w:color w:val="auto"/>
                <w:kern w:val="0"/>
                <w:sz w:val="18"/>
                <w:highlight w:val="none"/>
                <w:vertAlign w:val="subscript"/>
              </w:rPr>
              <w:t>3</w:t>
            </w:r>
            <w:r>
              <w:rPr>
                <w:rFonts w:hint="default" w:ascii="Times New Roman" w:hAnsi="Times New Roman" w:cs="Times New Roman"/>
                <w:color w:val="auto"/>
                <w:kern w:val="0"/>
                <w:sz w:val="18"/>
                <w:highlight w:val="none"/>
              </w:rPr>
              <w:t>在线监测系统</w:t>
            </w:r>
          </w:p>
        </w:tc>
        <w:tc>
          <w:tcPr>
            <w:tcW w:w="1084" w:type="dxa"/>
            <w:noWrap w:val="0"/>
            <w:vAlign w:val="center"/>
          </w:tcPr>
          <w:p w14:paraId="017702DF">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1套</w:t>
            </w:r>
          </w:p>
        </w:tc>
        <w:tc>
          <w:tcPr>
            <w:tcW w:w="2093" w:type="dxa"/>
            <w:vMerge w:val="restart"/>
            <w:noWrap w:val="0"/>
            <w:vAlign w:val="center"/>
          </w:tcPr>
          <w:p w14:paraId="6E550DB8">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委托社会化运维机构开展</w:t>
            </w:r>
            <w:r>
              <w:rPr>
                <w:rFonts w:hint="eastAsia" w:ascii="Times New Roman" w:hAnsi="Times New Roman" w:cs="Times New Roman"/>
                <w:color w:val="auto"/>
                <w:kern w:val="0"/>
                <w:sz w:val="18"/>
                <w:highlight w:val="none"/>
                <w:lang w:val="en-US" w:eastAsia="zh-CN"/>
              </w:rPr>
              <w:t>1</w:t>
            </w:r>
            <w:r>
              <w:rPr>
                <w:rFonts w:hint="default" w:ascii="Times New Roman" w:hAnsi="Times New Roman" w:cs="Times New Roman"/>
                <w:color w:val="auto"/>
                <w:kern w:val="0"/>
                <w:sz w:val="18"/>
                <w:highlight w:val="none"/>
              </w:rPr>
              <w:t>年期日常运维和质控，按期开展数据审核、编制质控和分析报告</w:t>
            </w:r>
          </w:p>
        </w:tc>
      </w:tr>
      <w:tr w14:paraId="3C6A7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80" w:type="dxa"/>
            <w:noWrap w:val="0"/>
            <w:vAlign w:val="center"/>
          </w:tcPr>
          <w:p w14:paraId="686F84C8">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2</w:t>
            </w:r>
          </w:p>
        </w:tc>
        <w:tc>
          <w:tcPr>
            <w:tcW w:w="1181" w:type="dxa"/>
            <w:vMerge w:val="continue"/>
            <w:noWrap w:val="0"/>
            <w:vAlign w:val="center"/>
          </w:tcPr>
          <w:p w14:paraId="757D831D">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p>
        </w:tc>
        <w:tc>
          <w:tcPr>
            <w:tcW w:w="4316" w:type="dxa"/>
            <w:noWrap w:val="0"/>
            <w:vAlign w:val="center"/>
          </w:tcPr>
          <w:p w14:paraId="7E32F6B5">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PM</w:t>
            </w:r>
            <w:r>
              <w:rPr>
                <w:rFonts w:hint="default" w:ascii="Times New Roman" w:hAnsi="Times New Roman" w:cs="Times New Roman"/>
                <w:color w:val="auto"/>
                <w:kern w:val="0"/>
                <w:sz w:val="18"/>
                <w:highlight w:val="none"/>
                <w:vertAlign w:val="subscript"/>
              </w:rPr>
              <w:t>10</w:t>
            </w:r>
            <w:r>
              <w:rPr>
                <w:rFonts w:hint="default" w:ascii="Times New Roman" w:hAnsi="Times New Roman" w:cs="Times New Roman"/>
                <w:color w:val="auto"/>
                <w:kern w:val="0"/>
                <w:sz w:val="18"/>
                <w:highlight w:val="none"/>
              </w:rPr>
              <w:t>自动监测仪</w:t>
            </w:r>
          </w:p>
        </w:tc>
        <w:tc>
          <w:tcPr>
            <w:tcW w:w="1084" w:type="dxa"/>
            <w:noWrap w:val="0"/>
            <w:vAlign w:val="center"/>
          </w:tcPr>
          <w:p w14:paraId="34E681F3">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1套</w:t>
            </w:r>
          </w:p>
        </w:tc>
        <w:tc>
          <w:tcPr>
            <w:tcW w:w="2093" w:type="dxa"/>
            <w:vMerge w:val="continue"/>
            <w:noWrap w:val="0"/>
            <w:vAlign w:val="center"/>
          </w:tcPr>
          <w:p w14:paraId="13E008DD">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p>
        </w:tc>
      </w:tr>
      <w:tr w14:paraId="263A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80" w:type="dxa"/>
            <w:noWrap w:val="0"/>
            <w:vAlign w:val="center"/>
          </w:tcPr>
          <w:p w14:paraId="11CE5297">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3</w:t>
            </w:r>
          </w:p>
        </w:tc>
        <w:tc>
          <w:tcPr>
            <w:tcW w:w="1181" w:type="dxa"/>
            <w:vMerge w:val="continue"/>
            <w:noWrap w:val="0"/>
            <w:vAlign w:val="center"/>
          </w:tcPr>
          <w:p w14:paraId="628D4946">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p>
        </w:tc>
        <w:tc>
          <w:tcPr>
            <w:tcW w:w="4316" w:type="dxa"/>
            <w:noWrap w:val="0"/>
            <w:vAlign w:val="center"/>
          </w:tcPr>
          <w:p w14:paraId="0E3EE5AD">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PM</w:t>
            </w:r>
            <w:r>
              <w:rPr>
                <w:rFonts w:hint="default" w:ascii="Times New Roman" w:hAnsi="Times New Roman" w:cs="Times New Roman"/>
                <w:color w:val="auto"/>
                <w:kern w:val="0"/>
                <w:sz w:val="18"/>
                <w:highlight w:val="none"/>
                <w:vertAlign w:val="subscript"/>
              </w:rPr>
              <w:t>2.5</w:t>
            </w:r>
            <w:r>
              <w:rPr>
                <w:rFonts w:hint="default" w:ascii="Times New Roman" w:hAnsi="Times New Roman" w:cs="Times New Roman"/>
                <w:color w:val="auto"/>
                <w:kern w:val="0"/>
                <w:sz w:val="18"/>
                <w:highlight w:val="none"/>
              </w:rPr>
              <w:t>自动监测仪</w:t>
            </w:r>
          </w:p>
        </w:tc>
        <w:tc>
          <w:tcPr>
            <w:tcW w:w="1084" w:type="dxa"/>
            <w:noWrap w:val="0"/>
            <w:vAlign w:val="center"/>
          </w:tcPr>
          <w:p w14:paraId="18FA8578">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1套</w:t>
            </w:r>
          </w:p>
        </w:tc>
        <w:tc>
          <w:tcPr>
            <w:tcW w:w="2093" w:type="dxa"/>
            <w:vMerge w:val="continue"/>
            <w:noWrap w:val="0"/>
            <w:vAlign w:val="center"/>
          </w:tcPr>
          <w:p w14:paraId="2C42187D">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p>
        </w:tc>
      </w:tr>
      <w:tr w14:paraId="3D53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80" w:type="dxa"/>
            <w:noWrap w:val="0"/>
            <w:vAlign w:val="center"/>
          </w:tcPr>
          <w:p w14:paraId="2C57AF9E">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4</w:t>
            </w:r>
          </w:p>
        </w:tc>
        <w:tc>
          <w:tcPr>
            <w:tcW w:w="1181" w:type="dxa"/>
            <w:vMerge w:val="continue"/>
            <w:noWrap w:val="0"/>
            <w:vAlign w:val="center"/>
          </w:tcPr>
          <w:p w14:paraId="76AE7AB4">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p>
        </w:tc>
        <w:tc>
          <w:tcPr>
            <w:tcW w:w="4316" w:type="dxa"/>
            <w:noWrap w:val="0"/>
            <w:vAlign w:val="center"/>
          </w:tcPr>
          <w:p w14:paraId="23F6FB59">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PM</w:t>
            </w:r>
            <w:r>
              <w:rPr>
                <w:rFonts w:hint="default" w:ascii="Times New Roman" w:hAnsi="Times New Roman" w:cs="Times New Roman"/>
                <w:color w:val="auto"/>
                <w:kern w:val="0"/>
                <w:sz w:val="18"/>
                <w:highlight w:val="none"/>
                <w:vertAlign w:val="subscript"/>
              </w:rPr>
              <w:t>1.0</w:t>
            </w:r>
            <w:r>
              <w:rPr>
                <w:rFonts w:hint="default" w:ascii="Times New Roman" w:hAnsi="Times New Roman" w:cs="Times New Roman"/>
                <w:color w:val="auto"/>
                <w:kern w:val="0"/>
                <w:sz w:val="18"/>
                <w:highlight w:val="none"/>
              </w:rPr>
              <w:t>自动监测仪</w:t>
            </w:r>
          </w:p>
        </w:tc>
        <w:tc>
          <w:tcPr>
            <w:tcW w:w="1084" w:type="dxa"/>
            <w:noWrap w:val="0"/>
            <w:vAlign w:val="center"/>
          </w:tcPr>
          <w:p w14:paraId="3EA390AA">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1套</w:t>
            </w:r>
          </w:p>
        </w:tc>
        <w:tc>
          <w:tcPr>
            <w:tcW w:w="2093" w:type="dxa"/>
            <w:vMerge w:val="continue"/>
            <w:noWrap w:val="0"/>
            <w:vAlign w:val="center"/>
          </w:tcPr>
          <w:p w14:paraId="79618F12">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p>
        </w:tc>
      </w:tr>
      <w:tr w14:paraId="2764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80" w:type="dxa"/>
            <w:noWrap w:val="0"/>
            <w:vAlign w:val="center"/>
          </w:tcPr>
          <w:p w14:paraId="356AB7F0">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5</w:t>
            </w:r>
          </w:p>
        </w:tc>
        <w:tc>
          <w:tcPr>
            <w:tcW w:w="1181" w:type="dxa"/>
            <w:vMerge w:val="continue"/>
            <w:noWrap w:val="0"/>
            <w:vAlign w:val="center"/>
          </w:tcPr>
          <w:p w14:paraId="1D4AB931">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p>
        </w:tc>
        <w:tc>
          <w:tcPr>
            <w:tcW w:w="4316" w:type="dxa"/>
            <w:noWrap w:val="0"/>
            <w:vAlign w:val="center"/>
          </w:tcPr>
          <w:p w14:paraId="3161E011">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NOx/NH</w:t>
            </w:r>
            <w:r>
              <w:rPr>
                <w:rFonts w:hint="default" w:ascii="Times New Roman" w:hAnsi="Times New Roman" w:cs="Times New Roman"/>
                <w:color w:val="auto"/>
                <w:kern w:val="0"/>
                <w:sz w:val="18"/>
                <w:highlight w:val="none"/>
                <w:vertAlign w:val="subscript"/>
              </w:rPr>
              <w:t>3</w:t>
            </w:r>
            <w:r>
              <w:rPr>
                <w:rFonts w:hint="default" w:ascii="Times New Roman" w:hAnsi="Times New Roman" w:cs="Times New Roman"/>
                <w:color w:val="auto"/>
                <w:kern w:val="0"/>
                <w:sz w:val="18"/>
                <w:highlight w:val="none"/>
              </w:rPr>
              <w:t>监测仪</w:t>
            </w:r>
          </w:p>
        </w:tc>
        <w:tc>
          <w:tcPr>
            <w:tcW w:w="1084" w:type="dxa"/>
            <w:noWrap w:val="0"/>
            <w:vAlign w:val="center"/>
          </w:tcPr>
          <w:p w14:paraId="3C0FA4FF">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1套</w:t>
            </w:r>
          </w:p>
        </w:tc>
        <w:tc>
          <w:tcPr>
            <w:tcW w:w="2093" w:type="dxa"/>
            <w:vMerge w:val="continue"/>
            <w:noWrap w:val="0"/>
            <w:vAlign w:val="center"/>
          </w:tcPr>
          <w:p w14:paraId="49CF4D6A">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p>
        </w:tc>
      </w:tr>
      <w:tr w14:paraId="1FAAB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trPr>
        <w:tc>
          <w:tcPr>
            <w:tcW w:w="1180" w:type="dxa"/>
            <w:noWrap w:val="0"/>
            <w:vAlign w:val="center"/>
          </w:tcPr>
          <w:p w14:paraId="018BA2A6">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6</w:t>
            </w:r>
          </w:p>
        </w:tc>
        <w:tc>
          <w:tcPr>
            <w:tcW w:w="1181" w:type="dxa"/>
            <w:vMerge w:val="continue"/>
            <w:noWrap w:val="0"/>
            <w:vAlign w:val="center"/>
          </w:tcPr>
          <w:p w14:paraId="02A69544">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p>
        </w:tc>
        <w:tc>
          <w:tcPr>
            <w:tcW w:w="4316" w:type="dxa"/>
            <w:noWrap w:val="0"/>
            <w:vAlign w:val="center"/>
          </w:tcPr>
          <w:p w14:paraId="72F9C939">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能见度仪器</w:t>
            </w:r>
          </w:p>
        </w:tc>
        <w:tc>
          <w:tcPr>
            <w:tcW w:w="1084" w:type="dxa"/>
            <w:noWrap w:val="0"/>
            <w:vAlign w:val="center"/>
          </w:tcPr>
          <w:p w14:paraId="50844B1B">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1套</w:t>
            </w:r>
          </w:p>
        </w:tc>
        <w:tc>
          <w:tcPr>
            <w:tcW w:w="2093" w:type="dxa"/>
            <w:vMerge w:val="continue"/>
            <w:noWrap w:val="0"/>
            <w:vAlign w:val="center"/>
          </w:tcPr>
          <w:p w14:paraId="25C14C7C">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p>
        </w:tc>
      </w:tr>
      <w:tr w14:paraId="68FB3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80" w:type="dxa"/>
            <w:noWrap w:val="0"/>
            <w:vAlign w:val="center"/>
          </w:tcPr>
          <w:p w14:paraId="7ED2EB9A">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7</w:t>
            </w:r>
          </w:p>
        </w:tc>
        <w:tc>
          <w:tcPr>
            <w:tcW w:w="1181" w:type="dxa"/>
            <w:vMerge w:val="continue"/>
            <w:noWrap w:val="0"/>
            <w:vAlign w:val="center"/>
          </w:tcPr>
          <w:p w14:paraId="3508C067">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p>
        </w:tc>
        <w:tc>
          <w:tcPr>
            <w:tcW w:w="4316" w:type="dxa"/>
            <w:noWrap w:val="0"/>
            <w:vAlign w:val="center"/>
          </w:tcPr>
          <w:p w14:paraId="20BD94F7">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城市摄影系统</w:t>
            </w:r>
          </w:p>
        </w:tc>
        <w:tc>
          <w:tcPr>
            <w:tcW w:w="1084" w:type="dxa"/>
            <w:noWrap w:val="0"/>
            <w:vAlign w:val="center"/>
          </w:tcPr>
          <w:p w14:paraId="65649187">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1套</w:t>
            </w:r>
          </w:p>
        </w:tc>
        <w:tc>
          <w:tcPr>
            <w:tcW w:w="2093" w:type="dxa"/>
            <w:vMerge w:val="continue"/>
            <w:noWrap w:val="0"/>
            <w:vAlign w:val="center"/>
          </w:tcPr>
          <w:p w14:paraId="426C2E00">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p>
        </w:tc>
      </w:tr>
      <w:tr w14:paraId="0EBC6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80" w:type="dxa"/>
            <w:noWrap w:val="0"/>
            <w:vAlign w:val="center"/>
          </w:tcPr>
          <w:p w14:paraId="40254F9C">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8</w:t>
            </w:r>
          </w:p>
        </w:tc>
        <w:tc>
          <w:tcPr>
            <w:tcW w:w="1181" w:type="dxa"/>
            <w:vMerge w:val="restart"/>
            <w:noWrap w:val="0"/>
            <w:vAlign w:val="center"/>
          </w:tcPr>
          <w:p w14:paraId="23F725A7">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气溶胶化学组成监测</w:t>
            </w:r>
          </w:p>
        </w:tc>
        <w:tc>
          <w:tcPr>
            <w:tcW w:w="4316" w:type="dxa"/>
            <w:noWrap w:val="0"/>
            <w:vAlign w:val="center"/>
          </w:tcPr>
          <w:p w14:paraId="53FD74BE">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OC/EC在线监测仪</w:t>
            </w:r>
          </w:p>
        </w:tc>
        <w:tc>
          <w:tcPr>
            <w:tcW w:w="1084" w:type="dxa"/>
            <w:noWrap w:val="0"/>
            <w:vAlign w:val="center"/>
          </w:tcPr>
          <w:p w14:paraId="4526EE9F">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1套</w:t>
            </w:r>
          </w:p>
        </w:tc>
        <w:tc>
          <w:tcPr>
            <w:tcW w:w="2093" w:type="dxa"/>
            <w:vMerge w:val="continue"/>
            <w:noWrap w:val="0"/>
            <w:vAlign w:val="center"/>
          </w:tcPr>
          <w:p w14:paraId="4D03EDB6">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p>
        </w:tc>
      </w:tr>
      <w:tr w14:paraId="1B27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80" w:type="dxa"/>
            <w:noWrap w:val="0"/>
            <w:vAlign w:val="center"/>
          </w:tcPr>
          <w:p w14:paraId="7952BB31">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9</w:t>
            </w:r>
          </w:p>
        </w:tc>
        <w:tc>
          <w:tcPr>
            <w:tcW w:w="1181" w:type="dxa"/>
            <w:vMerge w:val="continue"/>
            <w:noWrap w:val="0"/>
            <w:vAlign w:val="center"/>
          </w:tcPr>
          <w:p w14:paraId="0099711D">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p>
        </w:tc>
        <w:tc>
          <w:tcPr>
            <w:tcW w:w="4316" w:type="dxa"/>
            <w:noWrap w:val="0"/>
            <w:vAlign w:val="center"/>
          </w:tcPr>
          <w:p w14:paraId="1959C857">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重金属在线监测仪</w:t>
            </w:r>
          </w:p>
        </w:tc>
        <w:tc>
          <w:tcPr>
            <w:tcW w:w="1084" w:type="dxa"/>
            <w:noWrap w:val="0"/>
            <w:vAlign w:val="center"/>
          </w:tcPr>
          <w:p w14:paraId="715FBDB2">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1套</w:t>
            </w:r>
          </w:p>
        </w:tc>
        <w:tc>
          <w:tcPr>
            <w:tcW w:w="2093" w:type="dxa"/>
            <w:vMerge w:val="continue"/>
            <w:noWrap w:val="0"/>
            <w:vAlign w:val="center"/>
          </w:tcPr>
          <w:p w14:paraId="2B8E015F">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p>
        </w:tc>
      </w:tr>
      <w:tr w14:paraId="19109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80" w:type="dxa"/>
            <w:noWrap w:val="0"/>
            <w:vAlign w:val="center"/>
          </w:tcPr>
          <w:p w14:paraId="1F2E94BE">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10</w:t>
            </w:r>
          </w:p>
        </w:tc>
        <w:tc>
          <w:tcPr>
            <w:tcW w:w="1181" w:type="dxa"/>
            <w:vMerge w:val="continue"/>
            <w:noWrap w:val="0"/>
            <w:vAlign w:val="center"/>
          </w:tcPr>
          <w:p w14:paraId="779F37E0">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p>
        </w:tc>
        <w:tc>
          <w:tcPr>
            <w:tcW w:w="4316" w:type="dxa"/>
            <w:noWrap w:val="0"/>
            <w:vAlign w:val="center"/>
          </w:tcPr>
          <w:p w14:paraId="6AC15DD7">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可溶性阴阳离子浓度在线监测仪</w:t>
            </w:r>
          </w:p>
        </w:tc>
        <w:tc>
          <w:tcPr>
            <w:tcW w:w="1084" w:type="dxa"/>
            <w:noWrap w:val="0"/>
            <w:vAlign w:val="center"/>
          </w:tcPr>
          <w:p w14:paraId="7EA463A0">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1套</w:t>
            </w:r>
          </w:p>
        </w:tc>
        <w:tc>
          <w:tcPr>
            <w:tcW w:w="2093" w:type="dxa"/>
            <w:vMerge w:val="continue"/>
            <w:noWrap w:val="0"/>
            <w:vAlign w:val="center"/>
          </w:tcPr>
          <w:p w14:paraId="1015832A">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p>
        </w:tc>
      </w:tr>
      <w:tr w14:paraId="536E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80" w:type="dxa"/>
            <w:noWrap w:val="0"/>
            <w:vAlign w:val="center"/>
          </w:tcPr>
          <w:p w14:paraId="343301E0">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11</w:t>
            </w:r>
          </w:p>
        </w:tc>
        <w:tc>
          <w:tcPr>
            <w:tcW w:w="1181" w:type="dxa"/>
            <w:vMerge w:val="continue"/>
            <w:noWrap w:val="0"/>
            <w:vAlign w:val="center"/>
          </w:tcPr>
          <w:p w14:paraId="4E2233E5">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p>
        </w:tc>
        <w:tc>
          <w:tcPr>
            <w:tcW w:w="4316" w:type="dxa"/>
            <w:noWrap w:val="0"/>
            <w:vAlign w:val="center"/>
          </w:tcPr>
          <w:p w14:paraId="54BFCDD2">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颗粒物通量激光雷达</w:t>
            </w:r>
          </w:p>
        </w:tc>
        <w:tc>
          <w:tcPr>
            <w:tcW w:w="1084" w:type="dxa"/>
            <w:noWrap w:val="0"/>
            <w:vAlign w:val="center"/>
          </w:tcPr>
          <w:p w14:paraId="7F082BEB">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1套</w:t>
            </w:r>
          </w:p>
        </w:tc>
        <w:tc>
          <w:tcPr>
            <w:tcW w:w="2093" w:type="dxa"/>
            <w:vMerge w:val="continue"/>
            <w:noWrap w:val="0"/>
            <w:vAlign w:val="center"/>
          </w:tcPr>
          <w:p w14:paraId="4FD7A607">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p>
        </w:tc>
      </w:tr>
      <w:tr w14:paraId="2EA85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80" w:type="dxa"/>
            <w:noWrap w:val="0"/>
            <w:vAlign w:val="center"/>
          </w:tcPr>
          <w:p w14:paraId="6C26E911">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12</w:t>
            </w:r>
          </w:p>
        </w:tc>
        <w:tc>
          <w:tcPr>
            <w:tcW w:w="1181" w:type="dxa"/>
            <w:vMerge w:val="continue"/>
            <w:noWrap w:val="0"/>
            <w:vAlign w:val="center"/>
          </w:tcPr>
          <w:p w14:paraId="3A3BFBB7">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p>
        </w:tc>
        <w:tc>
          <w:tcPr>
            <w:tcW w:w="4316" w:type="dxa"/>
            <w:noWrap w:val="0"/>
            <w:vAlign w:val="center"/>
          </w:tcPr>
          <w:p w14:paraId="609A9E1E">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粒径谱仪</w:t>
            </w:r>
          </w:p>
        </w:tc>
        <w:tc>
          <w:tcPr>
            <w:tcW w:w="1084" w:type="dxa"/>
            <w:noWrap w:val="0"/>
            <w:vAlign w:val="center"/>
          </w:tcPr>
          <w:p w14:paraId="0D351E88">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1套</w:t>
            </w:r>
          </w:p>
        </w:tc>
        <w:tc>
          <w:tcPr>
            <w:tcW w:w="2093" w:type="dxa"/>
            <w:vMerge w:val="continue"/>
            <w:noWrap w:val="0"/>
            <w:vAlign w:val="center"/>
          </w:tcPr>
          <w:p w14:paraId="148111B7">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p>
        </w:tc>
      </w:tr>
      <w:tr w14:paraId="72080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80" w:type="dxa"/>
            <w:noWrap w:val="0"/>
            <w:vAlign w:val="center"/>
          </w:tcPr>
          <w:p w14:paraId="0DC570DF">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13</w:t>
            </w:r>
          </w:p>
        </w:tc>
        <w:tc>
          <w:tcPr>
            <w:tcW w:w="1181" w:type="dxa"/>
            <w:vMerge w:val="restart"/>
            <w:noWrap w:val="0"/>
            <w:vAlign w:val="center"/>
          </w:tcPr>
          <w:p w14:paraId="2845FE8A">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光化学污染监测</w:t>
            </w:r>
          </w:p>
        </w:tc>
        <w:tc>
          <w:tcPr>
            <w:tcW w:w="4316" w:type="dxa"/>
            <w:noWrap w:val="0"/>
            <w:vAlign w:val="center"/>
          </w:tcPr>
          <w:p w14:paraId="63EF09C7">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VOCs在线监测仪</w:t>
            </w:r>
          </w:p>
        </w:tc>
        <w:tc>
          <w:tcPr>
            <w:tcW w:w="1084" w:type="dxa"/>
            <w:noWrap w:val="0"/>
            <w:vAlign w:val="center"/>
          </w:tcPr>
          <w:p w14:paraId="5523F63A">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1套</w:t>
            </w:r>
          </w:p>
        </w:tc>
        <w:tc>
          <w:tcPr>
            <w:tcW w:w="2093" w:type="dxa"/>
            <w:vMerge w:val="continue"/>
            <w:noWrap w:val="0"/>
            <w:vAlign w:val="center"/>
          </w:tcPr>
          <w:p w14:paraId="272E13E7">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p>
        </w:tc>
      </w:tr>
      <w:tr w14:paraId="4E9B6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80" w:type="dxa"/>
            <w:noWrap w:val="0"/>
            <w:vAlign w:val="center"/>
          </w:tcPr>
          <w:p w14:paraId="4C4F6B9D">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14</w:t>
            </w:r>
          </w:p>
        </w:tc>
        <w:tc>
          <w:tcPr>
            <w:tcW w:w="1181" w:type="dxa"/>
            <w:vMerge w:val="continue"/>
            <w:noWrap w:val="0"/>
            <w:vAlign w:val="center"/>
          </w:tcPr>
          <w:p w14:paraId="3A32E444">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p>
        </w:tc>
        <w:tc>
          <w:tcPr>
            <w:tcW w:w="4316" w:type="dxa"/>
            <w:noWrap w:val="0"/>
            <w:vAlign w:val="center"/>
          </w:tcPr>
          <w:p w14:paraId="74DEFDE9">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CH</w:t>
            </w:r>
            <w:r>
              <w:rPr>
                <w:rFonts w:hint="default" w:ascii="Times New Roman" w:hAnsi="Times New Roman" w:cs="Times New Roman"/>
                <w:color w:val="auto"/>
                <w:kern w:val="0"/>
                <w:sz w:val="18"/>
                <w:highlight w:val="none"/>
                <w:vertAlign w:val="subscript"/>
              </w:rPr>
              <w:t>4</w:t>
            </w:r>
            <w:r>
              <w:rPr>
                <w:rFonts w:hint="default" w:ascii="Times New Roman" w:hAnsi="Times New Roman" w:cs="Times New Roman"/>
                <w:color w:val="auto"/>
                <w:kern w:val="0"/>
                <w:sz w:val="18"/>
                <w:highlight w:val="none"/>
              </w:rPr>
              <w:t>/NMHC在线监测仪</w:t>
            </w:r>
          </w:p>
        </w:tc>
        <w:tc>
          <w:tcPr>
            <w:tcW w:w="1084" w:type="dxa"/>
            <w:noWrap w:val="0"/>
            <w:vAlign w:val="center"/>
          </w:tcPr>
          <w:p w14:paraId="0D4811CC">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1套</w:t>
            </w:r>
          </w:p>
        </w:tc>
        <w:tc>
          <w:tcPr>
            <w:tcW w:w="2093" w:type="dxa"/>
            <w:vMerge w:val="continue"/>
            <w:noWrap w:val="0"/>
            <w:vAlign w:val="center"/>
          </w:tcPr>
          <w:p w14:paraId="2B67BD62">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p>
        </w:tc>
      </w:tr>
      <w:tr w14:paraId="41BA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80" w:type="dxa"/>
            <w:noWrap w:val="0"/>
            <w:vAlign w:val="center"/>
          </w:tcPr>
          <w:p w14:paraId="5B0B1636">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15</w:t>
            </w:r>
          </w:p>
        </w:tc>
        <w:tc>
          <w:tcPr>
            <w:tcW w:w="1181" w:type="dxa"/>
            <w:vMerge w:val="continue"/>
            <w:noWrap w:val="0"/>
            <w:vAlign w:val="center"/>
          </w:tcPr>
          <w:p w14:paraId="6DEE7C00">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p>
        </w:tc>
        <w:tc>
          <w:tcPr>
            <w:tcW w:w="4316" w:type="dxa"/>
            <w:noWrap w:val="0"/>
            <w:vAlign w:val="center"/>
          </w:tcPr>
          <w:p w14:paraId="1FA2ADDE">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PANs（过氧酰基硝酸酯类）在线监测仪</w:t>
            </w:r>
          </w:p>
        </w:tc>
        <w:tc>
          <w:tcPr>
            <w:tcW w:w="1084" w:type="dxa"/>
            <w:noWrap w:val="0"/>
            <w:vAlign w:val="center"/>
          </w:tcPr>
          <w:p w14:paraId="34E3EEB1">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1套</w:t>
            </w:r>
          </w:p>
        </w:tc>
        <w:tc>
          <w:tcPr>
            <w:tcW w:w="2093" w:type="dxa"/>
            <w:vMerge w:val="continue"/>
            <w:noWrap w:val="0"/>
            <w:vAlign w:val="center"/>
          </w:tcPr>
          <w:p w14:paraId="450A4A03">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p>
        </w:tc>
      </w:tr>
      <w:tr w14:paraId="5897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80" w:type="dxa"/>
            <w:noWrap w:val="0"/>
            <w:vAlign w:val="center"/>
          </w:tcPr>
          <w:p w14:paraId="7110A14F">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16</w:t>
            </w:r>
          </w:p>
        </w:tc>
        <w:tc>
          <w:tcPr>
            <w:tcW w:w="1181" w:type="dxa"/>
            <w:vMerge w:val="continue"/>
            <w:noWrap w:val="0"/>
            <w:vAlign w:val="center"/>
          </w:tcPr>
          <w:p w14:paraId="6E27EB16">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p>
        </w:tc>
        <w:tc>
          <w:tcPr>
            <w:tcW w:w="4316" w:type="dxa"/>
            <w:noWrap w:val="0"/>
            <w:vAlign w:val="center"/>
          </w:tcPr>
          <w:p w14:paraId="28ACE8CD">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NOy(总氮氧化物）监测仪</w:t>
            </w:r>
          </w:p>
        </w:tc>
        <w:tc>
          <w:tcPr>
            <w:tcW w:w="1084" w:type="dxa"/>
            <w:noWrap w:val="0"/>
            <w:vAlign w:val="center"/>
          </w:tcPr>
          <w:p w14:paraId="67DA7C11">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1套</w:t>
            </w:r>
          </w:p>
        </w:tc>
        <w:tc>
          <w:tcPr>
            <w:tcW w:w="2093" w:type="dxa"/>
            <w:vMerge w:val="continue"/>
            <w:noWrap w:val="0"/>
            <w:vAlign w:val="center"/>
          </w:tcPr>
          <w:p w14:paraId="72AE15E9">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p>
        </w:tc>
      </w:tr>
      <w:tr w14:paraId="2A6BD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80" w:type="dxa"/>
            <w:noWrap w:val="0"/>
            <w:vAlign w:val="center"/>
          </w:tcPr>
          <w:p w14:paraId="4440BD80">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17</w:t>
            </w:r>
          </w:p>
        </w:tc>
        <w:tc>
          <w:tcPr>
            <w:tcW w:w="1181" w:type="dxa"/>
            <w:vMerge w:val="continue"/>
            <w:noWrap w:val="0"/>
            <w:vAlign w:val="center"/>
          </w:tcPr>
          <w:p w14:paraId="287157BF">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p>
        </w:tc>
        <w:tc>
          <w:tcPr>
            <w:tcW w:w="4316" w:type="dxa"/>
            <w:noWrap w:val="0"/>
            <w:vAlign w:val="center"/>
          </w:tcPr>
          <w:p w14:paraId="6C1C87BF">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HONO（气态亚硝酸）分析仪</w:t>
            </w:r>
          </w:p>
        </w:tc>
        <w:tc>
          <w:tcPr>
            <w:tcW w:w="1084" w:type="dxa"/>
            <w:noWrap w:val="0"/>
            <w:vAlign w:val="center"/>
          </w:tcPr>
          <w:p w14:paraId="6094A1F3">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1套</w:t>
            </w:r>
          </w:p>
        </w:tc>
        <w:tc>
          <w:tcPr>
            <w:tcW w:w="2093" w:type="dxa"/>
            <w:vMerge w:val="continue"/>
            <w:noWrap w:val="0"/>
            <w:vAlign w:val="center"/>
          </w:tcPr>
          <w:p w14:paraId="7AFD7931">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p>
        </w:tc>
      </w:tr>
      <w:tr w14:paraId="1903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80" w:type="dxa"/>
            <w:noWrap w:val="0"/>
            <w:vAlign w:val="center"/>
          </w:tcPr>
          <w:p w14:paraId="7DD177E0">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18</w:t>
            </w:r>
          </w:p>
        </w:tc>
        <w:tc>
          <w:tcPr>
            <w:tcW w:w="1181" w:type="dxa"/>
            <w:vMerge w:val="continue"/>
            <w:noWrap w:val="0"/>
            <w:vAlign w:val="center"/>
          </w:tcPr>
          <w:p w14:paraId="510AAF59">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p>
        </w:tc>
        <w:tc>
          <w:tcPr>
            <w:tcW w:w="4316" w:type="dxa"/>
            <w:noWrap w:val="0"/>
            <w:vAlign w:val="center"/>
          </w:tcPr>
          <w:p w14:paraId="26D9F899">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太阳总辐射/紫外辐射UV-A/UV-B监测仪</w:t>
            </w:r>
          </w:p>
        </w:tc>
        <w:tc>
          <w:tcPr>
            <w:tcW w:w="1084" w:type="dxa"/>
            <w:noWrap w:val="0"/>
            <w:vAlign w:val="center"/>
          </w:tcPr>
          <w:p w14:paraId="011D5880">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1套</w:t>
            </w:r>
          </w:p>
        </w:tc>
        <w:tc>
          <w:tcPr>
            <w:tcW w:w="2093" w:type="dxa"/>
            <w:vMerge w:val="continue"/>
            <w:noWrap w:val="0"/>
            <w:vAlign w:val="center"/>
          </w:tcPr>
          <w:p w14:paraId="5228F2B6">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p>
        </w:tc>
      </w:tr>
      <w:tr w14:paraId="22DB0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80" w:type="dxa"/>
            <w:noWrap w:val="0"/>
            <w:vAlign w:val="center"/>
          </w:tcPr>
          <w:p w14:paraId="2EFD0D08">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19</w:t>
            </w:r>
          </w:p>
        </w:tc>
        <w:tc>
          <w:tcPr>
            <w:tcW w:w="1181" w:type="dxa"/>
            <w:vMerge w:val="continue"/>
            <w:noWrap w:val="0"/>
            <w:vAlign w:val="center"/>
          </w:tcPr>
          <w:p w14:paraId="598D99CD">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p>
        </w:tc>
        <w:tc>
          <w:tcPr>
            <w:tcW w:w="4316" w:type="dxa"/>
            <w:noWrap w:val="0"/>
            <w:vAlign w:val="center"/>
          </w:tcPr>
          <w:p w14:paraId="409344F0">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光解速率分析仪</w:t>
            </w:r>
          </w:p>
        </w:tc>
        <w:tc>
          <w:tcPr>
            <w:tcW w:w="1084" w:type="dxa"/>
            <w:noWrap w:val="0"/>
            <w:vAlign w:val="center"/>
          </w:tcPr>
          <w:p w14:paraId="49FE94BA">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1套</w:t>
            </w:r>
          </w:p>
        </w:tc>
        <w:tc>
          <w:tcPr>
            <w:tcW w:w="2093" w:type="dxa"/>
            <w:vMerge w:val="continue"/>
            <w:noWrap w:val="0"/>
            <w:vAlign w:val="center"/>
          </w:tcPr>
          <w:p w14:paraId="03E3383A">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p>
        </w:tc>
      </w:tr>
      <w:tr w14:paraId="0BE9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80" w:type="dxa"/>
            <w:noWrap w:val="0"/>
            <w:vAlign w:val="center"/>
          </w:tcPr>
          <w:p w14:paraId="231DB6C5">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20</w:t>
            </w:r>
          </w:p>
        </w:tc>
        <w:tc>
          <w:tcPr>
            <w:tcW w:w="1181" w:type="dxa"/>
            <w:vMerge w:val="restart"/>
            <w:noWrap w:val="0"/>
            <w:vAlign w:val="center"/>
          </w:tcPr>
          <w:p w14:paraId="186EB843">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温室气体监测</w:t>
            </w:r>
          </w:p>
        </w:tc>
        <w:tc>
          <w:tcPr>
            <w:tcW w:w="4316" w:type="dxa"/>
            <w:noWrap w:val="0"/>
            <w:vAlign w:val="center"/>
          </w:tcPr>
          <w:p w14:paraId="0D6243C1">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高精度CO</w:t>
            </w:r>
            <w:r>
              <w:rPr>
                <w:rFonts w:hint="default" w:ascii="Times New Roman" w:hAnsi="Times New Roman" w:cs="Times New Roman"/>
                <w:color w:val="auto"/>
                <w:kern w:val="0"/>
                <w:sz w:val="18"/>
                <w:highlight w:val="none"/>
                <w:vertAlign w:val="subscript"/>
              </w:rPr>
              <w:t>2</w:t>
            </w:r>
            <w:r>
              <w:rPr>
                <w:rFonts w:hint="default" w:ascii="Times New Roman" w:hAnsi="Times New Roman" w:cs="Times New Roman"/>
                <w:color w:val="auto"/>
                <w:kern w:val="0"/>
                <w:sz w:val="18"/>
                <w:highlight w:val="none"/>
              </w:rPr>
              <w:t>、CH</w:t>
            </w:r>
            <w:r>
              <w:rPr>
                <w:rFonts w:hint="default" w:ascii="Times New Roman" w:hAnsi="Times New Roman" w:cs="Times New Roman"/>
                <w:color w:val="auto"/>
                <w:kern w:val="0"/>
                <w:sz w:val="18"/>
                <w:highlight w:val="none"/>
                <w:vertAlign w:val="subscript"/>
              </w:rPr>
              <w:t>4</w:t>
            </w:r>
            <w:r>
              <w:rPr>
                <w:rFonts w:hint="default" w:ascii="Times New Roman" w:hAnsi="Times New Roman" w:cs="Times New Roman"/>
                <w:color w:val="auto"/>
                <w:kern w:val="0"/>
                <w:sz w:val="18"/>
                <w:highlight w:val="none"/>
              </w:rPr>
              <w:t>分析仪</w:t>
            </w:r>
          </w:p>
        </w:tc>
        <w:tc>
          <w:tcPr>
            <w:tcW w:w="1084" w:type="dxa"/>
            <w:noWrap w:val="0"/>
            <w:vAlign w:val="center"/>
          </w:tcPr>
          <w:p w14:paraId="32D840AF">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1套</w:t>
            </w:r>
          </w:p>
        </w:tc>
        <w:tc>
          <w:tcPr>
            <w:tcW w:w="2093" w:type="dxa"/>
            <w:vMerge w:val="continue"/>
            <w:noWrap w:val="0"/>
            <w:vAlign w:val="center"/>
          </w:tcPr>
          <w:p w14:paraId="78434BC6">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p>
        </w:tc>
      </w:tr>
      <w:tr w14:paraId="1F37F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80" w:type="dxa"/>
            <w:noWrap w:val="0"/>
            <w:vAlign w:val="center"/>
          </w:tcPr>
          <w:p w14:paraId="4E63B320">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21</w:t>
            </w:r>
          </w:p>
        </w:tc>
        <w:tc>
          <w:tcPr>
            <w:tcW w:w="1181" w:type="dxa"/>
            <w:vMerge w:val="continue"/>
            <w:noWrap w:val="0"/>
            <w:vAlign w:val="center"/>
          </w:tcPr>
          <w:p w14:paraId="20F233F0">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p>
        </w:tc>
        <w:tc>
          <w:tcPr>
            <w:tcW w:w="4316" w:type="dxa"/>
            <w:noWrap w:val="0"/>
            <w:vAlign w:val="center"/>
          </w:tcPr>
          <w:p w14:paraId="4BE7543E">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高精度CO、N</w:t>
            </w:r>
            <w:r>
              <w:rPr>
                <w:rFonts w:hint="default" w:ascii="Times New Roman" w:hAnsi="Times New Roman" w:cs="Times New Roman"/>
                <w:color w:val="auto"/>
                <w:kern w:val="0"/>
                <w:sz w:val="18"/>
                <w:highlight w:val="none"/>
                <w:vertAlign w:val="subscript"/>
              </w:rPr>
              <w:t>2</w:t>
            </w:r>
            <w:r>
              <w:rPr>
                <w:rFonts w:hint="default" w:ascii="Times New Roman" w:hAnsi="Times New Roman" w:cs="Times New Roman"/>
                <w:color w:val="auto"/>
                <w:kern w:val="0"/>
                <w:sz w:val="18"/>
                <w:highlight w:val="none"/>
              </w:rPr>
              <w:t>O分析仪</w:t>
            </w:r>
          </w:p>
        </w:tc>
        <w:tc>
          <w:tcPr>
            <w:tcW w:w="1084" w:type="dxa"/>
            <w:noWrap w:val="0"/>
            <w:vAlign w:val="center"/>
          </w:tcPr>
          <w:p w14:paraId="1E4F8D6A">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1套</w:t>
            </w:r>
          </w:p>
        </w:tc>
        <w:tc>
          <w:tcPr>
            <w:tcW w:w="2093" w:type="dxa"/>
            <w:vMerge w:val="continue"/>
            <w:noWrap w:val="0"/>
            <w:vAlign w:val="center"/>
          </w:tcPr>
          <w:p w14:paraId="6925BF02">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p>
        </w:tc>
      </w:tr>
      <w:tr w14:paraId="32E8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80" w:type="dxa"/>
            <w:noWrap w:val="0"/>
            <w:vAlign w:val="center"/>
          </w:tcPr>
          <w:p w14:paraId="52145286">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22</w:t>
            </w:r>
          </w:p>
        </w:tc>
        <w:tc>
          <w:tcPr>
            <w:tcW w:w="1181" w:type="dxa"/>
            <w:vMerge w:val="restart"/>
            <w:noWrap w:val="0"/>
            <w:vAlign w:val="center"/>
          </w:tcPr>
          <w:p w14:paraId="7580DEAB">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气象参数监测</w:t>
            </w:r>
          </w:p>
        </w:tc>
        <w:tc>
          <w:tcPr>
            <w:tcW w:w="4316" w:type="dxa"/>
            <w:noWrap w:val="0"/>
            <w:vAlign w:val="center"/>
          </w:tcPr>
          <w:p w14:paraId="4B76A568">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高精度气象参数（风向、风速、温度、湿度、气压、降水量）</w:t>
            </w:r>
          </w:p>
        </w:tc>
        <w:tc>
          <w:tcPr>
            <w:tcW w:w="1084" w:type="dxa"/>
            <w:noWrap w:val="0"/>
            <w:vAlign w:val="center"/>
          </w:tcPr>
          <w:p w14:paraId="0DA8F035">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1套</w:t>
            </w:r>
          </w:p>
        </w:tc>
        <w:tc>
          <w:tcPr>
            <w:tcW w:w="2093" w:type="dxa"/>
            <w:vMerge w:val="continue"/>
            <w:noWrap w:val="0"/>
            <w:vAlign w:val="center"/>
          </w:tcPr>
          <w:p w14:paraId="23899FBA">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p>
        </w:tc>
      </w:tr>
      <w:tr w14:paraId="0E1C5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80" w:type="dxa"/>
            <w:noWrap w:val="0"/>
            <w:vAlign w:val="center"/>
          </w:tcPr>
          <w:p w14:paraId="057F3E76">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23</w:t>
            </w:r>
          </w:p>
        </w:tc>
        <w:tc>
          <w:tcPr>
            <w:tcW w:w="1181" w:type="dxa"/>
            <w:vMerge w:val="continue"/>
            <w:noWrap w:val="0"/>
            <w:vAlign w:val="center"/>
          </w:tcPr>
          <w:p w14:paraId="13B0C6B3">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p>
        </w:tc>
        <w:tc>
          <w:tcPr>
            <w:tcW w:w="4316" w:type="dxa"/>
            <w:noWrap w:val="0"/>
            <w:vAlign w:val="center"/>
          </w:tcPr>
          <w:p w14:paraId="5F1629A8">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微波辐射计</w:t>
            </w:r>
          </w:p>
        </w:tc>
        <w:tc>
          <w:tcPr>
            <w:tcW w:w="1084" w:type="dxa"/>
            <w:noWrap w:val="0"/>
            <w:vAlign w:val="center"/>
          </w:tcPr>
          <w:p w14:paraId="294965C8">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1套</w:t>
            </w:r>
          </w:p>
        </w:tc>
        <w:tc>
          <w:tcPr>
            <w:tcW w:w="2093" w:type="dxa"/>
            <w:vMerge w:val="continue"/>
            <w:noWrap w:val="0"/>
            <w:vAlign w:val="center"/>
          </w:tcPr>
          <w:p w14:paraId="73123C7F">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p>
        </w:tc>
      </w:tr>
      <w:tr w14:paraId="2BD3D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854" w:type="dxa"/>
            <w:gridSpan w:val="5"/>
            <w:noWrap/>
            <w:vAlign w:val="center"/>
          </w:tcPr>
          <w:p w14:paraId="39A41E3C">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18"/>
                <w:highlight w:val="none"/>
              </w:rPr>
              <w:t>备注：3人（研究生学历及以上）数据</w:t>
            </w:r>
            <w:r>
              <w:rPr>
                <w:rFonts w:hint="default" w:ascii="Times New Roman" w:hAnsi="Times New Roman" w:cs="Times New Roman"/>
                <w:color w:val="auto"/>
                <w:kern w:val="0"/>
                <w:sz w:val="18"/>
                <w:highlight w:val="none"/>
              </w:rPr>
              <w:t>分析，</w:t>
            </w:r>
            <w:r>
              <w:rPr>
                <w:rFonts w:hint="default" w:ascii="Times New Roman" w:hAnsi="Times New Roman" w:cs="Times New Roman"/>
                <w:color w:val="auto"/>
                <w:kern w:val="0"/>
                <w:sz w:val="18"/>
                <w:highlight w:val="none"/>
                <w:lang w:val="en-US" w:eastAsia="zh-CN"/>
              </w:rPr>
              <w:t>3</w:t>
            </w:r>
            <w:r>
              <w:rPr>
                <w:rFonts w:hint="default" w:ascii="Times New Roman" w:hAnsi="Times New Roman" w:cs="Times New Roman"/>
                <w:color w:val="auto"/>
                <w:kern w:val="0"/>
                <w:sz w:val="18"/>
                <w:highlight w:val="none"/>
              </w:rPr>
              <w:t>人（2年以上运</w:t>
            </w:r>
            <w:r>
              <w:rPr>
                <w:rFonts w:hint="default" w:ascii="Times New Roman" w:hAnsi="Times New Roman" w:cs="Times New Roman"/>
                <w:color w:val="auto"/>
                <w:kern w:val="0"/>
                <w:sz w:val="18"/>
                <w:highlight w:val="none"/>
              </w:rPr>
              <w:t>维经验）驻点运维</w:t>
            </w:r>
          </w:p>
        </w:tc>
      </w:tr>
    </w:tbl>
    <w:p w14:paraId="74C63BF5">
      <w:pPr>
        <w:spacing w:line="44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运维单位应遵守《环境空气质量标准》（GB3095-2012）、《关于国家环境空气质量监测网城市站运行管理有关事项的通知》（总站气字[2017]94号）等相关国家环境标准及环保部、中国环境监测总站关于自动站运行管理的各项规定，如运维期间出台新的管理规定，则运维工作要求随之执行最新规定。</w:t>
      </w:r>
    </w:p>
    <w:p w14:paraId="3B6CB75E">
      <w:pPr>
        <w:pStyle w:val="3"/>
        <w:spacing w:before="0" w:after="0" w:line="300" w:lineRule="exact"/>
        <w:ind w:left="-101" w:firstLine="482"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1、待运维仪器设备清单与监测项目</w:t>
      </w:r>
    </w:p>
    <w:p w14:paraId="3299F952">
      <w:pPr>
        <w:pStyle w:val="18"/>
        <w:adjustRightInd w:val="0"/>
        <w:snapToGrid w:val="0"/>
        <w:spacing w:line="400" w:lineRule="exact"/>
        <w:ind w:left="0" w:leftChars="0" w:firstLine="480" w:firstLineChars="20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 xml:space="preserve">表1  </w:t>
      </w:r>
      <w:r>
        <w:rPr>
          <w:rFonts w:hint="eastAsia" w:ascii="Times New Roman" w:hAnsi="Times New Roman" w:cs="Times New Roman"/>
          <w:b/>
          <w:bCs/>
          <w:color w:val="auto"/>
          <w:szCs w:val="21"/>
          <w:highlight w:val="none"/>
          <w:lang w:eastAsia="zh-CN"/>
        </w:rPr>
        <w:t>大气组分站</w:t>
      </w:r>
      <w:r>
        <w:rPr>
          <w:rFonts w:hint="default" w:ascii="Times New Roman" w:hAnsi="Times New Roman" w:cs="Times New Roman"/>
          <w:b/>
          <w:bCs/>
          <w:color w:val="auto"/>
          <w:szCs w:val="21"/>
          <w:highlight w:val="none"/>
        </w:rPr>
        <w:t>主要特征因子仪器配置</w:t>
      </w:r>
    </w:p>
    <w:tbl>
      <w:tblPr>
        <w:tblStyle w:val="38"/>
        <w:tblW w:w="0" w:type="auto"/>
        <w:tblInd w:w="0" w:type="dxa"/>
        <w:tblLayout w:type="fixed"/>
        <w:tblCellMar>
          <w:top w:w="0" w:type="dxa"/>
          <w:left w:w="108" w:type="dxa"/>
          <w:bottom w:w="0" w:type="dxa"/>
          <w:right w:w="108" w:type="dxa"/>
        </w:tblCellMar>
      </w:tblPr>
      <w:tblGrid>
        <w:gridCol w:w="965"/>
        <w:gridCol w:w="1482"/>
        <w:gridCol w:w="5089"/>
        <w:gridCol w:w="828"/>
        <w:gridCol w:w="1490"/>
      </w:tblGrid>
      <w:tr w14:paraId="242E384E">
        <w:tblPrEx>
          <w:tblCellMar>
            <w:top w:w="0" w:type="dxa"/>
            <w:left w:w="108" w:type="dxa"/>
            <w:bottom w:w="0" w:type="dxa"/>
            <w:right w:w="108" w:type="dxa"/>
          </w:tblCellMar>
        </w:tblPrEx>
        <w:trPr>
          <w:trHeight w:val="312" w:hRule="atLeast"/>
        </w:trPr>
        <w:tc>
          <w:tcPr>
            <w:tcW w:w="965" w:type="dxa"/>
            <w:tcBorders>
              <w:top w:val="single" w:color="auto" w:sz="8" w:space="0"/>
              <w:left w:val="single" w:color="auto" w:sz="8" w:space="0"/>
              <w:bottom w:val="single" w:color="auto" w:sz="8" w:space="0"/>
              <w:right w:val="single" w:color="auto" w:sz="8" w:space="0"/>
            </w:tcBorders>
            <w:noWrap w:val="0"/>
            <w:vAlign w:val="center"/>
          </w:tcPr>
          <w:p w14:paraId="28FB8758">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auto"/>
                <w:szCs w:val="21"/>
                <w:highlight w:val="none"/>
              </w:rPr>
            </w:pPr>
            <w:r>
              <w:rPr>
                <w:rFonts w:hint="default" w:ascii="Times New Roman" w:hAnsi="Times New Roman" w:cs="Times New Roman"/>
                <w:color w:val="auto"/>
                <w:szCs w:val="21"/>
                <w:highlight w:val="none"/>
              </w:rPr>
              <w:t>序号</w:t>
            </w:r>
          </w:p>
        </w:tc>
        <w:tc>
          <w:tcPr>
            <w:tcW w:w="6571" w:type="dxa"/>
            <w:gridSpan w:val="2"/>
            <w:tcBorders>
              <w:top w:val="single" w:color="auto" w:sz="8" w:space="0"/>
              <w:left w:val="single" w:color="auto" w:sz="8" w:space="0"/>
              <w:bottom w:val="single" w:color="auto" w:sz="8" w:space="0"/>
              <w:right w:val="single" w:color="auto" w:sz="4" w:space="0"/>
            </w:tcBorders>
            <w:noWrap w:val="0"/>
            <w:vAlign w:val="center"/>
          </w:tcPr>
          <w:p w14:paraId="598BEABC">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auto"/>
                <w:szCs w:val="21"/>
                <w:highlight w:val="none"/>
              </w:rPr>
            </w:pPr>
            <w:r>
              <w:rPr>
                <w:rFonts w:hint="default" w:ascii="Times New Roman" w:hAnsi="Times New Roman" w:cs="Times New Roman"/>
                <w:color w:val="auto"/>
                <w:szCs w:val="21"/>
                <w:highlight w:val="none"/>
              </w:rPr>
              <w:t>仪器设备</w:t>
            </w:r>
          </w:p>
        </w:tc>
        <w:tc>
          <w:tcPr>
            <w:tcW w:w="828" w:type="dxa"/>
            <w:tcBorders>
              <w:top w:val="single" w:color="auto" w:sz="8" w:space="0"/>
              <w:left w:val="single" w:color="auto" w:sz="4" w:space="0"/>
              <w:bottom w:val="single" w:color="auto" w:sz="8" w:space="0"/>
              <w:right w:val="single" w:color="auto" w:sz="4" w:space="0"/>
            </w:tcBorders>
            <w:noWrap w:val="0"/>
            <w:vAlign w:val="center"/>
          </w:tcPr>
          <w:p w14:paraId="791561E0">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数量</w:t>
            </w:r>
          </w:p>
        </w:tc>
        <w:tc>
          <w:tcPr>
            <w:tcW w:w="1490" w:type="dxa"/>
            <w:tcBorders>
              <w:top w:val="single" w:color="auto" w:sz="8" w:space="0"/>
              <w:left w:val="single" w:color="auto" w:sz="4" w:space="0"/>
              <w:bottom w:val="single" w:color="auto" w:sz="8" w:space="0"/>
              <w:right w:val="single" w:color="auto" w:sz="8" w:space="0"/>
            </w:tcBorders>
            <w:noWrap w:val="0"/>
            <w:vAlign w:val="center"/>
          </w:tcPr>
          <w:p w14:paraId="2BD75634">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购置年限</w:t>
            </w:r>
          </w:p>
        </w:tc>
      </w:tr>
      <w:tr w14:paraId="2FFD0A8C">
        <w:tblPrEx>
          <w:tblCellMar>
            <w:top w:w="0" w:type="dxa"/>
            <w:left w:w="108" w:type="dxa"/>
            <w:bottom w:w="0" w:type="dxa"/>
            <w:right w:w="108" w:type="dxa"/>
          </w:tblCellMar>
        </w:tblPrEx>
        <w:trPr>
          <w:trHeight w:val="390" w:hRule="atLeast"/>
        </w:trPr>
        <w:tc>
          <w:tcPr>
            <w:tcW w:w="965" w:type="dxa"/>
            <w:tcBorders>
              <w:top w:val="nil"/>
              <w:left w:val="single" w:color="auto" w:sz="8" w:space="0"/>
              <w:bottom w:val="single" w:color="auto" w:sz="8" w:space="0"/>
              <w:right w:val="single" w:color="auto" w:sz="8" w:space="0"/>
            </w:tcBorders>
            <w:noWrap w:val="0"/>
            <w:vAlign w:val="center"/>
          </w:tcPr>
          <w:p w14:paraId="34AF2413">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1482" w:type="dxa"/>
            <w:vMerge w:val="restart"/>
            <w:tcBorders>
              <w:top w:val="nil"/>
              <w:left w:val="single" w:color="auto" w:sz="8" w:space="0"/>
              <w:bottom w:val="single" w:color="auto" w:sz="8" w:space="0"/>
              <w:right w:val="single" w:color="auto" w:sz="8" w:space="0"/>
            </w:tcBorders>
            <w:noWrap w:val="0"/>
            <w:vAlign w:val="center"/>
          </w:tcPr>
          <w:p w14:paraId="51350AE1">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常规参数监测</w:t>
            </w:r>
          </w:p>
        </w:tc>
        <w:tc>
          <w:tcPr>
            <w:tcW w:w="5089" w:type="dxa"/>
            <w:tcBorders>
              <w:top w:val="nil"/>
              <w:left w:val="nil"/>
              <w:bottom w:val="single" w:color="auto" w:sz="8" w:space="0"/>
              <w:right w:val="single" w:color="auto" w:sz="4" w:space="0"/>
            </w:tcBorders>
            <w:noWrap w:val="0"/>
            <w:vAlign w:val="center"/>
          </w:tcPr>
          <w:p w14:paraId="173668BC">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SO</w:t>
            </w:r>
            <w:r>
              <w:rPr>
                <w:rFonts w:hint="default" w:ascii="Times New Roman" w:hAnsi="Times New Roman" w:cs="Times New Roman"/>
                <w:color w:val="auto"/>
                <w:szCs w:val="21"/>
                <w:highlight w:val="none"/>
                <w:vertAlign w:val="subscript"/>
              </w:rPr>
              <w:t>2</w:t>
            </w:r>
            <w:r>
              <w:rPr>
                <w:rFonts w:hint="default" w:ascii="Times New Roman" w:hAnsi="Times New Roman" w:cs="Times New Roman"/>
                <w:color w:val="auto"/>
                <w:szCs w:val="21"/>
                <w:highlight w:val="none"/>
              </w:rPr>
              <w:t>/NOx/CO/O</w:t>
            </w:r>
            <w:r>
              <w:rPr>
                <w:rFonts w:hint="default" w:ascii="Times New Roman" w:hAnsi="Times New Roman" w:cs="Times New Roman"/>
                <w:color w:val="auto"/>
                <w:szCs w:val="21"/>
                <w:highlight w:val="none"/>
                <w:vertAlign w:val="subscript"/>
              </w:rPr>
              <w:t>3</w:t>
            </w:r>
            <w:r>
              <w:rPr>
                <w:rFonts w:hint="default" w:ascii="Times New Roman" w:hAnsi="Times New Roman" w:cs="Times New Roman"/>
                <w:color w:val="auto"/>
                <w:szCs w:val="21"/>
                <w:highlight w:val="none"/>
              </w:rPr>
              <w:t>在线监测系统</w:t>
            </w:r>
          </w:p>
        </w:tc>
        <w:tc>
          <w:tcPr>
            <w:tcW w:w="828" w:type="dxa"/>
            <w:tcBorders>
              <w:top w:val="nil"/>
              <w:left w:val="single" w:color="auto" w:sz="4" w:space="0"/>
              <w:bottom w:val="single" w:color="auto" w:sz="8" w:space="0"/>
              <w:right w:val="single" w:color="auto" w:sz="4" w:space="0"/>
            </w:tcBorders>
            <w:noWrap w:val="0"/>
            <w:vAlign w:val="center"/>
          </w:tcPr>
          <w:p w14:paraId="07B78A38">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1套</w:t>
            </w:r>
          </w:p>
        </w:tc>
        <w:tc>
          <w:tcPr>
            <w:tcW w:w="1490" w:type="dxa"/>
            <w:tcBorders>
              <w:top w:val="nil"/>
              <w:left w:val="single" w:color="auto" w:sz="4" w:space="0"/>
              <w:bottom w:val="single" w:color="auto" w:sz="8" w:space="0"/>
              <w:right w:val="single" w:color="auto" w:sz="8" w:space="0"/>
            </w:tcBorders>
            <w:noWrap w:val="0"/>
            <w:vAlign w:val="center"/>
          </w:tcPr>
          <w:p w14:paraId="6959A1F8">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6年</w:t>
            </w:r>
          </w:p>
        </w:tc>
      </w:tr>
      <w:tr w14:paraId="332C5F4B">
        <w:tblPrEx>
          <w:tblCellMar>
            <w:top w:w="0" w:type="dxa"/>
            <w:left w:w="108" w:type="dxa"/>
            <w:bottom w:w="0" w:type="dxa"/>
            <w:right w:w="108" w:type="dxa"/>
          </w:tblCellMar>
        </w:tblPrEx>
        <w:trPr>
          <w:trHeight w:val="390" w:hRule="atLeast"/>
        </w:trPr>
        <w:tc>
          <w:tcPr>
            <w:tcW w:w="965" w:type="dxa"/>
            <w:tcBorders>
              <w:top w:val="nil"/>
              <w:left w:val="single" w:color="auto" w:sz="8" w:space="0"/>
              <w:bottom w:val="single" w:color="auto" w:sz="8" w:space="0"/>
              <w:right w:val="single" w:color="auto" w:sz="8" w:space="0"/>
            </w:tcBorders>
            <w:noWrap w:val="0"/>
            <w:vAlign w:val="center"/>
          </w:tcPr>
          <w:p w14:paraId="4F7DD3C7">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1482" w:type="dxa"/>
            <w:vMerge w:val="continue"/>
            <w:tcBorders>
              <w:top w:val="nil"/>
              <w:left w:val="single" w:color="auto" w:sz="8" w:space="0"/>
              <w:bottom w:val="single" w:color="auto" w:sz="8" w:space="0"/>
              <w:right w:val="single" w:color="auto" w:sz="8" w:space="0"/>
            </w:tcBorders>
            <w:noWrap w:val="0"/>
            <w:vAlign w:val="center"/>
          </w:tcPr>
          <w:p w14:paraId="0522591B">
            <w:pPr>
              <w:keepNext w:val="0"/>
              <w:keepLines w:val="0"/>
              <w:widowControl/>
              <w:suppressLineNumbers w:val="0"/>
              <w:spacing w:before="0" w:beforeAutospacing="0" w:after="0" w:afterAutospacing="0"/>
              <w:ind w:left="0" w:right="0"/>
              <w:rPr>
                <w:rFonts w:hint="default" w:ascii="Times New Roman" w:hAnsi="Times New Roman" w:cs="Times New Roman"/>
                <w:color w:val="auto"/>
                <w:szCs w:val="21"/>
                <w:highlight w:val="none"/>
              </w:rPr>
            </w:pPr>
          </w:p>
        </w:tc>
        <w:tc>
          <w:tcPr>
            <w:tcW w:w="5089" w:type="dxa"/>
            <w:tcBorders>
              <w:top w:val="nil"/>
              <w:left w:val="nil"/>
              <w:bottom w:val="single" w:color="auto" w:sz="8" w:space="0"/>
              <w:right w:val="single" w:color="auto" w:sz="4" w:space="0"/>
            </w:tcBorders>
            <w:noWrap w:val="0"/>
            <w:vAlign w:val="center"/>
          </w:tcPr>
          <w:p w14:paraId="2C1EFBA8">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PM</w:t>
            </w:r>
            <w:r>
              <w:rPr>
                <w:rFonts w:hint="default" w:ascii="Times New Roman" w:hAnsi="Times New Roman" w:cs="Times New Roman"/>
                <w:color w:val="auto"/>
                <w:szCs w:val="21"/>
                <w:highlight w:val="none"/>
                <w:vertAlign w:val="subscript"/>
              </w:rPr>
              <w:t>10</w:t>
            </w:r>
            <w:r>
              <w:rPr>
                <w:rFonts w:hint="default" w:ascii="Times New Roman" w:hAnsi="Times New Roman" w:cs="Times New Roman"/>
                <w:color w:val="auto"/>
                <w:szCs w:val="21"/>
                <w:highlight w:val="none"/>
              </w:rPr>
              <w:t>自动监测仪</w:t>
            </w:r>
          </w:p>
        </w:tc>
        <w:tc>
          <w:tcPr>
            <w:tcW w:w="828" w:type="dxa"/>
            <w:tcBorders>
              <w:top w:val="nil"/>
              <w:left w:val="single" w:color="auto" w:sz="4" w:space="0"/>
              <w:bottom w:val="single" w:color="auto" w:sz="8" w:space="0"/>
              <w:right w:val="single" w:color="auto" w:sz="4" w:space="0"/>
            </w:tcBorders>
            <w:noWrap w:val="0"/>
            <w:vAlign w:val="center"/>
          </w:tcPr>
          <w:p w14:paraId="3EEE54D0">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1套</w:t>
            </w:r>
          </w:p>
        </w:tc>
        <w:tc>
          <w:tcPr>
            <w:tcW w:w="1490" w:type="dxa"/>
            <w:tcBorders>
              <w:top w:val="nil"/>
              <w:left w:val="single" w:color="auto" w:sz="4" w:space="0"/>
              <w:bottom w:val="single" w:color="auto" w:sz="8" w:space="0"/>
              <w:right w:val="single" w:color="auto" w:sz="8" w:space="0"/>
            </w:tcBorders>
            <w:noWrap w:val="0"/>
            <w:vAlign w:val="top"/>
          </w:tcPr>
          <w:p w14:paraId="2B816E19">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6年</w:t>
            </w:r>
          </w:p>
        </w:tc>
      </w:tr>
      <w:tr w14:paraId="0FC816CA">
        <w:tblPrEx>
          <w:tblCellMar>
            <w:top w:w="0" w:type="dxa"/>
            <w:left w:w="108" w:type="dxa"/>
            <w:bottom w:w="0" w:type="dxa"/>
            <w:right w:w="108" w:type="dxa"/>
          </w:tblCellMar>
        </w:tblPrEx>
        <w:trPr>
          <w:trHeight w:val="390" w:hRule="atLeast"/>
        </w:trPr>
        <w:tc>
          <w:tcPr>
            <w:tcW w:w="965" w:type="dxa"/>
            <w:tcBorders>
              <w:top w:val="nil"/>
              <w:left w:val="single" w:color="auto" w:sz="8" w:space="0"/>
              <w:bottom w:val="single" w:color="auto" w:sz="8" w:space="0"/>
              <w:right w:val="single" w:color="auto" w:sz="8" w:space="0"/>
            </w:tcBorders>
            <w:noWrap w:val="0"/>
            <w:vAlign w:val="center"/>
          </w:tcPr>
          <w:p w14:paraId="6E2F04BA">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w:t>
            </w:r>
          </w:p>
        </w:tc>
        <w:tc>
          <w:tcPr>
            <w:tcW w:w="1482" w:type="dxa"/>
            <w:vMerge w:val="continue"/>
            <w:tcBorders>
              <w:top w:val="nil"/>
              <w:left w:val="single" w:color="auto" w:sz="8" w:space="0"/>
              <w:bottom w:val="single" w:color="auto" w:sz="8" w:space="0"/>
              <w:right w:val="single" w:color="auto" w:sz="8" w:space="0"/>
            </w:tcBorders>
            <w:noWrap w:val="0"/>
            <w:vAlign w:val="center"/>
          </w:tcPr>
          <w:p w14:paraId="4B569416">
            <w:pPr>
              <w:keepNext w:val="0"/>
              <w:keepLines w:val="0"/>
              <w:widowControl/>
              <w:suppressLineNumbers w:val="0"/>
              <w:spacing w:before="0" w:beforeAutospacing="0" w:after="0" w:afterAutospacing="0"/>
              <w:ind w:left="0" w:right="0"/>
              <w:rPr>
                <w:rFonts w:hint="default" w:ascii="Times New Roman" w:hAnsi="Times New Roman" w:cs="Times New Roman"/>
                <w:color w:val="auto"/>
                <w:szCs w:val="21"/>
                <w:highlight w:val="none"/>
              </w:rPr>
            </w:pPr>
          </w:p>
        </w:tc>
        <w:tc>
          <w:tcPr>
            <w:tcW w:w="5089" w:type="dxa"/>
            <w:tcBorders>
              <w:top w:val="nil"/>
              <w:left w:val="nil"/>
              <w:bottom w:val="single" w:color="auto" w:sz="8" w:space="0"/>
              <w:right w:val="single" w:color="auto" w:sz="4" w:space="0"/>
            </w:tcBorders>
            <w:noWrap w:val="0"/>
            <w:vAlign w:val="center"/>
          </w:tcPr>
          <w:p w14:paraId="6C3942D7">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PM</w:t>
            </w:r>
            <w:r>
              <w:rPr>
                <w:rFonts w:hint="default" w:ascii="Times New Roman" w:hAnsi="Times New Roman" w:cs="Times New Roman"/>
                <w:color w:val="auto"/>
                <w:szCs w:val="21"/>
                <w:highlight w:val="none"/>
                <w:vertAlign w:val="subscript"/>
              </w:rPr>
              <w:t>2.5</w:t>
            </w:r>
            <w:r>
              <w:rPr>
                <w:rFonts w:hint="default" w:ascii="Times New Roman" w:hAnsi="Times New Roman" w:cs="Times New Roman"/>
                <w:color w:val="auto"/>
                <w:szCs w:val="21"/>
                <w:highlight w:val="none"/>
              </w:rPr>
              <w:t>自动监测仪</w:t>
            </w:r>
          </w:p>
        </w:tc>
        <w:tc>
          <w:tcPr>
            <w:tcW w:w="828" w:type="dxa"/>
            <w:tcBorders>
              <w:top w:val="nil"/>
              <w:left w:val="single" w:color="auto" w:sz="4" w:space="0"/>
              <w:bottom w:val="single" w:color="auto" w:sz="8" w:space="0"/>
              <w:right w:val="single" w:color="auto" w:sz="4" w:space="0"/>
            </w:tcBorders>
            <w:noWrap w:val="0"/>
            <w:vAlign w:val="center"/>
          </w:tcPr>
          <w:p w14:paraId="007B345D">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1套</w:t>
            </w:r>
          </w:p>
        </w:tc>
        <w:tc>
          <w:tcPr>
            <w:tcW w:w="1490" w:type="dxa"/>
            <w:tcBorders>
              <w:top w:val="nil"/>
              <w:left w:val="single" w:color="auto" w:sz="4" w:space="0"/>
              <w:bottom w:val="single" w:color="auto" w:sz="8" w:space="0"/>
              <w:right w:val="single" w:color="auto" w:sz="8" w:space="0"/>
            </w:tcBorders>
            <w:noWrap w:val="0"/>
            <w:vAlign w:val="top"/>
          </w:tcPr>
          <w:p w14:paraId="2DC7D828">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6年</w:t>
            </w:r>
          </w:p>
        </w:tc>
      </w:tr>
      <w:tr w14:paraId="0B8C789D">
        <w:tblPrEx>
          <w:tblCellMar>
            <w:top w:w="0" w:type="dxa"/>
            <w:left w:w="108" w:type="dxa"/>
            <w:bottom w:w="0" w:type="dxa"/>
            <w:right w:w="108" w:type="dxa"/>
          </w:tblCellMar>
        </w:tblPrEx>
        <w:trPr>
          <w:trHeight w:val="390" w:hRule="atLeast"/>
        </w:trPr>
        <w:tc>
          <w:tcPr>
            <w:tcW w:w="965" w:type="dxa"/>
            <w:tcBorders>
              <w:top w:val="nil"/>
              <w:left w:val="single" w:color="auto" w:sz="8" w:space="0"/>
              <w:bottom w:val="single" w:color="auto" w:sz="8" w:space="0"/>
              <w:right w:val="single" w:color="auto" w:sz="8" w:space="0"/>
            </w:tcBorders>
            <w:noWrap w:val="0"/>
            <w:vAlign w:val="center"/>
          </w:tcPr>
          <w:p w14:paraId="005F497F">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w:t>
            </w:r>
          </w:p>
        </w:tc>
        <w:tc>
          <w:tcPr>
            <w:tcW w:w="1482" w:type="dxa"/>
            <w:vMerge w:val="continue"/>
            <w:tcBorders>
              <w:top w:val="nil"/>
              <w:left w:val="single" w:color="auto" w:sz="8" w:space="0"/>
              <w:bottom w:val="single" w:color="auto" w:sz="8" w:space="0"/>
              <w:right w:val="single" w:color="auto" w:sz="8" w:space="0"/>
            </w:tcBorders>
            <w:noWrap w:val="0"/>
            <w:vAlign w:val="center"/>
          </w:tcPr>
          <w:p w14:paraId="20DCB60A">
            <w:pPr>
              <w:keepNext w:val="0"/>
              <w:keepLines w:val="0"/>
              <w:widowControl/>
              <w:suppressLineNumbers w:val="0"/>
              <w:spacing w:before="0" w:beforeAutospacing="0" w:after="0" w:afterAutospacing="0"/>
              <w:ind w:left="0" w:right="0"/>
              <w:rPr>
                <w:rFonts w:hint="default" w:ascii="Times New Roman" w:hAnsi="Times New Roman" w:cs="Times New Roman"/>
                <w:color w:val="auto"/>
                <w:szCs w:val="21"/>
                <w:highlight w:val="none"/>
              </w:rPr>
            </w:pPr>
          </w:p>
        </w:tc>
        <w:tc>
          <w:tcPr>
            <w:tcW w:w="5089" w:type="dxa"/>
            <w:tcBorders>
              <w:top w:val="nil"/>
              <w:left w:val="nil"/>
              <w:bottom w:val="single" w:color="auto" w:sz="8" w:space="0"/>
              <w:right w:val="single" w:color="auto" w:sz="4" w:space="0"/>
            </w:tcBorders>
            <w:noWrap w:val="0"/>
            <w:vAlign w:val="center"/>
          </w:tcPr>
          <w:p w14:paraId="3E247A5F">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PM</w:t>
            </w:r>
            <w:r>
              <w:rPr>
                <w:rFonts w:hint="default" w:ascii="Times New Roman" w:hAnsi="Times New Roman" w:cs="Times New Roman"/>
                <w:color w:val="auto"/>
                <w:szCs w:val="21"/>
                <w:highlight w:val="none"/>
                <w:vertAlign w:val="subscript"/>
              </w:rPr>
              <w:t>1.0</w:t>
            </w:r>
            <w:r>
              <w:rPr>
                <w:rFonts w:hint="default" w:ascii="Times New Roman" w:hAnsi="Times New Roman" w:cs="Times New Roman"/>
                <w:color w:val="auto"/>
                <w:szCs w:val="21"/>
                <w:highlight w:val="none"/>
              </w:rPr>
              <w:t>自动监测仪</w:t>
            </w:r>
          </w:p>
        </w:tc>
        <w:tc>
          <w:tcPr>
            <w:tcW w:w="828" w:type="dxa"/>
            <w:tcBorders>
              <w:top w:val="nil"/>
              <w:left w:val="single" w:color="auto" w:sz="4" w:space="0"/>
              <w:bottom w:val="single" w:color="auto" w:sz="8" w:space="0"/>
              <w:right w:val="single" w:color="auto" w:sz="4" w:space="0"/>
            </w:tcBorders>
            <w:noWrap w:val="0"/>
            <w:vAlign w:val="center"/>
          </w:tcPr>
          <w:p w14:paraId="6F04EF25">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1套</w:t>
            </w:r>
          </w:p>
        </w:tc>
        <w:tc>
          <w:tcPr>
            <w:tcW w:w="1490" w:type="dxa"/>
            <w:tcBorders>
              <w:top w:val="nil"/>
              <w:left w:val="single" w:color="auto" w:sz="4" w:space="0"/>
              <w:bottom w:val="single" w:color="auto" w:sz="8" w:space="0"/>
              <w:right w:val="single" w:color="auto" w:sz="8" w:space="0"/>
            </w:tcBorders>
            <w:noWrap w:val="0"/>
            <w:vAlign w:val="top"/>
          </w:tcPr>
          <w:p w14:paraId="6CD646BE">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6年</w:t>
            </w:r>
          </w:p>
        </w:tc>
      </w:tr>
      <w:tr w14:paraId="591509B6">
        <w:tblPrEx>
          <w:tblCellMar>
            <w:top w:w="0" w:type="dxa"/>
            <w:left w:w="108" w:type="dxa"/>
            <w:bottom w:w="0" w:type="dxa"/>
            <w:right w:w="108" w:type="dxa"/>
          </w:tblCellMar>
        </w:tblPrEx>
        <w:trPr>
          <w:trHeight w:val="390" w:hRule="atLeast"/>
        </w:trPr>
        <w:tc>
          <w:tcPr>
            <w:tcW w:w="965" w:type="dxa"/>
            <w:tcBorders>
              <w:top w:val="nil"/>
              <w:left w:val="single" w:color="auto" w:sz="8" w:space="0"/>
              <w:bottom w:val="single" w:color="auto" w:sz="8" w:space="0"/>
              <w:right w:val="single" w:color="auto" w:sz="8" w:space="0"/>
            </w:tcBorders>
            <w:noWrap w:val="0"/>
            <w:vAlign w:val="center"/>
          </w:tcPr>
          <w:p w14:paraId="5DAC978E">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w:t>
            </w:r>
          </w:p>
        </w:tc>
        <w:tc>
          <w:tcPr>
            <w:tcW w:w="1482" w:type="dxa"/>
            <w:vMerge w:val="continue"/>
            <w:tcBorders>
              <w:top w:val="nil"/>
              <w:left w:val="single" w:color="auto" w:sz="8" w:space="0"/>
              <w:bottom w:val="single" w:color="auto" w:sz="8" w:space="0"/>
              <w:right w:val="single" w:color="auto" w:sz="8" w:space="0"/>
            </w:tcBorders>
            <w:noWrap w:val="0"/>
            <w:vAlign w:val="center"/>
          </w:tcPr>
          <w:p w14:paraId="0D1EBA19">
            <w:pPr>
              <w:keepNext w:val="0"/>
              <w:keepLines w:val="0"/>
              <w:widowControl/>
              <w:suppressLineNumbers w:val="0"/>
              <w:spacing w:before="0" w:beforeAutospacing="0" w:after="0" w:afterAutospacing="0"/>
              <w:ind w:left="0" w:right="0"/>
              <w:rPr>
                <w:rFonts w:hint="default" w:ascii="Times New Roman" w:hAnsi="Times New Roman" w:cs="Times New Roman"/>
                <w:color w:val="auto"/>
                <w:szCs w:val="21"/>
                <w:highlight w:val="none"/>
              </w:rPr>
            </w:pPr>
          </w:p>
        </w:tc>
        <w:tc>
          <w:tcPr>
            <w:tcW w:w="5089" w:type="dxa"/>
            <w:tcBorders>
              <w:top w:val="nil"/>
              <w:left w:val="nil"/>
              <w:bottom w:val="single" w:color="auto" w:sz="8" w:space="0"/>
              <w:right w:val="single" w:color="auto" w:sz="4" w:space="0"/>
            </w:tcBorders>
            <w:noWrap w:val="0"/>
            <w:vAlign w:val="center"/>
          </w:tcPr>
          <w:p w14:paraId="660A4635">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NO</w:t>
            </w:r>
            <w:r>
              <w:rPr>
                <w:rFonts w:hint="default" w:ascii="Times New Roman" w:hAnsi="Times New Roman" w:cs="Times New Roman"/>
                <w:i/>
                <w:iCs/>
                <w:color w:val="auto"/>
                <w:szCs w:val="21"/>
                <w:highlight w:val="none"/>
                <w:vertAlign w:val="subscript"/>
              </w:rPr>
              <w:t>x</w:t>
            </w:r>
            <w:r>
              <w:rPr>
                <w:rFonts w:hint="default" w:ascii="Times New Roman" w:hAnsi="Times New Roman" w:cs="Times New Roman"/>
                <w:color w:val="auto"/>
                <w:szCs w:val="21"/>
                <w:highlight w:val="none"/>
              </w:rPr>
              <w:t>/NH</w:t>
            </w:r>
            <w:r>
              <w:rPr>
                <w:rFonts w:hint="default" w:ascii="Times New Roman" w:hAnsi="Times New Roman" w:cs="Times New Roman"/>
                <w:color w:val="auto"/>
                <w:szCs w:val="21"/>
                <w:highlight w:val="none"/>
                <w:vertAlign w:val="subscript"/>
              </w:rPr>
              <w:t>3</w:t>
            </w:r>
            <w:r>
              <w:rPr>
                <w:rFonts w:hint="default" w:ascii="Times New Roman" w:hAnsi="Times New Roman" w:cs="Times New Roman"/>
                <w:color w:val="auto"/>
                <w:szCs w:val="21"/>
                <w:highlight w:val="none"/>
              </w:rPr>
              <w:t>监测仪</w:t>
            </w:r>
          </w:p>
        </w:tc>
        <w:tc>
          <w:tcPr>
            <w:tcW w:w="828" w:type="dxa"/>
            <w:tcBorders>
              <w:top w:val="nil"/>
              <w:left w:val="single" w:color="auto" w:sz="4" w:space="0"/>
              <w:bottom w:val="single" w:color="auto" w:sz="8" w:space="0"/>
              <w:right w:val="single" w:color="auto" w:sz="4" w:space="0"/>
            </w:tcBorders>
            <w:noWrap w:val="0"/>
            <w:vAlign w:val="center"/>
          </w:tcPr>
          <w:p w14:paraId="2ED1C2F9">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1套</w:t>
            </w:r>
          </w:p>
        </w:tc>
        <w:tc>
          <w:tcPr>
            <w:tcW w:w="1490" w:type="dxa"/>
            <w:tcBorders>
              <w:top w:val="nil"/>
              <w:left w:val="single" w:color="auto" w:sz="4" w:space="0"/>
              <w:bottom w:val="single" w:color="auto" w:sz="8" w:space="0"/>
              <w:right w:val="single" w:color="auto" w:sz="8" w:space="0"/>
            </w:tcBorders>
            <w:noWrap w:val="0"/>
            <w:vAlign w:val="center"/>
          </w:tcPr>
          <w:p w14:paraId="45827B29">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2年</w:t>
            </w:r>
          </w:p>
        </w:tc>
      </w:tr>
      <w:tr w14:paraId="243C00E1">
        <w:tblPrEx>
          <w:tblCellMar>
            <w:top w:w="0" w:type="dxa"/>
            <w:left w:w="108" w:type="dxa"/>
            <w:bottom w:w="0" w:type="dxa"/>
            <w:right w:w="108" w:type="dxa"/>
          </w:tblCellMar>
        </w:tblPrEx>
        <w:trPr>
          <w:trHeight w:val="390" w:hRule="atLeast"/>
        </w:trPr>
        <w:tc>
          <w:tcPr>
            <w:tcW w:w="965" w:type="dxa"/>
            <w:tcBorders>
              <w:top w:val="nil"/>
              <w:left w:val="single" w:color="auto" w:sz="8" w:space="0"/>
              <w:bottom w:val="single" w:color="auto" w:sz="8" w:space="0"/>
              <w:right w:val="single" w:color="auto" w:sz="8" w:space="0"/>
            </w:tcBorders>
            <w:noWrap w:val="0"/>
            <w:vAlign w:val="center"/>
          </w:tcPr>
          <w:p w14:paraId="0681E1F0">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w:t>
            </w:r>
          </w:p>
        </w:tc>
        <w:tc>
          <w:tcPr>
            <w:tcW w:w="1482" w:type="dxa"/>
            <w:vMerge w:val="continue"/>
            <w:tcBorders>
              <w:top w:val="nil"/>
              <w:left w:val="single" w:color="auto" w:sz="8" w:space="0"/>
              <w:bottom w:val="single" w:color="auto" w:sz="8" w:space="0"/>
              <w:right w:val="single" w:color="auto" w:sz="8" w:space="0"/>
            </w:tcBorders>
            <w:noWrap w:val="0"/>
            <w:vAlign w:val="center"/>
          </w:tcPr>
          <w:p w14:paraId="64100645">
            <w:pPr>
              <w:keepNext w:val="0"/>
              <w:keepLines w:val="0"/>
              <w:widowControl/>
              <w:suppressLineNumbers w:val="0"/>
              <w:spacing w:before="0" w:beforeAutospacing="0" w:after="0" w:afterAutospacing="0"/>
              <w:ind w:left="0" w:right="0"/>
              <w:rPr>
                <w:rFonts w:hint="default" w:ascii="Times New Roman" w:hAnsi="Times New Roman" w:cs="Times New Roman"/>
                <w:color w:val="auto"/>
                <w:szCs w:val="21"/>
                <w:highlight w:val="none"/>
              </w:rPr>
            </w:pPr>
          </w:p>
        </w:tc>
        <w:tc>
          <w:tcPr>
            <w:tcW w:w="5089" w:type="dxa"/>
            <w:tcBorders>
              <w:top w:val="nil"/>
              <w:left w:val="nil"/>
              <w:bottom w:val="single" w:color="auto" w:sz="8" w:space="0"/>
              <w:right w:val="single" w:color="auto" w:sz="4" w:space="0"/>
            </w:tcBorders>
            <w:noWrap w:val="0"/>
            <w:vAlign w:val="center"/>
          </w:tcPr>
          <w:p w14:paraId="52A60458">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能见度仪器</w:t>
            </w:r>
          </w:p>
        </w:tc>
        <w:tc>
          <w:tcPr>
            <w:tcW w:w="828" w:type="dxa"/>
            <w:tcBorders>
              <w:top w:val="nil"/>
              <w:left w:val="single" w:color="auto" w:sz="4" w:space="0"/>
              <w:bottom w:val="single" w:color="auto" w:sz="8" w:space="0"/>
              <w:right w:val="single" w:color="auto" w:sz="4" w:space="0"/>
            </w:tcBorders>
            <w:noWrap w:val="0"/>
            <w:vAlign w:val="center"/>
          </w:tcPr>
          <w:p w14:paraId="1DCF1661">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1套</w:t>
            </w:r>
          </w:p>
        </w:tc>
        <w:tc>
          <w:tcPr>
            <w:tcW w:w="1490" w:type="dxa"/>
            <w:tcBorders>
              <w:top w:val="nil"/>
              <w:left w:val="single" w:color="auto" w:sz="4" w:space="0"/>
              <w:bottom w:val="single" w:color="auto" w:sz="8" w:space="0"/>
              <w:right w:val="single" w:color="auto" w:sz="8" w:space="0"/>
            </w:tcBorders>
            <w:noWrap w:val="0"/>
            <w:vAlign w:val="center"/>
          </w:tcPr>
          <w:p w14:paraId="3AC6438E">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6年</w:t>
            </w:r>
          </w:p>
        </w:tc>
      </w:tr>
      <w:tr w14:paraId="5C762F2F">
        <w:tblPrEx>
          <w:tblCellMar>
            <w:top w:w="0" w:type="dxa"/>
            <w:left w:w="108" w:type="dxa"/>
            <w:bottom w:w="0" w:type="dxa"/>
            <w:right w:w="108" w:type="dxa"/>
          </w:tblCellMar>
        </w:tblPrEx>
        <w:trPr>
          <w:trHeight w:val="300" w:hRule="atLeast"/>
        </w:trPr>
        <w:tc>
          <w:tcPr>
            <w:tcW w:w="965" w:type="dxa"/>
            <w:tcBorders>
              <w:top w:val="nil"/>
              <w:left w:val="single" w:color="auto" w:sz="8" w:space="0"/>
              <w:bottom w:val="single" w:color="auto" w:sz="8" w:space="0"/>
              <w:right w:val="single" w:color="auto" w:sz="8" w:space="0"/>
            </w:tcBorders>
            <w:noWrap w:val="0"/>
            <w:vAlign w:val="center"/>
          </w:tcPr>
          <w:p w14:paraId="4AF623DB">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w:t>
            </w:r>
          </w:p>
        </w:tc>
        <w:tc>
          <w:tcPr>
            <w:tcW w:w="1482" w:type="dxa"/>
            <w:vMerge w:val="continue"/>
            <w:tcBorders>
              <w:top w:val="nil"/>
              <w:left w:val="single" w:color="auto" w:sz="8" w:space="0"/>
              <w:bottom w:val="single" w:color="auto" w:sz="8" w:space="0"/>
              <w:right w:val="single" w:color="auto" w:sz="8" w:space="0"/>
            </w:tcBorders>
            <w:noWrap w:val="0"/>
            <w:vAlign w:val="center"/>
          </w:tcPr>
          <w:p w14:paraId="279AF8B6">
            <w:pPr>
              <w:keepNext w:val="0"/>
              <w:keepLines w:val="0"/>
              <w:widowControl/>
              <w:suppressLineNumbers w:val="0"/>
              <w:spacing w:before="0" w:beforeAutospacing="0" w:after="0" w:afterAutospacing="0"/>
              <w:ind w:left="0" w:right="0"/>
              <w:rPr>
                <w:rFonts w:hint="default" w:ascii="Times New Roman" w:hAnsi="Times New Roman" w:cs="Times New Roman"/>
                <w:color w:val="auto"/>
                <w:szCs w:val="21"/>
                <w:highlight w:val="none"/>
              </w:rPr>
            </w:pPr>
          </w:p>
        </w:tc>
        <w:tc>
          <w:tcPr>
            <w:tcW w:w="5089" w:type="dxa"/>
            <w:tcBorders>
              <w:top w:val="nil"/>
              <w:left w:val="nil"/>
              <w:bottom w:val="single" w:color="auto" w:sz="8" w:space="0"/>
              <w:right w:val="single" w:color="auto" w:sz="4" w:space="0"/>
            </w:tcBorders>
            <w:noWrap w:val="0"/>
            <w:vAlign w:val="center"/>
          </w:tcPr>
          <w:p w14:paraId="1A328C3A">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城市摄影系统</w:t>
            </w:r>
          </w:p>
        </w:tc>
        <w:tc>
          <w:tcPr>
            <w:tcW w:w="828" w:type="dxa"/>
            <w:tcBorders>
              <w:top w:val="nil"/>
              <w:left w:val="single" w:color="auto" w:sz="4" w:space="0"/>
              <w:bottom w:val="single" w:color="auto" w:sz="8" w:space="0"/>
              <w:right w:val="single" w:color="auto" w:sz="4" w:space="0"/>
            </w:tcBorders>
            <w:noWrap w:val="0"/>
            <w:vAlign w:val="center"/>
          </w:tcPr>
          <w:p w14:paraId="72149186">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1套</w:t>
            </w:r>
          </w:p>
        </w:tc>
        <w:tc>
          <w:tcPr>
            <w:tcW w:w="1490" w:type="dxa"/>
            <w:tcBorders>
              <w:top w:val="nil"/>
              <w:left w:val="single" w:color="auto" w:sz="4" w:space="0"/>
              <w:bottom w:val="single" w:color="auto" w:sz="8" w:space="0"/>
              <w:right w:val="single" w:color="auto" w:sz="8" w:space="0"/>
            </w:tcBorders>
            <w:noWrap w:val="0"/>
            <w:vAlign w:val="top"/>
          </w:tcPr>
          <w:p w14:paraId="18DBA61C">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2年</w:t>
            </w:r>
          </w:p>
        </w:tc>
      </w:tr>
      <w:tr w14:paraId="7738C05B">
        <w:tblPrEx>
          <w:tblCellMar>
            <w:top w:w="0" w:type="dxa"/>
            <w:left w:w="108" w:type="dxa"/>
            <w:bottom w:w="0" w:type="dxa"/>
            <w:right w:w="108" w:type="dxa"/>
          </w:tblCellMar>
        </w:tblPrEx>
        <w:trPr>
          <w:trHeight w:val="330" w:hRule="atLeast"/>
        </w:trPr>
        <w:tc>
          <w:tcPr>
            <w:tcW w:w="965" w:type="dxa"/>
            <w:tcBorders>
              <w:top w:val="nil"/>
              <w:left w:val="single" w:color="auto" w:sz="8" w:space="0"/>
              <w:bottom w:val="single" w:color="auto" w:sz="8" w:space="0"/>
              <w:right w:val="single" w:color="auto" w:sz="8" w:space="0"/>
            </w:tcBorders>
            <w:noWrap w:val="0"/>
            <w:vAlign w:val="center"/>
          </w:tcPr>
          <w:p w14:paraId="32A9AE70">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8</w:t>
            </w:r>
          </w:p>
        </w:tc>
        <w:tc>
          <w:tcPr>
            <w:tcW w:w="1482" w:type="dxa"/>
            <w:vMerge w:val="restart"/>
            <w:tcBorders>
              <w:top w:val="nil"/>
              <w:left w:val="single" w:color="auto" w:sz="8" w:space="0"/>
              <w:bottom w:val="single" w:color="auto" w:sz="8" w:space="0"/>
              <w:right w:val="single" w:color="auto" w:sz="8" w:space="0"/>
            </w:tcBorders>
            <w:noWrap w:val="0"/>
            <w:vAlign w:val="center"/>
          </w:tcPr>
          <w:p w14:paraId="6C19BF73">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气溶胶化学组成监测</w:t>
            </w:r>
          </w:p>
        </w:tc>
        <w:tc>
          <w:tcPr>
            <w:tcW w:w="5089" w:type="dxa"/>
            <w:tcBorders>
              <w:top w:val="nil"/>
              <w:left w:val="nil"/>
              <w:bottom w:val="single" w:color="auto" w:sz="8" w:space="0"/>
              <w:right w:val="single" w:color="auto" w:sz="4" w:space="0"/>
            </w:tcBorders>
            <w:noWrap w:val="0"/>
            <w:vAlign w:val="center"/>
          </w:tcPr>
          <w:p w14:paraId="275DA420">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OC/EC在线监测仪</w:t>
            </w:r>
          </w:p>
        </w:tc>
        <w:tc>
          <w:tcPr>
            <w:tcW w:w="828" w:type="dxa"/>
            <w:tcBorders>
              <w:top w:val="nil"/>
              <w:left w:val="single" w:color="auto" w:sz="4" w:space="0"/>
              <w:bottom w:val="single" w:color="auto" w:sz="8" w:space="0"/>
              <w:right w:val="single" w:color="auto" w:sz="4" w:space="0"/>
            </w:tcBorders>
            <w:noWrap w:val="0"/>
            <w:vAlign w:val="center"/>
          </w:tcPr>
          <w:p w14:paraId="58451B1E">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1套</w:t>
            </w:r>
          </w:p>
        </w:tc>
        <w:tc>
          <w:tcPr>
            <w:tcW w:w="1490" w:type="dxa"/>
            <w:tcBorders>
              <w:top w:val="nil"/>
              <w:left w:val="single" w:color="auto" w:sz="4" w:space="0"/>
              <w:bottom w:val="single" w:color="auto" w:sz="8" w:space="0"/>
              <w:right w:val="single" w:color="auto" w:sz="8" w:space="0"/>
            </w:tcBorders>
            <w:noWrap w:val="0"/>
            <w:vAlign w:val="top"/>
          </w:tcPr>
          <w:p w14:paraId="2C892200">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2年</w:t>
            </w:r>
          </w:p>
        </w:tc>
      </w:tr>
      <w:tr w14:paraId="6CCFACE3">
        <w:tblPrEx>
          <w:tblCellMar>
            <w:top w:w="0" w:type="dxa"/>
            <w:left w:w="108" w:type="dxa"/>
            <w:bottom w:w="0" w:type="dxa"/>
            <w:right w:w="108" w:type="dxa"/>
          </w:tblCellMar>
        </w:tblPrEx>
        <w:trPr>
          <w:trHeight w:val="300" w:hRule="atLeast"/>
        </w:trPr>
        <w:tc>
          <w:tcPr>
            <w:tcW w:w="965" w:type="dxa"/>
            <w:tcBorders>
              <w:top w:val="nil"/>
              <w:left w:val="single" w:color="auto" w:sz="8" w:space="0"/>
              <w:bottom w:val="single" w:color="auto" w:sz="8" w:space="0"/>
              <w:right w:val="single" w:color="auto" w:sz="8" w:space="0"/>
            </w:tcBorders>
            <w:noWrap w:val="0"/>
            <w:vAlign w:val="center"/>
          </w:tcPr>
          <w:p w14:paraId="7F55109B">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9</w:t>
            </w:r>
          </w:p>
        </w:tc>
        <w:tc>
          <w:tcPr>
            <w:tcW w:w="1482" w:type="dxa"/>
            <w:vMerge w:val="continue"/>
            <w:tcBorders>
              <w:top w:val="nil"/>
              <w:left w:val="single" w:color="auto" w:sz="8" w:space="0"/>
              <w:bottom w:val="single" w:color="auto" w:sz="8" w:space="0"/>
              <w:right w:val="single" w:color="auto" w:sz="8" w:space="0"/>
            </w:tcBorders>
            <w:noWrap w:val="0"/>
            <w:vAlign w:val="center"/>
          </w:tcPr>
          <w:p w14:paraId="1C39584A">
            <w:pPr>
              <w:keepNext w:val="0"/>
              <w:keepLines w:val="0"/>
              <w:widowControl/>
              <w:suppressLineNumbers w:val="0"/>
              <w:spacing w:before="0" w:beforeAutospacing="0" w:after="0" w:afterAutospacing="0"/>
              <w:ind w:left="0" w:right="0"/>
              <w:rPr>
                <w:rFonts w:hint="default" w:ascii="Times New Roman" w:hAnsi="Times New Roman" w:cs="Times New Roman"/>
                <w:color w:val="auto"/>
                <w:szCs w:val="21"/>
                <w:highlight w:val="none"/>
              </w:rPr>
            </w:pPr>
          </w:p>
        </w:tc>
        <w:tc>
          <w:tcPr>
            <w:tcW w:w="5089" w:type="dxa"/>
            <w:tcBorders>
              <w:top w:val="nil"/>
              <w:left w:val="nil"/>
              <w:bottom w:val="single" w:color="auto" w:sz="8" w:space="0"/>
              <w:right w:val="single" w:color="auto" w:sz="4" w:space="0"/>
            </w:tcBorders>
            <w:noWrap w:val="0"/>
            <w:vAlign w:val="center"/>
          </w:tcPr>
          <w:p w14:paraId="49476F11">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重金属在线监测仪</w:t>
            </w:r>
          </w:p>
        </w:tc>
        <w:tc>
          <w:tcPr>
            <w:tcW w:w="828" w:type="dxa"/>
            <w:tcBorders>
              <w:top w:val="nil"/>
              <w:left w:val="single" w:color="auto" w:sz="4" w:space="0"/>
              <w:bottom w:val="single" w:color="auto" w:sz="8" w:space="0"/>
              <w:right w:val="single" w:color="auto" w:sz="4" w:space="0"/>
            </w:tcBorders>
            <w:noWrap w:val="0"/>
            <w:vAlign w:val="center"/>
          </w:tcPr>
          <w:p w14:paraId="46F998C7">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1套</w:t>
            </w:r>
          </w:p>
        </w:tc>
        <w:tc>
          <w:tcPr>
            <w:tcW w:w="1490" w:type="dxa"/>
            <w:tcBorders>
              <w:top w:val="nil"/>
              <w:left w:val="single" w:color="auto" w:sz="4" w:space="0"/>
              <w:bottom w:val="single" w:color="auto" w:sz="8" w:space="0"/>
              <w:right w:val="single" w:color="auto" w:sz="8" w:space="0"/>
            </w:tcBorders>
            <w:noWrap w:val="0"/>
            <w:vAlign w:val="center"/>
          </w:tcPr>
          <w:p w14:paraId="2C2E4D95">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3年</w:t>
            </w:r>
          </w:p>
        </w:tc>
      </w:tr>
      <w:tr w14:paraId="5DFFCCD0">
        <w:tblPrEx>
          <w:tblCellMar>
            <w:top w:w="0" w:type="dxa"/>
            <w:left w:w="108" w:type="dxa"/>
            <w:bottom w:w="0" w:type="dxa"/>
            <w:right w:w="108" w:type="dxa"/>
          </w:tblCellMar>
        </w:tblPrEx>
        <w:trPr>
          <w:trHeight w:val="300" w:hRule="atLeast"/>
        </w:trPr>
        <w:tc>
          <w:tcPr>
            <w:tcW w:w="965" w:type="dxa"/>
            <w:tcBorders>
              <w:top w:val="nil"/>
              <w:left w:val="single" w:color="auto" w:sz="8" w:space="0"/>
              <w:bottom w:val="single" w:color="auto" w:sz="8" w:space="0"/>
              <w:right w:val="single" w:color="auto" w:sz="8" w:space="0"/>
            </w:tcBorders>
            <w:noWrap w:val="0"/>
            <w:vAlign w:val="center"/>
          </w:tcPr>
          <w:p w14:paraId="610F17FA">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10</w:t>
            </w:r>
          </w:p>
        </w:tc>
        <w:tc>
          <w:tcPr>
            <w:tcW w:w="1482" w:type="dxa"/>
            <w:vMerge w:val="continue"/>
            <w:tcBorders>
              <w:top w:val="nil"/>
              <w:left w:val="single" w:color="auto" w:sz="8" w:space="0"/>
              <w:bottom w:val="single" w:color="auto" w:sz="8" w:space="0"/>
              <w:right w:val="single" w:color="auto" w:sz="8" w:space="0"/>
            </w:tcBorders>
            <w:noWrap w:val="0"/>
            <w:vAlign w:val="center"/>
          </w:tcPr>
          <w:p w14:paraId="6B06D34D">
            <w:pPr>
              <w:keepNext w:val="0"/>
              <w:keepLines w:val="0"/>
              <w:widowControl/>
              <w:suppressLineNumbers w:val="0"/>
              <w:spacing w:before="0" w:beforeAutospacing="0" w:after="0" w:afterAutospacing="0"/>
              <w:ind w:left="0" w:right="0"/>
              <w:rPr>
                <w:rFonts w:hint="default" w:ascii="Times New Roman" w:hAnsi="Times New Roman" w:cs="Times New Roman"/>
                <w:color w:val="auto"/>
                <w:szCs w:val="21"/>
                <w:highlight w:val="none"/>
              </w:rPr>
            </w:pPr>
          </w:p>
        </w:tc>
        <w:tc>
          <w:tcPr>
            <w:tcW w:w="5089" w:type="dxa"/>
            <w:tcBorders>
              <w:top w:val="nil"/>
              <w:left w:val="nil"/>
              <w:bottom w:val="single" w:color="auto" w:sz="8" w:space="0"/>
              <w:right w:val="single" w:color="auto" w:sz="4" w:space="0"/>
            </w:tcBorders>
            <w:noWrap w:val="0"/>
            <w:vAlign w:val="center"/>
          </w:tcPr>
          <w:p w14:paraId="27D566E9">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可溶性阴阳离子浓度在线监测仪</w:t>
            </w:r>
          </w:p>
        </w:tc>
        <w:tc>
          <w:tcPr>
            <w:tcW w:w="828" w:type="dxa"/>
            <w:tcBorders>
              <w:top w:val="nil"/>
              <w:left w:val="single" w:color="auto" w:sz="4" w:space="0"/>
              <w:bottom w:val="single" w:color="auto" w:sz="8" w:space="0"/>
              <w:right w:val="single" w:color="auto" w:sz="4" w:space="0"/>
            </w:tcBorders>
            <w:noWrap w:val="0"/>
            <w:vAlign w:val="center"/>
          </w:tcPr>
          <w:p w14:paraId="29ECED72">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1套</w:t>
            </w:r>
          </w:p>
        </w:tc>
        <w:tc>
          <w:tcPr>
            <w:tcW w:w="1490" w:type="dxa"/>
            <w:tcBorders>
              <w:top w:val="nil"/>
              <w:left w:val="single" w:color="auto" w:sz="4" w:space="0"/>
              <w:bottom w:val="single" w:color="auto" w:sz="8" w:space="0"/>
              <w:right w:val="single" w:color="auto" w:sz="8" w:space="0"/>
            </w:tcBorders>
            <w:noWrap w:val="0"/>
            <w:vAlign w:val="top"/>
          </w:tcPr>
          <w:p w14:paraId="4EFB3834">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2年</w:t>
            </w:r>
          </w:p>
        </w:tc>
      </w:tr>
      <w:tr w14:paraId="2458B0AC">
        <w:tblPrEx>
          <w:tblCellMar>
            <w:top w:w="0" w:type="dxa"/>
            <w:left w:w="108" w:type="dxa"/>
            <w:bottom w:w="0" w:type="dxa"/>
            <w:right w:w="108" w:type="dxa"/>
          </w:tblCellMar>
        </w:tblPrEx>
        <w:trPr>
          <w:trHeight w:val="300" w:hRule="atLeast"/>
        </w:trPr>
        <w:tc>
          <w:tcPr>
            <w:tcW w:w="965" w:type="dxa"/>
            <w:tcBorders>
              <w:top w:val="nil"/>
              <w:left w:val="single" w:color="auto" w:sz="8" w:space="0"/>
              <w:bottom w:val="single" w:color="auto" w:sz="8" w:space="0"/>
              <w:right w:val="single" w:color="auto" w:sz="8" w:space="0"/>
            </w:tcBorders>
            <w:noWrap w:val="0"/>
            <w:vAlign w:val="center"/>
          </w:tcPr>
          <w:p w14:paraId="1F4666B3">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w:t>
            </w:r>
          </w:p>
        </w:tc>
        <w:tc>
          <w:tcPr>
            <w:tcW w:w="1482" w:type="dxa"/>
            <w:vMerge w:val="continue"/>
            <w:tcBorders>
              <w:top w:val="nil"/>
              <w:left w:val="single" w:color="auto" w:sz="8" w:space="0"/>
              <w:bottom w:val="single" w:color="auto" w:sz="8" w:space="0"/>
              <w:right w:val="single" w:color="auto" w:sz="8" w:space="0"/>
            </w:tcBorders>
            <w:noWrap w:val="0"/>
            <w:vAlign w:val="center"/>
          </w:tcPr>
          <w:p w14:paraId="74216162">
            <w:pPr>
              <w:keepNext w:val="0"/>
              <w:keepLines w:val="0"/>
              <w:widowControl/>
              <w:suppressLineNumbers w:val="0"/>
              <w:spacing w:before="0" w:beforeAutospacing="0" w:after="0" w:afterAutospacing="0"/>
              <w:ind w:left="0" w:right="0"/>
              <w:rPr>
                <w:rFonts w:hint="default" w:ascii="Times New Roman" w:hAnsi="Times New Roman" w:cs="Times New Roman"/>
                <w:color w:val="auto"/>
                <w:szCs w:val="21"/>
                <w:highlight w:val="none"/>
              </w:rPr>
            </w:pPr>
          </w:p>
        </w:tc>
        <w:tc>
          <w:tcPr>
            <w:tcW w:w="5089" w:type="dxa"/>
            <w:tcBorders>
              <w:top w:val="nil"/>
              <w:left w:val="nil"/>
              <w:bottom w:val="single" w:color="auto" w:sz="8" w:space="0"/>
              <w:right w:val="single" w:color="auto" w:sz="4" w:space="0"/>
            </w:tcBorders>
            <w:noWrap w:val="0"/>
            <w:vAlign w:val="center"/>
          </w:tcPr>
          <w:p w14:paraId="5DF65D80">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颗粒物通量激光雷达</w:t>
            </w:r>
          </w:p>
        </w:tc>
        <w:tc>
          <w:tcPr>
            <w:tcW w:w="828" w:type="dxa"/>
            <w:tcBorders>
              <w:top w:val="nil"/>
              <w:left w:val="single" w:color="auto" w:sz="4" w:space="0"/>
              <w:bottom w:val="single" w:color="auto" w:sz="8" w:space="0"/>
              <w:right w:val="single" w:color="auto" w:sz="4" w:space="0"/>
            </w:tcBorders>
            <w:noWrap w:val="0"/>
            <w:vAlign w:val="center"/>
          </w:tcPr>
          <w:p w14:paraId="241C9F70">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1套</w:t>
            </w:r>
          </w:p>
        </w:tc>
        <w:tc>
          <w:tcPr>
            <w:tcW w:w="1490" w:type="dxa"/>
            <w:tcBorders>
              <w:top w:val="nil"/>
              <w:left w:val="single" w:color="auto" w:sz="4" w:space="0"/>
              <w:bottom w:val="single" w:color="auto" w:sz="8" w:space="0"/>
              <w:right w:val="single" w:color="auto" w:sz="8" w:space="0"/>
            </w:tcBorders>
            <w:noWrap w:val="0"/>
            <w:vAlign w:val="top"/>
          </w:tcPr>
          <w:p w14:paraId="36E0F68E">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2年</w:t>
            </w:r>
          </w:p>
        </w:tc>
      </w:tr>
      <w:tr w14:paraId="44CF0C15">
        <w:tblPrEx>
          <w:tblCellMar>
            <w:top w:w="0" w:type="dxa"/>
            <w:left w:w="108" w:type="dxa"/>
            <w:bottom w:w="0" w:type="dxa"/>
            <w:right w:w="108" w:type="dxa"/>
          </w:tblCellMar>
        </w:tblPrEx>
        <w:trPr>
          <w:trHeight w:val="205" w:hRule="atLeast"/>
        </w:trPr>
        <w:tc>
          <w:tcPr>
            <w:tcW w:w="965" w:type="dxa"/>
            <w:tcBorders>
              <w:top w:val="nil"/>
              <w:left w:val="single" w:color="auto" w:sz="8" w:space="0"/>
              <w:bottom w:val="single" w:color="auto" w:sz="8" w:space="0"/>
              <w:right w:val="single" w:color="auto" w:sz="8" w:space="0"/>
            </w:tcBorders>
            <w:noWrap w:val="0"/>
            <w:vAlign w:val="center"/>
          </w:tcPr>
          <w:p w14:paraId="5C3EF9BE">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w:t>
            </w:r>
          </w:p>
        </w:tc>
        <w:tc>
          <w:tcPr>
            <w:tcW w:w="1482" w:type="dxa"/>
            <w:vMerge w:val="continue"/>
            <w:tcBorders>
              <w:top w:val="nil"/>
              <w:left w:val="single" w:color="auto" w:sz="8" w:space="0"/>
              <w:bottom w:val="single" w:color="auto" w:sz="8" w:space="0"/>
              <w:right w:val="single" w:color="auto" w:sz="8" w:space="0"/>
            </w:tcBorders>
            <w:noWrap w:val="0"/>
            <w:vAlign w:val="center"/>
          </w:tcPr>
          <w:p w14:paraId="24B447ED">
            <w:pPr>
              <w:keepNext w:val="0"/>
              <w:keepLines w:val="0"/>
              <w:widowControl/>
              <w:suppressLineNumbers w:val="0"/>
              <w:spacing w:before="0" w:beforeAutospacing="0" w:after="0" w:afterAutospacing="0"/>
              <w:ind w:left="0" w:right="0"/>
              <w:rPr>
                <w:rFonts w:hint="default" w:ascii="Times New Roman" w:hAnsi="Times New Roman" w:cs="Times New Roman"/>
                <w:color w:val="auto"/>
                <w:szCs w:val="21"/>
                <w:highlight w:val="none"/>
              </w:rPr>
            </w:pPr>
          </w:p>
        </w:tc>
        <w:tc>
          <w:tcPr>
            <w:tcW w:w="5089" w:type="dxa"/>
            <w:tcBorders>
              <w:top w:val="nil"/>
              <w:left w:val="nil"/>
              <w:bottom w:val="single" w:color="auto" w:sz="8" w:space="0"/>
              <w:right w:val="single" w:color="auto" w:sz="4" w:space="0"/>
            </w:tcBorders>
            <w:noWrap w:val="0"/>
            <w:vAlign w:val="center"/>
          </w:tcPr>
          <w:p w14:paraId="17D5CF84">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粒径谱仪</w:t>
            </w:r>
          </w:p>
        </w:tc>
        <w:tc>
          <w:tcPr>
            <w:tcW w:w="828" w:type="dxa"/>
            <w:tcBorders>
              <w:top w:val="nil"/>
              <w:left w:val="single" w:color="auto" w:sz="4" w:space="0"/>
              <w:bottom w:val="single" w:color="auto" w:sz="8" w:space="0"/>
              <w:right w:val="single" w:color="auto" w:sz="4" w:space="0"/>
            </w:tcBorders>
            <w:noWrap w:val="0"/>
            <w:vAlign w:val="center"/>
          </w:tcPr>
          <w:p w14:paraId="225AD9B6">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1套</w:t>
            </w:r>
          </w:p>
        </w:tc>
        <w:tc>
          <w:tcPr>
            <w:tcW w:w="1490" w:type="dxa"/>
            <w:tcBorders>
              <w:top w:val="nil"/>
              <w:left w:val="single" w:color="auto" w:sz="4" w:space="0"/>
              <w:bottom w:val="single" w:color="auto" w:sz="8" w:space="0"/>
              <w:right w:val="single" w:color="auto" w:sz="8" w:space="0"/>
            </w:tcBorders>
            <w:noWrap w:val="0"/>
            <w:vAlign w:val="top"/>
          </w:tcPr>
          <w:p w14:paraId="28FA413D">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2年</w:t>
            </w:r>
          </w:p>
        </w:tc>
      </w:tr>
      <w:tr w14:paraId="309B2DA0">
        <w:tblPrEx>
          <w:tblCellMar>
            <w:top w:w="0" w:type="dxa"/>
            <w:left w:w="108" w:type="dxa"/>
            <w:bottom w:w="0" w:type="dxa"/>
            <w:right w:w="108" w:type="dxa"/>
          </w:tblCellMar>
        </w:tblPrEx>
        <w:trPr>
          <w:trHeight w:val="300" w:hRule="atLeast"/>
        </w:trPr>
        <w:tc>
          <w:tcPr>
            <w:tcW w:w="965" w:type="dxa"/>
            <w:tcBorders>
              <w:top w:val="nil"/>
              <w:left w:val="single" w:color="auto" w:sz="8" w:space="0"/>
              <w:bottom w:val="single" w:color="auto" w:sz="8" w:space="0"/>
              <w:right w:val="single" w:color="auto" w:sz="8" w:space="0"/>
            </w:tcBorders>
            <w:noWrap w:val="0"/>
            <w:vAlign w:val="center"/>
          </w:tcPr>
          <w:p w14:paraId="49295835">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13</w:t>
            </w:r>
          </w:p>
        </w:tc>
        <w:tc>
          <w:tcPr>
            <w:tcW w:w="1482" w:type="dxa"/>
            <w:vMerge w:val="restart"/>
            <w:tcBorders>
              <w:top w:val="nil"/>
              <w:left w:val="single" w:color="auto" w:sz="8" w:space="0"/>
              <w:bottom w:val="single" w:color="auto" w:sz="8" w:space="0"/>
              <w:right w:val="single" w:color="auto" w:sz="8" w:space="0"/>
            </w:tcBorders>
            <w:noWrap w:val="0"/>
            <w:vAlign w:val="center"/>
          </w:tcPr>
          <w:p w14:paraId="14A69272">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光化学污染监测</w:t>
            </w:r>
          </w:p>
        </w:tc>
        <w:tc>
          <w:tcPr>
            <w:tcW w:w="5089" w:type="dxa"/>
            <w:tcBorders>
              <w:top w:val="nil"/>
              <w:left w:val="nil"/>
              <w:bottom w:val="single" w:color="auto" w:sz="8" w:space="0"/>
              <w:right w:val="single" w:color="auto" w:sz="4" w:space="0"/>
            </w:tcBorders>
            <w:noWrap w:val="0"/>
            <w:vAlign w:val="center"/>
          </w:tcPr>
          <w:p w14:paraId="6606E4B1">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VOCs在线监测仪</w:t>
            </w:r>
          </w:p>
        </w:tc>
        <w:tc>
          <w:tcPr>
            <w:tcW w:w="828" w:type="dxa"/>
            <w:tcBorders>
              <w:top w:val="nil"/>
              <w:left w:val="single" w:color="auto" w:sz="4" w:space="0"/>
              <w:bottom w:val="single" w:color="auto" w:sz="8" w:space="0"/>
              <w:right w:val="single" w:color="auto" w:sz="4" w:space="0"/>
            </w:tcBorders>
            <w:noWrap w:val="0"/>
            <w:vAlign w:val="center"/>
          </w:tcPr>
          <w:p w14:paraId="1A8F0341">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1套</w:t>
            </w:r>
          </w:p>
        </w:tc>
        <w:tc>
          <w:tcPr>
            <w:tcW w:w="1490" w:type="dxa"/>
            <w:tcBorders>
              <w:top w:val="nil"/>
              <w:left w:val="single" w:color="auto" w:sz="4" w:space="0"/>
              <w:bottom w:val="single" w:color="auto" w:sz="8" w:space="0"/>
              <w:right w:val="single" w:color="auto" w:sz="8" w:space="0"/>
            </w:tcBorders>
            <w:noWrap w:val="0"/>
            <w:vAlign w:val="center"/>
          </w:tcPr>
          <w:p w14:paraId="472C41E6">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3年</w:t>
            </w:r>
          </w:p>
        </w:tc>
      </w:tr>
      <w:tr w14:paraId="7CA833A1">
        <w:tblPrEx>
          <w:tblCellMar>
            <w:top w:w="0" w:type="dxa"/>
            <w:left w:w="108" w:type="dxa"/>
            <w:bottom w:w="0" w:type="dxa"/>
            <w:right w:w="108" w:type="dxa"/>
          </w:tblCellMar>
        </w:tblPrEx>
        <w:trPr>
          <w:trHeight w:val="390" w:hRule="atLeast"/>
        </w:trPr>
        <w:tc>
          <w:tcPr>
            <w:tcW w:w="965" w:type="dxa"/>
            <w:tcBorders>
              <w:top w:val="nil"/>
              <w:left w:val="single" w:color="auto" w:sz="8" w:space="0"/>
              <w:bottom w:val="single" w:color="auto" w:sz="8" w:space="0"/>
              <w:right w:val="single" w:color="auto" w:sz="8" w:space="0"/>
            </w:tcBorders>
            <w:noWrap w:val="0"/>
            <w:vAlign w:val="center"/>
          </w:tcPr>
          <w:p w14:paraId="4D879F3B">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14</w:t>
            </w:r>
          </w:p>
        </w:tc>
        <w:tc>
          <w:tcPr>
            <w:tcW w:w="1482" w:type="dxa"/>
            <w:vMerge w:val="continue"/>
            <w:tcBorders>
              <w:top w:val="nil"/>
              <w:left w:val="single" w:color="auto" w:sz="8" w:space="0"/>
              <w:bottom w:val="single" w:color="auto" w:sz="8" w:space="0"/>
              <w:right w:val="single" w:color="auto" w:sz="8" w:space="0"/>
            </w:tcBorders>
            <w:noWrap w:val="0"/>
            <w:vAlign w:val="center"/>
          </w:tcPr>
          <w:p w14:paraId="556C5D7C">
            <w:pPr>
              <w:keepNext w:val="0"/>
              <w:keepLines w:val="0"/>
              <w:widowControl/>
              <w:suppressLineNumbers w:val="0"/>
              <w:spacing w:before="0" w:beforeAutospacing="0" w:after="0" w:afterAutospacing="0"/>
              <w:ind w:left="0" w:right="0"/>
              <w:rPr>
                <w:rFonts w:hint="default" w:ascii="Times New Roman" w:hAnsi="Times New Roman" w:cs="Times New Roman"/>
                <w:color w:val="auto"/>
                <w:szCs w:val="21"/>
                <w:highlight w:val="none"/>
              </w:rPr>
            </w:pPr>
          </w:p>
        </w:tc>
        <w:tc>
          <w:tcPr>
            <w:tcW w:w="5089" w:type="dxa"/>
            <w:tcBorders>
              <w:top w:val="nil"/>
              <w:left w:val="nil"/>
              <w:bottom w:val="single" w:color="auto" w:sz="8" w:space="0"/>
              <w:right w:val="single" w:color="auto" w:sz="4" w:space="0"/>
            </w:tcBorders>
            <w:noWrap w:val="0"/>
            <w:vAlign w:val="center"/>
          </w:tcPr>
          <w:p w14:paraId="3BAB42AE">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CH</w:t>
            </w:r>
            <w:r>
              <w:rPr>
                <w:rFonts w:hint="default" w:ascii="Times New Roman" w:hAnsi="Times New Roman" w:cs="Times New Roman"/>
                <w:color w:val="auto"/>
                <w:szCs w:val="21"/>
                <w:highlight w:val="none"/>
                <w:vertAlign w:val="subscript"/>
              </w:rPr>
              <w:t>4</w:t>
            </w:r>
            <w:r>
              <w:rPr>
                <w:rFonts w:hint="default" w:ascii="Times New Roman" w:hAnsi="Times New Roman" w:cs="Times New Roman"/>
                <w:color w:val="auto"/>
                <w:szCs w:val="21"/>
                <w:highlight w:val="none"/>
              </w:rPr>
              <w:t>/NMHC在线监测仪</w:t>
            </w:r>
          </w:p>
        </w:tc>
        <w:tc>
          <w:tcPr>
            <w:tcW w:w="828" w:type="dxa"/>
            <w:tcBorders>
              <w:top w:val="nil"/>
              <w:left w:val="single" w:color="auto" w:sz="4" w:space="0"/>
              <w:bottom w:val="single" w:color="auto" w:sz="8" w:space="0"/>
              <w:right w:val="single" w:color="auto" w:sz="4" w:space="0"/>
            </w:tcBorders>
            <w:noWrap w:val="0"/>
            <w:vAlign w:val="center"/>
          </w:tcPr>
          <w:p w14:paraId="06FB1A2F">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1套</w:t>
            </w:r>
          </w:p>
        </w:tc>
        <w:tc>
          <w:tcPr>
            <w:tcW w:w="1490" w:type="dxa"/>
            <w:tcBorders>
              <w:top w:val="nil"/>
              <w:left w:val="single" w:color="auto" w:sz="4" w:space="0"/>
              <w:bottom w:val="single" w:color="auto" w:sz="8" w:space="0"/>
              <w:right w:val="single" w:color="auto" w:sz="8" w:space="0"/>
            </w:tcBorders>
            <w:noWrap w:val="0"/>
            <w:vAlign w:val="top"/>
          </w:tcPr>
          <w:p w14:paraId="527EBF5F">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2年</w:t>
            </w:r>
          </w:p>
        </w:tc>
      </w:tr>
      <w:tr w14:paraId="029235D7">
        <w:tblPrEx>
          <w:tblCellMar>
            <w:top w:w="0" w:type="dxa"/>
            <w:left w:w="108" w:type="dxa"/>
            <w:bottom w:w="0" w:type="dxa"/>
            <w:right w:w="108" w:type="dxa"/>
          </w:tblCellMar>
        </w:tblPrEx>
        <w:trPr>
          <w:trHeight w:val="300" w:hRule="atLeast"/>
        </w:trPr>
        <w:tc>
          <w:tcPr>
            <w:tcW w:w="965" w:type="dxa"/>
            <w:tcBorders>
              <w:top w:val="nil"/>
              <w:left w:val="single" w:color="auto" w:sz="8" w:space="0"/>
              <w:bottom w:val="single" w:color="auto" w:sz="8" w:space="0"/>
              <w:right w:val="single" w:color="auto" w:sz="8" w:space="0"/>
            </w:tcBorders>
            <w:noWrap w:val="0"/>
            <w:vAlign w:val="center"/>
          </w:tcPr>
          <w:p w14:paraId="0F13FA85">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15</w:t>
            </w:r>
          </w:p>
        </w:tc>
        <w:tc>
          <w:tcPr>
            <w:tcW w:w="1482" w:type="dxa"/>
            <w:vMerge w:val="continue"/>
            <w:tcBorders>
              <w:top w:val="nil"/>
              <w:left w:val="single" w:color="auto" w:sz="8" w:space="0"/>
              <w:bottom w:val="single" w:color="auto" w:sz="8" w:space="0"/>
              <w:right w:val="single" w:color="auto" w:sz="8" w:space="0"/>
            </w:tcBorders>
            <w:noWrap w:val="0"/>
            <w:vAlign w:val="center"/>
          </w:tcPr>
          <w:p w14:paraId="10CE4276">
            <w:pPr>
              <w:keepNext w:val="0"/>
              <w:keepLines w:val="0"/>
              <w:widowControl/>
              <w:suppressLineNumbers w:val="0"/>
              <w:spacing w:before="0" w:beforeAutospacing="0" w:after="0" w:afterAutospacing="0"/>
              <w:ind w:left="0" w:right="0"/>
              <w:rPr>
                <w:rFonts w:hint="default" w:ascii="Times New Roman" w:hAnsi="Times New Roman" w:cs="Times New Roman"/>
                <w:color w:val="auto"/>
                <w:szCs w:val="21"/>
                <w:highlight w:val="none"/>
              </w:rPr>
            </w:pPr>
          </w:p>
        </w:tc>
        <w:tc>
          <w:tcPr>
            <w:tcW w:w="5089" w:type="dxa"/>
            <w:tcBorders>
              <w:top w:val="nil"/>
              <w:left w:val="nil"/>
              <w:bottom w:val="single" w:color="auto" w:sz="8" w:space="0"/>
              <w:right w:val="single" w:color="auto" w:sz="4" w:space="0"/>
            </w:tcBorders>
            <w:noWrap w:val="0"/>
            <w:vAlign w:val="center"/>
          </w:tcPr>
          <w:p w14:paraId="0C15D61F">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PANs（过氧酰基硝酸酯类）在线监测仪</w:t>
            </w:r>
          </w:p>
        </w:tc>
        <w:tc>
          <w:tcPr>
            <w:tcW w:w="828" w:type="dxa"/>
            <w:tcBorders>
              <w:top w:val="nil"/>
              <w:left w:val="single" w:color="auto" w:sz="4" w:space="0"/>
              <w:bottom w:val="single" w:color="auto" w:sz="8" w:space="0"/>
              <w:right w:val="single" w:color="auto" w:sz="4" w:space="0"/>
            </w:tcBorders>
            <w:noWrap w:val="0"/>
            <w:vAlign w:val="center"/>
          </w:tcPr>
          <w:p w14:paraId="5F60EFE1">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1套</w:t>
            </w:r>
          </w:p>
        </w:tc>
        <w:tc>
          <w:tcPr>
            <w:tcW w:w="1490" w:type="dxa"/>
            <w:tcBorders>
              <w:top w:val="nil"/>
              <w:left w:val="single" w:color="auto" w:sz="4" w:space="0"/>
              <w:bottom w:val="single" w:color="auto" w:sz="8" w:space="0"/>
              <w:right w:val="single" w:color="auto" w:sz="8" w:space="0"/>
            </w:tcBorders>
            <w:noWrap w:val="0"/>
            <w:vAlign w:val="top"/>
          </w:tcPr>
          <w:p w14:paraId="4EDD6A93">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2年</w:t>
            </w:r>
          </w:p>
        </w:tc>
      </w:tr>
      <w:tr w14:paraId="275596E6">
        <w:tblPrEx>
          <w:tblCellMar>
            <w:top w:w="0" w:type="dxa"/>
            <w:left w:w="108" w:type="dxa"/>
            <w:bottom w:w="0" w:type="dxa"/>
            <w:right w:w="108" w:type="dxa"/>
          </w:tblCellMar>
        </w:tblPrEx>
        <w:trPr>
          <w:trHeight w:val="300" w:hRule="atLeast"/>
        </w:trPr>
        <w:tc>
          <w:tcPr>
            <w:tcW w:w="965" w:type="dxa"/>
            <w:tcBorders>
              <w:top w:val="nil"/>
              <w:left w:val="single" w:color="auto" w:sz="8" w:space="0"/>
              <w:bottom w:val="single" w:color="auto" w:sz="8" w:space="0"/>
              <w:right w:val="single" w:color="auto" w:sz="8" w:space="0"/>
            </w:tcBorders>
            <w:noWrap w:val="0"/>
            <w:vAlign w:val="center"/>
          </w:tcPr>
          <w:p w14:paraId="184F7B15">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16</w:t>
            </w:r>
          </w:p>
        </w:tc>
        <w:tc>
          <w:tcPr>
            <w:tcW w:w="1482" w:type="dxa"/>
            <w:vMerge w:val="continue"/>
            <w:tcBorders>
              <w:top w:val="nil"/>
              <w:left w:val="single" w:color="auto" w:sz="8" w:space="0"/>
              <w:bottom w:val="single" w:color="auto" w:sz="8" w:space="0"/>
              <w:right w:val="single" w:color="auto" w:sz="8" w:space="0"/>
            </w:tcBorders>
            <w:noWrap w:val="0"/>
            <w:vAlign w:val="center"/>
          </w:tcPr>
          <w:p w14:paraId="47C735D4">
            <w:pPr>
              <w:keepNext w:val="0"/>
              <w:keepLines w:val="0"/>
              <w:widowControl/>
              <w:suppressLineNumbers w:val="0"/>
              <w:spacing w:before="0" w:beforeAutospacing="0" w:after="0" w:afterAutospacing="0"/>
              <w:ind w:left="0" w:right="0"/>
              <w:rPr>
                <w:rFonts w:hint="default" w:ascii="Times New Roman" w:hAnsi="Times New Roman" w:cs="Times New Roman"/>
                <w:color w:val="auto"/>
                <w:szCs w:val="21"/>
                <w:highlight w:val="none"/>
              </w:rPr>
            </w:pPr>
          </w:p>
        </w:tc>
        <w:tc>
          <w:tcPr>
            <w:tcW w:w="5089" w:type="dxa"/>
            <w:tcBorders>
              <w:top w:val="nil"/>
              <w:left w:val="nil"/>
              <w:bottom w:val="single" w:color="auto" w:sz="8" w:space="0"/>
              <w:right w:val="single" w:color="auto" w:sz="4" w:space="0"/>
            </w:tcBorders>
            <w:noWrap w:val="0"/>
            <w:vAlign w:val="center"/>
          </w:tcPr>
          <w:p w14:paraId="7EED7CEB">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NOy(总氮氧化物）监测仪</w:t>
            </w:r>
          </w:p>
        </w:tc>
        <w:tc>
          <w:tcPr>
            <w:tcW w:w="828" w:type="dxa"/>
            <w:tcBorders>
              <w:top w:val="nil"/>
              <w:left w:val="single" w:color="auto" w:sz="4" w:space="0"/>
              <w:bottom w:val="single" w:color="auto" w:sz="8" w:space="0"/>
              <w:right w:val="single" w:color="auto" w:sz="4" w:space="0"/>
            </w:tcBorders>
            <w:noWrap w:val="0"/>
            <w:vAlign w:val="center"/>
          </w:tcPr>
          <w:p w14:paraId="76D08D98">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1套</w:t>
            </w:r>
          </w:p>
        </w:tc>
        <w:tc>
          <w:tcPr>
            <w:tcW w:w="1490" w:type="dxa"/>
            <w:tcBorders>
              <w:top w:val="nil"/>
              <w:left w:val="single" w:color="auto" w:sz="4" w:space="0"/>
              <w:bottom w:val="single" w:color="auto" w:sz="8" w:space="0"/>
              <w:right w:val="single" w:color="auto" w:sz="8" w:space="0"/>
            </w:tcBorders>
            <w:noWrap w:val="0"/>
            <w:vAlign w:val="top"/>
          </w:tcPr>
          <w:p w14:paraId="3E1CEFBA">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2年</w:t>
            </w:r>
          </w:p>
        </w:tc>
      </w:tr>
      <w:tr w14:paraId="148FCBEA">
        <w:tblPrEx>
          <w:tblCellMar>
            <w:top w:w="0" w:type="dxa"/>
            <w:left w:w="108" w:type="dxa"/>
            <w:bottom w:w="0" w:type="dxa"/>
            <w:right w:w="108" w:type="dxa"/>
          </w:tblCellMar>
        </w:tblPrEx>
        <w:trPr>
          <w:trHeight w:val="300" w:hRule="atLeast"/>
        </w:trPr>
        <w:tc>
          <w:tcPr>
            <w:tcW w:w="965" w:type="dxa"/>
            <w:tcBorders>
              <w:top w:val="nil"/>
              <w:left w:val="single" w:color="auto" w:sz="8" w:space="0"/>
              <w:bottom w:val="single" w:color="auto" w:sz="8" w:space="0"/>
              <w:right w:val="single" w:color="auto" w:sz="8" w:space="0"/>
            </w:tcBorders>
            <w:noWrap w:val="0"/>
            <w:vAlign w:val="center"/>
          </w:tcPr>
          <w:p w14:paraId="0A357321">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17</w:t>
            </w:r>
          </w:p>
        </w:tc>
        <w:tc>
          <w:tcPr>
            <w:tcW w:w="1482" w:type="dxa"/>
            <w:vMerge w:val="continue"/>
            <w:tcBorders>
              <w:top w:val="nil"/>
              <w:left w:val="single" w:color="auto" w:sz="8" w:space="0"/>
              <w:bottom w:val="single" w:color="auto" w:sz="8" w:space="0"/>
              <w:right w:val="single" w:color="auto" w:sz="8" w:space="0"/>
            </w:tcBorders>
            <w:noWrap w:val="0"/>
            <w:vAlign w:val="center"/>
          </w:tcPr>
          <w:p w14:paraId="007AC8F1">
            <w:pPr>
              <w:keepNext w:val="0"/>
              <w:keepLines w:val="0"/>
              <w:widowControl/>
              <w:suppressLineNumbers w:val="0"/>
              <w:spacing w:before="0" w:beforeAutospacing="0" w:after="0" w:afterAutospacing="0"/>
              <w:ind w:left="0" w:right="0"/>
              <w:rPr>
                <w:rFonts w:hint="default" w:ascii="Times New Roman" w:hAnsi="Times New Roman" w:cs="Times New Roman"/>
                <w:color w:val="auto"/>
                <w:szCs w:val="21"/>
                <w:highlight w:val="none"/>
              </w:rPr>
            </w:pPr>
          </w:p>
        </w:tc>
        <w:tc>
          <w:tcPr>
            <w:tcW w:w="5089" w:type="dxa"/>
            <w:tcBorders>
              <w:top w:val="nil"/>
              <w:left w:val="nil"/>
              <w:bottom w:val="single" w:color="auto" w:sz="8" w:space="0"/>
              <w:right w:val="single" w:color="auto" w:sz="4" w:space="0"/>
            </w:tcBorders>
            <w:noWrap w:val="0"/>
            <w:vAlign w:val="center"/>
          </w:tcPr>
          <w:p w14:paraId="17648D4F">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HONO（气态亚硝酸）分析仪</w:t>
            </w:r>
          </w:p>
        </w:tc>
        <w:tc>
          <w:tcPr>
            <w:tcW w:w="828" w:type="dxa"/>
            <w:tcBorders>
              <w:top w:val="nil"/>
              <w:left w:val="single" w:color="auto" w:sz="4" w:space="0"/>
              <w:bottom w:val="single" w:color="auto" w:sz="8" w:space="0"/>
              <w:right w:val="single" w:color="auto" w:sz="4" w:space="0"/>
            </w:tcBorders>
            <w:noWrap w:val="0"/>
            <w:vAlign w:val="center"/>
          </w:tcPr>
          <w:p w14:paraId="0659173C">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1套</w:t>
            </w:r>
          </w:p>
        </w:tc>
        <w:tc>
          <w:tcPr>
            <w:tcW w:w="1490" w:type="dxa"/>
            <w:tcBorders>
              <w:top w:val="nil"/>
              <w:left w:val="single" w:color="auto" w:sz="4" w:space="0"/>
              <w:bottom w:val="single" w:color="auto" w:sz="8" w:space="0"/>
              <w:right w:val="single" w:color="auto" w:sz="8" w:space="0"/>
            </w:tcBorders>
            <w:noWrap w:val="0"/>
            <w:vAlign w:val="top"/>
          </w:tcPr>
          <w:p w14:paraId="21D23040">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2年</w:t>
            </w:r>
          </w:p>
        </w:tc>
      </w:tr>
      <w:tr w14:paraId="19CEB517">
        <w:tblPrEx>
          <w:tblCellMar>
            <w:top w:w="0" w:type="dxa"/>
            <w:left w:w="108" w:type="dxa"/>
            <w:bottom w:w="0" w:type="dxa"/>
            <w:right w:w="108" w:type="dxa"/>
          </w:tblCellMar>
        </w:tblPrEx>
        <w:trPr>
          <w:trHeight w:val="300" w:hRule="atLeast"/>
        </w:trPr>
        <w:tc>
          <w:tcPr>
            <w:tcW w:w="965" w:type="dxa"/>
            <w:tcBorders>
              <w:top w:val="nil"/>
              <w:left w:val="single" w:color="auto" w:sz="8" w:space="0"/>
              <w:bottom w:val="single" w:color="auto" w:sz="8" w:space="0"/>
              <w:right w:val="single" w:color="auto" w:sz="8" w:space="0"/>
            </w:tcBorders>
            <w:noWrap w:val="0"/>
            <w:vAlign w:val="center"/>
          </w:tcPr>
          <w:p w14:paraId="3A30C803">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18</w:t>
            </w:r>
          </w:p>
        </w:tc>
        <w:tc>
          <w:tcPr>
            <w:tcW w:w="1482" w:type="dxa"/>
            <w:vMerge w:val="continue"/>
            <w:tcBorders>
              <w:top w:val="nil"/>
              <w:left w:val="single" w:color="auto" w:sz="8" w:space="0"/>
              <w:bottom w:val="single" w:color="auto" w:sz="8" w:space="0"/>
              <w:right w:val="single" w:color="auto" w:sz="8" w:space="0"/>
            </w:tcBorders>
            <w:noWrap w:val="0"/>
            <w:vAlign w:val="center"/>
          </w:tcPr>
          <w:p w14:paraId="4E76F266">
            <w:pPr>
              <w:keepNext w:val="0"/>
              <w:keepLines w:val="0"/>
              <w:widowControl/>
              <w:suppressLineNumbers w:val="0"/>
              <w:spacing w:before="0" w:beforeAutospacing="0" w:after="0" w:afterAutospacing="0"/>
              <w:ind w:left="0" w:right="0"/>
              <w:rPr>
                <w:rFonts w:hint="default" w:ascii="Times New Roman" w:hAnsi="Times New Roman" w:cs="Times New Roman"/>
                <w:color w:val="auto"/>
                <w:szCs w:val="21"/>
                <w:highlight w:val="none"/>
              </w:rPr>
            </w:pPr>
          </w:p>
        </w:tc>
        <w:tc>
          <w:tcPr>
            <w:tcW w:w="5089" w:type="dxa"/>
            <w:tcBorders>
              <w:top w:val="nil"/>
              <w:left w:val="nil"/>
              <w:bottom w:val="single" w:color="auto" w:sz="8" w:space="0"/>
              <w:right w:val="single" w:color="auto" w:sz="4" w:space="0"/>
            </w:tcBorders>
            <w:noWrap w:val="0"/>
            <w:vAlign w:val="center"/>
          </w:tcPr>
          <w:p w14:paraId="28389AC1">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太阳总辐射/紫外辐射UV-A/UV-B监测仪</w:t>
            </w:r>
          </w:p>
        </w:tc>
        <w:tc>
          <w:tcPr>
            <w:tcW w:w="828" w:type="dxa"/>
            <w:tcBorders>
              <w:top w:val="nil"/>
              <w:left w:val="single" w:color="auto" w:sz="4" w:space="0"/>
              <w:bottom w:val="single" w:color="auto" w:sz="8" w:space="0"/>
              <w:right w:val="single" w:color="auto" w:sz="4" w:space="0"/>
            </w:tcBorders>
            <w:noWrap w:val="0"/>
            <w:vAlign w:val="center"/>
          </w:tcPr>
          <w:p w14:paraId="1F49115B">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1套</w:t>
            </w:r>
          </w:p>
        </w:tc>
        <w:tc>
          <w:tcPr>
            <w:tcW w:w="1490" w:type="dxa"/>
            <w:tcBorders>
              <w:top w:val="nil"/>
              <w:left w:val="single" w:color="auto" w:sz="4" w:space="0"/>
              <w:bottom w:val="single" w:color="auto" w:sz="8" w:space="0"/>
              <w:right w:val="single" w:color="auto" w:sz="8" w:space="0"/>
            </w:tcBorders>
            <w:noWrap w:val="0"/>
            <w:vAlign w:val="top"/>
          </w:tcPr>
          <w:p w14:paraId="62F7764C">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2年</w:t>
            </w:r>
          </w:p>
        </w:tc>
      </w:tr>
      <w:tr w14:paraId="54E1EF47">
        <w:tblPrEx>
          <w:tblCellMar>
            <w:top w:w="0" w:type="dxa"/>
            <w:left w:w="108" w:type="dxa"/>
            <w:bottom w:w="0" w:type="dxa"/>
            <w:right w:w="108" w:type="dxa"/>
          </w:tblCellMar>
        </w:tblPrEx>
        <w:trPr>
          <w:trHeight w:val="300" w:hRule="atLeast"/>
        </w:trPr>
        <w:tc>
          <w:tcPr>
            <w:tcW w:w="965" w:type="dxa"/>
            <w:tcBorders>
              <w:top w:val="nil"/>
              <w:left w:val="single" w:color="auto" w:sz="8" w:space="0"/>
              <w:bottom w:val="single" w:color="auto" w:sz="8" w:space="0"/>
              <w:right w:val="single" w:color="auto" w:sz="8" w:space="0"/>
            </w:tcBorders>
            <w:noWrap w:val="0"/>
            <w:vAlign w:val="center"/>
          </w:tcPr>
          <w:p w14:paraId="6BA44AD2">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19</w:t>
            </w:r>
          </w:p>
        </w:tc>
        <w:tc>
          <w:tcPr>
            <w:tcW w:w="1482" w:type="dxa"/>
            <w:vMerge w:val="continue"/>
            <w:tcBorders>
              <w:top w:val="nil"/>
              <w:left w:val="single" w:color="auto" w:sz="8" w:space="0"/>
              <w:bottom w:val="single" w:color="auto" w:sz="8" w:space="0"/>
              <w:right w:val="single" w:color="auto" w:sz="8" w:space="0"/>
            </w:tcBorders>
            <w:noWrap w:val="0"/>
            <w:vAlign w:val="center"/>
          </w:tcPr>
          <w:p w14:paraId="341C1095">
            <w:pPr>
              <w:keepNext w:val="0"/>
              <w:keepLines w:val="0"/>
              <w:widowControl/>
              <w:suppressLineNumbers w:val="0"/>
              <w:spacing w:before="0" w:beforeAutospacing="0" w:after="0" w:afterAutospacing="0"/>
              <w:ind w:left="0" w:right="0"/>
              <w:rPr>
                <w:rFonts w:hint="default" w:ascii="Times New Roman" w:hAnsi="Times New Roman" w:cs="Times New Roman"/>
                <w:color w:val="auto"/>
                <w:szCs w:val="21"/>
                <w:highlight w:val="none"/>
              </w:rPr>
            </w:pPr>
          </w:p>
        </w:tc>
        <w:tc>
          <w:tcPr>
            <w:tcW w:w="5089" w:type="dxa"/>
            <w:tcBorders>
              <w:top w:val="nil"/>
              <w:left w:val="nil"/>
              <w:bottom w:val="single" w:color="auto" w:sz="8" w:space="0"/>
              <w:right w:val="single" w:color="auto" w:sz="4" w:space="0"/>
            </w:tcBorders>
            <w:noWrap w:val="0"/>
            <w:vAlign w:val="center"/>
          </w:tcPr>
          <w:p w14:paraId="784FE8F7">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光解速率分析仪</w:t>
            </w:r>
          </w:p>
        </w:tc>
        <w:tc>
          <w:tcPr>
            <w:tcW w:w="828" w:type="dxa"/>
            <w:tcBorders>
              <w:top w:val="nil"/>
              <w:left w:val="single" w:color="auto" w:sz="4" w:space="0"/>
              <w:bottom w:val="single" w:color="auto" w:sz="8" w:space="0"/>
              <w:right w:val="single" w:color="auto" w:sz="4" w:space="0"/>
            </w:tcBorders>
            <w:noWrap w:val="0"/>
            <w:vAlign w:val="center"/>
          </w:tcPr>
          <w:p w14:paraId="56D04AEB">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1套</w:t>
            </w:r>
          </w:p>
        </w:tc>
        <w:tc>
          <w:tcPr>
            <w:tcW w:w="1490" w:type="dxa"/>
            <w:tcBorders>
              <w:top w:val="nil"/>
              <w:left w:val="single" w:color="auto" w:sz="4" w:space="0"/>
              <w:bottom w:val="single" w:color="auto" w:sz="8" w:space="0"/>
              <w:right w:val="single" w:color="auto" w:sz="8" w:space="0"/>
            </w:tcBorders>
            <w:noWrap w:val="0"/>
            <w:vAlign w:val="top"/>
          </w:tcPr>
          <w:p w14:paraId="3FE40E64">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2年</w:t>
            </w:r>
          </w:p>
        </w:tc>
      </w:tr>
      <w:tr w14:paraId="1A9D3E53">
        <w:tblPrEx>
          <w:tblCellMar>
            <w:top w:w="0" w:type="dxa"/>
            <w:left w:w="108" w:type="dxa"/>
            <w:bottom w:w="0" w:type="dxa"/>
            <w:right w:w="108" w:type="dxa"/>
          </w:tblCellMar>
        </w:tblPrEx>
        <w:trPr>
          <w:trHeight w:val="300" w:hRule="atLeast"/>
        </w:trPr>
        <w:tc>
          <w:tcPr>
            <w:tcW w:w="965" w:type="dxa"/>
            <w:tcBorders>
              <w:top w:val="nil"/>
              <w:left w:val="single" w:color="auto" w:sz="8" w:space="0"/>
              <w:bottom w:val="single" w:color="auto" w:sz="8" w:space="0"/>
              <w:right w:val="single" w:color="auto" w:sz="8" w:space="0"/>
            </w:tcBorders>
            <w:noWrap w:val="0"/>
            <w:vAlign w:val="center"/>
          </w:tcPr>
          <w:p w14:paraId="20A78E45">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20</w:t>
            </w:r>
          </w:p>
        </w:tc>
        <w:tc>
          <w:tcPr>
            <w:tcW w:w="1482" w:type="dxa"/>
            <w:vMerge w:val="restart"/>
            <w:tcBorders>
              <w:top w:val="nil"/>
              <w:left w:val="single" w:color="auto" w:sz="8" w:space="0"/>
              <w:right w:val="single" w:color="auto" w:sz="8" w:space="0"/>
            </w:tcBorders>
            <w:noWrap w:val="0"/>
            <w:vAlign w:val="center"/>
          </w:tcPr>
          <w:p w14:paraId="64377030">
            <w:pPr>
              <w:keepNext w:val="0"/>
              <w:keepLines w:val="0"/>
              <w:widowControl/>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温室气体监测</w:t>
            </w:r>
          </w:p>
        </w:tc>
        <w:tc>
          <w:tcPr>
            <w:tcW w:w="5089" w:type="dxa"/>
            <w:tcBorders>
              <w:top w:val="nil"/>
              <w:left w:val="nil"/>
              <w:bottom w:val="single" w:color="auto" w:sz="8" w:space="0"/>
              <w:right w:val="single" w:color="auto" w:sz="4" w:space="0"/>
            </w:tcBorders>
            <w:noWrap w:val="0"/>
            <w:vAlign w:val="top"/>
          </w:tcPr>
          <w:p w14:paraId="18D4F5BC">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高精度CO</w:t>
            </w:r>
            <w:r>
              <w:rPr>
                <w:rFonts w:hint="default" w:ascii="Times New Roman" w:hAnsi="Times New Roman" w:cs="Times New Roman"/>
                <w:color w:val="auto"/>
                <w:szCs w:val="21"/>
                <w:highlight w:val="none"/>
                <w:vertAlign w:val="subscript"/>
              </w:rPr>
              <w:t>2</w:t>
            </w:r>
            <w:r>
              <w:rPr>
                <w:rFonts w:hint="default" w:ascii="Times New Roman" w:hAnsi="Times New Roman" w:cs="Times New Roman"/>
                <w:color w:val="auto"/>
                <w:szCs w:val="21"/>
                <w:highlight w:val="none"/>
              </w:rPr>
              <w:t>、NH</w:t>
            </w:r>
            <w:r>
              <w:rPr>
                <w:rFonts w:hint="default" w:ascii="Times New Roman" w:hAnsi="Times New Roman" w:cs="Times New Roman"/>
                <w:color w:val="auto"/>
                <w:szCs w:val="21"/>
                <w:highlight w:val="none"/>
                <w:vertAlign w:val="subscript"/>
              </w:rPr>
              <w:t>4</w:t>
            </w:r>
            <w:r>
              <w:rPr>
                <w:rFonts w:hint="default" w:ascii="Times New Roman" w:hAnsi="Times New Roman" w:cs="Times New Roman"/>
                <w:color w:val="auto"/>
                <w:szCs w:val="21"/>
                <w:highlight w:val="none"/>
              </w:rPr>
              <w:t>分析仪</w:t>
            </w:r>
          </w:p>
        </w:tc>
        <w:tc>
          <w:tcPr>
            <w:tcW w:w="828" w:type="dxa"/>
            <w:tcBorders>
              <w:top w:val="nil"/>
              <w:left w:val="single" w:color="auto" w:sz="4" w:space="0"/>
              <w:bottom w:val="single" w:color="auto" w:sz="8" w:space="0"/>
              <w:right w:val="single" w:color="auto" w:sz="4" w:space="0"/>
            </w:tcBorders>
            <w:noWrap w:val="0"/>
            <w:vAlign w:val="center"/>
          </w:tcPr>
          <w:p w14:paraId="0358D6E6">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1套</w:t>
            </w:r>
          </w:p>
        </w:tc>
        <w:tc>
          <w:tcPr>
            <w:tcW w:w="1490" w:type="dxa"/>
            <w:tcBorders>
              <w:top w:val="nil"/>
              <w:left w:val="single" w:color="auto" w:sz="4" w:space="0"/>
              <w:bottom w:val="single" w:color="auto" w:sz="8" w:space="0"/>
              <w:right w:val="single" w:color="auto" w:sz="8" w:space="0"/>
            </w:tcBorders>
            <w:noWrap w:val="0"/>
            <w:vAlign w:val="top"/>
          </w:tcPr>
          <w:p w14:paraId="414D8EEF">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2年</w:t>
            </w:r>
          </w:p>
        </w:tc>
      </w:tr>
      <w:tr w14:paraId="08E57EAB">
        <w:tblPrEx>
          <w:tblCellMar>
            <w:top w:w="0" w:type="dxa"/>
            <w:left w:w="108" w:type="dxa"/>
            <w:bottom w:w="0" w:type="dxa"/>
            <w:right w:w="108" w:type="dxa"/>
          </w:tblCellMar>
        </w:tblPrEx>
        <w:trPr>
          <w:trHeight w:val="300" w:hRule="atLeast"/>
        </w:trPr>
        <w:tc>
          <w:tcPr>
            <w:tcW w:w="965" w:type="dxa"/>
            <w:tcBorders>
              <w:top w:val="nil"/>
              <w:left w:val="single" w:color="auto" w:sz="8" w:space="0"/>
              <w:bottom w:val="single" w:color="auto" w:sz="8" w:space="0"/>
              <w:right w:val="single" w:color="auto" w:sz="8" w:space="0"/>
            </w:tcBorders>
            <w:noWrap w:val="0"/>
            <w:vAlign w:val="center"/>
          </w:tcPr>
          <w:p w14:paraId="5D69FF1B">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21</w:t>
            </w:r>
          </w:p>
        </w:tc>
        <w:tc>
          <w:tcPr>
            <w:tcW w:w="1482" w:type="dxa"/>
            <w:vMerge w:val="continue"/>
            <w:tcBorders>
              <w:left w:val="single" w:color="auto" w:sz="8" w:space="0"/>
              <w:bottom w:val="single" w:color="auto" w:sz="8" w:space="0"/>
              <w:right w:val="single" w:color="auto" w:sz="8" w:space="0"/>
            </w:tcBorders>
            <w:noWrap w:val="0"/>
            <w:vAlign w:val="center"/>
          </w:tcPr>
          <w:p w14:paraId="132300D8">
            <w:pPr>
              <w:keepNext w:val="0"/>
              <w:keepLines w:val="0"/>
              <w:widowControl/>
              <w:suppressLineNumbers w:val="0"/>
              <w:spacing w:before="0" w:beforeAutospacing="0" w:after="0" w:afterAutospacing="0"/>
              <w:ind w:left="0" w:right="0"/>
              <w:rPr>
                <w:rFonts w:hint="default" w:ascii="Times New Roman" w:hAnsi="Times New Roman" w:cs="Times New Roman"/>
                <w:color w:val="auto"/>
                <w:szCs w:val="21"/>
                <w:highlight w:val="none"/>
              </w:rPr>
            </w:pPr>
          </w:p>
        </w:tc>
        <w:tc>
          <w:tcPr>
            <w:tcW w:w="5089" w:type="dxa"/>
            <w:tcBorders>
              <w:top w:val="nil"/>
              <w:left w:val="nil"/>
              <w:bottom w:val="single" w:color="auto" w:sz="8" w:space="0"/>
              <w:right w:val="single" w:color="auto" w:sz="4" w:space="0"/>
            </w:tcBorders>
            <w:noWrap w:val="0"/>
            <w:vAlign w:val="top"/>
          </w:tcPr>
          <w:p w14:paraId="45D4A45C">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高精度CO、N</w:t>
            </w:r>
            <w:r>
              <w:rPr>
                <w:rFonts w:hint="default" w:ascii="Times New Roman" w:hAnsi="Times New Roman" w:cs="Times New Roman"/>
                <w:color w:val="auto"/>
                <w:szCs w:val="21"/>
                <w:highlight w:val="none"/>
                <w:vertAlign w:val="subscript"/>
              </w:rPr>
              <w:t>2</w:t>
            </w:r>
            <w:r>
              <w:rPr>
                <w:rFonts w:hint="default" w:ascii="Times New Roman" w:hAnsi="Times New Roman" w:cs="Times New Roman"/>
                <w:color w:val="auto"/>
                <w:szCs w:val="21"/>
                <w:highlight w:val="none"/>
              </w:rPr>
              <w:t>O分析仪</w:t>
            </w:r>
          </w:p>
        </w:tc>
        <w:tc>
          <w:tcPr>
            <w:tcW w:w="828" w:type="dxa"/>
            <w:tcBorders>
              <w:top w:val="nil"/>
              <w:left w:val="single" w:color="auto" w:sz="4" w:space="0"/>
              <w:bottom w:val="single" w:color="auto" w:sz="8" w:space="0"/>
              <w:right w:val="single" w:color="auto" w:sz="4" w:space="0"/>
            </w:tcBorders>
            <w:noWrap w:val="0"/>
            <w:vAlign w:val="center"/>
          </w:tcPr>
          <w:p w14:paraId="3C58AA51">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1套</w:t>
            </w:r>
          </w:p>
        </w:tc>
        <w:tc>
          <w:tcPr>
            <w:tcW w:w="1490" w:type="dxa"/>
            <w:tcBorders>
              <w:top w:val="nil"/>
              <w:left w:val="single" w:color="auto" w:sz="4" w:space="0"/>
              <w:bottom w:val="single" w:color="auto" w:sz="8" w:space="0"/>
              <w:right w:val="single" w:color="auto" w:sz="8" w:space="0"/>
            </w:tcBorders>
            <w:noWrap w:val="0"/>
            <w:vAlign w:val="top"/>
          </w:tcPr>
          <w:p w14:paraId="248624C6">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2年</w:t>
            </w:r>
          </w:p>
        </w:tc>
      </w:tr>
      <w:tr w14:paraId="277BA6D1">
        <w:tblPrEx>
          <w:tblCellMar>
            <w:top w:w="0" w:type="dxa"/>
            <w:left w:w="108" w:type="dxa"/>
            <w:bottom w:w="0" w:type="dxa"/>
            <w:right w:w="108" w:type="dxa"/>
          </w:tblCellMar>
        </w:tblPrEx>
        <w:trPr>
          <w:trHeight w:val="300" w:hRule="atLeast"/>
        </w:trPr>
        <w:tc>
          <w:tcPr>
            <w:tcW w:w="965" w:type="dxa"/>
            <w:tcBorders>
              <w:top w:val="nil"/>
              <w:left w:val="single" w:color="auto" w:sz="8" w:space="0"/>
              <w:bottom w:val="single" w:color="auto" w:sz="8" w:space="0"/>
              <w:right w:val="single" w:color="auto" w:sz="8" w:space="0"/>
            </w:tcBorders>
            <w:noWrap w:val="0"/>
            <w:vAlign w:val="center"/>
          </w:tcPr>
          <w:p w14:paraId="049D729C">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22</w:t>
            </w:r>
          </w:p>
        </w:tc>
        <w:tc>
          <w:tcPr>
            <w:tcW w:w="1482" w:type="dxa"/>
            <w:vMerge w:val="restart"/>
            <w:tcBorders>
              <w:top w:val="nil"/>
              <w:left w:val="nil"/>
              <w:right w:val="single" w:color="auto" w:sz="8" w:space="0"/>
            </w:tcBorders>
            <w:noWrap w:val="0"/>
            <w:vAlign w:val="center"/>
          </w:tcPr>
          <w:p w14:paraId="5C4AED42">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气象参数监测</w:t>
            </w:r>
          </w:p>
        </w:tc>
        <w:tc>
          <w:tcPr>
            <w:tcW w:w="5089" w:type="dxa"/>
            <w:tcBorders>
              <w:top w:val="nil"/>
              <w:left w:val="nil"/>
              <w:bottom w:val="single" w:color="auto" w:sz="8" w:space="0"/>
              <w:right w:val="single" w:color="auto" w:sz="4" w:space="0"/>
            </w:tcBorders>
            <w:noWrap w:val="0"/>
            <w:vAlign w:val="center"/>
          </w:tcPr>
          <w:p w14:paraId="5C8FE089">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高精度气象参数（风向、风速、温度、湿度、气压、降水量）</w:t>
            </w:r>
          </w:p>
        </w:tc>
        <w:tc>
          <w:tcPr>
            <w:tcW w:w="828" w:type="dxa"/>
            <w:tcBorders>
              <w:top w:val="nil"/>
              <w:left w:val="single" w:color="auto" w:sz="4" w:space="0"/>
              <w:bottom w:val="single" w:color="auto" w:sz="8" w:space="0"/>
              <w:right w:val="single" w:color="auto" w:sz="4" w:space="0"/>
            </w:tcBorders>
            <w:noWrap w:val="0"/>
            <w:vAlign w:val="center"/>
          </w:tcPr>
          <w:p w14:paraId="4E29ABB1">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1套</w:t>
            </w:r>
          </w:p>
        </w:tc>
        <w:tc>
          <w:tcPr>
            <w:tcW w:w="1490" w:type="dxa"/>
            <w:tcBorders>
              <w:top w:val="nil"/>
              <w:left w:val="single" w:color="auto" w:sz="4" w:space="0"/>
              <w:bottom w:val="single" w:color="auto" w:sz="8" w:space="0"/>
              <w:right w:val="single" w:color="auto" w:sz="8" w:space="0"/>
            </w:tcBorders>
            <w:noWrap w:val="0"/>
            <w:vAlign w:val="top"/>
          </w:tcPr>
          <w:p w14:paraId="6A030EFD">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2年</w:t>
            </w:r>
          </w:p>
        </w:tc>
      </w:tr>
      <w:tr w14:paraId="73263BD6">
        <w:tblPrEx>
          <w:tblCellMar>
            <w:top w:w="0" w:type="dxa"/>
            <w:left w:w="108" w:type="dxa"/>
            <w:bottom w:w="0" w:type="dxa"/>
            <w:right w:w="108" w:type="dxa"/>
          </w:tblCellMar>
        </w:tblPrEx>
        <w:trPr>
          <w:trHeight w:val="300" w:hRule="atLeast"/>
        </w:trPr>
        <w:tc>
          <w:tcPr>
            <w:tcW w:w="965" w:type="dxa"/>
            <w:tcBorders>
              <w:top w:val="nil"/>
              <w:left w:val="single" w:color="auto" w:sz="8" w:space="0"/>
              <w:bottom w:val="single" w:color="auto" w:sz="4" w:space="0"/>
              <w:right w:val="single" w:color="auto" w:sz="8" w:space="0"/>
            </w:tcBorders>
            <w:noWrap w:val="0"/>
            <w:vAlign w:val="center"/>
          </w:tcPr>
          <w:p w14:paraId="5BB50B62">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23</w:t>
            </w:r>
          </w:p>
        </w:tc>
        <w:tc>
          <w:tcPr>
            <w:tcW w:w="1482" w:type="dxa"/>
            <w:vMerge w:val="continue"/>
            <w:tcBorders>
              <w:left w:val="nil"/>
              <w:bottom w:val="single" w:color="auto" w:sz="4" w:space="0"/>
              <w:right w:val="single" w:color="auto" w:sz="8" w:space="0"/>
            </w:tcBorders>
            <w:noWrap w:val="0"/>
            <w:vAlign w:val="center"/>
          </w:tcPr>
          <w:p w14:paraId="380D49C3">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p>
        </w:tc>
        <w:tc>
          <w:tcPr>
            <w:tcW w:w="5089" w:type="dxa"/>
            <w:tcBorders>
              <w:top w:val="nil"/>
              <w:left w:val="nil"/>
              <w:bottom w:val="single" w:color="auto" w:sz="4" w:space="0"/>
              <w:right w:val="single" w:color="auto" w:sz="4" w:space="0"/>
            </w:tcBorders>
            <w:noWrap w:val="0"/>
            <w:vAlign w:val="center"/>
          </w:tcPr>
          <w:p w14:paraId="6DFCD3B9">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微波辐射计</w:t>
            </w:r>
          </w:p>
        </w:tc>
        <w:tc>
          <w:tcPr>
            <w:tcW w:w="828" w:type="dxa"/>
            <w:tcBorders>
              <w:top w:val="nil"/>
              <w:left w:val="single" w:color="auto" w:sz="4" w:space="0"/>
              <w:bottom w:val="single" w:color="auto" w:sz="4" w:space="0"/>
              <w:right w:val="single" w:color="auto" w:sz="4" w:space="0"/>
            </w:tcBorders>
            <w:noWrap w:val="0"/>
            <w:vAlign w:val="center"/>
          </w:tcPr>
          <w:p w14:paraId="54B165DF">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1套</w:t>
            </w:r>
          </w:p>
        </w:tc>
        <w:tc>
          <w:tcPr>
            <w:tcW w:w="1490" w:type="dxa"/>
            <w:tcBorders>
              <w:top w:val="nil"/>
              <w:left w:val="single" w:color="auto" w:sz="4" w:space="0"/>
              <w:bottom w:val="single" w:color="auto" w:sz="4" w:space="0"/>
              <w:right w:val="single" w:color="auto" w:sz="8" w:space="0"/>
            </w:tcBorders>
            <w:noWrap w:val="0"/>
            <w:vAlign w:val="top"/>
          </w:tcPr>
          <w:p w14:paraId="77A349B7">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2年</w:t>
            </w:r>
          </w:p>
        </w:tc>
      </w:tr>
    </w:tbl>
    <w:p w14:paraId="04F207FC">
      <w:pPr>
        <w:pStyle w:val="18"/>
        <w:adjustRightInd w:val="0"/>
        <w:snapToGrid w:val="0"/>
        <w:spacing w:line="400" w:lineRule="exact"/>
        <w:ind w:left="0" w:leftChars="0" w:firstLine="480" w:firstLineChars="200"/>
        <w:jc w:val="center"/>
        <w:rPr>
          <w:rFonts w:hint="default" w:ascii="Times New Roman" w:hAnsi="Times New Roman" w:eastAsia="宋体" w:cs="Times New Roman"/>
          <w:b/>
          <w:bCs/>
          <w:color w:val="auto"/>
          <w:szCs w:val="21"/>
          <w:highlight w:val="none"/>
          <w:lang w:val="en-US" w:eastAsia="zh-CN"/>
        </w:rPr>
      </w:pPr>
      <w:r>
        <w:rPr>
          <w:rFonts w:hint="default" w:ascii="Times New Roman" w:hAnsi="Times New Roman" w:cs="Times New Roman"/>
          <w:b/>
          <w:bCs/>
          <w:color w:val="auto"/>
          <w:szCs w:val="21"/>
          <w:highlight w:val="none"/>
        </w:rPr>
        <w:br w:type="page"/>
      </w:r>
      <w:r>
        <w:rPr>
          <w:rFonts w:hint="default" w:ascii="Times New Roman" w:hAnsi="Times New Roman" w:cs="Times New Roman"/>
          <w:b/>
          <w:bCs/>
          <w:color w:val="auto"/>
          <w:szCs w:val="21"/>
          <w:highlight w:val="none"/>
        </w:rPr>
        <w:t>表</w:t>
      </w:r>
      <w:r>
        <w:rPr>
          <w:rFonts w:hint="default" w:ascii="Times New Roman" w:hAnsi="Times New Roman" w:cs="Times New Roman"/>
          <w:b/>
          <w:bCs/>
          <w:color w:val="auto"/>
          <w:szCs w:val="21"/>
          <w:highlight w:val="none"/>
          <w:lang w:val="en-US" w:eastAsia="zh-CN"/>
        </w:rPr>
        <w:t>2</w:t>
      </w:r>
      <w:r>
        <w:rPr>
          <w:rFonts w:hint="default" w:ascii="Times New Roman" w:hAnsi="Times New Roman" w:cs="Times New Roman"/>
          <w:b/>
          <w:bCs/>
          <w:color w:val="auto"/>
          <w:szCs w:val="21"/>
          <w:highlight w:val="none"/>
        </w:rPr>
        <w:t xml:space="preserve">  </w:t>
      </w:r>
      <w:r>
        <w:rPr>
          <w:rFonts w:hint="eastAsia" w:ascii="Times New Roman" w:hAnsi="Times New Roman" w:cs="Times New Roman"/>
          <w:b/>
          <w:bCs/>
          <w:color w:val="auto"/>
          <w:szCs w:val="21"/>
          <w:highlight w:val="none"/>
          <w:lang w:eastAsia="zh-CN"/>
        </w:rPr>
        <w:t>大气组分站</w:t>
      </w:r>
      <w:r>
        <w:rPr>
          <w:rFonts w:hint="default" w:ascii="Times New Roman" w:hAnsi="Times New Roman" w:cs="Times New Roman"/>
          <w:b/>
          <w:bCs/>
          <w:color w:val="auto"/>
          <w:szCs w:val="21"/>
          <w:highlight w:val="none"/>
          <w:lang w:val="en-US" w:eastAsia="zh-CN"/>
        </w:rPr>
        <w:t>主要</w:t>
      </w:r>
      <w:r>
        <w:rPr>
          <w:rFonts w:hint="default" w:ascii="Times New Roman" w:hAnsi="Times New Roman" w:cs="Times New Roman"/>
          <w:b/>
          <w:bCs/>
          <w:color w:val="auto"/>
          <w:szCs w:val="21"/>
          <w:highlight w:val="none"/>
        </w:rPr>
        <w:t>仪器</w:t>
      </w:r>
      <w:r>
        <w:rPr>
          <w:rFonts w:hint="default" w:ascii="Times New Roman" w:hAnsi="Times New Roman" w:cs="Times New Roman"/>
          <w:b/>
          <w:bCs/>
          <w:color w:val="auto"/>
          <w:szCs w:val="21"/>
          <w:highlight w:val="none"/>
          <w:lang w:val="en-US" w:eastAsia="zh-CN"/>
        </w:rPr>
        <w:t>设备配件型号要求</w:t>
      </w:r>
    </w:p>
    <w:tbl>
      <w:tblPr>
        <w:tblStyle w:val="3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96"/>
        <w:gridCol w:w="5059"/>
        <w:gridCol w:w="2097"/>
      </w:tblGrid>
      <w:tr w14:paraId="00BBC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2696" w:type="dxa"/>
            <w:tcBorders>
              <w:top w:val="single" w:color="000000" w:sz="4" w:space="0"/>
              <w:left w:val="single" w:color="000000" w:sz="4" w:space="0"/>
              <w:bottom w:val="single" w:color="000000" w:sz="4" w:space="0"/>
              <w:right w:val="single" w:color="000000" w:sz="4" w:space="0"/>
            </w:tcBorders>
            <w:noWrap w:val="0"/>
            <w:vAlign w:val="center"/>
          </w:tcPr>
          <w:p w14:paraId="6B3632D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设备名称</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07D0B1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配件名称</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14:paraId="4F329F8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配件型号</w:t>
            </w:r>
          </w:p>
        </w:tc>
      </w:tr>
      <w:tr w14:paraId="661BA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96" w:type="dxa"/>
            <w:vMerge w:val="restart"/>
            <w:tcBorders>
              <w:top w:val="single" w:color="000000" w:sz="4" w:space="0"/>
              <w:left w:val="single" w:color="000000" w:sz="4" w:space="0"/>
              <w:bottom w:val="single" w:color="000000" w:sz="4" w:space="0"/>
              <w:right w:val="single" w:color="000000" w:sz="4" w:space="0"/>
            </w:tcBorders>
            <w:noWrap w:val="0"/>
            <w:vAlign w:val="center"/>
          </w:tcPr>
          <w:p w14:paraId="4E6BAC6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PM</w:t>
            </w:r>
            <w:r>
              <w:rPr>
                <w:rStyle w:val="231"/>
                <w:rFonts w:hint="default" w:ascii="Times New Roman" w:hAnsi="Times New Roman" w:cs="Times New Roman"/>
                <w:color w:val="auto"/>
                <w:highlight w:val="none"/>
                <w:lang w:val="en-US" w:eastAsia="zh-CN" w:bidi="ar"/>
              </w:rPr>
              <w:t>2.5</w:t>
            </w:r>
            <w:r>
              <w:rPr>
                <w:rFonts w:hint="default" w:ascii="Times New Roman" w:hAnsi="Times New Roman" w:eastAsia="宋体" w:cs="Times New Roman"/>
                <w:i w:val="0"/>
                <w:iCs w:val="0"/>
                <w:color w:val="auto"/>
                <w:kern w:val="0"/>
                <w:sz w:val="22"/>
                <w:szCs w:val="22"/>
                <w:highlight w:val="none"/>
                <w:u w:val="none"/>
                <w:lang w:val="en-US" w:eastAsia="zh-CN" w:bidi="ar"/>
              </w:rPr>
              <w:t>自动监测仪</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5EF53A7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检测器</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14:paraId="6581CB5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42545400131</w:t>
            </w:r>
          </w:p>
        </w:tc>
      </w:tr>
      <w:tr w14:paraId="5E8C1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04922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highlight w:val="none"/>
                <w:u w:val="none"/>
              </w:rPr>
            </w:pP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25CD486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主板</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14:paraId="49F0914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425454021</w:t>
            </w:r>
          </w:p>
        </w:tc>
      </w:tr>
      <w:tr w14:paraId="56D1C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37833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highlight w:val="none"/>
                <w:u w:val="none"/>
              </w:rPr>
            </w:pP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2DE683E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颗粒物采样泵</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14:paraId="3BDC96F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112134-00</w:t>
            </w:r>
          </w:p>
        </w:tc>
      </w:tr>
      <w:tr w14:paraId="6986B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96" w:type="dxa"/>
            <w:vMerge w:val="restart"/>
            <w:tcBorders>
              <w:top w:val="nil"/>
              <w:left w:val="single" w:color="000000" w:sz="4" w:space="0"/>
              <w:bottom w:val="nil"/>
              <w:right w:val="single" w:color="000000" w:sz="4" w:space="0"/>
            </w:tcBorders>
            <w:noWrap w:val="0"/>
            <w:vAlign w:val="center"/>
          </w:tcPr>
          <w:p w14:paraId="040DB94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动态校准仪</w:t>
            </w:r>
          </w:p>
        </w:tc>
        <w:tc>
          <w:tcPr>
            <w:tcW w:w="5059" w:type="dxa"/>
            <w:tcBorders>
              <w:top w:val="single" w:color="000000" w:sz="4" w:space="0"/>
              <w:left w:val="single" w:color="000000" w:sz="4" w:space="0"/>
              <w:bottom w:val="single" w:color="000000" w:sz="4" w:space="0"/>
              <w:right w:val="single" w:color="000000" w:sz="4" w:space="0"/>
            </w:tcBorders>
            <w:noWrap/>
            <w:vAlign w:val="center"/>
          </w:tcPr>
          <w:p w14:paraId="5AA7E4C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10L质量流量控制器</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14:paraId="1277BEF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8093</w:t>
            </w:r>
          </w:p>
        </w:tc>
      </w:tr>
      <w:tr w14:paraId="1C377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96" w:type="dxa"/>
            <w:vMerge w:val="continue"/>
            <w:tcBorders>
              <w:top w:val="nil"/>
              <w:left w:val="single" w:color="000000" w:sz="4" w:space="0"/>
              <w:bottom w:val="nil"/>
              <w:right w:val="single" w:color="000000" w:sz="4" w:space="0"/>
            </w:tcBorders>
            <w:noWrap w:val="0"/>
            <w:vAlign w:val="center"/>
          </w:tcPr>
          <w:p w14:paraId="29A081D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highlight w:val="none"/>
                <w:u w:val="none"/>
              </w:rPr>
            </w:pPr>
          </w:p>
        </w:tc>
        <w:tc>
          <w:tcPr>
            <w:tcW w:w="5059" w:type="dxa"/>
            <w:tcBorders>
              <w:top w:val="single" w:color="000000" w:sz="4" w:space="0"/>
              <w:left w:val="single" w:color="000000" w:sz="4" w:space="0"/>
              <w:bottom w:val="single" w:color="000000" w:sz="4" w:space="0"/>
              <w:right w:val="single" w:color="000000" w:sz="4" w:space="0"/>
            </w:tcBorders>
            <w:noWrap/>
            <w:vAlign w:val="center"/>
          </w:tcPr>
          <w:p w14:paraId="3DC5631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100mL质量流量控制器</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14:paraId="55A7D99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8096</w:t>
            </w:r>
          </w:p>
        </w:tc>
      </w:tr>
      <w:tr w14:paraId="0F2D0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96" w:type="dxa"/>
            <w:vMerge w:val="continue"/>
            <w:tcBorders>
              <w:top w:val="nil"/>
              <w:left w:val="single" w:color="000000" w:sz="4" w:space="0"/>
              <w:bottom w:val="nil"/>
              <w:right w:val="single" w:color="000000" w:sz="4" w:space="0"/>
            </w:tcBorders>
            <w:noWrap w:val="0"/>
            <w:vAlign w:val="center"/>
          </w:tcPr>
          <w:p w14:paraId="73E2F39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highlight w:val="none"/>
                <w:u w:val="none"/>
              </w:rPr>
            </w:pPr>
          </w:p>
        </w:tc>
        <w:tc>
          <w:tcPr>
            <w:tcW w:w="5059" w:type="dxa"/>
            <w:tcBorders>
              <w:top w:val="single" w:color="000000" w:sz="4" w:space="0"/>
              <w:left w:val="single" w:color="000000" w:sz="4" w:space="0"/>
              <w:bottom w:val="single" w:color="000000" w:sz="4" w:space="0"/>
              <w:right w:val="single" w:color="000000" w:sz="4" w:space="0"/>
            </w:tcBorders>
            <w:noWrap/>
            <w:vAlign w:val="center"/>
          </w:tcPr>
          <w:p w14:paraId="2F8FD29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CO转化装置</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14:paraId="22020D0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60801</w:t>
            </w:r>
          </w:p>
        </w:tc>
      </w:tr>
      <w:tr w14:paraId="4A8AD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96" w:type="dxa"/>
            <w:vMerge w:val="continue"/>
            <w:tcBorders>
              <w:top w:val="nil"/>
              <w:left w:val="single" w:color="000000" w:sz="4" w:space="0"/>
              <w:bottom w:val="nil"/>
              <w:right w:val="single" w:color="000000" w:sz="4" w:space="0"/>
            </w:tcBorders>
            <w:noWrap w:val="0"/>
            <w:vAlign w:val="center"/>
          </w:tcPr>
          <w:p w14:paraId="4EDE1E1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highlight w:val="none"/>
                <w:u w:val="none"/>
              </w:rPr>
            </w:pPr>
          </w:p>
        </w:tc>
        <w:tc>
          <w:tcPr>
            <w:tcW w:w="5059" w:type="dxa"/>
            <w:tcBorders>
              <w:top w:val="single" w:color="000000" w:sz="4" w:space="0"/>
              <w:left w:val="single" w:color="000000" w:sz="4" w:space="0"/>
              <w:bottom w:val="single" w:color="000000" w:sz="4" w:space="0"/>
              <w:right w:val="single" w:color="000000" w:sz="4" w:space="0"/>
            </w:tcBorders>
            <w:noWrap/>
            <w:vAlign w:val="center"/>
          </w:tcPr>
          <w:p w14:paraId="3E02665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10L空压机</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14:paraId="17E79CD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7786</w:t>
            </w:r>
          </w:p>
        </w:tc>
      </w:tr>
      <w:tr w14:paraId="1F426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96" w:type="dxa"/>
            <w:vMerge w:val="restart"/>
            <w:tcBorders>
              <w:top w:val="single" w:color="000000" w:sz="4" w:space="0"/>
              <w:left w:val="single" w:color="000000" w:sz="4" w:space="0"/>
              <w:bottom w:val="nil"/>
              <w:right w:val="single" w:color="000000" w:sz="4" w:space="0"/>
            </w:tcBorders>
            <w:noWrap w:val="0"/>
            <w:vAlign w:val="center"/>
          </w:tcPr>
          <w:p w14:paraId="6F1D3AE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NOx/NH3监测仪</w:t>
            </w:r>
          </w:p>
        </w:tc>
        <w:tc>
          <w:tcPr>
            <w:tcW w:w="5059" w:type="dxa"/>
            <w:tcBorders>
              <w:top w:val="single" w:color="000000" w:sz="4" w:space="0"/>
              <w:left w:val="single" w:color="000000" w:sz="4" w:space="0"/>
              <w:bottom w:val="single" w:color="000000" w:sz="4" w:space="0"/>
              <w:right w:val="single" w:color="000000" w:sz="4" w:space="0"/>
            </w:tcBorders>
            <w:noWrap/>
            <w:vAlign w:val="center"/>
          </w:tcPr>
          <w:p w14:paraId="3766355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高温转化炉</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14:paraId="1815E2A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10154</w:t>
            </w:r>
          </w:p>
        </w:tc>
      </w:tr>
      <w:tr w14:paraId="2DCB4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96" w:type="dxa"/>
            <w:vMerge w:val="continue"/>
            <w:tcBorders>
              <w:top w:val="single" w:color="000000" w:sz="4" w:space="0"/>
              <w:left w:val="single" w:color="000000" w:sz="4" w:space="0"/>
              <w:bottom w:val="nil"/>
              <w:right w:val="single" w:color="000000" w:sz="4" w:space="0"/>
            </w:tcBorders>
            <w:noWrap w:val="0"/>
            <w:vAlign w:val="center"/>
          </w:tcPr>
          <w:p w14:paraId="72DF9DC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highlight w:val="none"/>
                <w:u w:val="none"/>
              </w:rPr>
            </w:pPr>
          </w:p>
        </w:tc>
        <w:tc>
          <w:tcPr>
            <w:tcW w:w="5059" w:type="dxa"/>
            <w:tcBorders>
              <w:top w:val="single" w:color="000000" w:sz="4" w:space="0"/>
              <w:left w:val="single" w:color="000000" w:sz="4" w:space="0"/>
              <w:bottom w:val="single" w:color="000000" w:sz="4" w:space="0"/>
              <w:right w:val="single" w:color="000000" w:sz="4" w:space="0"/>
            </w:tcBorders>
            <w:noWrap/>
            <w:vAlign w:val="center"/>
          </w:tcPr>
          <w:p w14:paraId="2EEC8DD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紫外灯</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14:paraId="193C43D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8666</w:t>
            </w:r>
          </w:p>
        </w:tc>
      </w:tr>
      <w:tr w14:paraId="003D9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96" w:type="dxa"/>
            <w:vMerge w:val="restart"/>
            <w:tcBorders>
              <w:top w:val="single" w:color="000000" w:sz="4" w:space="0"/>
              <w:left w:val="single" w:color="000000" w:sz="4" w:space="0"/>
              <w:bottom w:val="single" w:color="000000" w:sz="4" w:space="0"/>
              <w:right w:val="single" w:color="000000" w:sz="4" w:space="0"/>
            </w:tcBorders>
            <w:noWrap w:val="0"/>
            <w:vAlign w:val="center"/>
          </w:tcPr>
          <w:p w14:paraId="6E5743D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OC/EC在线监测仪</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228C71B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加热炉</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14:paraId="2278F20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ZKX1000-Q</w:t>
            </w:r>
          </w:p>
        </w:tc>
      </w:tr>
      <w:tr w14:paraId="2984C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3555E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highlight w:val="none"/>
                <w:u w:val="none"/>
              </w:rPr>
            </w:pPr>
          </w:p>
        </w:tc>
        <w:tc>
          <w:tcPr>
            <w:tcW w:w="5059" w:type="dxa"/>
            <w:tcBorders>
              <w:top w:val="single" w:color="000000" w:sz="4" w:space="0"/>
              <w:left w:val="single" w:color="000000" w:sz="4" w:space="0"/>
              <w:bottom w:val="single" w:color="000000" w:sz="4" w:space="0"/>
              <w:right w:val="single" w:color="000000" w:sz="4" w:space="0"/>
            </w:tcBorders>
            <w:noWrap/>
            <w:vAlign w:val="center"/>
          </w:tcPr>
          <w:p w14:paraId="6219DBD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氧化炉</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14:paraId="21DECC5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P30O111A01</w:t>
            </w:r>
          </w:p>
        </w:tc>
      </w:tr>
      <w:tr w14:paraId="4BBA8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96" w:type="dxa"/>
            <w:vMerge w:val="restart"/>
            <w:tcBorders>
              <w:top w:val="single" w:color="000000" w:sz="4" w:space="0"/>
              <w:left w:val="single" w:color="000000" w:sz="4" w:space="0"/>
              <w:bottom w:val="single" w:color="000000" w:sz="4" w:space="0"/>
              <w:right w:val="single" w:color="000000" w:sz="4" w:space="0"/>
            </w:tcBorders>
            <w:noWrap/>
            <w:vAlign w:val="center"/>
          </w:tcPr>
          <w:p w14:paraId="78D0C15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重金属在线监测仪</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5607CE5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光管</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14:paraId="73A7DC0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SDD320</w:t>
            </w:r>
          </w:p>
        </w:tc>
      </w:tr>
      <w:tr w14:paraId="6FB70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96" w:type="dxa"/>
            <w:vMerge w:val="continue"/>
            <w:tcBorders>
              <w:top w:val="single" w:color="000000" w:sz="4" w:space="0"/>
              <w:left w:val="single" w:color="000000" w:sz="4" w:space="0"/>
              <w:bottom w:val="single" w:color="000000" w:sz="4" w:space="0"/>
              <w:right w:val="single" w:color="000000" w:sz="4" w:space="0"/>
            </w:tcBorders>
            <w:noWrap/>
            <w:vAlign w:val="center"/>
          </w:tcPr>
          <w:p w14:paraId="2798735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highlight w:val="none"/>
                <w:u w:val="none"/>
              </w:rPr>
            </w:pP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3C98E06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主板</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14:paraId="519F3CE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57-011013</w:t>
            </w:r>
          </w:p>
        </w:tc>
      </w:tr>
      <w:tr w14:paraId="66303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96" w:type="dxa"/>
            <w:vMerge w:val="restart"/>
            <w:tcBorders>
              <w:top w:val="single" w:color="000000" w:sz="4" w:space="0"/>
              <w:left w:val="single" w:color="000000" w:sz="4" w:space="0"/>
              <w:bottom w:val="nil"/>
              <w:right w:val="single" w:color="000000" w:sz="4" w:space="0"/>
            </w:tcBorders>
            <w:noWrap w:val="0"/>
            <w:vAlign w:val="center"/>
          </w:tcPr>
          <w:p w14:paraId="32A9038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可溶性阴阳离子浓度在线监测仪</w:t>
            </w:r>
          </w:p>
        </w:tc>
        <w:tc>
          <w:tcPr>
            <w:tcW w:w="5059" w:type="dxa"/>
            <w:tcBorders>
              <w:top w:val="single" w:color="000000" w:sz="4" w:space="0"/>
              <w:left w:val="single" w:color="000000" w:sz="4" w:space="0"/>
              <w:bottom w:val="single" w:color="000000" w:sz="4" w:space="0"/>
              <w:right w:val="single" w:color="000000" w:sz="4" w:space="0"/>
            </w:tcBorders>
            <w:noWrap/>
            <w:vAlign w:val="center"/>
          </w:tcPr>
          <w:p w14:paraId="266D8F7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蒸汽发生器组件</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14:paraId="297821F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P30W11001</w:t>
            </w:r>
          </w:p>
        </w:tc>
      </w:tr>
      <w:tr w14:paraId="4988F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96" w:type="dxa"/>
            <w:vMerge w:val="continue"/>
            <w:tcBorders>
              <w:top w:val="single" w:color="000000" w:sz="4" w:space="0"/>
              <w:left w:val="single" w:color="000000" w:sz="4" w:space="0"/>
              <w:bottom w:val="nil"/>
              <w:right w:val="single" w:color="000000" w:sz="4" w:space="0"/>
            </w:tcBorders>
            <w:noWrap w:val="0"/>
            <w:vAlign w:val="center"/>
          </w:tcPr>
          <w:p w14:paraId="7E1D582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highlight w:val="none"/>
                <w:u w:val="none"/>
              </w:rPr>
            </w:pPr>
          </w:p>
        </w:tc>
        <w:tc>
          <w:tcPr>
            <w:tcW w:w="5059" w:type="dxa"/>
            <w:tcBorders>
              <w:top w:val="single" w:color="000000" w:sz="4" w:space="0"/>
              <w:left w:val="single" w:color="000000" w:sz="4" w:space="0"/>
              <w:bottom w:val="single" w:color="000000" w:sz="4" w:space="0"/>
              <w:right w:val="single" w:color="000000" w:sz="4" w:space="0"/>
            </w:tcBorders>
            <w:noWrap/>
            <w:vAlign w:val="center"/>
          </w:tcPr>
          <w:p w14:paraId="32D4829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平行板组件（v2.0）</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14:paraId="3CFD50A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P30W111A01</w:t>
            </w:r>
          </w:p>
        </w:tc>
      </w:tr>
      <w:tr w14:paraId="4A2B9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96" w:type="dxa"/>
            <w:vMerge w:val="continue"/>
            <w:tcBorders>
              <w:top w:val="single" w:color="000000" w:sz="4" w:space="0"/>
              <w:left w:val="single" w:color="000000" w:sz="4" w:space="0"/>
              <w:bottom w:val="nil"/>
              <w:right w:val="single" w:color="000000" w:sz="4" w:space="0"/>
            </w:tcBorders>
            <w:noWrap w:val="0"/>
            <w:vAlign w:val="center"/>
          </w:tcPr>
          <w:p w14:paraId="0DAE497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highlight w:val="none"/>
                <w:u w:val="none"/>
              </w:rPr>
            </w:pPr>
          </w:p>
        </w:tc>
        <w:tc>
          <w:tcPr>
            <w:tcW w:w="5059" w:type="dxa"/>
            <w:tcBorders>
              <w:top w:val="single" w:color="000000" w:sz="4" w:space="0"/>
              <w:left w:val="single" w:color="000000" w:sz="4" w:space="0"/>
              <w:bottom w:val="single" w:color="000000" w:sz="4" w:space="0"/>
              <w:right w:val="single" w:color="000000" w:sz="4" w:space="0"/>
            </w:tcBorders>
            <w:noWrap/>
            <w:vAlign w:val="center"/>
          </w:tcPr>
          <w:p w14:paraId="363D953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WAGA-100主板</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14:paraId="595ABAC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P30W104A01</w:t>
            </w:r>
          </w:p>
        </w:tc>
      </w:tr>
      <w:tr w14:paraId="757A7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96" w:type="dxa"/>
            <w:vMerge w:val="continue"/>
            <w:tcBorders>
              <w:top w:val="single" w:color="000000" w:sz="4" w:space="0"/>
              <w:left w:val="single" w:color="000000" w:sz="4" w:space="0"/>
              <w:bottom w:val="nil"/>
              <w:right w:val="single" w:color="000000" w:sz="4" w:space="0"/>
            </w:tcBorders>
            <w:noWrap w:val="0"/>
            <w:vAlign w:val="center"/>
          </w:tcPr>
          <w:p w14:paraId="1D35C38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highlight w:val="none"/>
                <w:u w:val="none"/>
              </w:rPr>
            </w:pPr>
          </w:p>
        </w:tc>
        <w:tc>
          <w:tcPr>
            <w:tcW w:w="5059" w:type="dxa"/>
            <w:tcBorders>
              <w:top w:val="single" w:color="000000" w:sz="4" w:space="0"/>
              <w:left w:val="single" w:color="000000" w:sz="4" w:space="0"/>
              <w:bottom w:val="single" w:color="000000" w:sz="4" w:space="0"/>
              <w:right w:val="single" w:color="000000" w:sz="4" w:space="0"/>
            </w:tcBorders>
            <w:noWrap/>
            <w:vAlign w:val="center"/>
          </w:tcPr>
          <w:p w14:paraId="5018B99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WAGA-100压力测量板</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14:paraId="5C414A1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P30W104A02</w:t>
            </w:r>
          </w:p>
        </w:tc>
      </w:tr>
      <w:tr w14:paraId="4C0DF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96" w:type="dxa"/>
            <w:tcBorders>
              <w:top w:val="single" w:color="000000" w:sz="4" w:space="0"/>
              <w:left w:val="single" w:color="000000" w:sz="4" w:space="0"/>
              <w:bottom w:val="single" w:color="000000" w:sz="4" w:space="0"/>
              <w:right w:val="single" w:color="000000" w:sz="4" w:space="0"/>
            </w:tcBorders>
            <w:noWrap w:val="0"/>
            <w:vAlign w:val="center"/>
          </w:tcPr>
          <w:p w14:paraId="710746F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颗粒物通量激光雷达</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78F7CA8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激光器、保护套、控制板</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14:paraId="62C2824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HSM1550-150</w:t>
            </w:r>
          </w:p>
        </w:tc>
      </w:tr>
      <w:tr w14:paraId="24D84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96" w:type="dxa"/>
            <w:vMerge w:val="restart"/>
            <w:tcBorders>
              <w:top w:val="nil"/>
              <w:left w:val="single" w:color="000000" w:sz="4" w:space="0"/>
              <w:bottom w:val="nil"/>
              <w:right w:val="single" w:color="000000" w:sz="4" w:space="0"/>
            </w:tcBorders>
            <w:noWrap w:val="0"/>
            <w:vAlign w:val="center"/>
          </w:tcPr>
          <w:p w14:paraId="542B41D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Grim粒径谱仪</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6EC6D28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激光端数据板</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14:paraId="0EC6921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X187LDRVR</w:t>
            </w:r>
          </w:p>
        </w:tc>
      </w:tr>
      <w:tr w14:paraId="56204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96" w:type="dxa"/>
            <w:vMerge w:val="continue"/>
            <w:tcBorders>
              <w:top w:val="nil"/>
              <w:left w:val="single" w:color="000000" w:sz="4" w:space="0"/>
              <w:bottom w:val="nil"/>
              <w:right w:val="single" w:color="000000" w:sz="4" w:space="0"/>
            </w:tcBorders>
            <w:noWrap w:val="0"/>
            <w:vAlign w:val="center"/>
          </w:tcPr>
          <w:p w14:paraId="4C699C8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highlight w:val="none"/>
                <w:u w:val="none"/>
              </w:rPr>
            </w:pP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00CBA3A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EDM 样品管</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14:paraId="03B99FB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182</w:t>
            </w:r>
          </w:p>
        </w:tc>
      </w:tr>
      <w:tr w14:paraId="64973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96" w:type="dxa"/>
            <w:vMerge w:val="restart"/>
            <w:tcBorders>
              <w:top w:val="single" w:color="000000" w:sz="4" w:space="0"/>
              <w:left w:val="single" w:color="000000" w:sz="4" w:space="0"/>
              <w:bottom w:val="single" w:color="000000" w:sz="4" w:space="0"/>
              <w:right w:val="single" w:color="000000" w:sz="4" w:space="0"/>
            </w:tcBorders>
            <w:noWrap w:val="0"/>
            <w:vAlign w:val="center"/>
          </w:tcPr>
          <w:p w14:paraId="1DD77AE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CH</w:t>
            </w:r>
            <w:r>
              <w:rPr>
                <w:rStyle w:val="231"/>
                <w:rFonts w:hint="default" w:ascii="Times New Roman" w:hAnsi="Times New Roman" w:cs="Times New Roman"/>
                <w:color w:val="auto"/>
                <w:highlight w:val="none"/>
                <w:lang w:val="en-US" w:eastAsia="zh-CN" w:bidi="ar"/>
              </w:rPr>
              <w:t>4</w:t>
            </w:r>
            <w:r>
              <w:rPr>
                <w:rFonts w:hint="default" w:ascii="Times New Roman" w:hAnsi="Times New Roman" w:eastAsia="宋体" w:cs="Times New Roman"/>
                <w:i w:val="0"/>
                <w:iCs w:val="0"/>
                <w:color w:val="auto"/>
                <w:kern w:val="0"/>
                <w:sz w:val="22"/>
                <w:szCs w:val="22"/>
                <w:highlight w:val="none"/>
                <w:u w:val="none"/>
                <w:lang w:val="en-US" w:eastAsia="zh-CN" w:bidi="ar"/>
              </w:rPr>
              <w:t>/NMHC在线监测仪</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7F59309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色谱柱</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14:paraId="6D0078F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SK-1</w:t>
            </w:r>
          </w:p>
        </w:tc>
      </w:tr>
      <w:tr w14:paraId="7058A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80501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highlight w:val="none"/>
                <w:u w:val="none"/>
              </w:rPr>
            </w:pP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3A3FE92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14通阀</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14:paraId="3C40F10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201-35109-03</w:t>
            </w:r>
          </w:p>
        </w:tc>
      </w:tr>
      <w:tr w14:paraId="77075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96" w:type="dxa"/>
            <w:vMerge w:val="restart"/>
            <w:tcBorders>
              <w:top w:val="single" w:color="000000" w:sz="4" w:space="0"/>
              <w:left w:val="single" w:color="000000" w:sz="4" w:space="0"/>
              <w:bottom w:val="single" w:color="000000" w:sz="4" w:space="0"/>
              <w:right w:val="single" w:color="000000" w:sz="4" w:space="0"/>
            </w:tcBorders>
            <w:noWrap w:val="0"/>
            <w:vAlign w:val="center"/>
          </w:tcPr>
          <w:p w14:paraId="4902E8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VOCs在线监测仪</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68A325E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色谱分析组件（色谱柱、分析柱、连接柱）</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14:paraId="0826ED1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SK-5MS</w:t>
            </w:r>
          </w:p>
        </w:tc>
      </w:tr>
      <w:tr w14:paraId="53FD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A76BA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highlight w:val="none"/>
                <w:u w:val="none"/>
              </w:rPr>
            </w:pP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46C5699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采样模块组件（伴热管、除水管、制冷模块）</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14:paraId="5F12373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SHIMSEN C18</w:t>
            </w:r>
          </w:p>
        </w:tc>
      </w:tr>
      <w:tr w14:paraId="03109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922CE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highlight w:val="none"/>
                <w:u w:val="none"/>
              </w:rPr>
            </w:pP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281C221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离子源</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14:paraId="5832E6B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225-17697-91</w:t>
            </w:r>
          </w:p>
        </w:tc>
      </w:tr>
      <w:tr w14:paraId="0BE01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1E265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highlight w:val="none"/>
                <w:u w:val="none"/>
              </w:rPr>
            </w:pPr>
          </w:p>
        </w:tc>
        <w:tc>
          <w:tcPr>
            <w:tcW w:w="5059" w:type="dxa"/>
            <w:tcBorders>
              <w:top w:val="single" w:color="000000" w:sz="4" w:space="0"/>
              <w:left w:val="single" w:color="000000" w:sz="4" w:space="0"/>
              <w:bottom w:val="single" w:color="000000" w:sz="4" w:space="0"/>
              <w:right w:val="single" w:color="000000" w:sz="4" w:space="0"/>
            </w:tcBorders>
            <w:noWrap/>
            <w:vAlign w:val="center"/>
          </w:tcPr>
          <w:p w14:paraId="643E257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四级杆</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14:paraId="57FC837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TSQ Fortis</w:t>
            </w:r>
          </w:p>
        </w:tc>
      </w:tr>
    </w:tbl>
    <w:p w14:paraId="71A6F716">
      <w:pPr>
        <w:pStyle w:val="18"/>
        <w:adjustRightInd w:val="0"/>
        <w:snapToGrid w:val="0"/>
        <w:spacing w:line="400" w:lineRule="exact"/>
        <w:ind w:left="0" w:leftChars="0" w:firstLine="480" w:firstLineChars="20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br w:type="page"/>
      </w:r>
      <w:r>
        <w:rPr>
          <w:rFonts w:hint="default" w:ascii="Times New Roman" w:hAnsi="Times New Roman" w:cs="Times New Roman"/>
          <w:b/>
          <w:bCs/>
          <w:color w:val="auto"/>
          <w:szCs w:val="21"/>
          <w:highlight w:val="none"/>
        </w:rPr>
        <w:t>表</w:t>
      </w:r>
      <w:r>
        <w:rPr>
          <w:rFonts w:hint="default" w:ascii="Times New Roman" w:hAnsi="Times New Roman" w:cs="Times New Roman"/>
          <w:b/>
          <w:bCs/>
          <w:color w:val="auto"/>
          <w:szCs w:val="21"/>
          <w:highlight w:val="none"/>
          <w:lang w:val="en-US" w:eastAsia="zh-CN"/>
        </w:rPr>
        <w:t>3</w:t>
      </w:r>
      <w:r>
        <w:rPr>
          <w:rFonts w:hint="default" w:ascii="Times New Roman" w:hAnsi="Times New Roman" w:cs="Times New Roman"/>
          <w:b/>
          <w:bCs/>
          <w:color w:val="auto"/>
          <w:szCs w:val="21"/>
          <w:highlight w:val="none"/>
        </w:rPr>
        <w:t xml:space="preserve">  监测仪器数据有效率要求</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412"/>
        <w:gridCol w:w="1481"/>
        <w:gridCol w:w="1973"/>
        <w:gridCol w:w="2881"/>
      </w:tblGrid>
      <w:tr w14:paraId="3DBBF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blHeader/>
          <w:jc w:val="center"/>
        </w:trPr>
        <w:tc>
          <w:tcPr>
            <w:tcW w:w="3102" w:type="dxa"/>
            <w:gridSpan w:val="2"/>
            <w:tcBorders>
              <w:top w:val="single" w:color="auto" w:sz="4" w:space="0"/>
              <w:left w:val="single" w:color="auto" w:sz="4" w:space="0"/>
              <w:bottom w:val="single" w:color="auto" w:sz="4" w:space="0"/>
              <w:right w:val="single" w:color="auto" w:sz="4" w:space="0"/>
            </w:tcBorders>
            <w:noWrap w:val="0"/>
            <w:vAlign w:val="center"/>
          </w:tcPr>
          <w:p w14:paraId="53C072B4">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项目</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7BB78D03">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数据有效率（每季度）</w:t>
            </w:r>
          </w:p>
        </w:tc>
        <w:tc>
          <w:tcPr>
            <w:tcW w:w="1973" w:type="dxa"/>
            <w:tcBorders>
              <w:top w:val="single" w:color="auto" w:sz="4" w:space="0"/>
              <w:left w:val="single" w:color="auto" w:sz="4" w:space="0"/>
              <w:bottom w:val="single" w:color="auto" w:sz="4" w:space="0"/>
              <w:right w:val="single" w:color="auto" w:sz="4" w:space="0"/>
            </w:tcBorders>
            <w:noWrap w:val="0"/>
            <w:vAlign w:val="center"/>
          </w:tcPr>
          <w:p w14:paraId="0806840A">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其他要求</w:t>
            </w:r>
          </w:p>
        </w:tc>
        <w:tc>
          <w:tcPr>
            <w:tcW w:w="2881" w:type="dxa"/>
            <w:tcBorders>
              <w:top w:val="single" w:color="auto" w:sz="4" w:space="0"/>
              <w:left w:val="single" w:color="auto" w:sz="4" w:space="0"/>
              <w:bottom w:val="single" w:color="auto" w:sz="4" w:space="0"/>
              <w:right w:val="single" w:color="auto" w:sz="4" w:space="0"/>
            </w:tcBorders>
            <w:noWrap w:val="0"/>
            <w:vAlign w:val="center"/>
          </w:tcPr>
          <w:p w14:paraId="7861C953">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异常情况处理率</w:t>
            </w:r>
          </w:p>
        </w:tc>
      </w:tr>
      <w:tr w14:paraId="3B2D5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048D9DAE">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6520448A">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SO</w:t>
            </w:r>
            <w:r>
              <w:rPr>
                <w:rFonts w:hint="default" w:ascii="Times New Roman" w:hAnsi="Times New Roman" w:cs="Times New Roman"/>
                <w:color w:val="auto"/>
                <w:szCs w:val="21"/>
                <w:highlight w:val="none"/>
                <w:vertAlign w:val="subscript"/>
              </w:rPr>
              <w:t>2</w:t>
            </w:r>
            <w:r>
              <w:rPr>
                <w:rFonts w:hint="default" w:ascii="Times New Roman" w:hAnsi="Times New Roman" w:cs="Times New Roman"/>
                <w:color w:val="auto"/>
                <w:szCs w:val="21"/>
                <w:highlight w:val="none"/>
              </w:rPr>
              <w:t>/NO</w:t>
            </w:r>
            <w:r>
              <w:rPr>
                <w:rFonts w:hint="default" w:ascii="Times New Roman" w:hAnsi="Times New Roman" w:cs="Times New Roman"/>
                <w:i/>
                <w:iCs/>
                <w:color w:val="auto"/>
                <w:szCs w:val="21"/>
                <w:highlight w:val="none"/>
                <w:vertAlign w:val="subscript"/>
              </w:rPr>
              <w:t>x</w:t>
            </w:r>
            <w:r>
              <w:rPr>
                <w:rFonts w:hint="default" w:ascii="Times New Roman" w:hAnsi="Times New Roman" w:cs="Times New Roman"/>
                <w:color w:val="auto"/>
                <w:szCs w:val="21"/>
                <w:highlight w:val="none"/>
              </w:rPr>
              <w:t>/CO/O</w:t>
            </w:r>
            <w:r>
              <w:rPr>
                <w:rFonts w:hint="default" w:ascii="Times New Roman" w:hAnsi="Times New Roman" w:cs="Times New Roman"/>
                <w:color w:val="auto"/>
                <w:szCs w:val="21"/>
                <w:highlight w:val="none"/>
                <w:vertAlign w:val="subscript"/>
              </w:rPr>
              <w:t>3</w:t>
            </w:r>
            <w:r>
              <w:rPr>
                <w:rFonts w:hint="default" w:ascii="Times New Roman" w:hAnsi="Times New Roman" w:cs="Times New Roman"/>
                <w:color w:val="auto"/>
                <w:szCs w:val="21"/>
                <w:highlight w:val="none"/>
              </w:rPr>
              <w:t>在线监测系统</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3CB63E18">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≥90%</w:t>
            </w:r>
          </w:p>
        </w:tc>
        <w:tc>
          <w:tcPr>
            <w:tcW w:w="1973" w:type="dxa"/>
            <w:vMerge w:val="restart"/>
            <w:tcBorders>
              <w:top w:val="single" w:color="auto" w:sz="4" w:space="0"/>
              <w:left w:val="single" w:color="auto" w:sz="4" w:space="0"/>
              <w:right w:val="single" w:color="auto" w:sz="4" w:space="0"/>
            </w:tcBorders>
            <w:noWrap w:val="0"/>
            <w:vAlign w:val="center"/>
          </w:tcPr>
          <w:p w14:paraId="460DEF70">
            <w:pPr>
              <w:keepNext w:val="0"/>
              <w:keepLines w:val="0"/>
              <w:suppressLineNumbers w:val="0"/>
              <w:adjustRightInd w:val="0"/>
              <w:snapToGrid w:val="0"/>
              <w:spacing w:before="0" w:beforeAutospacing="0" w:after="0" w:afterAutospacing="0" w:line="400" w:lineRule="exact"/>
              <w:ind w:left="0" w:right="0"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重污染期间数据有效率不低于90%。</w:t>
            </w:r>
          </w:p>
        </w:tc>
        <w:tc>
          <w:tcPr>
            <w:tcW w:w="2881" w:type="dxa"/>
            <w:vMerge w:val="restart"/>
            <w:tcBorders>
              <w:top w:val="single" w:color="auto" w:sz="4" w:space="0"/>
              <w:left w:val="single" w:color="auto" w:sz="4" w:space="0"/>
              <w:right w:val="single" w:color="auto" w:sz="4" w:space="0"/>
            </w:tcBorders>
            <w:noWrap w:val="0"/>
            <w:vAlign w:val="center"/>
          </w:tcPr>
          <w:p w14:paraId="7EA12E12">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100%</w:t>
            </w:r>
          </w:p>
        </w:tc>
      </w:tr>
      <w:tr w14:paraId="004D0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0DDA9AF1">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4F2A8ABE">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PM</w:t>
            </w:r>
            <w:r>
              <w:rPr>
                <w:rFonts w:hint="default" w:ascii="Times New Roman" w:hAnsi="Times New Roman" w:cs="Times New Roman"/>
                <w:color w:val="auto"/>
                <w:szCs w:val="21"/>
                <w:highlight w:val="none"/>
                <w:vertAlign w:val="subscript"/>
              </w:rPr>
              <w:t>10</w:t>
            </w:r>
            <w:r>
              <w:rPr>
                <w:rFonts w:hint="default" w:ascii="Times New Roman" w:hAnsi="Times New Roman" w:cs="Times New Roman"/>
                <w:color w:val="auto"/>
                <w:szCs w:val="21"/>
                <w:highlight w:val="none"/>
              </w:rPr>
              <w:t>自动监测仪</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73D1B47A">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≥90%</w:t>
            </w:r>
          </w:p>
        </w:tc>
        <w:tc>
          <w:tcPr>
            <w:tcW w:w="1973" w:type="dxa"/>
            <w:vMerge w:val="continue"/>
            <w:tcBorders>
              <w:left w:val="single" w:color="auto" w:sz="4" w:space="0"/>
              <w:right w:val="single" w:color="auto" w:sz="4" w:space="0"/>
            </w:tcBorders>
            <w:noWrap w:val="0"/>
            <w:vAlign w:val="center"/>
          </w:tcPr>
          <w:p w14:paraId="76660508">
            <w:pPr>
              <w:keepNext w:val="0"/>
              <w:keepLines w:val="0"/>
              <w:widowControl/>
              <w:suppressLineNumbers w:val="0"/>
              <w:adjustRightInd w:val="0"/>
              <w:snapToGrid w:val="0"/>
              <w:spacing w:before="0" w:beforeAutospacing="0" w:after="0" w:afterAutospacing="0" w:line="400" w:lineRule="exact"/>
              <w:ind w:left="0" w:right="0"/>
              <w:jc w:val="left"/>
              <w:rPr>
                <w:rFonts w:hint="default" w:ascii="Times New Roman" w:hAnsi="Times New Roman" w:cs="Times New Roman"/>
                <w:color w:val="auto"/>
                <w:szCs w:val="21"/>
                <w:highlight w:val="none"/>
              </w:rPr>
            </w:pPr>
          </w:p>
        </w:tc>
        <w:tc>
          <w:tcPr>
            <w:tcW w:w="2881" w:type="dxa"/>
            <w:vMerge w:val="continue"/>
            <w:tcBorders>
              <w:left w:val="single" w:color="auto" w:sz="4" w:space="0"/>
              <w:right w:val="single" w:color="auto" w:sz="4" w:space="0"/>
            </w:tcBorders>
            <w:noWrap w:val="0"/>
            <w:vAlign w:val="center"/>
          </w:tcPr>
          <w:p w14:paraId="131B2B55">
            <w:pPr>
              <w:keepNext w:val="0"/>
              <w:keepLines w:val="0"/>
              <w:widowControl/>
              <w:suppressLineNumbers w:val="0"/>
              <w:adjustRightInd w:val="0"/>
              <w:snapToGrid w:val="0"/>
              <w:spacing w:before="0" w:beforeAutospacing="0" w:after="0" w:afterAutospacing="0" w:line="400" w:lineRule="exact"/>
              <w:ind w:left="0" w:right="0"/>
              <w:jc w:val="left"/>
              <w:rPr>
                <w:rFonts w:hint="default" w:ascii="Times New Roman" w:hAnsi="Times New Roman" w:cs="Times New Roman"/>
                <w:color w:val="auto"/>
                <w:szCs w:val="21"/>
                <w:highlight w:val="none"/>
              </w:rPr>
            </w:pPr>
          </w:p>
        </w:tc>
      </w:tr>
      <w:tr w14:paraId="044E0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7C4B5165">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04925EF0">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PM</w:t>
            </w:r>
            <w:r>
              <w:rPr>
                <w:rFonts w:hint="default" w:ascii="Times New Roman" w:hAnsi="Times New Roman" w:cs="Times New Roman"/>
                <w:color w:val="auto"/>
                <w:szCs w:val="21"/>
                <w:highlight w:val="none"/>
                <w:vertAlign w:val="subscript"/>
              </w:rPr>
              <w:t>2.5</w:t>
            </w:r>
            <w:r>
              <w:rPr>
                <w:rFonts w:hint="default" w:ascii="Times New Roman" w:hAnsi="Times New Roman" w:cs="Times New Roman"/>
                <w:color w:val="auto"/>
                <w:szCs w:val="21"/>
                <w:highlight w:val="none"/>
              </w:rPr>
              <w:t>自动监测仪</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46773E00">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≥90%</w:t>
            </w:r>
          </w:p>
        </w:tc>
        <w:tc>
          <w:tcPr>
            <w:tcW w:w="1973" w:type="dxa"/>
            <w:vMerge w:val="continue"/>
            <w:tcBorders>
              <w:left w:val="single" w:color="auto" w:sz="4" w:space="0"/>
              <w:right w:val="single" w:color="auto" w:sz="4" w:space="0"/>
            </w:tcBorders>
            <w:noWrap w:val="0"/>
            <w:vAlign w:val="center"/>
          </w:tcPr>
          <w:p w14:paraId="1693917C">
            <w:pPr>
              <w:keepNext w:val="0"/>
              <w:keepLines w:val="0"/>
              <w:widowControl/>
              <w:suppressLineNumbers w:val="0"/>
              <w:adjustRightInd w:val="0"/>
              <w:snapToGrid w:val="0"/>
              <w:spacing w:before="0" w:beforeAutospacing="0" w:after="0" w:afterAutospacing="0" w:line="400" w:lineRule="exact"/>
              <w:ind w:left="0" w:right="0"/>
              <w:jc w:val="left"/>
              <w:rPr>
                <w:rFonts w:hint="default" w:ascii="Times New Roman" w:hAnsi="Times New Roman" w:cs="Times New Roman"/>
                <w:color w:val="auto"/>
                <w:szCs w:val="21"/>
                <w:highlight w:val="none"/>
              </w:rPr>
            </w:pPr>
          </w:p>
        </w:tc>
        <w:tc>
          <w:tcPr>
            <w:tcW w:w="2881" w:type="dxa"/>
            <w:vMerge w:val="continue"/>
            <w:tcBorders>
              <w:left w:val="single" w:color="auto" w:sz="4" w:space="0"/>
              <w:right w:val="single" w:color="auto" w:sz="4" w:space="0"/>
            </w:tcBorders>
            <w:noWrap w:val="0"/>
            <w:vAlign w:val="center"/>
          </w:tcPr>
          <w:p w14:paraId="44951BD5">
            <w:pPr>
              <w:keepNext w:val="0"/>
              <w:keepLines w:val="0"/>
              <w:widowControl/>
              <w:suppressLineNumbers w:val="0"/>
              <w:adjustRightInd w:val="0"/>
              <w:snapToGrid w:val="0"/>
              <w:spacing w:before="0" w:beforeAutospacing="0" w:after="0" w:afterAutospacing="0" w:line="400" w:lineRule="exact"/>
              <w:ind w:left="0" w:right="0"/>
              <w:jc w:val="left"/>
              <w:rPr>
                <w:rFonts w:hint="default" w:ascii="Times New Roman" w:hAnsi="Times New Roman" w:cs="Times New Roman"/>
                <w:color w:val="auto"/>
                <w:szCs w:val="21"/>
                <w:highlight w:val="none"/>
              </w:rPr>
            </w:pPr>
          </w:p>
        </w:tc>
      </w:tr>
      <w:tr w14:paraId="1CE38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3EAE393A">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05C39284">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PM</w:t>
            </w:r>
            <w:r>
              <w:rPr>
                <w:rFonts w:hint="default" w:ascii="Times New Roman" w:hAnsi="Times New Roman" w:cs="Times New Roman"/>
                <w:color w:val="auto"/>
                <w:szCs w:val="21"/>
                <w:highlight w:val="none"/>
                <w:vertAlign w:val="subscript"/>
              </w:rPr>
              <w:t>1.0</w:t>
            </w:r>
            <w:r>
              <w:rPr>
                <w:rFonts w:hint="default" w:ascii="Times New Roman" w:hAnsi="Times New Roman" w:cs="Times New Roman"/>
                <w:color w:val="auto"/>
                <w:szCs w:val="21"/>
                <w:highlight w:val="none"/>
              </w:rPr>
              <w:t>自动监测仪</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67DC2A70">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≥90%</w:t>
            </w:r>
          </w:p>
        </w:tc>
        <w:tc>
          <w:tcPr>
            <w:tcW w:w="1973" w:type="dxa"/>
            <w:vMerge w:val="continue"/>
            <w:tcBorders>
              <w:left w:val="single" w:color="auto" w:sz="4" w:space="0"/>
              <w:right w:val="single" w:color="auto" w:sz="4" w:space="0"/>
            </w:tcBorders>
            <w:noWrap w:val="0"/>
            <w:vAlign w:val="center"/>
          </w:tcPr>
          <w:p w14:paraId="1897033C">
            <w:pPr>
              <w:keepNext w:val="0"/>
              <w:keepLines w:val="0"/>
              <w:widowControl/>
              <w:suppressLineNumbers w:val="0"/>
              <w:adjustRightInd w:val="0"/>
              <w:snapToGrid w:val="0"/>
              <w:spacing w:before="0" w:beforeAutospacing="0" w:after="0" w:afterAutospacing="0" w:line="400" w:lineRule="exact"/>
              <w:ind w:left="0" w:right="0"/>
              <w:jc w:val="left"/>
              <w:rPr>
                <w:rFonts w:hint="default" w:ascii="Times New Roman" w:hAnsi="Times New Roman" w:cs="Times New Roman"/>
                <w:color w:val="auto"/>
                <w:szCs w:val="21"/>
                <w:highlight w:val="none"/>
              </w:rPr>
            </w:pPr>
          </w:p>
        </w:tc>
        <w:tc>
          <w:tcPr>
            <w:tcW w:w="2881" w:type="dxa"/>
            <w:vMerge w:val="continue"/>
            <w:tcBorders>
              <w:left w:val="single" w:color="auto" w:sz="4" w:space="0"/>
              <w:right w:val="single" w:color="auto" w:sz="4" w:space="0"/>
            </w:tcBorders>
            <w:noWrap w:val="0"/>
            <w:vAlign w:val="center"/>
          </w:tcPr>
          <w:p w14:paraId="0D0EF319">
            <w:pPr>
              <w:keepNext w:val="0"/>
              <w:keepLines w:val="0"/>
              <w:widowControl/>
              <w:suppressLineNumbers w:val="0"/>
              <w:adjustRightInd w:val="0"/>
              <w:snapToGrid w:val="0"/>
              <w:spacing w:before="0" w:beforeAutospacing="0" w:after="0" w:afterAutospacing="0" w:line="400" w:lineRule="exact"/>
              <w:ind w:left="0" w:right="0"/>
              <w:jc w:val="left"/>
              <w:rPr>
                <w:rFonts w:hint="default" w:ascii="Times New Roman" w:hAnsi="Times New Roman" w:cs="Times New Roman"/>
                <w:color w:val="auto"/>
                <w:szCs w:val="21"/>
                <w:highlight w:val="none"/>
              </w:rPr>
            </w:pPr>
          </w:p>
        </w:tc>
      </w:tr>
      <w:tr w14:paraId="67CE8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05DA69D6">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031A6416">
            <w:pPr>
              <w:keepNext w:val="0"/>
              <w:keepLines w:val="0"/>
              <w:widowControl/>
              <w:suppressLineNumbers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cs="Times New Roman"/>
                <w:color w:val="auto"/>
                <w:szCs w:val="21"/>
                <w:highlight w:val="none"/>
              </w:rPr>
              <w:t>NOx/NH</w:t>
            </w:r>
            <w:r>
              <w:rPr>
                <w:rFonts w:hint="default" w:ascii="Times New Roman" w:hAnsi="Times New Roman" w:cs="Times New Roman"/>
                <w:color w:val="auto"/>
                <w:szCs w:val="21"/>
                <w:highlight w:val="none"/>
                <w:vertAlign w:val="subscript"/>
              </w:rPr>
              <w:t>3</w:t>
            </w:r>
            <w:r>
              <w:rPr>
                <w:rFonts w:hint="default" w:ascii="Times New Roman" w:hAnsi="Times New Roman" w:cs="Times New Roman"/>
                <w:color w:val="auto"/>
                <w:szCs w:val="21"/>
                <w:highlight w:val="none"/>
              </w:rPr>
              <w:t>监测仪</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5D967F31">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9</w:t>
            </w:r>
            <w:r>
              <w:rPr>
                <w:rFonts w:hint="default" w:ascii="Times New Roman" w:hAnsi="Times New Roman" w:cs="Times New Roman"/>
                <w:color w:val="auto"/>
                <w:szCs w:val="21"/>
                <w:highlight w:val="none"/>
              </w:rPr>
              <w:t>0%</w:t>
            </w:r>
          </w:p>
        </w:tc>
        <w:tc>
          <w:tcPr>
            <w:tcW w:w="1973" w:type="dxa"/>
            <w:vMerge w:val="continue"/>
            <w:tcBorders>
              <w:left w:val="single" w:color="auto" w:sz="4" w:space="0"/>
              <w:right w:val="single" w:color="auto" w:sz="4" w:space="0"/>
            </w:tcBorders>
            <w:noWrap w:val="0"/>
            <w:vAlign w:val="center"/>
          </w:tcPr>
          <w:p w14:paraId="3B77DEA2">
            <w:pPr>
              <w:keepNext w:val="0"/>
              <w:keepLines w:val="0"/>
              <w:widowControl/>
              <w:suppressLineNumbers w:val="0"/>
              <w:adjustRightInd w:val="0"/>
              <w:snapToGrid w:val="0"/>
              <w:spacing w:before="0" w:beforeAutospacing="0" w:after="0" w:afterAutospacing="0" w:line="400" w:lineRule="exact"/>
              <w:ind w:left="0" w:right="0"/>
              <w:jc w:val="left"/>
              <w:rPr>
                <w:rFonts w:hint="default" w:ascii="Times New Roman" w:hAnsi="Times New Roman" w:cs="Times New Roman"/>
                <w:color w:val="auto"/>
                <w:szCs w:val="21"/>
                <w:highlight w:val="none"/>
              </w:rPr>
            </w:pPr>
          </w:p>
        </w:tc>
        <w:tc>
          <w:tcPr>
            <w:tcW w:w="2881" w:type="dxa"/>
            <w:vMerge w:val="continue"/>
            <w:tcBorders>
              <w:left w:val="single" w:color="auto" w:sz="4" w:space="0"/>
              <w:right w:val="single" w:color="auto" w:sz="4" w:space="0"/>
            </w:tcBorders>
            <w:noWrap w:val="0"/>
            <w:vAlign w:val="center"/>
          </w:tcPr>
          <w:p w14:paraId="243EBD37">
            <w:pPr>
              <w:keepNext w:val="0"/>
              <w:keepLines w:val="0"/>
              <w:widowControl/>
              <w:suppressLineNumbers w:val="0"/>
              <w:adjustRightInd w:val="0"/>
              <w:snapToGrid w:val="0"/>
              <w:spacing w:before="0" w:beforeAutospacing="0" w:after="0" w:afterAutospacing="0" w:line="400" w:lineRule="exact"/>
              <w:ind w:left="0" w:right="0"/>
              <w:jc w:val="left"/>
              <w:rPr>
                <w:rFonts w:hint="default" w:ascii="Times New Roman" w:hAnsi="Times New Roman" w:cs="Times New Roman"/>
                <w:color w:val="auto"/>
                <w:szCs w:val="21"/>
                <w:highlight w:val="none"/>
              </w:rPr>
            </w:pPr>
          </w:p>
        </w:tc>
      </w:tr>
      <w:tr w14:paraId="76DA2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362E3B72">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162329D4">
            <w:pPr>
              <w:keepNext w:val="0"/>
              <w:keepLines w:val="0"/>
              <w:widowControl/>
              <w:suppressLineNumbers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cs="Times New Roman"/>
                <w:color w:val="auto"/>
                <w:szCs w:val="21"/>
                <w:highlight w:val="none"/>
              </w:rPr>
              <w:t>能见度仪器</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07568CBD">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cs="Times New Roman"/>
                <w:color w:val="auto"/>
                <w:szCs w:val="21"/>
                <w:highlight w:val="none"/>
              </w:rPr>
              <w:t>≥80%</w:t>
            </w:r>
          </w:p>
        </w:tc>
        <w:tc>
          <w:tcPr>
            <w:tcW w:w="1973" w:type="dxa"/>
            <w:vMerge w:val="continue"/>
            <w:tcBorders>
              <w:left w:val="single" w:color="auto" w:sz="4" w:space="0"/>
              <w:right w:val="single" w:color="auto" w:sz="4" w:space="0"/>
            </w:tcBorders>
            <w:noWrap w:val="0"/>
            <w:vAlign w:val="center"/>
          </w:tcPr>
          <w:p w14:paraId="584287DB">
            <w:pPr>
              <w:keepNext w:val="0"/>
              <w:keepLines w:val="0"/>
              <w:widowControl/>
              <w:suppressLineNumbers w:val="0"/>
              <w:adjustRightInd w:val="0"/>
              <w:snapToGrid w:val="0"/>
              <w:spacing w:before="0" w:beforeAutospacing="0" w:after="0" w:afterAutospacing="0" w:line="400" w:lineRule="exact"/>
              <w:ind w:left="0" w:right="0"/>
              <w:jc w:val="left"/>
              <w:rPr>
                <w:rFonts w:hint="default" w:ascii="Times New Roman" w:hAnsi="Times New Roman" w:cs="Times New Roman"/>
                <w:color w:val="auto"/>
                <w:szCs w:val="21"/>
                <w:highlight w:val="none"/>
              </w:rPr>
            </w:pPr>
          </w:p>
        </w:tc>
        <w:tc>
          <w:tcPr>
            <w:tcW w:w="2881" w:type="dxa"/>
            <w:vMerge w:val="continue"/>
            <w:tcBorders>
              <w:left w:val="single" w:color="auto" w:sz="4" w:space="0"/>
              <w:right w:val="single" w:color="auto" w:sz="4" w:space="0"/>
            </w:tcBorders>
            <w:noWrap w:val="0"/>
            <w:vAlign w:val="center"/>
          </w:tcPr>
          <w:p w14:paraId="43516307">
            <w:pPr>
              <w:keepNext w:val="0"/>
              <w:keepLines w:val="0"/>
              <w:widowControl/>
              <w:suppressLineNumbers w:val="0"/>
              <w:adjustRightInd w:val="0"/>
              <w:snapToGrid w:val="0"/>
              <w:spacing w:before="0" w:beforeAutospacing="0" w:after="0" w:afterAutospacing="0" w:line="400" w:lineRule="exact"/>
              <w:ind w:left="0" w:right="0"/>
              <w:jc w:val="left"/>
              <w:rPr>
                <w:rFonts w:hint="default" w:ascii="Times New Roman" w:hAnsi="Times New Roman" w:cs="Times New Roman"/>
                <w:color w:val="auto"/>
                <w:szCs w:val="21"/>
                <w:highlight w:val="none"/>
              </w:rPr>
            </w:pPr>
          </w:p>
        </w:tc>
      </w:tr>
      <w:tr w14:paraId="7CAC9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0A90B1E3">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63FA25AD">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城市摄影系统</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3368A5C1">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cs="Times New Roman"/>
                <w:color w:val="auto"/>
                <w:szCs w:val="21"/>
                <w:highlight w:val="none"/>
              </w:rPr>
              <w:t>≥90%</w:t>
            </w:r>
          </w:p>
        </w:tc>
        <w:tc>
          <w:tcPr>
            <w:tcW w:w="1973" w:type="dxa"/>
            <w:vMerge w:val="continue"/>
            <w:tcBorders>
              <w:left w:val="single" w:color="auto" w:sz="4" w:space="0"/>
              <w:right w:val="single" w:color="auto" w:sz="4" w:space="0"/>
            </w:tcBorders>
            <w:noWrap w:val="0"/>
            <w:vAlign w:val="center"/>
          </w:tcPr>
          <w:p w14:paraId="37BA3815">
            <w:pPr>
              <w:keepNext w:val="0"/>
              <w:keepLines w:val="0"/>
              <w:widowControl/>
              <w:suppressLineNumbers w:val="0"/>
              <w:adjustRightInd w:val="0"/>
              <w:snapToGrid w:val="0"/>
              <w:spacing w:before="0" w:beforeAutospacing="0" w:after="0" w:afterAutospacing="0" w:line="400" w:lineRule="exact"/>
              <w:ind w:left="0" w:right="0"/>
              <w:jc w:val="left"/>
              <w:rPr>
                <w:rFonts w:hint="default" w:ascii="Times New Roman" w:hAnsi="Times New Roman" w:cs="Times New Roman"/>
                <w:color w:val="auto"/>
                <w:szCs w:val="21"/>
                <w:highlight w:val="none"/>
              </w:rPr>
            </w:pPr>
          </w:p>
        </w:tc>
        <w:tc>
          <w:tcPr>
            <w:tcW w:w="2881" w:type="dxa"/>
            <w:vMerge w:val="continue"/>
            <w:tcBorders>
              <w:left w:val="single" w:color="auto" w:sz="4" w:space="0"/>
              <w:right w:val="single" w:color="auto" w:sz="4" w:space="0"/>
            </w:tcBorders>
            <w:noWrap w:val="0"/>
            <w:vAlign w:val="center"/>
          </w:tcPr>
          <w:p w14:paraId="638FC2AD">
            <w:pPr>
              <w:keepNext w:val="0"/>
              <w:keepLines w:val="0"/>
              <w:widowControl/>
              <w:suppressLineNumbers w:val="0"/>
              <w:adjustRightInd w:val="0"/>
              <w:snapToGrid w:val="0"/>
              <w:spacing w:before="0" w:beforeAutospacing="0" w:after="0" w:afterAutospacing="0" w:line="400" w:lineRule="exact"/>
              <w:ind w:left="0" w:right="0"/>
              <w:jc w:val="left"/>
              <w:rPr>
                <w:rFonts w:hint="default" w:ascii="Times New Roman" w:hAnsi="Times New Roman" w:cs="Times New Roman"/>
                <w:color w:val="auto"/>
                <w:szCs w:val="21"/>
                <w:highlight w:val="none"/>
              </w:rPr>
            </w:pPr>
          </w:p>
        </w:tc>
      </w:tr>
      <w:tr w14:paraId="2D900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55FEB8C4">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8</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555F5CC9">
            <w:pPr>
              <w:keepNext w:val="0"/>
              <w:keepLines w:val="0"/>
              <w:widowControl/>
              <w:suppressLineNumbers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cs="Times New Roman"/>
                <w:color w:val="auto"/>
                <w:szCs w:val="21"/>
                <w:highlight w:val="none"/>
              </w:rPr>
              <w:t>OC/EC在线监测仪</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2E6749D7">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cs="Times New Roman"/>
                <w:color w:val="auto"/>
                <w:szCs w:val="21"/>
                <w:highlight w:val="none"/>
              </w:rPr>
              <w:t>≥80%</w:t>
            </w:r>
          </w:p>
        </w:tc>
        <w:tc>
          <w:tcPr>
            <w:tcW w:w="1973" w:type="dxa"/>
            <w:vMerge w:val="continue"/>
            <w:tcBorders>
              <w:left w:val="single" w:color="auto" w:sz="4" w:space="0"/>
              <w:right w:val="single" w:color="auto" w:sz="4" w:space="0"/>
            </w:tcBorders>
            <w:noWrap w:val="0"/>
            <w:vAlign w:val="center"/>
          </w:tcPr>
          <w:p w14:paraId="5C6E0DC6">
            <w:pPr>
              <w:keepNext w:val="0"/>
              <w:keepLines w:val="0"/>
              <w:widowControl/>
              <w:suppressLineNumbers w:val="0"/>
              <w:adjustRightInd w:val="0"/>
              <w:snapToGrid w:val="0"/>
              <w:spacing w:before="0" w:beforeAutospacing="0" w:after="0" w:afterAutospacing="0" w:line="400" w:lineRule="exact"/>
              <w:ind w:left="0" w:right="0"/>
              <w:jc w:val="left"/>
              <w:rPr>
                <w:rFonts w:hint="default" w:ascii="Times New Roman" w:hAnsi="Times New Roman" w:cs="Times New Roman"/>
                <w:color w:val="auto"/>
                <w:szCs w:val="21"/>
                <w:highlight w:val="none"/>
              </w:rPr>
            </w:pPr>
          </w:p>
        </w:tc>
        <w:tc>
          <w:tcPr>
            <w:tcW w:w="2881" w:type="dxa"/>
            <w:vMerge w:val="continue"/>
            <w:tcBorders>
              <w:left w:val="single" w:color="auto" w:sz="4" w:space="0"/>
              <w:right w:val="single" w:color="auto" w:sz="4" w:space="0"/>
            </w:tcBorders>
            <w:noWrap w:val="0"/>
            <w:vAlign w:val="center"/>
          </w:tcPr>
          <w:p w14:paraId="1E8982E6">
            <w:pPr>
              <w:keepNext w:val="0"/>
              <w:keepLines w:val="0"/>
              <w:widowControl/>
              <w:suppressLineNumbers w:val="0"/>
              <w:adjustRightInd w:val="0"/>
              <w:snapToGrid w:val="0"/>
              <w:spacing w:before="0" w:beforeAutospacing="0" w:after="0" w:afterAutospacing="0" w:line="400" w:lineRule="exact"/>
              <w:ind w:left="0" w:right="0"/>
              <w:jc w:val="left"/>
              <w:rPr>
                <w:rFonts w:hint="default" w:ascii="Times New Roman" w:hAnsi="Times New Roman" w:cs="Times New Roman"/>
                <w:color w:val="auto"/>
                <w:szCs w:val="21"/>
                <w:highlight w:val="none"/>
              </w:rPr>
            </w:pPr>
          </w:p>
        </w:tc>
      </w:tr>
      <w:tr w14:paraId="1465F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03C196D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9</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701F9AA3">
            <w:pPr>
              <w:keepNext w:val="0"/>
              <w:keepLines w:val="0"/>
              <w:widowControl/>
              <w:suppressLineNumbers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cs="Times New Roman"/>
                <w:color w:val="auto"/>
                <w:szCs w:val="21"/>
                <w:highlight w:val="none"/>
              </w:rPr>
              <w:t>重金属在线监测仪</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22840F5C">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cs="Times New Roman"/>
                <w:color w:val="auto"/>
                <w:szCs w:val="21"/>
                <w:highlight w:val="none"/>
              </w:rPr>
              <w:t>≥80%</w:t>
            </w:r>
          </w:p>
        </w:tc>
        <w:tc>
          <w:tcPr>
            <w:tcW w:w="1973" w:type="dxa"/>
            <w:vMerge w:val="continue"/>
            <w:tcBorders>
              <w:left w:val="single" w:color="auto" w:sz="4" w:space="0"/>
              <w:right w:val="single" w:color="auto" w:sz="4" w:space="0"/>
            </w:tcBorders>
            <w:noWrap w:val="0"/>
            <w:vAlign w:val="center"/>
          </w:tcPr>
          <w:p w14:paraId="5FFD6F1F">
            <w:pPr>
              <w:keepNext w:val="0"/>
              <w:keepLines w:val="0"/>
              <w:widowControl/>
              <w:suppressLineNumbers w:val="0"/>
              <w:adjustRightInd w:val="0"/>
              <w:snapToGrid w:val="0"/>
              <w:spacing w:before="0" w:beforeAutospacing="0" w:after="0" w:afterAutospacing="0" w:line="400" w:lineRule="exact"/>
              <w:ind w:left="0" w:right="0"/>
              <w:jc w:val="left"/>
              <w:rPr>
                <w:rFonts w:hint="default" w:ascii="Times New Roman" w:hAnsi="Times New Roman" w:cs="Times New Roman"/>
                <w:color w:val="auto"/>
                <w:szCs w:val="21"/>
                <w:highlight w:val="none"/>
              </w:rPr>
            </w:pPr>
          </w:p>
        </w:tc>
        <w:tc>
          <w:tcPr>
            <w:tcW w:w="2881" w:type="dxa"/>
            <w:vMerge w:val="continue"/>
            <w:tcBorders>
              <w:left w:val="single" w:color="auto" w:sz="4" w:space="0"/>
              <w:right w:val="single" w:color="auto" w:sz="4" w:space="0"/>
            </w:tcBorders>
            <w:noWrap w:val="0"/>
            <w:vAlign w:val="center"/>
          </w:tcPr>
          <w:p w14:paraId="301703EC">
            <w:pPr>
              <w:keepNext w:val="0"/>
              <w:keepLines w:val="0"/>
              <w:widowControl/>
              <w:suppressLineNumbers w:val="0"/>
              <w:adjustRightInd w:val="0"/>
              <w:snapToGrid w:val="0"/>
              <w:spacing w:before="0" w:beforeAutospacing="0" w:after="0" w:afterAutospacing="0" w:line="400" w:lineRule="exact"/>
              <w:ind w:left="0" w:right="0"/>
              <w:jc w:val="left"/>
              <w:rPr>
                <w:rFonts w:hint="default" w:ascii="Times New Roman" w:hAnsi="Times New Roman" w:cs="Times New Roman"/>
                <w:color w:val="auto"/>
                <w:szCs w:val="21"/>
                <w:highlight w:val="none"/>
              </w:rPr>
            </w:pPr>
          </w:p>
        </w:tc>
      </w:tr>
      <w:tr w14:paraId="55E6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5C95033B">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10</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4BCEBAA8">
            <w:pPr>
              <w:keepNext w:val="0"/>
              <w:keepLines w:val="0"/>
              <w:widowControl/>
              <w:suppressLineNumbers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cs="Times New Roman"/>
                <w:color w:val="auto"/>
                <w:szCs w:val="21"/>
                <w:highlight w:val="none"/>
              </w:rPr>
              <w:t>可溶性阴阳离子浓度在线监测仪</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7BABC10E">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cs="Times New Roman"/>
                <w:color w:val="auto"/>
                <w:szCs w:val="21"/>
                <w:highlight w:val="none"/>
              </w:rPr>
              <w:t>≥80%</w:t>
            </w:r>
          </w:p>
        </w:tc>
        <w:tc>
          <w:tcPr>
            <w:tcW w:w="1973" w:type="dxa"/>
            <w:vMerge w:val="continue"/>
            <w:tcBorders>
              <w:left w:val="single" w:color="auto" w:sz="4" w:space="0"/>
              <w:right w:val="single" w:color="auto" w:sz="4" w:space="0"/>
            </w:tcBorders>
            <w:noWrap w:val="0"/>
            <w:vAlign w:val="center"/>
          </w:tcPr>
          <w:p w14:paraId="74FE8F07">
            <w:pPr>
              <w:keepNext w:val="0"/>
              <w:keepLines w:val="0"/>
              <w:widowControl/>
              <w:suppressLineNumbers w:val="0"/>
              <w:adjustRightInd w:val="0"/>
              <w:snapToGrid w:val="0"/>
              <w:spacing w:before="0" w:beforeAutospacing="0" w:after="0" w:afterAutospacing="0" w:line="400" w:lineRule="exact"/>
              <w:ind w:left="0" w:right="0"/>
              <w:jc w:val="left"/>
              <w:rPr>
                <w:rFonts w:hint="default" w:ascii="Times New Roman" w:hAnsi="Times New Roman" w:cs="Times New Roman"/>
                <w:color w:val="auto"/>
                <w:szCs w:val="21"/>
                <w:highlight w:val="none"/>
              </w:rPr>
            </w:pPr>
          </w:p>
        </w:tc>
        <w:tc>
          <w:tcPr>
            <w:tcW w:w="2881" w:type="dxa"/>
            <w:vMerge w:val="continue"/>
            <w:tcBorders>
              <w:left w:val="single" w:color="auto" w:sz="4" w:space="0"/>
              <w:right w:val="single" w:color="auto" w:sz="4" w:space="0"/>
            </w:tcBorders>
            <w:noWrap w:val="0"/>
            <w:vAlign w:val="center"/>
          </w:tcPr>
          <w:p w14:paraId="153C1009">
            <w:pPr>
              <w:keepNext w:val="0"/>
              <w:keepLines w:val="0"/>
              <w:widowControl/>
              <w:suppressLineNumbers w:val="0"/>
              <w:adjustRightInd w:val="0"/>
              <w:snapToGrid w:val="0"/>
              <w:spacing w:before="0" w:beforeAutospacing="0" w:after="0" w:afterAutospacing="0" w:line="400" w:lineRule="exact"/>
              <w:ind w:left="0" w:right="0"/>
              <w:jc w:val="left"/>
              <w:rPr>
                <w:rFonts w:hint="default" w:ascii="Times New Roman" w:hAnsi="Times New Roman" w:cs="Times New Roman"/>
                <w:color w:val="auto"/>
                <w:szCs w:val="21"/>
                <w:highlight w:val="none"/>
              </w:rPr>
            </w:pPr>
          </w:p>
        </w:tc>
      </w:tr>
      <w:tr w14:paraId="53B8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00781C0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16F7E5EC">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颗粒物通量激光雷达</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0309390E">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cs="Times New Roman"/>
                <w:color w:val="auto"/>
                <w:szCs w:val="21"/>
                <w:highlight w:val="none"/>
              </w:rPr>
              <w:t>≥80%</w:t>
            </w:r>
          </w:p>
        </w:tc>
        <w:tc>
          <w:tcPr>
            <w:tcW w:w="1973" w:type="dxa"/>
            <w:vMerge w:val="continue"/>
            <w:tcBorders>
              <w:left w:val="single" w:color="auto" w:sz="4" w:space="0"/>
              <w:right w:val="single" w:color="auto" w:sz="4" w:space="0"/>
            </w:tcBorders>
            <w:noWrap w:val="0"/>
            <w:vAlign w:val="center"/>
          </w:tcPr>
          <w:p w14:paraId="3DA38F6A">
            <w:pPr>
              <w:keepNext w:val="0"/>
              <w:keepLines w:val="0"/>
              <w:widowControl/>
              <w:suppressLineNumbers w:val="0"/>
              <w:adjustRightInd w:val="0"/>
              <w:snapToGrid w:val="0"/>
              <w:spacing w:before="0" w:beforeAutospacing="0" w:after="0" w:afterAutospacing="0" w:line="400" w:lineRule="exact"/>
              <w:ind w:left="0" w:right="0"/>
              <w:jc w:val="left"/>
              <w:rPr>
                <w:rFonts w:hint="default" w:ascii="Times New Roman" w:hAnsi="Times New Roman" w:cs="Times New Roman"/>
                <w:color w:val="auto"/>
                <w:szCs w:val="21"/>
                <w:highlight w:val="none"/>
              </w:rPr>
            </w:pPr>
          </w:p>
        </w:tc>
        <w:tc>
          <w:tcPr>
            <w:tcW w:w="2881" w:type="dxa"/>
            <w:vMerge w:val="continue"/>
            <w:tcBorders>
              <w:left w:val="single" w:color="auto" w:sz="4" w:space="0"/>
              <w:right w:val="single" w:color="auto" w:sz="4" w:space="0"/>
            </w:tcBorders>
            <w:noWrap w:val="0"/>
            <w:vAlign w:val="center"/>
          </w:tcPr>
          <w:p w14:paraId="35FAE7F4">
            <w:pPr>
              <w:keepNext w:val="0"/>
              <w:keepLines w:val="0"/>
              <w:widowControl/>
              <w:suppressLineNumbers w:val="0"/>
              <w:adjustRightInd w:val="0"/>
              <w:snapToGrid w:val="0"/>
              <w:spacing w:before="0" w:beforeAutospacing="0" w:after="0" w:afterAutospacing="0" w:line="400" w:lineRule="exact"/>
              <w:ind w:left="0" w:right="0"/>
              <w:jc w:val="left"/>
              <w:rPr>
                <w:rFonts w:hint="default" w:ascii="Times New Roman" w:hAnsi="Times New Roman" w:cs="Times New Roman"/>
                <w:color w:val="auto"/>
                <w:szCs w:val="21"/>
                <w:highlight w:val="none"/>
              </w:rPr>
            </w:pPr>
          </w:p>
        </w:tc>
      </w:tr>
      <w:tr w14:paraId="7C67F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41CCF8F1">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7CF14201">
            <w:pPr>
              <w:keepNext w:val="0"/>
              <w:keepLines w:val="0"/>
              <w:widowControl/>
              <w:suppressLineNumbers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cs="Times New Roman"/>
                <w:color w:val="auto"/>
                <w:szCs w:val="21"/>
                <w:highlight w:val="none"/>
              </w:rPr>
              <w:t>粒径谱仪</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0025CD63">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cs="Times New Roman"/>
                <w:color w:val="auto"/>
                <w:szCs w:val="21"/>
                <w:highlight w:val="none"/>
              </w:rPr>
              <w:t>≥80%</w:t>
            </w:r>
          </w:p>
        </w:tc>
        <w:tc>
          <w:tcPr>
            <w:tcW w:w="1973" w:type="dxa"/>
            <w:vMerge w:val="continue"/>
            <w:tcBorders>
              <w:left w:val="single" w:color="auto" w:sz="4" w:space="0"/>
              <w:right w:val="single" w:color="auto" w:sz="4" w:space="0"/>
            </w:tcBorders>
            <w:noWrap w:val="0"/>
            <w:vAlign w:val="center"/>
          </w:tcPr>
          <w:p w14:paraId="161AEE09">
            <w:pPr>
              <w:keepNext w:val="0"/>
              <w:keepLines w:val="0"/>
              <w:widowControl/>
              <w:suppressLineNumbers w:val="0"/>
              <w:adjustRightInd w:val="0"/>
              <w:snapToGrid w:val="0"/>
              <w:spacing w:before="0" w:beforeAutospacing="0" w:after="0" w:afterAutospacing="0" w:line="400" w:lineRule="exact"/>
              <w:ind w:left="0" w:right="0"/>
              <w:jc w:val="left"/>
              <w:rPr>
                <w:rFonts w:hint="default" w:ascii="Times New Roman" w:hAnsi="Times New Roman" w:cs="Times New Roman"/>
                <w:color w:val="auto"/>
                <w:szCs w:val="21"/>
                <w:highlight w:val="none"/>
              </w:rPr>
            </w:pPr>
          </w:p>
        </w:tc>
        <w:tc>
          <w:tcPr>
            <w:tcW w:w="2881" w:type="dxa"/>
            <w:vMerge w:val="continue"/>
            <w:tcBorders>
              <w:left w:val="single" w:color="auto" w:sz="4" w:space="0"/>
              <w:right w:val="single" w:color="auto" w:sz="4" w:space="0"/>
            </w:tcBorders>
            <w:noWrap w:val="0"/>
            <w:vAlign w:val="center"/>
          </w:tcPr>
          <w:p w14:paraId="274CA433">
            <w:pPr>
              <w:keepNext w:val="0"/>
              <w:keepLines w:val="0"/>
              <w:widowControl/>
              <w:suppressLineNumbers w:val="0"/>
              <w:adjustRightInd w:val="0"/>
              <w:snapToGrid w:val="0"/>
              <w:spacing w:before="0" w:beforeAutospacing="0" w:after="0" w:afterAutospacing="0" w:line="400" w:lineRule="exact"/>
              <w:ind w:left="0" w:right="0"/>
              <w:jc w:val="left"/>
              <w:rPr>
                <w:rFonts w:hint="default" w:ascii="Times New Roman" w:hAnsi="Times New Roman" w:cs="Times New Roman"/>
                <w:color w:val="auto"/>
                <w:szCs w:val="21"/>
                <w:highlight w:val="none"/>
              </w:rPr>
            </w:pPr>
          </w:p>
        </w:tc>
      </w:tr>
      <w:tr w14:paraId="1E51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0527B8AA">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13</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7C72FDA2">
            <w:pPr>
              <w:keepNext w:val="0"/>
              <w:keepLines w:val="0"/>
              <w:widowControl/>
              <w:suppressLineNumbers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cs="Times New Roman"/>
                <w:color w:val="auto"/>
                <w:szCs w:val="21"/>
                <w:highlight w:val="none"/>
              </w:rPr>
              <w:t>VOCs在线监测仪</w:t>
            </w:r>
          </w:p>
        </w:tc>
        <w:tc>
          <w:tcPr>
            <w:tcW w:w="1481" w:type="dxa"/>
            <w:tcBorders>
              <w:top w:val="single" w:color="auto" w:sz="4" w:space="0"/>
              <w:left w:val="single" w:color="auto" w:sz="4" w:space="0"/>
              <w:bottom w:val="single" w:color="auto" w:sz="4" w:space="0"/>
              <w:right w:val="single" w:color="auto" w:sz="4" w:space="0"/>
            </w:tcBorders>
            <w:noWrap w:val="0"/>
            <w:vAlign w:val="top"/>
          </w:tcPr>
          <w:p w14:paraId="2A627AD8">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≥75%</w:t>
            </w:r>
          </w:p>
        </w:tc>
        <w:tc>
          <w:tcPr>
            <w:tcW w:w="1973" w:type="dxa"/>
            <w:vMerge w:val="continue"/>
            <w:tcBorders>
              <w:left w:val="single" w:color="auto" w:sz="4" w:space="0"/>
              <w:right w:val="single" w:color="auto" w:sz="4" w:space="0"/>
            </w:tcBorders>
            <w:noWrap w:val="0"/>
            <w:vAlign w:val="center"/>
          </w:tcPr>
          <w:p w14:paraId="58BFB021">
            <w:pPr>
              <w:keepNext w:val="0"/>
              <w:keepLines w:val="0"/>
              <w:widowControl/>
              <w:suppressLineNumbers w:val="0"/>
              <w:adjustRightInd w:val="0"/>
              <w:snapToGrid w:val="0"/>
              <w:spacing w:before="0" w:beforeAutospacing="0" w:after="0" w:afterAutospacing="0" w:line="400" w:lineRule="exact"/>
              <w:ind w:left="0" w:right="0"/>
              <w:jc w:val="left"/>
              <w:rPr>
                <w:rFonts w:hint="default" w:ascii="Times New Roman" w:hAnsi="Times New Roman" w:cs="Times New Roman"/>
                <w:color w:val="auto"/>
                <w:szCs w:val="21"/>
                <w:highlight w:val="none"/>
              </w:rPr>
            </w:pPr>
          </w:p>
        </w:tc>
        <w:tc>
          <w:tcPr>
            <w:tcW w:w="2881" w:type="dxa"/>
            <w:vMerge w:val="continue"/>
            <w:tcBorders>
              <w:left w:val="single" w:color="auto" w:sz="4" w:space="0"/>
              <w:right w:val="single" w:color="auto" w:sz="4" w:space="0"/>
            </w:tcBorders>
            <w:noWrap w:val="0"/>
            <w:vAlign w:val="center"/>
          </w:tcPr>
          <w:p w14:paraId="43A87872">
            <w:pPr>
              <w:keepNext w:val="0"/>
              <w:keepLines w:val="0"/>
              <w:widowControl/>
              <w:suppressLineNumbers w:val="0"/>
              <w:adjustRightInd w:val="0"/>
              <w:snapToGrid w:val="0"/>
              <w:spacing w:before="0" w:beforeAutospacing="0" w:after="0" w:afterAutospacing="0" w:line="400" w:lineRule="exact"/>
              <w:ind w:left="0" w:right="0"/>
              <w:jc w:val="left"/>
              <w:rPr>
                <w:rFonts w:hint="default" w:ascii="Times New Roman" w:hAnsi="Times New Roman" w:cs="Times New Roman"/>
                <w:color w:val="auto"/>
                <w:szCs w:val="21"/>
                <w:highlight w:val="none"/>
              </w:rPr>
            </w:pPr>
          </w:p>
        </w:tc>
      </w:tr>
      <w:tr w14:paraId="0B37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39B7AF5B">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14</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03F32F03">
            <w:pPr>
              <w:keepNext w:val="0"/>
              <w:keepLines w:val="0"/>
              <w:widowControl/>
              <w:suppressLineNumbers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cs="Times New Roman"/>
                <w:color w:val="auto"/>
                <w:szCs w:val="21"/>
                <w:highlight w:val="none"/>
              </w:rPr>
              <w:t>CH</w:t>
            </w:r>
            <w:r>
              <w:rPr>
                <w:rFonts w:hint="default" w:ascii="Times New Roman" w:hAnsi="Times New Roman" w:cs="Times New Roman"/>
                <w:color w:val="auto"/>
                <w:szCs w:val="21"/>
                <w:highlight w:val="none"/>
                <w:vertAlign w:val="subscript"/>
              </w:rPr>
              <w:t>4</w:t>
            </w:r>
            <w:r>
              <w:rPr>
                <w:rFonts w:hint="default" w:ascii="Times New Roman" w:hAnsi="Times New Roman" w:cs="Times New Roman"/>
                <w:color w:val="auto"/>
                <w:szCs w:val="21"/>
                <w:highlight w:val="none"/>
              </w:rPr>
              <w:t>/NMHC在线监测仪</w:t>
            </w:r>
          </w:p>
        </w:tc>
        <w:tc>
          <w:tcPr>
            <w:tcW w:w="1481" w:type="dxa"/>
            <w:tcBorders>
              <w:top w:val="single" w:color="auto" w:sz="4" w:space="0"/>
              <w:left w:val="single" w:color="auto" w:sz="4" w:space="0"/>
              <w:bottom w:val="single" w:color="auto" w:sz="4" w:space="0"/>
              <w:right w:val="single" w:color="auto" w:sz="4" w:space="0"/>
            </w:tcBorders>
            <w:noWrap w:val="0"/>
            <w:vAlign w:val="top"/>
          </w:tcPr>
          <w:p w14:paraId="4211AD59">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cs="Times New Roman"/>
                <w:color w:val="auto"/>
                <w:szCs w:val="21"/>
                <w:highlight w:val="none"/>
              </w:rPr>
              <w:t>≥80%</w:t>
            </w:r>
          </w:p>
        </w:tc>
        <w:tc>
          <w:tcPr>
            <w:tcW w:w="1973" w:type="dxa"/>
            <w:vMerge w:val="continue"/>
            <w:tcBorders>
              <w:left w:val="single" w:color="auto" w:sz="4" w:space="0"/>
              <w:right w:val="single" w:color="auto" w:sz="4" w:space="0"/>
            </w:tcBorders>
            <w:noWrap w:val="0"/>
            <w:vAlign w:val="center"/>
          </w:tcPr>
          <w:p w14:paraId="7C004A8F">
            <w:pPr>
              <w:keepNext w:val="0"/>
              <w:keepLines w:val="0"/>
              <w:widowControl/>
              <w:suppressLineNumbers w:val="0"/>
              <w:adjustRightInd w:val="0"/>
              <w:snapToGrid w:val="0"/>
              <w:spacing w:before="0" w:beforeAutospacing="0" w:after="0" w:afterAutospacing="0" w:line="400" w:lineRule="exact"/>
              <w:ind w:left="0" w:right="0"/>
              <w:jc w:val="left"/>
              <w:rPr>
                <w:rFonts w:hint="default" w:ascii="Times New Roman" w:hAnsi="Times New Roman" w:cs="Times New Roman"/>
                <w:color w:val="auto"/>
                <w:szCs w:val="21"/>
                <w:highlight w:val="none"/>
              </w:rPr>
            </w:pPr>
          </w:p>
        </w:tc>
        <w:tc>
          <w:tcPr>
            <w:tcW w:w="2881" w:type="dxa"/>
            <w:vMerge w:val="continue"/>
            <w:tcBorders>
              <w:left w:val="single" w:color="auto" w:sz="4" w:space="0"/>
              <w:right w:val="single" w:color="auto" w:sz="4" w:space="0"/>
            </w:tcBorders>
            <w:noWrap w:val="0"/>
            <w:vAlign w:val="center"/>
          </w:tcPr>
          <w:p w14:paraId="258E91B4">
            <w:pPr>
              <w:keepNext w:val="0"/>
              <w:keepLines w:val="0"/>
              <w:widowControl/>
              <w:suppressLineNumbers w:val="0"/>
              <w:adjustRightInd w:val="0"/>
              <w:snapToGrid w:val="0"/>
              <w:spacing w:before="0" w:beforeAutospacing="0" w:after="0" w:afterAutospacing="0" w:line="400" w:lineRule="exact"/>
              <w:ind w:left="0" w:right="0"/>
              <w:jc w:val="left"/>
              <w:rPr>
                <w:rFonts w:hint="default" w:ascii="Times New Roman" w:hAnsi="Times New Roman" w:cs="Times New Roman"/>
                <w:color w:val="auto"/>
                <w:szCs w:val="21"/>
                <w:highlight w:val="none"/>
              </w:rPr>
            </w:pPr>
          </w:p>
        </w:tc>
      </w:tr>
      <w:tr w14:paraId="78402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5C4B0A6A">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15</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00C53C32">
            <w:pPr>
              <w:keepNext w:val="0"/>
              <w:keepLines w:val="0"/>
              <w:widowControl/>
              <w:suppressLineNumbers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cs="Times New Roman"/>
                <w:color w:val="auto"/>
                <w:szCs w:val="21"/>
                <w:highlight w:val="none"/>
              </w:rPr>
              <w:t>PANs（过氧酰基硝酸酯类）在线监测仪</w:t>
            </w:r>
          </w:p>
        </w:tc>
        <w:tc>
          <w:tcPr>
            <w:tcW w:w="1481" w:type="dxa"/>
            <w:tcBorders>
              <w:top w:val="single" w:color="auto" w:sz="4" w:space="0"/>
              <w:left w:val="single" w:color="auto" w:sz="4" w:space="0"/>
              <w:bottom w:val="single" w:color="auto" w:sz="4" w:space="0"/>
              <w:right w:val="single" w:color="auto" w:sz="4" w:space="0"/>
            </w:tcBorders>
            <w:noWrap w:val="0"/>
            <w:vAlign w:val="top"/>
          </w:tcPr>
          <w:p w14:paraId="5C614DB4">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cs="Times New Roman"/>
                <w:color w:val="auto"/>
                <w:szCs w:val="21"/>
                <w:highlight w:val="none"/>
              </w:rPr>
              <w:t>≥80%</w:t>
            </w:r>
          </w:p>
        </w:tc>
        <w:tc>
          <w:tcPr>
            <w:tcW w:w="1973" w:type="dxa"/>
            <w:vMerge w:val="continue"/>
            <w:tcBorders>
              <w:left w:val="single" w:color="auto" w:sz="4" w:space="0"/>
              <w:right w:val="single" w:color="auto" w:sz="4" w:space="0"/>
            </w:tcBorders>
            <w:noWrap w:val="0"/>
            <w:vAlign w:val="center"/>
          </w:tcPr>
          <w:p w14:paraId="56E8B9D7">
            <w:pPr>
              <w:keepNext w:val="0"/>
              <w:keepLines w:val="0"/>
              <w:widowControl/>
              <w:suppressLineNumbers w:val="0"/>
              <w:adjustRightInd w:val="0"/>
              <w:snapToGrid w:val="0"/>
              <w:spacing w:before="0" w:beforeAutospacing="0" w:after="0" w:afterAutospacing="0" w:line="400" w:lineRule="exact"/>
              <w:ind w:left="0" w:right="0"/>
              <w:jc w:val="left"/>
              <w:rPr>
                <w:rFonts w:hint="default" w:ascii="Times New Roman" w:hAnsi="Times New Roman" w:cs="Times New Roman"/>
                <w:color w:val="auto"/>
                <w:szCs w:val="21"/>
                <w:highlight w:val="none"/>
              </w:rPr>
            </w:pPr>
          </w:p>
        </w:tc>
        <w:tc>
          <w:tcPr>
            <w:tcW w:w="2881" w:type="dxa"/>
            <w:vMerge w:val="continue"/>
            <w:tcBorders>
              <w:left w:val="single" w:color="auto" w:sz="4" w:space="0"/>
              <w:right w:val="single" w:color="auto" w:sz="4" w:space="0"/>
            </w:tcBorders>
            <w:noWrap w:val="0"/>
            <w:vAlign w:val="center"/>
          </w:tcPr>
          <w:p w14:paraId="749E38C3">
            <w:pPr>
              <w:keepNext w:val="0"/>
              <w:keepLines w:val="0"/>
              <w:widowControl/>
              <w:suppressLineNumbers w:val="0"/>
              <w:adjustRightInd w:val="0"/>
              <w:snapToGrid w:val="0"/>
              <w:spacing w:before="0" w:beforeAutospacing="0" w:after="0" w:afterAutospacing="0" w:line="400" w:lineRule="exact"/>
              <w:ind w:left="0" w:right="0"/>
              <w:jc w:val="left"/>
              <w:rPr>
                <w:rFonts w:hint="default" w:ascii="Times New Roman" w:hAnsi="Times New Roman" w:cs="Times New Roman"/>
                <w:color w:val="auto"/>
                <w:szCs w:val="21"/>
                <w:highlight w:val="none"/>
              </w:rPr>
            </w:pPr>
          </w:p>
        </w:tc>
      </w:tr>
      <w:tr w14:paraId="160D1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690" w:type="dxa"/>
            <w:noWrap w:val="0"/>
            <w:vAlign w:val="center"/>
          </w:tcPr>
          <w:p w14:paraId="77187307">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16</w:t>
            </w:r>
          </w:p>
        </w:tc>
        <w:tc>
          <w:tcPr>
            <w:tcW w:w="2412" w:type="dxa"/>
            <w:noWrap w:val="0"/>
            <w:vAlign w:val="center"/>
          </w:tcPr>
          <w:p w14:paraId="1DE94D82">
            <w:pPr>
              <w:keepNext w:val="0"/>
              <w:keepLines w:val="0"/>
              <w:widowControl/>
              <w:suppressLineNumbers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cs="Times New Roman"/>
                <w:color w:val="auto"/>
                <w:szCs w:val="21"/>
                <w:highlight w:val="none"/>
              </w:rPr>
              <w:t>NOy(总氮氧化物）监测仪</w:t>
            </w:r>
          </w:p>
        </w:tc>
        <w:tc>
          <w:tcPr>
            <w:tcW w:w="1481" w:type="dxa"/>
            <w:noWrap w:val="0"/>
            <w:vAlign w:val="top"/>
          </w:tcPr>
          <w:p w14:paraId="693BFF62">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cs="Times New Roman"/>
                <w:color w:val="auto"/>
                <w:szCs w:val="21"/>
                <w:highlight w:val="none"/>
              </w:rPr>
              <w:t>≥80%</w:t>
            </w:r>
          </w:p>
        </w:tc>
        <w:tc>
          <w:tcPr>
            <w:tcW w:w="1973" w:type="dxa"/>
            <w:vMerge w:val="continue"/>
            <w:tcBorders>
              <w:left w:val="single" w:color="auto" w:sz="4" w:space="0"/>
              <w:right w:val="single" w:color="auto" w:sz="4" w:space="0"/>
            </w:tcBorders>
            <w:noWrap w:val="0"/>
            <w:vAlign w:val="top"/>
          </w:tcPr>
          <w:p w14:paraId="61761834">
            <w:pPr>
              <w:keepNext w:val="0"/>
              <w:keepLines w:val="0"/>
              <w:widowControl/>
              <w:suppressLineNumbers w:val="0"/>
              <w:adjustRightInd w:val="0"/>
              <w:snapToGrid w:val="0"/>
              <w:spacing w:before="0" w:beforeAutospacing="0" w:after="0" w:afterAutospacing="0" w:line="400" w:lineRule="exact"/>
              <w:ind w:left="0" w:right="0"/>
              <w:jc w:val="left"/>
              <w:rPr>
                <w:rFonts w:hint="default" w:ascii="Times New Roman" w:hAnsi="Times New Roman" w:cs="Times New Roman"/>
                <w:color w:val="auto"/>
                <w:szCs w:val="21"/>
                <w:highlight w:val="none"/>
              </w:rPr>
            </w:pPr>
          </w:p>
        </w:tc>
        <w:tc>
          <w:tcPr>
            <w:tcW w:w="2881" w:type="dxa"/>
            <w:vMerge w:val="continue"/>
            <w:tcBorders>
              <w:left w:val="single" w:color="auto" w:sz="4" w:space="0"/>
              <w:right w:val="single" w:color="auto" w:sz="4" w:space="0"/>
            </w:tcBorders>
            <w:noWrap w:val="0"/>
            <w:vAlign w:val="top"/>
          </w:tcPr>
          <w:p w14:paraId="6EA0C9A0">
            <w:pPr>
              <w:keepNext w:val="0"/>
              <w:keepLines w:val="0"/>
              <w:widowControl/>
              <w:suppressLineNumbers w:val="0"/>
              <w:adjustRightInd w:val="0"/>
              <w:snapToGrid w:val="0"/>
              <w:spacing w:before="0" w:beforeAutospacing="0" w:after="0" w:afterAutospacing="0" w:line="400" w:lineRule="exact"/>
              <w:ind w:left="0" w:right="0"/>
              <w:jc w:val="left"/>
              <w:rPr>
                <w:rFonts w:hint="default" w:ascii="Times New Roman" w:hAnsi="Times New Roman" w:cs="Times New Roman"/>
                <w:color w:val="auto"/>
                <w:szCs w:val="21"/>
                <w:highlight w:val="none"/>
              </w:rPr>
            </w:pPr>
          </w:p>
        </w:tc>
      </w:tr>
      <w:tr w14:paraId="638E3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690" w:type="dxa"/>
            <w:noWrap w:val="0"/>
            <w:vAlign w:val="center"/>
          </w:tcPr>
          <w:p w14:paraId="649620F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17</w:t>
            </w:r>
          </w:p>
        </w:tc>
        <w:tc>
          <w:tcPr>
            <w:tcW w:w="2412" w:type="dxa"/>
            <w:noWrap w:val="0"/>
            <w:vAlign w:val="center"/>
          </w:tcPr>
          <w:p w14:paraId="1B3B31CA">
            <w:pPr>
              <w:keepNext w:val="0"/>
              <w:keepLines w:val="0"/>
              <w:widowControl/>
              <w:suppressLineNumbers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cs="Times New Roman"/>
                <w:color w:val="auto"/>
                <w:szCs w:val="21"/>
                <w:highlight w:val="none"/>
              </w:rPr>
              <w:t>HONO（气态亚硝酸）分析仪</w:t>
            </w:r>
          </w:p>
        </w:tc>
        <w:tc>
          <w:tcPr>
            <w:tcW w:w="1481" w:type="dxa"/>
            <w:noWrap w:val="0"/>
            <w:vAlign w:val="top"/>
          </w:tcPr>
          <w:p w14:paraId="6D035DDF">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cs="Times New Roman"/>
                <w:color w:val="auto"/>
                <w:szCs w:val="21"/>
                <w:highlight w:val="none"/>
              </w:rPr>
              <w:t>≥80%</w:t>
            </w:r>
          </w:p>
        </w:tc>
        <w:tc>
          <w:tcPr>
            <w:tcW w:w="1973" w:type="dxa"/>
            <w:vMerge w:val="continue"/>
            <w:tcBorders>
              <w:left w:val="single" w:color="auto" w:sz="4" w:space="0"/>
              <w:right w:val="single" w:color="auto" w:sz="4" w:space="0"/>
            </w:tcBorders>
            <w:noWrap w:val="0"/>
            <w:vAlign w:val="top"/>
          </w:tcPr>
          <w:p w14:paraId="7448FAE8">
            <w:pPr>
              <w:keepNext w:val="0"/>
              <w:keepLines w:val="0"/>
              <w:widowControl/>
              <w:suppressLineNumbers w:val="0"/>
              <w:adjustRightInd w:val="0"/>
              <w:snapToGrid w:val="0"/>
              <w:spacing w:before="0" w:beforeAutospacing="0" w:after="0" w:afterAutospacing="0" w:line="400" w:lineRule="exact"/>
              <w:ind w:left="0" w:right="0"/>
              <w:jc w:val="left"/>
              <w:rPr>
                <w:rFonts w:hint="default" w:ascii="Times New Roman" w:hAnsi="Times New Roman" w:cs="Times New Roman"/>
                <w:color w:val="auto"/>
                <w:szCs w:val="21"/>
                <w:highlight w:val="none"/>
              </w:rPr>
            </w:pPr>
          </w:p>
        </w:tc>
        <w:tc>
          <w:tcPr>
            <w:tcW w:w="2881" w:type="dxa"/>
            <w:vMerge w:val="continue"/>
            <w:tcBorders>
              <w:left w:val="single" w:color="auto" w:sz="4" w:space="0"/>
              <w:right w:val="single" w:color="auto" w:sz="4" w:space="0"/>
            </w:tcBorders>
            <w:noWrap w:val="0"/>
            <w:vAlign w:val="top"/>
          </w:tcPr>
          <w:p w14:paraId="6A762A06">
            <w:pPr>
              <w:keepNext w:val="0"/>
              <w:keepLines w:val="0"/>
              <w:widowControl/>
              <w:suppressLineNumbers w:val="0"/>
              <w:adjustRightInd w:val="0"/>
              <w:snapToGrid w:val="0"/>
              <w:spacing w:before="0" w:beforeAutospacing="0" w:after="0" w:afterAutospacing="0" w:line="400" w:lineRule="exact"/>
              <w:ind w:left="0" w:right="0"/>
              <w:jc w:val="left"/>
              <w:rPr>
                <w:rFonts w:hint="default" w:ascii="Times New Roman" w:hAnsi="Times New Roman" w:cs="Times New Roman"/>
                <w:color w:val="auto"/>
                <w:szCs w:val="21"/>
                <w:highlight w:val="none"/>
              </w:rPr>
            </w:pPr>
          </w:p>
        </w:tc>
      </w:tr>
      <w:tr w14:paraId="75B7B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690" w:type="dxa"/>
            <w:noWrap w:val="0"/>
            <w:vAlign w:val="center"/>
          </w:tcPr>
          <w:p w14:paraId="17BC89C9">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18</w:t>
            </w:r>
          </w:p>
        </w:tc>
        <w:tc>
          <w:tcPr>
            <w:tcW w:w="2412" w:type="dxa"/>
            <w:noWrap w:val="0"/>
            <w:vAlign w:val="center"/>
          </w:tcPr>
          <w:p w14:paraId="4EF1C91B">
            <w:pPr>
              <w:keepNext w:val="0"/>
              <w:keepLines w:val="0"/>
              <w:widowControl/>
              <w:suppressLineNumbers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cs="Times New Roman"/>
                <w:color w:val="auto"/>
                <w:szCs w:val="21"/>
                <w:highlight w:val="none"/>
              </w:rPr>
              <w:t>总辐射/紫外辐射UV-A/UV-B监测仪</w:t>
            </w:r>
          </w:p>
        </w:tc>
        <w:tc>
          <w:tcPr>
            <w:tcW w:w="1481" w:type="dxa"/>
            <w:noWrap w:val="0"/>
            <w:vAlign w:val="top"/>
          </w:tcPr>
          <w:p w14:paraId="24FE9010">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cs="Times New Roman"/>
                <w:color w:val="auto"/>
                <w:szCs w:val="21"/>
                <w:highlight w:val="none"/>
              </w:rPr>
              <w:t>≥90%</w:t>
            </w:r>
          </w:p>
        </w:tc>
        <w:tc>
          <w:tcPr>
            <w:tcW w:w="1973" w:type="dxa"/>
            <w:vMerge w:val="continue"/>
            <w:tcBorders>
              <w:left w:val="single" w:color="auto" w:sz="4" w:space="0"/>
              <w:right w:val="single" w:color="auto" w:sz="4" w:space="0"/>
            </w:tcBorders>
            <w:noWrap w:val="0"/>
            <w:vAlign w:val="top"/>
          </w:tcPr>
          <w:p w14:paraId="7AD2938A">
            <w:pPr>
              <w:keepNext w:val="0"/>
              <w:keepLines w:val="0"/>
              <w:widowControl/>
              <w:suppressLineNumbers w:val="0"/>
              <w:adjustRightInd w:val="0"/>
              <w:snapToGrid w:val="0"/>
              <w:spacing w:before="0" w:beforeAutospacing="0" w:after="0" w:afterAutospacing="0" w:line="400" w:lineRule="exact"/>
              <w:ind w:left="0" w:right="0"/>
              <w:jc w:val="left"/>
              <w:rPr>
                <w:rFonts w:hint="default" w:ascii="Times New Roman" w:hAnsi="Times New Roman" w:cs="Times New Roman"/>
                <w:color w:val="auto"/>
                <w:szCs w:val="21"/>
                <w:highlight w:val="none"/>
              </w:rPr>
            </w:pPr>
          </w:p>
        </w:tc>
        <w:tc>
          <w:tcPr>
            <w:tcW w:w="2881" w:type="dxa"/>
            <w:vMerge w:val="continue"/>
            <w:tcBorders>
              <w:left w:val="single" w:color="auto" w:sz="4" w:space="0"/>
              <w:right w:val="single" w:color="auto" w:sz="4" w:space="0"/>
            </w:tcBorders>
            <w:noWrap w:val="0"/>
            <w:vAlign w:val="top"/>
          </w:tcPr>
          <w:p w14:paraId="5AE82B31">
            <w:pPr>
              <w:keepNext w:val="0"/>
              <w:keepLines w:val="0"/>
              <w:widowControl/>
              <w:suppressLineNumbers w:val="0"/>
              <w:adjustRightInd w:val="0"/>
              <w:snapToGrid w:val="0"/>
              <w:spacing w:before="0" w:beforeAutospacing="0" w:after="0" w:afterAutospacing="0" w:line="400" w:lineRule="exact"/>
              <w:ind w:left="0" w:right="0"/>
              <w:jc w:val="left"/>
              <w:rPr>
                <w:rFonts w:hint="default" w:ascii="Times New Roman" w:hAnsi="Times New Roman" w:cs="Times New Roman"/>
                <w:color w:val="auto"/>
                <w:szCs w:val="21"/>
                <w:highlight w:val="none"/>
              </w:rPr>
            </w:pPr>
          </w:p>
        </w:tc>
      </w:tr>
      <w:tr w14:paraId="276EE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690" w:type="dxa"/>
            <w:noWrap w:val="0"/>
            <w:vAlign w:val="center"/>
          </w:tcPr>
          <w:p w14:paraId="0790D945">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19</w:t>
            </w:r>
          </w:p>
        </w:tc>
        <w:tc>
          <w:tcPr>
            <w:tcW w:w="2412" w:type="dxa"/>
            <w:noWrap w:val="0"/>
            <w:vAlign w:val="center"/>
          </w:tcPr>
          <w:p w14:paraId="3050546B">
            <w:pPr>
              <w:keepNext w:val="0"/>
              <w:keepLines w:val="0"/>
              <w:widowControl/>
              <w:suppressLineNumbers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cs="Times New Roman"/>
                <w:color w:val="auto"/>
                <w:szCs w:val="21"/>
                <w:highlight w:val="none"/>
              </w:rPr>
              <w:t>光解速率分析仪</w:t>
            </w:r>
          </w:p>
        </w:tc>
        <w:tc>
          <w:tcPr>
            <w:tcW w:w="1481" w:type="dxa"/>
            <w:noWrap w:val="0"/>
            <w:vAlign w:val="top"/>
          </w:tcPr>
          <w:p w14:paraId="0D075C25">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cs="Times New Roman"/>
                <w:color w:val="auto"/>
                <w:szCs w:val="21"/>
                <w:highlight w:val="none"/>
              </w:rPr>
              <w:t>≥80%</w:t>
            </w:r>
          </w:p>
        </w:tc>
        <w:tc>
          <w:tcPr>
            <w:tcW w:w="1973" w:type="dxa"/>
            <w:vMerge w:val="continue"/>
            <w:tcBorders>
              <w:left w:val="single" w:color="auto" w:sz="4" w:space="0"/>
              <w:right w:val="single" w:color="auto" w:sz="4" w:space="0"/>
            </w:tcBorders>
            <w:noWrap w:val="0"/>
            <w:vAlign w:val="top"/>
          </w:tcPr>
          <w:p w14:paraId="447B197B">
            <w:pPr>
              <w:keepNext w:val="0"/>
              <w:keepLines w:val="0"/>
              <w:widowControl/>
              <w:suppressLineNumbers w:val="0"/>
              <w:adjustRightInd w:val="0"/>
              <w:snapToGrid w:val="0"/>
              <w:spacing w:before="0" w:beforeAutospacing="0" w:after="0" w:afterAutospacing="0" w:line="400" w:lineRule="exact"/>
              <w:ind w:left="0" w:right="0"/>
              <w:jc w:val="left"/>
              <w:rPr>
                <w:rFonts w:hint="default" w:ascii="Times New Roman" w:hAnsi="Times New Roman" w:cs="Times New Roman"/>
                <w:color w:val="auto"/>
                <w:szCs w:val="21"/>
                <w:highlight w:val="none"/>
              </w:rPr>
            </w:pPr>
          </w:p>
        </w:tc>
        <w:tc>
          <w:tcPr>
            <w:tcW w:w="2881" w:type="dxa"/>
            <w:vMerge w:val="continue"/>
            <w:tcBorders>
              <w:left w:val="single" w:color="auto" w:sz="4" w:space="0"/>
              <w:right w:val="single" w:color="auto" w:sz="4" w:space="0"/>
            </w:tcBorders>
            <w:noWrap w:val="0"/>
            <w:vAlign w:val="top"/>
          </w:tcPr>
          <w:p w14:paraId="21486E1B">
            <w:pPr>
              <w:keepNext w:val="0"/>
              <w:keepLines w:val="0"/>
              <w:widowControl/>
              <w:suppressLineNumbers w:val="0"/>
              <w:adjustRightInd w:val="0"/>
              <w:snapToGrid w:val="0"/>
              <w:spacing w:before="0" w:beforeAutospacing="0" w:after="0" w:afterAutospacing="0" w:line="400" w:lineRule="exact"/>
              <w:ind w:left="0" w:right="0"/>
              <w:jc w:val="left"/>
              <w:rPr>
                <w:rFonts w:hint="default" w:ascii="Times New Roman" w:hAnsi="Times New Roman" w:cs="Times New Roman"/>
                <w:color w:val="auto"/>
                <w:szCs w:val="21"/>
                <w:highlight w:val="none"/>
              </w:rPr>
            </w:pPr>
          </w:p>
        </w:tc>
      </w:tr>
      <w:tr w14:paraId="4D5A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690" w:type="dxa"/>
            <w:noWrap w:val="0"/>
            <w:vAlign w:val="center"/>
          </w:tcPr>
          <w:p w14:paraId="2B6B644E">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20</w:t>
            </w:r>
          </w:p>
        </w:tc>
        <w:tc>
          <w:tcPr>
            <w:tcW w:w="2412" w:type="dxa"/>
            <w:noWrap w:val="0"/>
            <w:vAlign w:val="top"/>
          </w:tcPr>
          <w:p w14:paraId="0E0612D9">
            <w:pPr>
              <w:keepNext w:val="0"/>
              <w:keepLines w:val="0"/>
              <w:widowControl/>
              <w:suppressLineNumbers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cs="Times New Roman"/>
                <w:color w:val="auto"/>
                <w:szCs w:val="21"/>
                <w:highlight w:val="none"/>
              </w:rPr>
              <w:t>高精度CO</w:t>
            </w:r>
            <w:r>
              <w:rPr>
                <w:rFonts w:hint="default" w:ascii="Times New Roman" w:hAnsi="Times New Roman" w:cs="Times New Roman"/>
                <w:color w:val="auto"/>
                <w:szCs w:val="21"/>
                <w:highlight w:val="none"/>
                <w:vertAlign w:val="subscript"/>
              </w:rPr>
              <w:t>2</w:t>
            </w:r>
            <w:r>
              <w:rPr>
                <w:rFonts w:hint="default" w:ascii="Times New Roman" w:hAnsi="Times New Roman" w:cs="Times New Roman"/>
                <w:color w:val="auto"/>
                <w:szCs w:val="21"/>
                <w:highlight w:val="none"/>
              </w:rPr>
              <w:t>、NH</w:t>
            </w:r>
            <w:r>
              <w:rPr>
                <w:rFonts w:hint="default" w:ascii="Times New Roman" w:hAnsi="Times New Roman" w:cs="Times New Roman"/>
                <w:color w:val="auto"/>
                <w:szCs w:val="21"/>
                <w:highlight w:val="none"/>
                <w:vertAlign w:val="subscript"/>
              </w:rPr>
              <w:t>4</w:t>
            </w:r>
            <w:r>
              <w:rPr>
                <w:rFonts w:hint="default" w:ascii="Times New Roman" w:hAnsi="Times New Roman" w:cs="Times New Roman"/>
                <w:color w:val="auto"/>
                <w:szCs w:val="21"/>
                <w:highlight w:val="none"/>
              </w:rPr>
              <w:t>分析仪</w:t>
            </w:r>
          </w:p>
        </w:tc>
        <w:tc>
          <w:tcPr>
            <w:tcW w:w="1481" w:type="dxa"/>
            <w:noWrap w:val="0"/>
            <w:vAlign w:val="top"/>
          </w:tcPr>
          <w:p w14:paraId="37510733">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cs="Times New Roman"/>
                <w:color w:val="auto"/>
                <w:szCs w:val="21"/>
                <w:highlight w:val="none"/>
              </w:rPr>
              <w:t>≥80%</w:t>
            </w:r>
          </w:p>
        </w:tc>
        <w:tc>
          <w:tcPr>
            <w:tcW w:w="1973" w:type="dxa"/>
            <w:vMerge w:val="continue"/>
            <w:tcBorders>
              <w:left w:val="single" w:color="auto" w:sz="4" w:space="0"/>
              <w:right w:val="single" w:color="auto" w:sz="4" w:space="0"/>
            </w:tcBorders>
            <w:noWrap w:val="0"/>
            <w:vAlign w:val="top"/>
          </w:tcPr>
          <w:p w14:paraId="43F8EB71">
            <w:pPr>
              <w:keepNext w:val="0"/>
              <w:keepLines w:val="0"/>
              <w:widowControl/>
              <w:suppressLineNumbers w:val="0"/>
              <w:adjustRightInd w:val="0"/>
              <w:snapToGrid w:val="0"/>
              <w:spacing w:before="0" w:beforeAutospacing="0" w:after="0" w:afterAutospacing="0" w:line="400" w:lineRule="exact"/>
              <w:ind w:left="0" w:right="0"/>
              <w:jc w:val="left"/>
              <w:rPr>
                <w:rFonts w:hint="default" w:ascii="Times New Roman" w:hAnsi="Times New Roman" w:cs="Times New Roman"/>
                <w:color w:val="auto"/>
                <w:szCs w:val="21"/>
                <w:highlight w:val="none"/>
              </w:rPr>
            </w:pPr>
          </w:p>
        </w:tc>
        <w:tc>
          <w:tcPr>
            <w:tcW w:w="2881" w:type="dxa"/>
            <w:vMerge w:val="continue"/>
            <w:tcBorders>
              <w:left w:val="single" w:color="auto" w:sz="4" w:space="0"/>
              <w:right w:val="single" w:color="auto" w:sz="4" w:space="0"/>
            </w:tcBorders>
            <w:noWrap w:val="0"/>
            <w:vAlign w:val="top"/>
          </w:tcPr>
          <w:p w14:paraId="07E8AEBB">
            <w:pPr>
              <w:keepNext w:val="0"/>
              <w:keepLines w:val="0"/>
              <w:widowControl/>
              <w:suppressLineNumbers w:val="0"/>
              <w:adjustRightInd w:val="0"/>
              <w:snapToGrid w:val="0"/>
              <w:spacing w:before="0" w:beforeAutospacing="0" w:after="0" w:afterAutospacing="0" w:line="400" w:lineRule="exact"/>
              <w:ind w:left="0" w:right="0"/>
              <w:jc w:val="left"/>
              <w:rPr>
                <w:rFonts w:hint="default" w:ascii="Times New Roman" w:hAnsi="Times New Roman" w:cs="Times New Roman"/>
                <w:color w:val="auto"/>
                <w:szCs w:val="21"/>
                <w:highlight w:val="none"/>
              </w:rPr>
            </w:pPr>
          </w:p>
        </w:tc>
      </w:tr>
      <w:tr w14:paraId="193A4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690" w:type="dxa"/>
            <w:noWrap w:val="0"/>
            <w:vAlign w:val="center"/>
          </w:tcPr>
          <w:p w14:paraId="69E712B3">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21</w:t>
            </w:r>
          </w:p>
        </w:tc>
        <w:tc>
          <w:tcPr>
            <w:tcW w:w="2412" w:type="dxa"/>
            <w:noWrap w:val="0"/>
            <w:vAlign w:val="top"/>
          </w:tcPr>
          <w:p w14:paraId="120BAD0A">
            <w:pPr>
              <w:keepNext w:val="0"/>
              <w:keepLines w:val="0"/>
              <w:widowControl/>
              <w:suppressLineNumbers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cs="Times New Roman"/>
                <w:color w:val="auto"/>
                <w:szCs w:val="21"/>
                <w:highlight w:val="none"/>
              </w:rPr>
              <w:t>高精度CO、N</w:t>
            </w:r>
            <w:r>
              <w:rPr>
                <w:rFonts w:hint="default" w:ascii="Times New Roman" w:hAnsi="Times New Roman" w:cs="Times New Roman"/>
                <w:color w:val="auto"/>
                <w:szCs w:val="21"/>
                <w:highlight w:val="none"/>
                <w:vertAlign w:val="subscript"/>
              </w:rPr>
              <w:t>2</w:t>
            </w:r>
            <w:r>
              <w:rPr>
                <w:rFonts w:hint="default" w:ascii="Times New Roman" w:hAnsi="Times New Roman" w:cs="Times New Roman"/>
                <w:color w:val="auto"/>
                <w:szCs w:val="21"/>
                <w:highlight w:val="none"/>
              </w:rPr>
              <w:t>O分析仪</w:t>
            </w:r>
          </w:p>
        </w:tc>
        <w:tc>
          <w:tcPr>
            <w:tcW w:w="1481" w:type="dxa"/>
            <w:noWrap w:val="0"/>
            <w:vAlign w:val="top"/>
          </w:tcPr>
          <w:p w14:paraId="26CA9C67">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cs="Times New Roman"/>
                <w:color w:val="auto"/>
                <w:szCs w:val="21"/>
                <w:highlight w:val="none"/>
              </w:rPr>
              <w:t>≥80%</w:t>
            </w:r>
          </w:p>
        </w:tc>
        <w:tc>
          <w:tcPr>
            <w:tcW w:w="1973" w:type="dxa"/>
            <w:vMerge w:val="continue"/>
            <w:tcBorders>
              <w:left w:val="single" w:color="auto" w:sz="4" w:space="0"/>
              <w:right w:val="single" w:color="auto" w:sz="4" w:space="0"/>
            </w:tcBorders>
            <w:noWrap w:val="0"/>
            <w:vAlign w:val="top"/>
          </w:tcPr>
          <w:p w14:paraId="2CDE58E1">
            <w:pPr>
              <w:keepNext w:val="0"/>
              <w:keepLines w:val="0"/>
              <w:widowControl/>
              <w:suppressLineNumbers w:val="0"/>
              <w:adjustRightInd w:val="0"/>
              <w:snapToGrid w:val="0"/>
              <w:spacing w:before="0" w:beforeAutospacing="0" w:after="0" w:afterAutospacing="0" w:line="400" w:lineRule="exact"/>
              <w:ind w:left="0" w:right="0"/>
              <w:jc w:val="left"/>
              <w:rPr>
                <w:rFonts w:hint="default" w:ascii="Times New Roman" w:hAnsi="Times New Roman" w:cs="Times New Roman"/>
                <w:color w:val="auto"/>
                <w:szCs w:val="21"/>
                <w:highlight w:val="none"/>
              </w:rPr>
            </w:pPr>
          </w:p>
        </w:tc>
        <w:tc>
          <w:tcPr>
            <w:tcW w:w="2881" w:type="dxa"/>
            <w:vMerge w:val="continue"/>
            <w:tcBorders>
              <w:left w:val="single" w:color="auto" w:sz="4" w:space="0"/>
              <w:right w:val="single" w:color="auto" w:sz="4" w:space="0"/>
            </w:tcBorders>
            <w:noWrap w:val="0"/>
            <w:vAlign w:val="top"/>
          </w:tcPr>
          <w:p w14:paraId="4217151E">
            <w:pPr>
              <w:keepNext w:val="0"/>
              <w:keepLines w:val="0"/>
              <w:widowControl/>
              <w:suppressLineNumbers w:val="0"/>
              <w:adjustRightInd w:val="0"/>
              <w:snapToGrid w:val="0"/>
              <w:spacing w:before="0" w:beforeAutospacing="0" w:after="0" w:afterAutospacing="0" w:line="400" w:lineRule="exact"/>
              <w:ind w:left="0" w:right="0"/>
              <w:jc w:val="left"/>
              <w:rPr>
                <w:rFonts w:hint="default" w:ascii="Times New Roman" w:hAnsi="Times New Roman" w:cs="Times New Roman"/>
                <w:color w:val="auto"/>
                <w:szCs w:val="21"/>
                <w:highlight w:val="none"/>
              </w:rPr>
            </w:pPr>
          </w:p>
        </w:tc>
      </w:tr>
      <w:tr w14:paraId="51775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690" w:type="dxa"/>
            <w:noWrap w:val="0"/>
            <w:vAlign w:val="center"/>
          </w:tcPr>
          <w:p w14:paraId="43DD8975">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22</w:t>
            </w:r>
          </w:p>
        </w:tc>
        <w:tc>
          <w:tcPr>
            <w:tcW w:w="2412" w:type="dxa"/>
            <w:noWrap w:val="0"/>
            <w:vAlign w:val="center"/>
          </w:tcPr>
          <w:p w14:paraId="189F6164">
            <w:pPr>
              <w:keepNext w:val="0"/>
              <w:keepLines w:val="0"/>
              <w:widowControl/>
              <w:suppressLineNumbers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cs="Times New Roman"/>
                <w:color w:val="auto"/>
                <w:szCs w:val="21"/>
                <w:highlight w:val="none"/>
              </w:rPr>
              <w:t>高精度气象参数（风向、风速、温度、湿度、气压、降水量）</w:t>
            </w:r>
          </w:p>
        </w:tc>
        <w:tc>
          <w:tcPr>
            <w:tcW w:w="1481" w:type="dxa"/>
            <w:noWrap w:val="0"/>
            <w:vAlign w:val="top"/>
          </w:tcPr>
          <w:p w14:paraId="7BA76820">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cs="Times New Roman"/>
                <w:color w:val="auto"/>
                <w:szCs w:val="21"/>
                <w:highlight w:val="none"/>
              </w:rPr>
              <w:t>≥90%</w:t>
            </w:r>
          </w:p>
        </w:tc>
        <w:tc>
          <w:tcPr>
            <w:tcW w:w="1973" w:type="dxa"/>
            <w:vMerge w:val="continue"/>
            <w:tcBorders>
              <w:left w:val="single" w:color="auto" w:sz="4" w:space="0"/>
              <w:right w:val="single" w:color="auto" w:sz="4" w:space="0"/>
            </w:tcBorders>
            <w:noWrap w:val="0"/>
            <w:vAlign w:val="top"/>
          </w:tcPr>
          <w:p w14:paraId="13D611B4">
            <w:pPr>
              <w:keepNext w:val="0"/>
              <w:keepLines w:val="0"/>
              <w:widowControl/>
              <w:suppressLineNumbers w:val="0"/>
              <w:adjustRightInd w:val="0"/>
              <w:snapToGrid w:val="0"/>
              <w:spacing w:before="0" w:beforeAutospacing="0" w:after="0" w:afterAutospacing="0" w:line="400" w:lineRule="exact"/>
              <w:ind w:left="0" w:right="0"/>
              <w:jc w:val="left"/>
              <w:rPr>
                <w:rFonts w:hint="default" w:ascii="Times New Roman" w:hAnsi="Times New Roman" w:cs="Times New Roman"/>
                <w:color w:val="auto"/>
                <w:szCs w:val="21"/>
                <w:highlight w:val="none"/>
              </w:rPr>
            </w:pPr>
          </w:p>
        </w:tc>
        <w:tc>
          <w:tcPr>
            <w:tcW w:w="2881" w:type="dxa"/>
            <w:vMerge w:val="continue"/>
            <w:tcBorders>
              <w:left w:val="single" w:color="auto" w:sz="4" w:space="0"/>
              <w:right w:val="single" w:color="auto" w:sz="4" w:space="0"/>
            </w:tcBorders>
            <w:noWrap w:val="0"/>
            <w:vAlign w:val="top"/>
          </w:tcPr>
          <w:p w14:paraId="4EDC5BF1">
            <w:pPr>
              <w:keepNext w:val="0"/>
              <w:keepLines w:val="0"/>
              <w:widowControl/>
              <w:suppressLineNumbers w:val="0"/>
              <w:adjustRightInd w:val="0"/>
              <w:snapToGrid w:val="0"/>
              <w:spacing w:before="0" w:beforeAutospacing="0" w:after="0" w:afterAutospacing="0" w:line="400" w:lineRule="exact"/>
              <w:ind w:left="0" w:right="0"/>
              <w:jc w:val="left"/>
              <w:rPr>
                <w:rFonts w:hint="default" w:ascii="Times New Roman" w:hAnsi="Times New Roman" w:cs="Times New Roman"/>
                <w:color w:val="auto"/>
                <w:szCs w:val="21"/>
                <w:highlight w:val="none"/>
              </w:rPr>
            </w:pPr>
          </w:p>
        </w:tc>
      </w:tr>
      <w:tr w14:paraId="1C79C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690" w:type="dxa"/>
            <w:noWrap w:val="0"/>
            <w:vAlign w:val="center"/>
          </w:tcPr>
          <w:p w14:paraId="20A0F52F">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23</w:t>
            </w:r>
          </w:p>
        </w:tc>
        <w:tc>
          <w:tcPr>
            <w:tcW w:w="2412" w:type="dxa"/>
            <w:noWrap w:val="0"/>
            <w:vAlign w:val="center"/>
          </w:tcPr>
          <w:p w14:paraId="64CBABC7">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微波辐射计</w:t>
            </w:r>
          </w:p>
        </w:tc>
        <w:tc>
          <w:tcPr>
            <w:tcW w:w="1481" w:type="dxa"/>
            <w:noWrap w:val="0"/>
            <w:vAlign w:val="top"/>
          </w:tcPr>
          <w:p w14:paraId="2E5B3503">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cs="Times New Roman"/>
                <w:color w:val="auto"/>
                <w:szCs w:val="21"/>
                <w:highlight w:val="none"/>
              </w:rPr>
              <w:t>≥90%</w:t>
            </w:r>
          </w:p>
        </w:tc>
        <w:tc>
          <w:tcPr>
            <w:tcW w:w="1973" w:type="dxa"/>
            <w:vMerge w:val="continue"/>
            <w:tcBorders>
              <w:left w:val="single" w:color="auto" w:sz="4" w:space="0"/>
              <w:right w:val="single" w:color="auto" w:sz="4" w:space="0"/>
            </w:tcBorders>
            <w:noWrap w:val="0"/>
            <w:vAlign w:val="top"/>
          </w:tcPr>
          <w:p w14:paraId="64FF26C6">
            <w:pPr>
              <w:keepNext w:val="0"/>
              <w:keepLines w:val="0"/>
              <w:widowControl/>
              <w:suppressLineNumbers w:val="0"/>
              <w:adjustRightInd w:val="0"/>
              <w:snapToGrid w:val="0"/>
              <w:spacing w:before="0" w:beforeAutospacing="0" w:after="0" w:afterAutospacing="0" w:line="400" w:lineRule="exact"/>
              <w:ind w:left="0" w:right="0"/>
              <w:jc w:val="left"/>
              <w:rPr>
                <w:rFonts w:hint="default" w:ascii="Times New Roman" w:hAnsi="Times New Roman" w:cs="Times New Roman"/>
                <w:color w:val="auto"/>
                <w:szCs w:val="21"/>
                <w:highlight w:val="none"/>
              </w:rPr>
            </w:pPr>
          </w:p>
        </w:tc>
        <w:tc>
          <w:tcPr>
            <w:tcW w:w="2881" w:type="dxa"/>
            <w:vMerge w:val="continue"/>
            <w:tcBorders>
              <w:left w:val="single" w:color="auto" w:sz="4" w:space="0"/>
              <w:right w:val="single" w:color="auto" w:sz="4" w:space="0"/>
            </w:tcBorders>
            <w:noWrap w:val="0"/>
            <w:vAlign w:val="top"/>
          </w:tcPr>
          <w:p w14:paraId="593BC381">
            <w:pPr>
              <w:keepNext w:val="0"/>
              <w:keepLines w:val="0"/>
              <w:widowControl/>
              <w:suppressLineNumbers w:val="0"/>
              <w:adjustRightInd w:val="0"/>
              <w:snapToGrid w:val="0"/>
              <w:spacing w:before="0" w:beforeAutospacing="0" w:after="0" w:afterAutospacing="0" w:line="400" w:lineRule="exact"/>
              <w:ind w:left="0" w:right="0"/>
              <w:jc w:val="left"/>
              <w:rPr>
                <w:rFonts w:hint="default" w:ascii="Times New Roman" w:hAnsi="Times New Roman" w:cs="Times New Roman"/>
                <w:color w:val="auto"/>
                <w:szCs w:val="21"/>
                <w:highlight w:val="none"/>
              </w:rPr>
            </w:pPr>
          </w:p>
        </w:tc>
      </w:tr>
    </w:tbl>
    <w:p w14:paraId="065ACAC6">
      <w:pPr>
        <w:pStyle w:val="3"/>
        <w:spacing w:before="0" w:after="0" w:line="300" w:lineRule="exact"/>
        <w:ind w:left="-101" w:firstLine="482"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2、运维管理工作基本要求</w:t>
      </w:r>
    </w:p>
    <w:p w14:paraId="075F9CED">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本次招标托管期为202</w:t>
      </w:r>
      <w:r>
        <w:rPr>
          <w:rFonts w:hint="default" w:ascii="Times New Roman" w:hAnsi="Times New Roman" w:eastAsia="仿宋" w:cs="Times New Roman"/>
          <w:color w:val="auto"/>
          <w:sz w:val="24"/>
          <w:highlight w:val="none"/>
          <w:lang w:val="en-US" w:eastAsia="zh-CN"/>
        </w:rPr>
        <w:t>5</w:t>
      </w:r>
      <w:r>
        <w:rPr>
          <w:rFonts w:hint="default" w:ascii="Times New Roman" w:hAnsi="Times New Roman" w:eastAsia="仿宋" w:cs="Times New Roman"/>
          <w:color w:val="auto"/>
          <w:sz w:val="24"/>
          <w:highlight w:val="none"/>
        </w:rPr>
        <w:t>年</w:t>
      </w:r>
      <w:r>
        <w:rPr>
          <w:rFonts w:hint="default" w:ascii="Times New Roman" w:hAnsi="Times New Roman" w:eastAsia="仿宋" w:cs="Times New Roman"/>
          <w:color w:val="auto"/>
          <w:sz w:val="24"/>
          <w:highlight w:val="none"/>
          <w:lang w:val="en-US" w:eastAsia="zh-CN"/>
        </w:rPr>
        <w:t xml:space="preserve"> </w:t>
      </w:r>
      <w:r>
        <w:rPr>
          <w:rFonts w:hint="default" w:ascii="Times New Roman" w:hAnsi="Times New Roman" w:eastAsia="仿宋" w:cs="Times New Roman"/>
          <w:color w:val="auto"/>
          <w:sz w:val="24"/>
          <w:highlight w:val="none"/>
        </w:rPr>
        <w:t>月</w:t>
      </w:r>
      <w:r>
        <w:rPr>
          <w:rFonts w:hint="default" w:ascii="Times New Roman" w:hAnsi="Times New Roman" w:eastAsia="仿宋" w:cs="Times New Roman"/>
          <w:color w:val="auto"/>
          <w:sz w:val="24"/>
          <w:highlight w:val="none"/>
          <w:lang w:val="en-US" w:eastAsia="zh-CN"/>
        </w:rPr>
        <w:t xml:space="preserve"> </w:t>
      </w:r>
      <w:r>
        <w:rPr>
          <w:rFonts w:hint="default" w:ascii="Times New Roman" w:hAnsi="Times New Roman" w:eastAsia="仿宋" w:cs="Times New Roman"/>
          <w:color w:val="auto"/>
          <w:sz w:val="24"/>
          <w:highlight w:val="none"/>
        </w:rPr>
        <w:t>日至202</w:t>
      </w:r>
      <w:r>
        <w:rPr>
          <w:rFonts w:hint="default" w:ascii="Times New Roman" w:hAnsi="Times New Roman" w:eastAsia="仿宋" w:cs="Times New Roman"/>
          <w:color w:val="auto"/>
          <w:sz w:val="24"/>
          <w:highlight w:val="none"/>
          <w:lang w:val="en-US" w:eastAsia="zh-CN"/>
        </w:rPr>
        <w:t>6</w:t>
      </w:r>
      <w:r>
        <w:rPr>
          <w:rFonts w:hint="default" w:ascii="Times New Roman" w:hAnsi="Times New Roman" w:eastAsia="仿宋" w:cs="Times New Roman"/>
          <w:color w:val="auto"/>
          <w:sz w:val="24"/>
          <w:highlight w:val="none"/>
        </w:rPr>
        <w:t>年</w:t>
      </w:r>
      <w:r>
        <w:rPr>
          <w:rFonts w:hint="default" w:ascii="Times New Roman" w:hAnsi="Times New Roman" w:eastAsia="仿宋" w:cs="Times New Roman"/>
          <w:color w:val="auto"/>
          <w:sz w:val="24"/>
          <w:highlight w:val="none"/>
          <w:lang w:val="en-US" w:eastAsia="zh-CN"/>
        </w:rPr>
        <w:t xml:space="preserve"> </w:t>
      </w:r>
      <w:r>
        <w:rPr>
          <w:rFonts w:hint="default" w:ascii="Times New Roman" w:hAnsi="Times New Roman" w:eastAsia="仿宋" w:cs="Times New Roman"/>
          <w:color w:val="auto"/>
          <w:sz w:val="24"/>
          <w:highlight w:val="none"/>
        </w:rPr>
        <w:t>月</w:t>
      </w:r>
      <w:r>
        <w:rPr>
          <w:rFonts w:hint="default" w:ascii="Times New Roman" w:hAnsi="Times New Roman" w:eastAsia="仿宋" w:cs="Times New Roman"/>
          <w:color w:val="auto"/>
          <w:sz w:val="24"/>
          <w:highlight w:val="none"/>
          <w:lang w:val="en-US" w:eastAsia="zh-CN"/>
        </w:rPr>
        <w:t xml:space="preserve"> </w:t>
      </w:r>
      <w:r>
        <w:rPr>
          <w:rFonts w:hint="default" w:ascii="Times New Roman" w:hAnsi="Times New Roman" w:eastAsia="仿宋" w:cs="Times New Roman"/>
          <w:color w:val="auto"/>
          <w:sz w:val="24"/>
          <w:highlight w:val="none"/>
        </w:rPr>
        <w:t>日，共计</w:t>
      </w:r>
      <w:r>
        <w:rPr>
          <w:rFonts w:hint="default" w:ascii="Times New Roman" w:hAnsi="Times New Roman" w:eastAsia="仿宋" w:cs="Times New Roman"/>
          <w:color w:val="auto"/>
          <w:sz w:val="24"/>
          <w:highlight w:val="none"/>
          <w:lang w:val="en-US" w:eastAsia="zh-CN"/>
        </w:rPr>
        <w:t>12</w:t>
      </w:r>
      <w:r>
        <w:rPr>
          <w:rFonts w:hint="default" w:ascii="Times New Roman" w:hAnsi="Times New Roman" w:eastAsia="仿宋" w:cs="Times New Roman"/>
          <w:color w:val="auto"/>
          <w:sz w:val="24"/>
          <w:highlight w:val="none"/>
        </w:rPr>
        <w:t>个月，属于总包服务，根据</w:t>
      </w:r>
      <w:r>
        <w:rPr>
          <w:rFonts w:hint="eastAsia" w:ascii="Times New Roman" w:hAnsi="Times New Roman" w:eastAsia="仿宋" w:cs="Times New Roman"/>
          <w:color w:val="auto"/>
          <w:sz w:val="24"/>
          <w:highlight w:val="none"/>
          <w:lang w:eastAsia="zh-CN"/>
        </w:rPr>
        <w:t>大气组分站</w:t>
      </w:r>
      <w:r>
        <w:rPr>
          <w:rFonts w:hint="default" w:ascii="Times New Roman" w:hAnsi="Times New Roman" w:eastAsia="仿宋" w:cs="Times New Roman"/>
          <w:color w:val="auto"/>
          <w:sz w:val="24"/>
          <w:highlight w:val="none"/>
        </w:rPr>
        <w:t>的托管目标，要求托管过程中完成以下工作：</w:t>
      </w:r>
      <w:r>
        <w:rPr>
          <w:rFonts w:hint="eastAsia" w:ascii="Times New Roman" w:hAnsi="Times New Roman" w:eastAsia="仿宋" w:cs="Times New Roman"/>
          <w:color w:val="auto"/>
          <w:sz w:val="24"/>
          <w:highlight w:val="none"/>
          <w:lang w:eastAsia="zh-CN"/>
        </w:rPr>
        <w:t>大气组分站</w:t>
      </w:r>
      <w:r>
        <w:rPr>
          <w:rFonts w:hint="default" w:ascii="Times New Roman" w:hAnsi="Times New Roman" w:eastAsia="仿宋" w:cs="Times New Roman"/>
          <w:color w:val="auto"/>
          <w:sz w:val="24"/>
          <w:highlight w:val="none"/>
        </w:rPr>
        <w:t>内所有监测仪器、气象仪器、质控设备、数据采集与传输设备、辅助设备等的日常维护、质量控制等工作，确保</w:t>
      </w:r>
      <w:r>
        <w:rPr>
          <w:rFonts w:hint="eastAsia" w:ascii="Times New Roman" w:hAnsi="Times New Roman" w:eastAsia="仿宋" w:cs="Times New Roman"/>
          <w:color w:val="auto"/>
          <w:sz w:val="24"/>
          <w:highlight w:val="none"/>
          <w:lang w:eastAsia="zh-CN"/>
        </w:rPr>
        <w:t>大气组分站</w:t>
      </w:r>
      <w:r>
        <w:rPr>
          <w:rFonts w:hint="default" w:ascii="Times New Roman" w:hAnsi="Times New Roman" w:eastAsia="仿宋" w:cs="Times New Roman"/>
          <w:color w:val="auto"/>
          <w:sz w:val="24"/>
          <w:highlight w:val="none"/>
        </w:rPr>
        <w:t>各项监测仪器正常稳定运行，数据长期稳定有效；定期出具各类满足环保主管单位要求的专业数据分析报告，为新疆维吾尔自治区生态环境厅及新疆维吾尔自治区生态环境监测总站提供必要的</w:t>
      </w:r>
      <w:r>
        <w:rPr>
          <w:rFonts w:hint="eastAsia" w:ascii="Times New Roman" w:hAnsi="Times New Roman" w:eastAsia="仿宋" w:cs="Times New Roman"/>
          <w:color w:val="auto"/>
          <w:sz w:val="24"/>
          <w:highlight w:val="none"/>
          <w:lang w:eastAsia="zh-CN"/>
        </w:rPr>
        <w:t>大气组分站</w:t>
      </w:r>
      <w:r>
        <w:rPr>
          <w:rFonts w:hint="default" w:ascii="Times New Roman" w:hAnsi="Times New Roman" w:eastAsia="仿宋" w:cs="Times New Roman"/>
          <w:color w:val="auto"/>
          <w:sz w:val="24"/>
          <w:highlight w:val="none"/>
        </w:rPr>
        <w:t>数据分析服务，接受新疆维吾尔自治区生态环境厅及新疆维吾尔自治区生态环境监测总站质控检查和考核。总体要求如下：</w:t>
      </w:r>
    </w:p>
    <w:p w14:paraId="48761736">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★（1）按照甲方要求开展设备运行维护和质控工作，按要求时限完成数据审核；</w:t>
      </w:r>
    </w:p>
    <w:p w14:paraId="7139C501">
      <w:pPr>
        <w:pStyle w:val="18"/>
        <w:adjustRightInd w:val="0"/>
        <w:snapToGrid w:val="0"/>
        <w:spacing w:line="300" w:lineRule="exact"/>
        <w:ind w:left="0" w:leftChars="0"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★（2）配备至少3名经验丰富的</w:t>
      </w:r>
      <w:r>
        <w:rPr>
          <w:rFonts w:hint="eastAsia" w:ascii="Times New Roman" w:hAnsi="Times New Roman" w:eastAsia="仿宋" w:cs="Times New Roman"/>
          <w:color w:val="auto"/>
          <w:sz w:val="24"/>
          <w:highlight w:val="none"/>
          <w:lang w:eastAsia="zh-CN"/>
        </w:rPr>
        <w:t>大气组分站</w:t>
      </w:r>
      <w:r>
        <w:rPr>
          <w:rFonts w:hint="default" w:ascii="Times New Roman" w:hAnsi="Times New Roman" w:eastAsia="仿宋" w:cs="Times New Roman"/>
          <w:color w:val="auto"/>
          <w:sz w:val="24"/>
          <w:highlight w:val="none"/>
        </w:rPr>
        <w:t>数据分析工程师</w:t>
      </w:r>
      <w:r>
        <w:rPr>
          <w:rFonts w:hint="default" w:ascii="Times New Roman" w:hAnsi="Times New Roman" w:eastAsia="仿宋" w:cs="Times New Roman"/>
          <w:color w:val="auto"/>
          <w:sz w:val="24"/>
          <w:highlight w:val="none"/>
          <w:lang w:val="en-US" w:eastAsia="zh-CN"/>
        </w:rPr>
        <w:t>(</w:t>
      </w:r>
      <w:r>
        <w:rPr>
          <w:rFonts w:hint="default" w:ascii="Times New Roman" w:hAnsi="Times New Roman" w:eastAsia="仿宋" w:cs="Times New Roman"/>
          <w:color w:val="auto"/>
          <w:sz w:val="24"/>
          <w:highlight w:val="none"/>
        </w:rPr>
        <w:t>学历要求：硕士研究生，职称要求：至少</w:t>
      </w:r>
      <w:r>
        <w:rPr>
          <w:rFonts w:hint="default"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rPr>
        <w:t>名</w:t>
      </w:r>
      <w:r>
        <w:rPr>
          <w:rFonts w:hint="default" w:ascii="Times New Roman" w:hAnsi="Times New Roman" w:eastAsia="仿宋" w:cs="Times New Roman"/>
          <w:color w:val="auto"/>
          <w:sz w:val="24"/>
          <w:highlight w:val="none"/>
          <w:lang w:val="en-US" w:eastAsia="zh-CN"/>
        </w:rPr>
        <w:t>为</w:t>
      </w:r>
      <w:r>
        <w:rPr>
          <w:rFonts w:hint="default" w:ascii="Times New Roman" w:hAnsi="Times New Roman" w:eastAsia="仿宋" w:cs="Times New Roman"/>
          <w:color w:val="auto"/>
          <w:sz w:val="24"/>
          <w:highlight w:val="none"/>
        </w:rPr>
        <w:t>副高职称、</w:t>
      </w:r>
      <w:r>
        <w:rPr>
          <w:rFonts w:hint="default"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rPr>
        <w:t>名中级职称</w:t>
      </w:r>
      <w:r>
        <w:rPr>
          <w:rFonts w:hint="default" w:ascii="Times New Roman" w:hAnsi="Times New Roman" w:eastAsia="仿宋" w:cs="Times New Roman"/>
          <w:color w:val="auto"/>
          <w:sz w:val="24"/>
          <w:highlight w:val="none"/>
          <w:lang w:eastAsia="zh-CN"/>
        </w:rPr>
        <w:t>）</w:t>
      </w:r>
      <w:r>
        <w:rPr>
          <w:rFonts w:hint="default" w:ascii="Times New Roman" w:hAnsi="Times New Roman" w:eastAsia="仿宋" w:cs="Times New Roman"/>
          <w:color w:val="auto"/>
          <w:sz w:val="24"/>
          <w:highlight w:val="none"/>
          <w:lang w:val="en-US" w:eastAsia="zh-CN"/>
        </w:rPr>
        <w:t>,</w:t>
      </w:r>
      <w:r>
        <w:rPr>
          <w:rFonts w:hint="default" w:ascii="Times New Roman" w:hAnsi="Times New Roman" w:eastAsia="仿宋" w:cs="Times New Roman"/>
          <w:color w:val="auto"/>
          <w:sz w:val="24"/>
          <w:highlight w:val="none"/>
        </w:rPr>
        <w:t>具备</w:t>
      </w:r>
      <w:r>
        <w:rPr>
          <w:rFonts w:hint="default" w:ascii="Times New Roman" w:hAnsi="Times New Roman" w:eastAsia="仿宋" w:cs="Times New Roman"/>
          <w:color w:val="auto"/>
          <w:sz w:val="24"/>
          <w:highlight w:val="none"/>
          <w:lang w:val="en-US" w:eastAsia="zh-CN"/>
        </w:rPr>
        <w:t>4</w:t>
      </w:r>
      <w:r>
        <w:rPr>
          <w:rFonts w:hint="default" w:ascii="Times New Roman" w:hAnsi="Times New Roman" w:eastAsia="仿宋" w:cs="Times New Roman"/>
          <w:color w:val="auto"/>
          <w:sz w:val="24"/>
          <w:highlight w:val="none"/>
        </w:rPr>
        <w:t>年以上大气污染成因研究或相关数据分析经验，具备编制</w:t>
      </w:r>
      <w:r>
        <w:rPr>
          <w:rFonts w:hint="default" w:ascii="Times New Roman" w:hAnsi="Times New Roman" w:eastAsia="仿宋" w:cs="Times New Roman"/>
          <w:color w:val="auto"/>
          <w:sz w:val="24"/>
          <w:highlight w:val="none"/>
          <w:lang w:eastAsia="zh-CN"/>
        </w:rPr>
        <w:t>省级</w:t>
      </w:r>
      <w:r>
        <w:rPr>
          <w:rFonts w:hint="default" w:ascii="Times New Roman" w:hAnsi="Times New Roman" w:eastAsia="仿宋" w:cs="Times New Roman"/>
          <w:color w:val="auto"/>
          <w:sz w:val="24"/>
          <w:highlight w:val="none"/>
        </w:rPr>
        <w:t>以上污染成因报告经验（提供相关证明材料，并加盖单位公章），负责数据审核、输出阶段性数据分析报告，并承担项目管理的角色，做好与甲方定期的沟通汇报工作，包括传递甲方的合理需求和意见建议，解答甲方对</w:t>
      </w:r>
      <w:r>
        <w:rPr>
          <w:rFonts w:hint="eastAsia" w:ascii="Times New Roman" w:hAnsi="Times New Roman" w:eastAsia="仿宋" w:cs="Times New Roman"/>
          <w:color w:val="auto"/>
          <w:sz w:val="24"/>
          <w:highlight w:val="none"/>
          <w:lang w:eastAsia="zh-CN"/>
        </w:rPr>
        <w:t>大气组分站</w:t>
      </w:r>
      <w:r>
        <w:rPr>
          <w:rFonts w:hint="default" w:ascii="Times New Roman" w:hAnsi="Times New Roman" w:eastAsia="仿宋" w:cs="Times New Roman"/>
          <w:color w:val="auto"/>
          <w:sz w:val="24"/>
          <w:highlight w:val="none"/>
        </w:rPr>
        <w:t>设备运行维护及数据分析应用等方面的问题，配合甲方完成</w:t>
      </w:r>
      <w:r>
        <w:rPr>
          <w:rFonts w:hint="eastAsia" w:ascii="Times New Roman" w:hAnsi="Times New Roman" w:eastAsia="仿宋" w:cs="Times New Roman"/>
          <w:color w:val="auto"/>
          <w:sz w:val="24"/>
          <w:highlight w:val="none"/>
          <w:lang w:eastAsia="zh-CN"/>
        </w:rPr>
        <w:t>大气组分站</w:t>
      </w:r>
      <w:r>
        <w:rPr>
          <w:rFonts w:hint="default" w:ascii="Times New Roman" w:hAnsi="Times New Roman" w:eastAsia="仿宋" w:cs="Times New Roman"/>
          <w:color w:val="auto"/>
          <w:sz w:val="24"/>
          <w:highlight w:val="none"/>
        </w:rPr>
        <w:t>的管理考核工作等。</w:t>
      </w:r>
    </w:p>
    <w:p w14:paraId="0D091D66">
      <w:pPr>
        <w:pStyle w:val="18"/>
        <w:adjustRightInd w:val="0"/>
        <w:snapToGrid w:val="0"/>
        <w:spacing w:line="300" w:lineRule="exact"/>
        <w:ind w:left="0" w:leftChars="0"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★（3）配备至少</w:t>
      </w:r>
      <w:r>
        <w:rPr>
          <w:rFonts w:hint="default"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rPr>
        <w:t>名专业的仪器运维工程师（具备两年</w:t>
      </w:r>
      <w:r>
        <w:rPr>
          <w:rFonts w:hint="default" w:ascii="Times New Roman" w:hAnsi="Times New Roman" w:eastAsia="仿宋" w:cs="Times New Roman"/>
          <w:color w:val="auto"/>
          <w:sz w:val="24"/>
          <w:highlight w:val="none"/>
          <w:lang w:val="en-US" w:eastAsia="zh-CN"/>
        </w:rPr>
        <w:t>超级站、组分站</w:t>
      </w:r>
      <w:r>
        <w:rPr>
          <w:rFonts w:hint="default" w:ascii="Times New Roman" w:hAnsi="Times New Roman" w:eastAsia="仿宋" w:cs="Times New Roman"/>
          <w:color w:val="auto"/>
          <w:sz w:val="24"/>
          <w:highlight w:val="none"/>
        </w:rPr>
        <w:t>相关</w:t>
      </w:r>
      <w:r>
        <w:rPr>
          <w:rFonts w:hint="default" w:ascii="Times New Roman" w:hAnsi="Times New Roman" w:eastAsia="仿宋" w:cs="Times New Roman"/>
          <w:color w:val="auto"/>
          <w:sz w:val="24"/>
          <w:highlight w:val="none"/>
          <w:lang w:eastAsia="zh-CN"/>
        </w:rPr>
        <w:t>运维</w:t>
      </w:r>
      <w:r>
        <w:rPr>
          <w:rFonts w:hint="default" w:ascii="Times New Roman" w:hAnsi="Times New Roman" w:eastAsia="仿宋" w:cs="Times New Roman"/>
          <w:color w:val="auto"/>
          <w:sz w:val="24"/>
          <w:highlight w:val="none"/>
        </w:rPr>
        <w:t>经验的专业人员，有2年以上气相色谱-质谱仪器使用经验）驻点运维（提供相关证明材料，并加盖单位公章），负责根据既定制度保障</w:t>
      </w:r>
      <w:r>
        <w:rPr>
          <w:rFonts w:hint="eastAsia" w:ascii="Times New Roman" w:hAnsi="Times New Roman" w:eastAsia="仿宋" w:cs="Times New Roman"/>
          <w:color w:val="auto"/>
          <w:sz w:val="24"/>
          <w:highlight w:val="none"/>
          <w:lang w:eastAsia="zh-CN"/>
        </w:rPr>
        <w:t>大气组分站</w:t>
      </w:r>
      <w:r>
        <w:rPr>
          <w:rFonts w:hint="default" w:ascii="Times New Roman" w:hAnsi="Times New Roman" w:eastAsia="仿宋" w:cs="Times New Roman"/>
          <w:color w:val="auto"/>
          <w:sz w:val="24"/>
          <w:highlight w:val="none"/>
        </w:rPr>
        <w:t>内各仪器稳定可靠运行，并确保各仪器检测数据准确可靠，做好仪器设备日常运行维护及质控工作，为测量数据的获取做好技术保障工作。</w:t>
      </w:r>
    </w:p>
    <w:p w14:paraId="6B4E78EF">
      <w:pPr>
        <w:spacing w:line="3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★（4）执行国家各类现行或者试行的自动监测标准规范，全面负责</w:t>
      </w:r>
      <w:r>
        <w:rPr>
          <w:rFonts w:hint="eastAsia" w:ascii="Times New Roman" w:hAnsi="Times New Roman" w:eastAsia="仿宋" w:cs="Times New Roman"/>
          <w:color w:val="auto"/>
          <w:sz w:val="24"/>
          <w:highlight w:val="none"/>
          <w:lang w:eastAsia="zh-CN"/>
        </w:rPr>
        <w:t>大气组分站</w:t>
      </w:r>
      <w:r>
        <w:rPr>
          <w:rFonts w:hint="default" w:ascii="Times New Roman" w:hAnsi="Times New Roman" w:eastAsia="仿宋" w:cs="Times New Roman"/>
          <w:color w:val="auto"/>
          <w:sz w:val="24"/>
          <w:highlight w:val="none"/>
        </w:rPr>
        <w:t>内各监测设备运维、质控、数据采集、传输、数据审核工作，对数据质量负责。要做到全部运维设备的运维工作做到有据可依，部分设备无运维工作标准规范要求的需自行建立专项运维管理及质控方案并在征得业主单位同意的基础上依照执行。按照国家各类现行或者试行的自动监测标准规范要求及仪器设备使用说明书建议，制定并实施运维年度运维工作计划、质控计划及分析报告编制计划。</w:t>
      </w:r>
    </w:p>
    <w:p w14:paraId="7E1480FD">
      <w:pPr>
        <w:spacing w:line="3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5）运维服务包含仪器设备耗材、配件及日常运行维护工作，日常和定期的核查调校、易损件更换、耗材更换、试剂补充、管路清洗等工作。定期完成仪器设备的配件、耗材等更换工作，完成定期校准标定等工作。运维单位必要的质量控制设备必须自备，包括流量计、移液枪等。</w:t>
      </w:r>
    </w:p>
    <w:p w14:paraId="0BFE712B">
      <w:pPr>
        <w:spacing w:line="3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★（6）建立数据异常快速响应机制，发现数据中断、异常等情况时，及时查找分析原因并报主管部门，排除异常情况，采取措施预防再次发生。</w:t>
      </w:r>
    </w:p>
    <w:p w14:paraId="783D3EC5">
      <w:pPr>
        <w:spacing w:line="3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7）满足故障响应时间要求，保证对系统突发性设备故障的及时响应，2小时内做出响应并派技术人员到达维修现场，普通故障4小时内解决。通信和电力线路故障除外，但应及时向甲方报备。运维单位应遵守生态环境部、中国环境监测总站、自治区生态环境厅、自治区生态环境监测总站关于自动站运行管理的各项规定，如运维期间出台新的管理规定，则运维工作要求随之执行最新规定。</w:t>
      </w:r>
    </w:p>
    <w:p w14:paraId="6FB85B66">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highlight w:val="none"/>
        </w:rPr>
        <w:t>★</w:t>
      </w:r>
      <w:r>
        <w:rPr>
          <w:rFonts w:hint="default" w:ascii="Times New Roman" w:hAnsi="Times New Roman" w:eastAsia="仿宋" w:cs="Times New Roman"/>
          <w:color w:val="auto"/>
          <w:sz w:val="24"/>
          <w:szCs w:val="22"/>
          <w:highlight w:val="none"/>
        </w:rPr>
        <w:t>（8）按期编制月报，每月8日12时提交前一月月报。根据甲方要求提供沙尘专报、重污染专报、采暖期专报</w:t>
      </w:r>
      <w:r>
        <w:rPr>
          <w:rFonts w:hint="default" w:ascii="Times New Roman" w:hAnsi="Times New Roman" w:eastAsia="仿宋" w:cs="Times New Roman"/>
          <w:color w:val="auto"/>
          <w:sz w:val="24"/>
          <w:szCs w:val="22"/>
          <w:highlight w:val="none"/>
          <w:lang w:eastAsia="zh-CN"/>
        </w:rPr>
        <w:t>、年报。</w:t>
      </w:r>
      <w:r>
        <w:rPr>
          <w:rFonts w:hint="default" w:ascii="Times New Roman" w:hAnsi="Times New Roman" w:eastAsia="仿宋" w:cs="Times New Roman"/>
          <w:color w:val="auto"/>
          <w:sz w:val="24"/>
          <w:szCs w:val="22"/>
          <w:highlight w:val="none"/>
        </w:rPr>
        <w:t>沙尘专报、重污染专报应在污染过程结束后</w:t>
      </w:r>
      <w:r>
        <w:rPr>
          <w:rFonts w:hint="default" w:ascii="Times New Roman" w:hAnsi="Times New Roman" w:eastAsia="仿宋" w:cs="Times New Roman"/>
          <w:color w:val="auto"/>
          <w:sz w:val="24"/>
          <w:szCs w:val="22"/>
          <w:highlight w:val="none"/>
          <w:lang w:val="en-US" w:eastAsia="zh-CN"/>
        </w:rPr>
        <w:t>2</w:t>
      </w:r>
      <w:r>
        <w:rPr>
          <w:rFonts w:hint="default" w:ascii="Times New Roman" w:hAnsi="Times New Roman" w:eastAsia="仿宋" w:cs="Times New Roman"/>
          <w:color w:val="auto"/>
          <w:sz w:val="24"/>
          <w:szCs w:val="22"/>
          <w:highlight w:val="none"/>
        </w:rPr>
        <w:t>天内完成，采暖期专报应在</w:t>
      </w:r>
      <w:r>
        <w:rPr>
          <w:rFonts w:hint="default" w:ascii="Times New Roman" w:hAnsi="Times New Roman" w:eastAsia="仿宋" w:cs="Times New Roman"/>
          <w:color w:val="auto"/>
          <w:sz w:val="24"/>
          <w:szCs w:val="22"/>
          <w:highlight w:val="none"/>
          <w:lang w:val="en-US" w:eastAsia="zh-CN"/>
        </w:rPr>
        <w:t>2</w:t>
      </w:r>
      <w:r>
        <w:rPr>
          <w:rFonts w:hint="default" w:ascii="Times New Roman" w:hAnsi="Times New Roman" w:eastAsia="仿宋" w:cs="Times New Roman"/>
          <w:color w:val="auto"/>
          <w:sz w:val="24"/>
          <w:szCs w:val="22"/>
          <w:highlight w:val="none"/>
        </w:rPr>
        <w:t>周内完成，年报编写应在4周内完成。根据甲方要求提供污染成因分析周报，秋冬季（11月至次年3月）要求每周一12时前提交前一周的周报（具体内容包括污染过程描述、污染成因分析、组分特征分析、来源分析等内容）。月报内容应至少包括站点设备及运维质控基本情况、环境质量分析、气象条件分析、雷达监测情况分析、大气光化学监测分析、颗粒物组分分析、结论建议等内容。专报、年报适当增加污染及成因分析、对策建议及甲方指定要求增加的分析内容。</w:t>
      </w:r>
    </w:p>
    <w:p w14:paraId="3C90A306">
      <w:pPr>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★（9）运维期间所有标准物质（注：VOCs标气要求使用进口标气）、耗材、配件、设备维修、水电费、网络费等由中标单位承担。</w:t>
      </w:r>
    </w:p>
    <w:p w14:paraId="131515DD">
      <w:pPr>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★（10）运维期间因仪器配件损坏、老化造成的数据失真和数据损失情况由运维单位负责相应配件的更换和维修，所有配件的型号必须与招标要求一致。</w:t>
      </w:r>
    </w:p>
    <w:p w14:paraId="1235DFA7">
      <w:pPr>
        <w:pStyle w:val="3"/>
        <w:spacing w:before="0" w:after="0" w:line="300" w:lineRule="exact"/>
        <w:ind w:left="-101" w:firstLine="482"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3、运维技术要求</w:t>
      </w:r>
    </w:p>
    <w:p w14:paraId="47DDC80D">
      <w:pPr>
        <w:spacing w:line="300" w:lineRule="exact"/>
        <w:ind w:firstLine="480" w:firstLineChars="200"/>
        <w:jc w:val="left"/>
        <w:outlineLvl w:val="3"/>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3.1 运行管理目标</w:t>
      </w:r>
    </w:p>
    <w:p w14:paraId="5C275D5D">
      <w:pPr>
        <w:spacing w:line="300" w:lineRule="exact"/>
        <w:ind w:firstLine="480" w:firstLineChars="200"/>
        <w:jc w:val="left"/>
        <w:rPr>
          <w:rFonts w:hint="default"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lang w:eastAsia="zh-CN"/>
        </w:rPr>
        <w:t>大气组分站</w:t>
      </w:r>
      <w:r>
        <w:rPr>
          <w:rFonts w:hint="default" w:ascii="Times New Roman" w:hAnsi="Times New Roman" w:eastAsia="仿宋" w:cs="Times New Roman"/>
          <w:color w:val="auto"/>
          <w:sz w:val="24"/>
          <w:highlight w:val="none"/>
        </w:rPr>
        <w:t>的运行质量应达到以下指标：</w:t>
      </w:r>
    </w:p>
    <w:p w14:paraId="6D4D4229">
      <w:pPr>
        <w:spacing w:line="300" w:lineRule="exact"/>
        <w:ind w:firstLine="480" w:firstLineChars="200"/>
        <w:jc w:val="left"/>
        <w:rPr>
          <w:rFonts w:hint="default"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lang w:eastAsia="zh-CN"/>
        </w:rPr>
        <w:t>大气组分站</w:t>
      </w:r>
      <w:r>
        <w:rPr>
          <w:rFonts w:hint="default" w:ascii="Times New Roman" w:hAnsi="Times New Roman" w:eastAsia="仿宋" w:cs="Times New Roman"/>
          <w:color w:val="auto"/>
          <w:sz w:val="24"/>
          <w:highlight w:val="none"/>
        </w:rPr>
        <w:t>的各项指标的有效监测数据参照《环境空气质量标准》（GB 3095-2012）中规定的常规污染物浓度数据有效性要求；</w:t>
      </w:r>
    </w:p>
    <w:p w14:paraId="4F73A98F">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（1）非沙尘影响的细颗粒物、臭氧重污染过程数据有效捕获率≥90%；</w:t>
      </w:r>
    </w:p>
    <w:p w14:paraId="0D1F1697">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（2）按季度考核，每季度数据有效捕获率≥80%；</w:t>
      </w:r>
    </w:p>
    <w:p w14:paraId="7FE5410A">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（3）日常质控措施执行率 100%；</w:t>
      </w:r>
    </w:p>
    <w:p w14:paraId="24EBB4FD">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（4）异常情况处理率达到 100%。</w:t>
      </w:r>
    </w:p>
    <w:p w14:paraId="366256A7">
      <w:pPr>
        <w:spacing w:line="3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建立规范化、科学化的运行管理体系，提供针对性的设备及站房日常巡检、定期维护保养、校准、耗材更换、故障检修等工作方案。在运行维护期间保证设备运行稳定，满足国家标准及合同约定中的设备性能要求及数据捕获率要求；严格执行合同约定的质控措施，保证数据的可靠性与有效性。</w:t>
      </w:r>
    </w:p>
    <w:p w14:paraId="5DCFB177">
      <w:pPr>
        <w:spacing w:line="300" w:lineRule="exact"/>
        <w:ind w:firstLine="480" w:firstLineChars="200"/>
        <w:jc w:val="left"/>
        <w:outlineLvl w:val="3"/>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3.2 运行管理具体工作内容</w:t>
      </w:r>
    </w:p>
    <w:p w14:paraId="5AE47D92">
      <w:pPr>
        <w:spacing w:line="300" w:lineRule="exact"/>
        <w:ind w:firstLine="480" w:firstLineChars="200"/>
        <w:jc w:val="left"/>
        <w:outlineLvl w:val="4"/>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3.2.1 运维过程中主要完成以下工作</w:t>
      </w:r>
    </w:p>
    <w:p w14:paraId="50B69299">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w:t>
      </w:r>
      <w:r>
        <w:rPr>
          <w:rFonts w:hint="eastAsia" w:ascii="Times New Roman" w:hAnsi="Times New Roman" w:eastAsia="仿宋" w:cs="Times New Roman"/>
          <w:color w:val="auto"/>
          <w:sz w:val="24"/>
          <w:highlight w:val="none"/>
          <w:lang w:eastAsia="zh-CN"/>
        </w:rPr>
        <w:t>大气组分站</w:t>
      </w:r>
      <w:r>
        <w:rPr>
          <w:rFonts w:hint="default" w:ascii="Times New Roman" w:hAnsi="Times New Roman" w:eastAsia="仿宋" w:cs="Times New Roman"/>
          <w:color w:val="auto"/>
          <w:sz w:val="24"/>
          <w:highlight w:val="none"/>
        </w:rPr>
        <w:t>的日常运行维护；</w:t>
      </w:r>
    </w:p>
    <w:p w14:paraId="356A264A">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w:t>
      </w:r>
      <w:r>
        <w:rPr>
          <w:rFonts w:hint="eastAsia" w:ascii="Times New Roman" w:hAnsi="Times New Roman" w:eastAsia="仿宋" w:cs="Times New Roman"/>
          <w:color w:val="auto"/>
          <w:sz w:val="24"/>
          <w:highlight w:val="none"/>
          <w:lang w:eastAsia="zh-CN"/>
        </w:rPr>
        <w:t>大气组分站</w:t>
      </w:r>
      <w:r>
        <w:rPr>
          <w:rFonts w:hint="default" w:ascii="Times New Roman" w:hAnsi="Times New Roman" w:eastAsia="仿宋" w:cs="Times New Roman"/>
          <w:color w:val="auto"/>
          <w:sz w:val="24"/>
          <w:highlight w:val="none"/>
        </w:rPr>
        <w:t>的日常质量管理；</w:t>
      </w:r>
    </w:p>
    <w:p w14:paraId="13EBFB75">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w:t>
      </w:r>
      <w:r>
        <w:rPr>
          <w:rFonts w:hint="eastAsia" w:ascii="Times New Roman" w:hAnsi="Times New Roman" w:eastAsia="仿宋" w:cs="Times New Roman"/>
          <w:color w:val="auto"/>
          <w:sz w:val="24"/>
          <w:highlight w:val="none"/>
          <w:lang w:eastAsia="zh-CN"/>
        </w:rPr>
        <w:t>大气组分站</w:t>
      </w:r>
      <w:r>
        <w:rPr>
          <w:rFonts w:hint="default" w:ascii="Times New Roman" w:hAnsi="Times New Roman" w:eastAsia="仿宋" w:cs="Times New Roman"/>
          <w:color w:val="auto"/>
          <w:sz w:val="24"/>
          <w:highlight w:val="none"/>
        </w:rPr>
        <w:t>的日常安全管理；</w:t>
      </w:r>
    </w:p>
    <w:p w14:paraId="58A735CD">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w:t>
      </w:r>
      <w:r>
        <w:rPr>
          <w:rFonts w:hint="eastAsia" w:ascii="Times New Roman" w:hAnsi="Times New Roman" w:eastAsia="仿宋" w:cs="Times New Roman"/>
          <w:color w:val="auto"/>
          <w:sz w:val="24"/>
          <w:highlight w:val="none"/>
          <w:lang w:eastAsia="zh-CN"/>
        </w:rPr>
        <w:t>大气组分站</w:t>
      </w:r>
      <w:r>
        <w:rPr>
          <w:rFonts w:hint="default" w:ascii="Times New Roman" w:hAnsi="Times New Roman" w:eastAsia="仿宋" w:cs="Times New Roman"/>
          <w:color w:val="auto"/>
          <w:sz w:val="24"/>
          <w:highlight w:val="none"/>
        </w:rPr>
        <w:t>监测数据的日常审核、上报；</w:t>
      </w:r>
    </w:p>
    <w:p w14:paraId="04E21BF1">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（5）</w:t>
      </w:r>
      <w:r>
        <w:rPr>
          <w:rFonts w:hint="eastAsia" w:ascii="Times New Roman" w:hAnsi="Times New Roman" w:eastAsia="仿宋" w:cs="Times New Roman"/>
          <w:color w:val="auto"/>
          <w:sz w:val="24"/>
          <w:highlight w:val="none"/>
          <w:lang w:eastAsia="zh-CN"/>
        </w:rPr>
        <w:t>大气组分站</w:t>
      </w:r>
      <w:r>
        <w:rPr>
          <w:rFonts w:hint="default" w:ascii="Times New Roman" w:hAnsi="Times New Roman" w:eastAsia="仿宋" w:cs="Times New Roman"/>
          <w:color w:val="auto"/>
          <w:sz w:val="24"/>
          <w:highlight w:val="none"/>
        </w:rPr>
        <w:t>的设备维护保养及维修；</w:t>
      </w:r>
    </w:p>
    <w:p w14:paraId="2FDA1F52">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（6）其他</w:t>
      </w:r>
      <w:r>
        <w:rPr>
          <w:rFonts w:hint="eastAsia" w:ascii="Times New Roman" w:hAnsi="Times New Roman" w:eastAsia="仿宋" w:cs="Times New Roman"/>
          <w:color w:val="auto"/>
          <w:sz w:val="24"/>
          <w:highlight w:val="none"/>
          <w:lang w:eastAsia="zh-CN"/>
        </w:rPr>
        <w:t>大气组分站</w:t>
      </w:r>
      <w:r>
        <w:rPr>
          <w:rFonts w:hint="default" w:ascii="Times New Roman" w:hAnsi="Times New Roman" w:eastAsia="仿宋" w:cs="Times New Roman"/>
          <w:color w:val="auto"/>
          <w:sz w:val="24"/>
          <w:highlight w:val="none"/>
        </w:rPr>
        <w:t>相关辅助设施的维护、保养；</w:t>
      </w:r>
    </w:p>
    <w:p w14:paraId="407D79EF">
      <w:pPr>
        <w:spacing w:line="300" w:lineRule="exact"/>
        <w:ind w:firstLine="480" w:firstLineChars="200"/>
        <w:jc w:val="left"/>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rPr>
        <w:t>（7）</w:t>
      </w:r>
      <w:r>
        <w:rPr>
          <w:rFonts w:hint="eastAsia" w:ascii="Times New Roman" w:hAnsi="Times New Roman" w:eastAsia="仿宋" w:cs="Times New Roman"/>
          <w:color w:val="auto"/>
          <w:sz w:val="24"/>
          <w:highlight w:val="none"/>
          <w:lang w:eastAsia="zh-CN"/>
        </w:rPr>
        <w:t>大气组分站</w:t>
      </w:r>
      <w:r>
        <w:rPr>
          <w:rFonts w:hint="default" w:ascii="Times New Roman" w:hAnsi="Times New Roman" w:eastAsia="仿宋" w:cs="Times New Roman"/>
          <w:color w:val="auto"/>
          <w:sz w:val="24"/>
          <w:highlight w:val="none"/>
        </w:rPr>
        <w:t>数据采集及传输系统的维护及维修，保障</w:t>
      </w:r>
      <w:r>
        <w:rPr>
          <w:rFonts w:hint="eastAsia" w:ascii="Times New Roman" w:hAnsi="Times New Roman" w:eastAsia="仿宋" w:cs="Times New Roman"/>
          <w:color w:val="auto"/>
          <w:sz w:val="24"/>
          <w:highlight w:val="none"/>
          <w:lang w:eastAsia="zh-CN"/>
        </w:rPr>
        <w:t>大气组分站</w:t>
      </w:r>
      <w:r>
        <w:rPr>
          <w:rFonts w:hint="default" w:ascii="Times New Roman" w:hAnsi="Times New Roman" w:eastAsia="仿宋" w:cs="Times New Roman"/>
          <w:color w:val="auto"/>
          <w:sz w:val="24"/>
          <w:highlight w:val="none"/>
        </w:rPr>
        <w:t>与自治区生态环境监测总站及自治区污染物监控与信息中心通讯正常</w:t>
      </w:r>
      <w:r>
        <w:rPr>
          <w:rFonts w:hint="default" w:ascii="Times New Roman" w:hAnsi="Times New Roman" w:eastAsia="仿宋" w:cs="Times New Roman"/>
          <w:color w:val="auto"/>
          <w:sz w:val="24"/>
          <w:highlight w:val="none"/>
          <w:lang w:eastAsia="zh-CN"/>
        </w:rPr>
        <w:t>；</w:t>
      </w:r>
    </w:p>
    <w:p w14:paraId="74171E53">
      <w:pPr>
        <w:spacing w:line="300" w:lineRule="exact"/>
        <w:ind w:firstLine="480" w:firstLineChars="200"/>
        <w:jc w:val="left"/>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rPr>
        <w:t>（8）根据管理部门需要或因不可抗力，点位需要迁移的，配合相关工作</w:t>
      </w:r>
      <w:r>
        <w:rPr>
          <w:rFonts w:hint="default" w:ascii="Times New Roman" w:hAnsi="Times New Roman" w:eastAsia="仿宋" w:cs="Times New Roman"/>
          <w:color w:val="auto"/>
          <w:sz w:val="24"/>
          <w:highlight w:val="none"/>
          <w:lang w:eastAsia="zh-CN"/>
        </w:rPr>
        <w:t>；</w:t>
      </w:r>
    </w:p>
    <w:p w14:paraId="66E8C901">
      <w:pPr>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（9）运维记录胶装成册上报；</w:t>
      </w:r>
    </w:p>
    <w:p w14:paraId="3FBB2944">
      <w:pPr>
        <w:ind w:firstLine="480" w:firstLineChars="200"/>
        <w:jc w:val="left"/>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rPr>
        <w:t>（10）定期编制数据综合分析报告和甲方指定的专报，数量不少于30期</w:t>
      </w:r>
      <w:r>
        <w:rPr>
          <w:rFonts w:hint="default" w:ascii="Times New Roman" w:hAnsi="Times New Roman" w:eastAsia="仿宋" w:cs="Times New Roman"/>
          <w:color w:val="auto"/>
          <w:sz w:val="24"/>
          <w:highlight w:val="none"/>
          <w:lang w:eastAsia="zh-CN"/>
        </w:rPr>
        <w:t>；</w:t>
      </w:r>
    </w:p>
    <w:p w14:paraId="6EA5BA03">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lang w:eastAsia="zh-CN"/>
        </w:rPr>
      </w:pPr>
      <w:r>
        <w:rPr>
          <w:rFonts w:hint="default" w:ascii="Times New Roman" w:hAnsi="Times New Roman" w:eastAsia="仿宋" w:cs="Times New Roman"/>
          <w:color w:val="auto"/>
          <w:sz w:val="24"/>
          <w:szCs w:val="22"/>
          <w:highlight w:val="none"/>
        </w:rPr>
        <w:t>（11）对甲方指定的技术人员开展进行数据分析报告培训，培训人数不少于10人·次</w:t>
      </w:r>
      <w:r>
        <w:rPr>
          <w:rFonts w:hint="default" w:ascii="Times New Roman" w:hAnsi="Times New Roman" w:eastAsia="仿宋" w:cs="Times New Roman"/>
          <w:color w:val="auto"/>
          <w:sz w:val="24"/>
          <w:szCs w:val="22"/>
          <w:highlight w:val="none"/>
          <w:lang w:eastAsia="zh-CN"/>
        </w:rPr>
        <w:t>；</w:t>
      </w:r>
    </w:p>
    <w:p w14:paraId="1C2AB04A">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（12）接受新疆维吾尔自治区生态环境厅及新疆维吾尔自治区生态环境监测总站组织站点的运维检查，包括例行检查和计划外检查等。</w:t>
      </w:r>
    </w:p>
    <w:p w14:paraId="67D225A8">
      <w:pPr>
        <w:spacing w:line="300" w:lineRule="exact"/>
        <w:ind w:firstLine="480" w:firstLineChars="200"/>
        <w:jc w:val="left"/>
        <w:outlineLvl w:val="4"/>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3.2.2 站房环境运维工作内容</w:t>
      </w:r>
    </w:p>
    <w:p w14:paraId="194487AE">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（1）保持站房内部环境清洁，布置整齐，各仪器设备整洁，设备标识清楚；</w:t>
      </w:r>
    </w:p>
    <w:p w14:paraId="54B5BE5E">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（2）保证空调正常工作，站房温度保持在25±5℃，相对湿度保持在80%RH以下；</w:t>
      </w:r>
    </w:p>
    <w:p w14:paraId="3063721F">
      <w:pPr>
        <w:spacing w:line="3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 xml:space="preserve">（3）检查电路系统和通讯系统，保证系统供电正常，电压稳定如出现问题及时向新疆维吾尔自治区生态环境厅及新疆维吾尔自治区生态环境监测总站报备; </w:t>
      </w:r>
    </w:p>
    <w:p w14:paraId="56B823AE">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（4）定期检查消防、避雷和报警安全设施；</w:t>
      </w:r>
    </w:p>
    <w:p w14:paraId="63BF0E18">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（5）进行维护时，应规范操作，注意安全，防止发生意外；</w:t>
      </w:r>
    </w:p>
    <w:p w14:paraId="4D7498B1">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（6）设备固定牢固，门窗关闭良好，人走关门，非工作人员未经许可不得入内；</w:t>
      </w:r>
    </w:p>
    <w:p w14:paraId="428CCC48">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（7）做好环境条件和安全检查记录；</w:t>
      </w:r>
    </w:p>
    <w:p w14:paraId="15FCB2CC">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（8）检查外部环境是否正常，有没有对测定结果或运行环境存在明显影响的污染源，并做好记录；</w:t>
      </w:r>
    </w:p>
    <w:p w14:paraId="3F17F2C3">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（9）检查</w:t>
      </w:r>
      <w:r>
        <w:rPr>
          <w:rFonts w:hint="eastAsia" w:ascii="Times New Roman" w:hAnsi="Times New Roman" w:eastAsia="仿宋" w:cs="Times New Roman"/>
          <w:color w:val="auto"/>
          <w:sz w:val="24"/>
          <w:highlight w:val="none"/>
          <w:lang w:eastAsia="zh-CN"/>
        </w:rPr>
        <w:t>大气组分站</w:t>
      </w:r>
      <w:r>
        <w:rPr>
          <w:rFonts w:hint="default" w:ascii="Times New Roman" w:hAnsi="Times New Roman" w:eastAsia="仿宋" w:cs="Times New Roman"/>
          <w:color w:val="auto"/>
          <w:sz w:val="24"/>
          <w:highlight w:val="none"/>
        </w:rPr>
        <w:t>的通讯系统，保证</w:t>
      </w:r>
      <w:r>
        <w:rPr>
          <w:rFonts w:hint="eastAsia" w:ascii="Times New Roman" w:hAnsi="Times New Roman" w:eastAsia="仿宋" w:cs="Times New Roman"/>
          <w:color w:val="auto"/>
          <w:sz w:val="24"/>
          <w:highlight w:val="none"/>
          <w:lang w:eastAsia="zh-CN"/>
        </w:rPr>
        <w:t>大气组分站</w:t>
      </w:r>
      <w:r>
        <w:rPr>
          <w:rFonts w:hint="default" w:ascii="Times New Roman" w:hAnsi="Times New Roman" w:eastAsia="仿宋" w:cs="Times New Roman"/>
          <w:color w:val="auto"/>
          <w:sz w:val="24"/>
          <w:highlight w:val="none"/>
        </w:rPr>
        <w:t>与远程监控中心连接正常，数据传输正常；</w:t>
      </w:r>
    </w:p>
    <w:p w14:paraId="7E104E86">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（10）每周检查监测仪器散热风扇污染情况，及时清洗。</w:t>
      </w:r>
    </w:p>
    <w:p w14:paraId="555CE97D">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（11）在冬、夏季节应注意</w:t>
      </w:r>
      <w:r>
        <w:rPr>
          <w:rFonts w:hint="eastAsia" w:ascii="Times New Roman" w:hAnsi="Times New Roman" w:eastAsia="仿宋" w:cs="Times New Roman"/>
          <w:color w:val="auto"/>
          <w:sz w:val="24"/>
          <w:highlight w:val="none"/>
          <w:lang w:eastAsia="zh-CN"/>
        </w:rPr>
        <w:t>大气组分站</w:t>
      </w:r>
      <w:r>
        <w:rPr>
          <w:rFonts w:hint="default" w:ascii="Times New Roman" w:hAnsi="Times New Roman" w:eastAsia="仿宋" w:cs="Times New Roman"/>
          <w:color w:val="auto"/>
          <w:sz w:val="24"/>
          <w:highlight w:val="none"/>
        </w:rPr>
        <w:t>房室内外温差，若温差较大，应及时改变站房温度或对采样总管采取适当的控制措施，防止出现冷凝现象；</w:t>
      </w:r>
    </w:p>
    <w:p w14:paraId="366253C1">
      <w:pPr>
        <w:spacing w:line="3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（12）应经常检查组分站房屋是否有漏雨现象，站房外围的其它设施是否有损坏或被水淹，如遇到以上问题应及时向新疆维吾尔自治区生态环境厅及新疆维吾尔自治区生态环境监测总站报备；</w:t>
      </w:r>
    </w:p>
    <w:p w14:paraId="25980F42">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（13）检查站房的安全设施，做好防火防盗工作；</w:t>
      </w:r>
    </w:p>
    <w:p w14:paraId="3D51B272">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（14）每周对站房内外环境卫生进行检查，及时保洁。</w:t>
      </w:r>
    </w:p>
    <w:p w14:paraId="401C1A37">
      <w:pPr>
        <w:spacing w:line="300" w:lineRule="exact"/>
        <w:ind w:firstLine="480" w:firstLineChars="200"/>
        <w:jc w:val="left"/>
        <w:outlineLvl w:val="4"/>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3.2.3 每日工作内容如下</w:t>
      </w:r>
    </w:p>
    <w:p w14:paraId="20E16130">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每天上午12时前查看仪器及数据并形成记录，分析监测数据，对出现的数据和仪器异常情况进行标记，对站点运行情况进行远程诊断和运行管理，内容包括：</w:t>
      </w:r>
    </w:p>
    <w:p w14:paraId="64BDF9BE">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（1）判断系统数据采集与传输情况；</w:t>
      </w:r>
    </w:p>
    <w:p w14:paraId="54B79C82">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（2）根据电源电压、站房温度、湿度数据判断站房内部情况；</w:t>
      </w:r>
    </w:p>
    <w:p w14:paraId="74A3EDFD">
      <w:pPr>
        <w:spacing w:line="3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 xml:space="preserve">（3）发现运行数据有持续异常值时，应立即告知自治区生态环境监测总站，在每日8时～24时出现的普通故障，应在4小时内解决（通信线路、电力线路故障除外，但应及时向甲方报备）； </w:t>
      </w:r>
    </w:p>
    <w:p w14:paraId="0BFC8593">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（4）根据监测数据判断仪器运行情况；</w:t>
      </w:r>
    </w:p>
    <w:p w14:paraId="41805804">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（5）根据故障报警信号判断现场状况；</w:t>
      </w:r>
    </w:p>
    <w:p w14:paraId="41895A32">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（6）每日12时前检查前一日数据是否及时完整的上传至平台并正常展示，对发现数据掉线及时恢复；</w:t>
      </w:r>
    </w:p>
    <w:p w14:paraId="37E51877">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（7）颗粒物重污染预警发布后24小时内开展一次所有仪器各项参数的全面检查，必要时进行校准；</w:t>
      </w:r>
    </w:p>
    <w:p w14:paraId="2628FC2A">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（8）每日开展数据审核，并将审核数据按时提交自治区生态环境监测总站；</w:t>
      </w:r>
    </w:p>
    <w:p w14:paraId="0B5B8ECA">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于每日</w:t>
      </w:r>
      <w:r>
        <w:rPr>
          <w:rFonts w:hint="default" w:ascii="Times New Roman" w:hAnsi="Times New Roman" w:eastAsia="仿宋" w:cs="Times New Roman"/>
          <w:color w:val="auto"/>
          <w:sz w:val="24"/>
          <w:highlight w:val="none"/>
          <w:lang w:val="en-US" w:eastAsia="zh-CN"/>
        </w:rPr>
        <w:t>14</w:t>
      </w:r>
      <w:r>
        <w:rPr>
          <w:rFonts w:hint="default" w:ascii="Times New Roman" w:hAnsi="Times New Roman" w:eastAsia="仿宋" w:cs="Times New Roman"/>
          <w:color w:val="auto"/>
          <w:sz w:val="24"/>
          <w:highlight w:val="none"/>
        </w:rPr>
        <w:t>时前完成</w:t>
      </w:r>
      <w:r>
        <w:rPr>
          <w:rFonts w:hint="eastAsia" w:ascii="Times New Roman" w:hAnsi="Times New Roman" w:eastAsia="仿宋" w:cs="Times New Roman"/>
          <w:color w:val="auto"/>
          <w:sz w:val="24"/>
          <w:highlight w:val="none"/>
          <w:lang w:eastAsia="zh-CN"/>
        </w:rPr>
        <w:t>大气组分站</w:t>
      </w:r>
      <w:r>
        <w:rPr>
          <w:rFonts w:hint="default" w:ascii="Times New Roman" w:hAnsi="Times New Roman" w:eastAsia="仿宋" w:cs="Times New Roman"/>
          <w:color w:val="auto"/>
          <w:sz w:val="24"/>
          <w:highlight w:val="none"/>
        </w:rPr>
        <w:t>前一日各</w:t>
      </w:r>
      <w:r>
        <w:rPr>
          <w:rFonts w:hint="default" w:ascii="Times New Roman" w:hAnsi="Times New Roman" w:eastAsia="仿宋" w:cs="Times New Roman"/>
          <w:color w:val="auto"/>
          <w:sz w:val="24"/>
          <w:highlight w:val="none"/>
          <w:lang w:eastAsia="zh-CN"/>
        </w:rPr>
        <w:t>设备</w:t>
      </w:r>
      <w:r>
        <w:rPr>
          <w:rFonts w:hint="default" w:ascii="Times New Roman" w:hAnsi="Times New Roman" w:eastAsia="仿宋" w:cs="Times New Roman"/>
          <w:color w:val="auto"/>
          <w:sz w:val="24"/>
          <w:highlight w:val="none"/>
        </w:rPr>
        <w:t>原始小时值的审核并报送自治区生态环境监测总站复核。对复核不通过的数据，须于第2日</w:t>
      </w:r>
      <w:r>
        <w:rPr>
          <w:rFonts w:hint="default" w:ascii="Times New Roman" w:hAnsi="Times New Roman" w:eastAsia="仿宋" w:cs="Times New Roman"/>
          <w:color w:val="auto"/>
          <w:sz w:val="24"/>
          <w:highlight w:val="none"/>
          <w:lang w:val="en-US" w:eastAsia="zh-CN"/>
        </w:rPr>
        <w:t>10</w:t>
      </w:r>
      <w:r>
        <w:rPr>
          <w:rFonts w:hint="default" w:ascii="Times New Roman" w:hAnsi="Times New Roman" w:eastAsia="仿宋" w:cs="Times New Roman"/>
          <w:color w:val="auto"/>
          <w:sz w:val="24"/>
          <w:highlight w:val="none"/>
        </w:rPr>
        <w:t>时前再次审核后上报。再次审核报送的数据仍未通过复核的，以自治区生态环境监测总站最终复核结果为准。当天因网络故障等原因未能完成数据审核报送的，可顺延1日审核报送，最多顺延2日。对于未能在规定时间内按时完成审核的数据，须于数据产生1周内，以正式文件形式向自治区生态环境监测总站报送书面审核结果及未能按时完成审核的原因。</w:t>
      </w:r>
      <w:r>
        <w:rPr>
          <w:rFonts w:hint="default" w:ascii="Times New Roman" w:hAnsi="Times New Roman" w:eastAsia="仿宋" w:cs="Times New Roman"/>
          <w:color w:val="auto"/>
          <w:sz w:val="24"/>
          <w:highlight w:val="none"/>
        </w:rPr>
        <w:cr/>
      </w:r>
      <w:r>
        <w:rPr>
          <w:rFonts w:hint="default" w:ascii="Times New Roman" w:hAnsi="Times New Roman" w:eastAsia="仿宋" w:cs="Times New Roman"/>
          <w:color w:val="auto"/>
          <w:sz w:val="24"/>
          <w:highlight w:val="none"/>
        </w:rPr>
        <w:t>3.2.4 档案管理</w:t>
      </w:r>
    </w:p>
    <w:p w14:paraId="4810972D">
      <w:pPr>
        <w:pStyle w:val="37"/>
        <w:spacing w:after="0" w:line="300" w:lineRule="exact"/>
        <w:ind w:left="0" w:leftChars="0" w:firstLine="480" w:firstLineChars="200"/>
        <w:jc w:val="both"/>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将</w:t>
      </w:r>
      <w:r>
        <w:rPr>
          <w:rFonts w:hint="eastAsia" w:ascii="Times New Roman" w:hAnsi="Times New Roman" w:eastAsia="仿宋" w:cs="Times New Roman"/>
          <w:color w:val="auto"/>
          <w:sz w:val="24"/>
          <w:szCs w:val="22"/>
          <w:highlight w:val="none"/>
          <w:lang w:eastAsia="zh-CN"/>
        </w:rPr>
        <w:t>大气组分站</w:t>
      </w:r>
      <w:r>
        <w:rPr>
          <w:rFonts w:hint="default" w:ascii="Times New Roman" w:hAnsi="Times New Roman" w:eastAsia="仿宋" w:cs="Times New Roman"/>
          <w:color w:val="auto"/>
          <w:sz w:val="24"/>
          <w:szCs w:val="22"/>
          <w:highlight w:val="none"/>
        </w:rPr>
        <w:t>的运行过程和运行事件进行详细记录，并进行归档管理，每季度胶装打印上报甲方（电子版记录上报指定邮箱）。相关记录至少应包括：</w:t>
      </w:r>
    </w:p>
    <w:p w14:paraId="0C215800">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w:t>
      </w:r>
      <w:r>
        <w:rPr>
          <w:rFonts w:hint="eastAsia" w:ascii="Times New Roman" w:hAnsi="Times New Roman" w:eastAsia="仿宋" w:cs="Times New Roman"/>
          <w:color w:val="auto"/>
          <w:sz w:val="24"/>
          <w:highlight w:val="none"/>
          <w:lang w:eastAsia="zh-CN"/>
        </w:rPr>
        <w:t>大气组分站</w:t>
      </w:r>
      <w:r>
        <w:rPr>
          <w:rFonts w:hint="default" w:ascii="Times New Roman" w:hAnsi="Times New Roman" w:eastAsia="仿宋" w:cs="Times New Roman"/>
          <w:color w:val="auto"/>
          <w:sz w:val="24"/>
          <w:highlight w:val="none"/>
        </w:rPr>
        <w:t>运行维护（含检查/校准）记录表；</w:t>
      </w:r>
    </w:p>
    <w:p w14:paraId="46BC054E">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（2）仪器设备维修记录表；</w:t>
      </w:r>
    </w:p>
    <w:p w14:paraId="26317396">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（3）备品备件管理记录表；</w:t>
      </w:r>
    </w:p>
    <w:p w14:paraId="0E77D11B">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（4）主要消耗材料使用登记表；</w:t>
      </w:r>
    </w:p>
    <w:p w14:paraId="3DD0B117">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（5）室内外环境记录；</w:t>
      </w:r>
    </w:p>
    <w:p w14:paraId="058E13B3">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（6）标准物质使用记录；</w:t>
      </w:r>
    </w:p>
    <w:p w14:paraId="5EF9655B">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（7）仪器资料保管清单；</w:t>
      </w:r>
    </w:p>
    <w:p w14:paraId="7A51592F">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（8）数据分析报告。</w:t>
      </w:r>
    </w:p>
    <w:p w14:paraId="0B5EEB18">
      <w:pPr>
        <w:spacing w:line="300" w:lineRule="exact"/>
        <w:ind w:firstLine="480" w:firstLineChars="200"/>
        <w:jc w:val="left"/>
        <w:outlineLvl w:val="4"/>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3.2.5 运维其他相关要求如下</w:t>
      </w:r>
    </w:p>
    <w:p w14:paraId="4BAE3C7E">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(1)应及时制定周、月工作计划，并严格按计划执行，若有变更应及时通知自治区生态环境监测总站；</w:t>
      </w:r>
    </w:p>
    <w:p w14:paraId="7DDBE89D">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(2)运维工作完成后，应及时向自治区生态环境监测总站提交相关记录，用于数据复核；</w:t>
      </w:r>
    </w:p>
    <w:p w14:paraId="34090D8C">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(3)如需改变采样管路连接方式和更改仪器参数设置需报自治区生态环境监测总站，否则自治区生态环境监测总站有权终止合同；</w:t>
      </w:r>
    </w:p>
    <w:p w14:paraId="57FB78BC">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(4)按照甲方提供的运维记录表格规范填写运维过程资料。</w:t>
      </w:r>
    </w:p>
    <w:p w14:paraId="5C15858B">
      <w:pPr>
        <w:spacing w:line="300" w:lineRule="exact"/>
        <w:ind w:firstLine="480" w:firstLineChars="200"/>
        <w:jc w:val="left"/>
        <w:outlineLvl w:val="4"/>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3.2.6 质量控制要求</w:t>
      </w:r>
    </w:p>
    <w:p w14:paraId="677FD45B">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认真落实质量管理制度，做好相应记录。</w:t>
      </w:r>
    </w:p>
    <w:p w14:paraId="27D4E557">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量值溯源要求：所有仪器所需的标准物质包括标准溶液、标准气体等应采购有资质单位生产的有证物质，且应在质保期内使用。</w:t>
      </w:r>
    </w:p>
    <w:p w14:paraId="5D3D742A">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每年应对</w:t>
      </w:r>
      <w:r>
        <w:rPr>
          <w:rFonts w:hint="eastAsia" w:ascii="Times New Roman" w:hAnsi="Times New Roman" w:eastAsia="仿宋" w:cs="Times New Roman"/>
          <w:color w:val="auto"/>
          <w:sz w:val="24"/>
          <w:highlight w:val="none"/>
          <w:lang w:eastAsia="zh-CN"/>
        </w:rPr>
        <w:t>大气组分站</w:t>
      </w:r>
      <w:r>
        <w:rPr>
          <w:rFonts w:hint="default" w:ascii="Times New Roman" w:hAnsi="Times New Roman" w:eastAsia="仿宋" w:cs="Times New Roman"/>
          <w:color w:val="auto"/>
          <w:sz w:val="24"/>
          <w:highlight w:val="none"/>
        </w:rPr>
        <w:t>所用的流量传感器、温度传感器、气压传感器等设备送有资质的机构进行校准或检定，并取得校准或检定合格证书。</w:t>
      </w:r>
    </w:p>
    <w:p w14:paraId="22618C07">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日常质量控制要求：</w:t>
      </w:r>
    </w:p>
    <w:p w14:paraId="50F7D42B">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除规定的每周、每月、每季和每年的规定工作内容外，在以下情况下需进行校准和再校准：</w:t>
      </w:r>
    </w:p>
    <w:p w14:paraId="286599B7">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(1)仪器安装时；</w:t>
      </w:r>
    </w:p>
    <w:p w14:paraId="1BD71B77">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(2)仪器移动位置时；</w:t>
      </w:r>
    </w:p>
    <w:p w14:paraId="3BC5FDD8">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(3)进行可能影响校准结果的维修或维护后；</w:t>
      </w:r>
    </w:p>
    <w:p w14:paraId="65F21246">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(4)分析仪暂停工作一段时间后，或仪器条件设置、载气或流动相、吸收液等变化时；</w:t>
      </w:r>
    </w:p>
    <w:p w14:paraId="0FAA5635">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(5)有迹象表明分析仪工作不正常或校准结果出现变化时；</w:t>
      </w:r>
    </w:p>
    <w:p w14:paraId="4C5C09FD">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(6)达到国家规范或本招标文件要求的校准周期或校准要求的；</w:t>
      </w:r>
    </w:p>
    <w:p w14:paraId="0C32DC2D">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(7)OC/EC在线分析仪定期更换采样膜和溶蚀器滤膜，同步进行空白检查；</w:t>
      </w:r>
    </w:p>
    <w:p w14:paraId="34DFCE0E">
      <w:pPr>
        <w:spacing w:line="300" w:lineRule="exact"/>
        <w:ind w:firstLine="480" w:firstLineChars="200"/>
        <w:jc w:val="left"/>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rPr>
        <w:t>(8)在线离子色谱应定期或不定期进行全系统空白的检查，保证系统空白不受污染</w:t>
      </w:r>
      <w:r>
        <w:rPr>
          <w:rFonts w:hint="default" w:ascii="Times New Roman" w:hAnsi="Times New Roman" w:eastAsia="仿宋" w:cs="Times New Roman"/>
          <w:color w:val="auto"/>
          <w:sz w:val="24"/>
          <w:highlight w:val="none"/>
          <w:lang w:eastAsia="zh-CN"/>
        </w:rPr>
        <w:t>；</w:t>
      </w:r>
    </w:p>
    <w:p w14:paraId="581DA63A">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(9)设备更换关键部件后。</w:t>
      </w:r>
    </w:p>
    <w:p w14:paraId="750887EF">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异常数据的处理：</w:t>
      </w:r>
    </w:p>
    <w:p w14:paraId="00F494D7">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运维机构应对异常监测数据进行分析，查明原因后如属于系统或仪器故障，应立即上报自治区生态环境监测总站，普通故障在4小时内处理，同时按要求填写异常原因和处置情况。</w:t>
      </w:r>
    </w:p>
    <w:p w14:paraId="4A67B6D6">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质量管理体系文件资料整理：</w:t>
      </w:r>
    </w:p>
    <w:p w14:paraId="161F6E49">
      <w:pPr>
        <w:spacing w:line="300" w:lineRule="exact"/>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各种技术与质量文件均保持现行有效，可根据管理需要进行调整或修订，巡检记录、维修记录、日常检查与监督抽查等记录均须按要求进行填写，每年进行整理归档。</w:t>
      </w:r>
    </w:p>
    <w:p w14:paraId="129AA757">
      <w:pPr>
        <w:pStyle w:val="3"/>
        <w:spacing w:before="0" w:after="0" w:line="300" w:lineRule="exact"/>
        <w:ind w:left="-101" w:firstLine="482"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4、系统及设备质控运维专项要求</w:t>
      </w:r>
    </w:p>
    <w:p w14:paraId="14B414FE">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4.1常规参数监测（SO</w:t>
      </w:r>
      <w:r>
        <w:rPr>
          <w:rFonts w:hint="default" w:ascii="Times New Roman" w:hAnsi="Times New Roman" w:eastAsia="仿宋" w:cs="Times New Roman"/>
          <w:color w:val="auto"/>
          <w:sz w:val="24"/>
          <w:szCs w:val="22"/>
          <w:highlight w:val="none"/>
          <w:vertAlign w:val="subscript"/>
        </w:rPr>
        <w:t>2</w:t>
      </w:r>
      <w:r>
        <w:rPr>
          <w:rFonts w:hint="default" w:ascii="Times New Roman" w:hAnsi="Times New Roman" w:eastAsia="仿宋" w:cs="Times New Roman"/>
          <w:color w:val="auto"/>
          <w:sz w:val="24"/>
          <w:szCs w:val="22"/>
          <w:highlight w:val="none"/>
        </w:rPr>
        <w:t>、NO</w:t>
      </w:r>
      <w:r>
        <w:rPr>
          <w:rFonts w:hint="default" w:ascii="Times New Roman" w:hAnsi="Times New Roman" w:eastAsia="仿宋" w:cs="Times New Roman"/>
          <w:color w:val="auto"/>
          <w:sz w:val="24"/>
          <w:szCs w:val="22"/>
          <w:highlight w:val="none"/>
          <w:vertAlign w:val="subscript"/>
        </w:rPr>
        <w:t>2</w:t>
      </w:r>
      <w:r>
        <w:rPr>
          <w:rFonts w:hint="default" w:ascii="Times New Roman" w:hAnsi="Times New Roman" w:eastAsia="仿宋" w:cs="Times New Roman"/>
          <w:color w:val="auto"/>
          <w:sz w:val="24"/>
          <w:szCs w:val="22"/>
          <w:highlight w:val="none"/>
        </w:rPr>
        <w:t>、CO、O</w:t>
      </w:r>
      <w:r>
        <w:rPr>
          <w:rFonts w:hint="default" w:ascii="Times New Roman" w:hAnsi="Times New Roman" w:eastAsia="仿宋" w:cs="Times New Roman"/>
          <w:color w:val="auto"/>
          <w:sz w:val="24"/>
          <w:szCs w:val="22"/>
          <w:highlight w:val="none"/>
          <w:vertAlign w:val="subscript"/>
        </w:rPr>
        <w:t>3</w:t>
      </w:r>
      <w:r>
        <w:rPr>
          <w:rFonts w:hint="default" w:ascii="Times New Roman" w:hAnsi="Times New Roman" w:eastAsia="仿宋" w:cs="Times New Roman"/>
          <w:color w:val="auto"/>
          <w:sz w:val="24"/>
          <w:szCs w:val="22"/>
          <w:highlight w:val="none"/>
        </w:rPr>
        <w:t>）</w:t>
      </w:r>
    </w:p>
    <w:p w14:paraId="17DDE106">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4.1.1每日工作</w:t>
      </w:r>
    </w:p>
    <w:p w14:paraId="2A3B28B3">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每天审核在线监测仪的数据，判断仪器数据采集和传输情况，并根据采集软件上数据判断仪器运行情况。</w:t>
      </w:r>
    </w:p>
    <w:p w14:paraId="54A76AEE">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4.1.2每周工作</w:t>
      </w:r>
    </w:p>
    <w:p w14:paraId="1DC7CC29">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每周至少巡视站点设备1次，并做好巡查记录，巡检时需要完成的工作包括：</w:t>
      </w:r>
    </w:p>
    <w:p w14:paraId="475F6A27">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（1）查看站点设备是否齐备，无丢失和损坏；检查仪器接地线路是否可靠；</w:t>
      </w:r>
    </w:p>
    <w:p w14:paraId="0B49F04A">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（2）检查采样管路是否有漏气或堵塞现象；</w:t>
      </w:r>
    </w:p>
    <w:p w14:paraId="72D422C8">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（3）检查电路系统和通讯系统，保证系统供电正常，电压稳定；</w:t>
      </w:r>
    </w:p>
    <w:p w14:paraId="7CFB86B7">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（4）检查通讯系统的连接正常，数据传输正常；</w:t>
      </w:r>
    </w:p>
    <w:p w14:paraId="540A46FE">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（5）检查仪器参数是否正常，并做好记录；</w:t>
      </w:r>
    </w:p>
    <w:p w14:paraId="412C5BFB">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（6）每周对气态分析仪的颗粒物过滤膜进行更换；</w:t>
      </w:r>
    </w:p>
    <w:p w14:paraId="26FB6B9C">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（7）每周用有证一级标气对气态污染物进行质控检查。</w:t>
      </w:r>
    </w:p>
    <w:p w14:paraId="0E678D61">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4.1.3每月工作</w:t>
      </w:r>
    </w:p>
    <w:p w14:paraId="34A9E436">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(1)对仪器显示数据和数据采集仪之间的一致性进行检查；</w:t>
      </w:r>
    </w:p>
    <w:p w14:paraId="6D3E49DF">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(2)每月清洗制冷系统；</w:t>
      </w:r>
    </w:p>
    <w:p w14:paraId="52A34329">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(3)各分析仪流量检查；</w:t>
      </w:r>
    </w:p>
    <w:p w14:paraId="459465BE">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(4)动态校准仪的MFC单点流量检查。</w:t>
      </w:r>
    </w:p>
    <w:p w14:paraId="6CBF1AC9">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4.1.4每季度工作</w:t>
      </w:r>
    </w:p>
    <w:p w14:paraId="4BED8707">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(1)清洁采样总管、采样支管、采样风机；</w:t>
      </w:r>
    </w:p>
    <w:p w14:paraId="52166329">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(2)4台气态分析仪多点检查/校准（包括低浓度点线性检查）；</w:t>
      </w:r>
    </w:p>
    <w:p w14:paraId="6F52141D">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(3)4台气态分析仪精密度检查。</w:t>
      </w:r>
    </w:p>
    <w:p w14:paraId="6B420BB8">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4.1.5每半年工作</w:t>
      </w:r>
    </w:p>
    <w:p w14:paraId="3D19F442">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(1)动态校准仪MFC流量线性检查校准；</w:t>
      </w:r>
    </w:p>
    <w:p w14:paraId="5A3D9A1F">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(2)动态校准仪或臭氧校准仪臭氧量值传递；</w:t>
      </w:r>
    </w:p>
    <w:p w14:paraId="1A66F692">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(3)NOx钼炉转化率检查；</w:t>
      </w:r>
    </w:p>
    <w:p w14:paraId="2FF6C829">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(4)零气纯度检查。</w:t>
      </w:r>
    </w:p>
    <w:p w14:paraId="001C6F66">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4.1.6每年工作</w:t>
      </w:r>
    </w:p>
    <w:p w14:paraId="0547396E">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(1)气态分析仪准确度检查；</w:t>
      </w:r>
    </w:p>
    <w:p w14:paraId="78584603">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(2)臭氧量值溯源传递；</w:t>
      </w:r>
    </w:p>
    <w:p w14:paraId="4A2D99FC">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(3)各分析仪预防性检修；</w:t>
      </w:r>
    </w:p>
    <w:p w14:paraId="5BE4A31C">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(4)流量传感器、温度传感器、气压传感器等设备送有资质的机构进行校准或检定。</w:t>
      </w:r>
    </w:p>
    <w:p w14:paraId="5BDCFD4F">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4.2颗粒物分析仪（PM</w:t>
      </w:r>
      <w:r>
        <w:rPr>
          <w:rFonts w:hint="default" w:ascii="Times New Roman" w:hAnsi="Times New Roman" w:eastAsia="仿宋" w:cs="Times New Roman"/>
          <w:color w:val="auto"/>
          <w:sz w:val="24"/>
          <w:szCs w:val="22"/>
          <w:highlight w:val="none"/>
          <w:vertAlign w:val="subscript"/>
        </w:rPr>
        <w:t>10</w:t>
      </w:r>
      <w:r>
        <w:rPr>
          <w:rFonts w:hint="default" w:ascii="Times New Roman" w:hAnsi="Times New Roman" w:eastAsia="仿宋" w:cs="Times New Roman"/>
          <w:color w:val="auto"/>
          <w:sz w:val="24"/>
          <w:szCs w:val="22"/>
          <w:highlight w:val="none"/>
        </w:rPr>
        <w:t>、PM</w:t>
      </w:r>
      <w:r>
        <w:rPr>
          <w:rFonts w:hint="default" w:ascii="Times New Roman" w:hAnsi="Times New Roman" w:eastAsia="仿宋" w:cs="Times New Roman"/>
          <w:color w:val="auto"/>
          <w:sz w:val="24"/>
          <w:szCs w:val="22"/>
          <w:highlight w:val="none"/>
          <w:vertAlign w:val="subscript"/>
        </w:rPr>
        <w:t>2.5</w:t>
      </w:r>
      <w:r>
        <w:rPr>
          <w:rFonts w:hint="default" w:ascii="Times New Roman" w:hAnsi="Times New Roman" w:eastAsia="仿宋" w:cs="Times New Roman"/>
          <w:color w:val="auto"/>
          <w:sz w:val="24"/>
          <w:szCs w:val="22"/>
          <w:highlight w:val="none"/>
        </w:rPr>
        <w:t>、PM</w:t>
      </w:r>
      <w:r>
        <w:rPr>
          <w:rFonts w:hint="default" w:ascii="Times New Roman" w:hAnsi="Times New Roman" w:eastAsia="仿宋" w:cs="Times New Roman"/>
          <w:color w:val="auto"/>
          <w:sz w:val="24"/>
          <w:szCs w:val="22"/>
          <w:highlight w:val="none"/>
          <w:vertAlign w:val="subscript"/>
        </w:rPr>
        <w:t>1</w:t>
      </w:r>
      <w:r>
        <w:rPr>
          <w:rFonts w:hint="default" w:ascii="Times New Roman" w:hAnsi="Times New Roman" w:eastAsia="仿宋" w:cs="Times New Roman"/>
          <w:color w:val="auto"/>
          <w:sz w:val="24"/>
          <w:szCs w:val="22"/>
          <w:highlight w:val="none"/>
        </w:rPr>
        <w:t>）巡检、维护、质控方案</w:t>
      </w:r>
    </w:p>
    <w:p w14:paraId="051EC304">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4.2.1每日工作</w:t>
      </w:r>
    </w:p>
    <w:p w14:paraId="69518DD2">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每天查看软件上在线监测仪的数据，判断仪器数据采集和传输情况，并根据采集软件上数据判断仪器运行情况。</w:t>
      </w:r>
    </w:p>
    <w:p w14:paraId="36813231">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4.2.2每周工作</w:t>
      </w:r>
    </w:p>
    <w:p w14:paraId="450004EF">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(1)每周至少巡视站点设备1次，并做好巡查记录，巡检时需要完成的工作包括：</w:t>
      </w:r>
    </w:p>
    <w:p w14:paraId="0AB5A91F">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(2)查看站点设备是否齐备，无丢失和损坏；检查仪器接地线路是否可靠；</w:t>
      </w:r>
    </w:p>
    <w:p w14:paraId="7CF78EDF">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(3)检查采样管路是否有漏气或堵塞现象；</w:t>
      </w:r>
    </w:p>
    <w:p w14:paraId="51E453DE">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(4)检查电路系统和通讯系统，保证系统供电正常，电压稳定；</w:t>
      </w:r>
    </w:p>
    <w:p w14:paraId="6B68ACB9">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(5)检查通讯系统的连接正常，数据传输正常；</w:t>
      </w:r>
    </w:p>
    <w:p w14:paraId="21120C3E">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(6)每周对颗粒物的采样纸带或滤膜进行检查，如纸带即将用尽或滤膜负载超过50%，及时进行更换。</w:t>
      </w:r>
    </w:p>
    <w:p w14:paraId="6ADAF0ED">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4.2.3每月工作</w:t>
      </w:r>
    </w:p>
    <w:p w14:paraId="0ED81FD3">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(1)清洗PM</w:t>
      </w:r>
      <w:r>
        <w:rPr>
          <w:rFonts w:hint="default" w:ascii="Times New Roman" w:hAnsi="Times New Roman" w:eastAsia="仿宋" w:cs="Times New Roman"/>
          <w:color w:val="auto"/>
          <w:sz w:val="24"/>
          <w:szCs w:val="22"/>
          <w:highlight w:val="none"/>
          <w:vertAlign w:val="subscript"/>
        </w:rPr>
        <w:t>10</w:t>
      </w:r>
      <w:r>
        <w:rPr>
          <w:rFonts w:hint="default" w:ascii="Times New Roman" w:hAnsi="Times New Roman" w:eastAsia="仿宋" w:cs="Times New Roman"/>
          <w:color w:val="auto"/>
          <w:sz w:val="24"/>
          <w:szCs w:val="22"/>
          <w:highlight w:val="none"/>
        </w:rPr>
        <w:t>、PM</w:t>
      </w:r>
      <w:r>
        <w:rPr>
          <w:rFonts w:hint="default" w:ascii="Times New Roman" w:hAnsi="Times New Roman" w:eastAsia="仿宋" w:cs="Times New Roman"/>
          <w:color w:val="auto"/>
          <w:sz w:val="24"/>
          <w:szCs w:val="22"/>
          <w:highlight w:val="none"/>
          <w:vertAlign w:val="subscript"/>
        </w:rPr>
        <w:t>2.5</w:t>
      </w:r>
      <w:r>
        <w:rPr>
          <w:rFonts w:hint="default" w:ascii="Times New Roman" w:hAnsi="Times New Roman" w:eastAsia="仿宋" w:cs="Times New Roman"/>
          <w:color w:val="auto"/>
          <w:sz w:val="24"/>
          <w:szCs w:val="22"/>
          <w:highlight w:val="none"/>
        </w:rPr>
        <w:t>、PM</w:t>
      </w:r>
      <w:r>
        <w:rPr>
          <w:rFonts w:hint="default" w:ascii="Times New Roman" w:hAnsi="Times New Roman" w:eastAsia="仿宋" w:cs="Times New Roman"/>
          <w:color w:val="auto"/>
          <w:sz w:val="24"/>
          <w:szCs w:val="22"/>
          <w:highlight w:val="none"/>
          <w:vertAlign w:val="subscript"/>
        </w:rPr>
        <w:t>1</w:t>
      </w:r>
      <w:r>
        <w:rPr>
          <w:rFonts w:hint="default" w:ascii="Times New Roman" w:hAnsi="Times New Roman" w:eastAsia="仿宋" w:cs="Times New Roman"/>
          <w:color w:val="auto"/>
          <w:sz w:val="24"/>
          <w:szCs w:val="22"/>
          <w:highlight w:val="none"/>
        </w:rPr>
        <w:t>切割器，并检查仪器喷嘴、压环等部件；</w:t>
      </w:r>
    </w:p>
    <w:p w14:paraId="15E04519">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(2)检查PM</w:t>
      </w:r>
      <w:r>
        <w:rPr>
          <w:rFonts w:hint="default" w:ascii="Times New Roman" w:hAnsi="Times New Roman" w:eastAsia="仿宋" w:cs="Times New Roman"/>
          <w:color w:val="auto"/>
          <w:sz w:val="24"/>
          <w:szCs w:val="22"/>
          <w:highlight w:val="none"/>
          <w:vertAlign w:val="subscript"/>
        </w:rPr>
        <w:t>10</w:t>
      </w:r>
      <w:r>
        <w:rPr>
          <w:rFonts w:hint="default" w:ascii="Times New Roman" w:hAnsi="Times New Roman" w:eastAsia="仿宋" w:cs="Times New Roman"/>
          <w:color w:val="auto"/>
          <w:sz w:val="24"/>
          <w:szCs w:val="22"/>
          <w:highlight w:val="none"/>
        </w:rPr>
        <w:t>、PM</w:t>
      </w:r>
      <w:r>
        <w:rPr>
          <w:rFonts w:hint="default" w:ascii="Times New Roman" w:hAnsi="Times New Roman" w:eastAsia="仿宋" w:cs="Times New Roman"/>
          <w:color w:val="auto"/>
          <w:sz w:val="24"/>
          <w:szCs w:val="22"/>
          <w:highlight w:val="none"/>
          <w:vertAlign w:val="subscript"/>
        </w:rPr>
        <w:t>2.5</w:t>
      </w:r>
      <w:r>
        <w:rPr>
          <w:rFonts w:hint="default" w:ascii="Times New Roman" w:hAnsi="Times New Roman" w:eastAsia="仿宋" w:cs="Times New Roman"/>
          <w:color w:val="auto"/>
          <w:sz w:val="24"/>
          <w:szCs w:val="22"/>
          <w:highlight w:val="none"/>
        </w:rPr>
        <w:t>、PM</w:t>
      </w:r>
      <w:r>
        <w:rPr>
          <w:rFonts w:hint="default" w:ascii="Times New Roman" w:hAnsi="Times New Roman" w:eastAsia="仿宋" w:cs="Times New Roman"/>
          <w:color w:val="auto"/>
          <w:sz w:val="24"/>
          <w:szCs w:val="22"/>
          <w:highlight w:val="none"/>
          <w:vertAlign w:val="subscript"/>
        </w:rPr>
        <w:t>1</w:t>
      </w:r>
      <w:r>
        <w:rPr>
          <w:rFonts w:hint="default" w:ascii="Times New Roman" w:hAnsi="Times New Roman" w:eastAsia="仿宋" w:cs="Times New Roman"/>
          <w:color w:val="auto"/>
          <w:sz w:val="24"/>
          <w:szCs w:val="22"/>
          <w:highlight w:val="none"/>
        </w:rPr>
        <w:t>监测仪流量，如果超过国家相关规范要求，需要进行校准，检查仪器是否泄漏；</w:t>
      </w:r>
    </w:p>
    <w:p w14:paraId="600B79AC">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(3)对仪器显示数据和数据采集仪之间的一致性进行检查；</w:t>
      </w:r>
    </w:p>
    <w:p w14:paraId="5B422F3E">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(4)每月度对数据进行备份。</w:t>
      </w:r>
    </w:p>
    <w:p w14:paraId="2683ECCF">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每两个月工作</w:t>
      </w:r>
    </w:p>
    <w:p w14:paraId="7E0101DB">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(1)检查PM</w:t>
      </w:r>
      <w:r>
        <w:rPr>
          <w:rFonts w:hint="default" w:ascii="Times New Roman" w:hAnsi="Times New Roman" w:eastAsia="仿宋" w:cs="Times New Roman"/>
          <w:color w:val="auto"/>
          <w:sz w:val="24"/>
          <w:szCs w:val="22"/>
          <w:highlight w:val="none"/>
          <w:vertAlign w:val="subscript"/>
        </w:rPr>
        <w:t>10</w:t>
      </w:r>
      <w:r>
        <w:rPr>
          <w:rFonts w:hint="default" w:ascii="Times New Roman" w:hAnsi="Times New Roman" w:eastAsia="仿宋" w:cs="Times New Roman"/>
          <w:color w:val="auto"/>
          <w:sz w:val="24"/>
          <w:szCs w:val="22"/>
          <w:highlight w:val="none"/>
        </w:rPr>
        <w:t>、PM</w:t>
      </w:r>
      <w:r>
        <w:rPr>
          <w:rFonts w:hint="default" w:ascii="Times New Roman" w:hAnsi="Times New Roman" w:eastAsia="仿宋" w:cs="Times New Roman"/>
          <w:color w:val="auto"/>
          <w:sz w:val="24"/>
          <w:szCs w:val="22"/>
          <w:highlight w:val="none"/>
          <w:vertAlign w:val="subscript"/>
        </w:rPr>
        <w:t>2.5</w:t>
      </w:r>
      <w:r>
        <w:rPr>
          <w:rFonts w:hint="default" w:ascii="Times New Roman" w:hAnsi="Times New Roman" w:eastAsia="仿宋" w:cs="Times New Roman"/>
          <w:color w:val="auto"/>
          <w:sz w:val="24"/>
          <w:szCs w:val="22"/>
          <w:highlight w:val="none"/>
        </w:rPr>
        <w:t>、PM</w:t>
      </w:r>
      <w:r>
        <w:rPr>
          <w:rFonts w:hint="default" w:ascii="Times New Roman" w:hAnsi="Times New Roman" w:eastAsia="仿宋" w:cs="Times New Roman"/>
          <w:color w:val="auto"/>
          <w:sz w:val="24"/>
          <w:szCs w:val="22"/>
          <w:highlight w:val="none"/>
          <w:vertAlign w:val="subscript"/>
        </w:rPr>
        <w:t>1</w:t>
      </w:r>
      <w:r>
        <w:rPr>
          <w:rFonts w:hint="default" w:ascii="Times New Roman" w:hAnsi="Times New Roman" w:eastAsia="仿宋" w:cs="Times New Roman"/>
          <w:color w:val="auto"/>
          <w:sz w:val="24"/>
          <w:szCs w:val="22"/>
          <w:highlight w:val="none"/>
        </w:rPr>
        <w:t>分析仪滤纸带，进行系统自检；</w:t>
      </w:r>
    </w:p>
    <w:p w14:paraId="23C1FE5B">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(2)校准和检查检查PM</w:t>
      </w:r>
      <w:r>
        <w:rPr>
          <w:rFonts w:hint="default" w:ascii="Times New Roman" w:hAnsi="Times New Roman" w:eastAsia="仿宋" w:cs="Times New Roman"/>
          <w:color w:val="auto"/>
          <w:sz w:val="24"/>
          <w:szCs w:val="22"/>
          <w:highlight w:val="none"/>
          <w:vertAlign w:val="subscript"/>
        </w:rPr>
        <w:t>10</w:t>
      </w:r>
      <w:r>
        <w:rPr>
          <w:rFonts w:hint="default" w:ascii="Times New Roman" w:hAnsi="Times New Roman" w:eastAsia="仿宋" w:cs="Times New Roman"/>
          <w:color w:val="auto"/>
          <w:sz w:val="24"/>
          <w:szCs w:val="22"/>
          <w:highlight w:val="none"/>
        </w:rPr>
        <w:t>、PM</w:t>
      </w:r>
      <w:r>
        <w:rPr>
          <w:rFonts w:hint="default" w:ascii="Times New Roman" w:hAnsi="Times New Roman" w:eastAsia="仿宋" w:cs="Times New Roman"/>
          <w:color w:val="auto"/>
          <w:sz w:val="24"/>
          <w:szCs w:val="22"/>
          <w:highlight w:val="none"/>
          <w:vertAlign w:val="subscript"/>
        </w:rPr>
        <w:t>2.5</w:t>
      </w:r>
      <w:r>
        <w:rPr>
          <w:rFonts w:hint="default" w:ascii="Times New Roman" w:hAnsi="Times New Roman" w:eastAsia="仿宋" w:cs="Times New Roman"/>
          <w:color w:val="auto"/>
          <w:sz w:val="24"/>
          <w:szCs w:val="22"/>
          <w:highlight w:val="none"/>
        </w:rPr>
        <w:t>、PM</w:t>
      </w:r>
      <w:r>
        <w:rPr>
          <w:rFonts w:hint="default" w:ascii="Times New Roman" w:hAnsi="Times New Roman" w:eastAsia="仿宋" w:cs="Times New Roman"/>
          <w:color w:val="auto"/>
          <w:sz w:val="24"/>
          <w:szCs w:val="22"/>
          <w:highlight w:val="none"/>
          <w:vertAlign w:val="subscript"/>
        </w:rPr>
        <w:t>1</w:t>
      </w:r>
      <w:r>
        <w:rPr>
          <w:rFonts w:hint="default" w:ascii="Times New Roman" w:hAnsi="Times New Roman" w:eastAsia="仿宋" w:cs="Times New Roman"/>
          <w:color w:val="auto"/>
          <w:sz w:val="24"/>
          <w:szCs w:val="22"/>
          <w:highlight w:val="none"/>
        </w:rPr>
        <w:t>分析仪的温度、气压和时钟；</w:t>
      </w:r>
    </w:p>
    <w:p w14:paraId="1D08F2BD">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4.2.4每季度工作</w:t>
      </w:r>
    </w:p>
    <w:p w14:paraId="44FC58F4">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(1)对PM</w:t>
      </w:r>
      <w:r>
        <w:rPr>
          <w:rFonts w:hint="default" w:ascii="Times New Roman" w:hAnsi="Times New Roman" w:eastAsia="仿宋" w:cs="Times New Roman"/>
          <w:color w:val="auto"/>
          <w:sz w:val="24"/>
          <w:szCs w:val="22"/>
          <w:highlight w:val="none"/>
          <w:vertAlign w:val="subscript"/>
        </w:rPr>
        <w:t>10</w:t>
      </w:r>
      <w:r>
        <w:rPr>
          <w:rFonts w:hint="default" w:ascii="Times New Roman" w:hAnsi="Times New Roman" w:eastAsia="仿宋" w:cs="Times New Roman"/>
          <w:color w:val="auto"/>
          <w:sz w:val="24"/>
          <w:szCs w:val="22"/>
          <w:highlight w:val="none"/>
        </w:rPr>
        <w:t>、PM</w:t>
      </w:r>
      <w:r>
        <w:rPr>
          <w:rFonts w:hint="default" w:ascii="Times New Roman" w:hAnsi="Times New Roman" w:eastAsia="仿宋" w:cs="Times New Roman"/>
          <w:color w:val="auto"/>
          <w:sz w:val="24"/>
          <w:szCs w:val="22"/>
          <w:highlight w:val="none"/>
          <w:vertAlign w:val="subscript"/>
        </w:rPr>
        <w:t>2.5</w:t>
      </w:r>
      <w:r>
        <w:rPr>
          <w:rFonts w:hint="default" w:ascii="Times New Roman" w:hAnsi="Times New Roman" w:eastAsia="仿宋" w:cs="Times New Roman"/>
          <w:color w:val="auto"/>
          <w:sz w:val="24"/>
          <w:szCs w:val="22"/>
          <w:highlight w:val="none"/>
        </w:rPr>
        <w:t>、PM</w:t>
      </w:r>
      <w:r>
        <w:rPr>
          <w:rFonts w:hint="default" w:ascii="Times New Roman" w:hAnsi="Times New Roman" w:eastAsia="仿宋" w:cs="Times New Roman"/>
          <w:color w:val="auto"/>
          <w:sz w:val="24"/>
          <w:szCs w:val="22"/>
          <w:highlight w:val="none"/>
          <w:vertAlign w:val="subscript"/>
        </w:rPr>
        <w:t>1</w:t>
      </w:r>
      <w:r>
        <w:rPr>
          <w:rFonts w:hint="default" w:ascii="Times New Roman" w:hAnsi="Times New Roman" w:eastAsia="仿宋" w:cs="Times New Roman"/>
          <w:color w:val="auto"/>
          <w:sz w:val="24"/>
          <w:szCs w:val="22"/>
          <w:highlight w:val="none"/>
        </w:rPr>
        <w:t xml:space="preserve">进行标准膜检查，如果超过国家规范或说明书规定的限值，需要进行校准。 </w:t>
      </w:r>
    </w:p>
    <w:p w14:paraId="202E5323">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4.2.5每半年工作</w:t>
      </w:r>
    </w:p>
    <w:p w14:paraId="11DBB2F1">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检查PM</w:t>
      </w:r>
      <w:r>
        <w:rPr>
          <w:rFonts w:hint="default" w:ascii="Times New Roman" w:hAnsi="Times New Roman" w:eastAsia="仿宋" w:cs="Times New Roman"/>
          <w:color w:val="auto"/>
          <w:sz w:val="24"/>
          <w:szCs w:val="22"/>
          <w:highlight w:val="none"/>
          <w:vertAlign w:val="subscript"/>
        </w:rPr>
        <w:t>10</w:t>
      </w:r>
      <w:r>
        <w:rPr>
          <w:rFonts w:hint="default" w:ascii="Times New Roman" w:hAnsi="Times New Roman" w:eastAsia="仿宋" w:cs="Times New Roman"/>
          <w:color w:val="auto"/>
          <w:sz w:val="24"/>
          <w:szCs w:val="22"/>
          <w:highlight w:val="none"/>
        </w:rPr>
        <w:t>、PM</w:t>
      </w:r>
      <w:r>
        <w:rPr>
          <w:rFonts w:hint="default" w:ascii="Times New Roman" w:hAnsi="Times New Roman" w:eastAsia="仿宋" w:cs="Times New Roman"/>
          <w:color w:val="auto"/>
          <w:sz w:val="24"/>
          <w:szCs w:val="22"/>
          <w:highlight w:val="none"/>
          <w:vertAlign w:val="subscript"/>
        </w:rPr>
        <w:t>2.5</w:t>
      </w:r>
      <w:r>
        <w:rPr>
          <w:rFonts w:hint="default" w:ascii="Times New Roman" w:hAnsi="Times New Roman" w:eastAsia="仿宋" w:cs="Times New Roman"/>
          <w:color w:val="auto"/>
          <w:sz w:val="24"/>
          <w:szCs w:val="22"/>
          <w:highlight w:val="none"/>
        </w:rPr>
        <w:t>、PM</w:t>
      </w:r>
      <w:r>
        <w:rPr>
          <w:rFonts w:hint="default" w:ascii="Times New Roman" w:hAnsi="Times New Roman" w:eastAsia="仿宋" w:cs="Times New Roman"/>
          <w:color w:val="auto"/>
          <w:sz w:val="24"/>
          <w:szCs w:val="22"/>
          <w:highlight w:val="none"/>
          <w:vertAlign w:val="subscript"/>
        </w:rPr>
        <w:t>1</w:t>
      </w:r>
      <w:r>
        <w:rPr>
          <w:rFonts w:hint="default" w:ascii="Times New Roman" w:hAnsi="Times New Roman" w:eastAsia="仿宋" w:cs="Times New Roman"/>
          <w:color w:val="auto"/>
          <w:sz w:val="24"/>
          <w:szCs w:val="22"/>
          <w:highlight w:val="none"/>
        </w:rPr>
        <w:t>分析仪相对湿度、温度传感器和动态加热装置是否正常工作。</w:t>
      </w:r>
    </w:p>
    <w:p w14:paraId="3B1FB8DE">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4.2.6每年工作</w:t>
      </w:r>
    </w:p>
    <w:p w14:paraId="78B9522C">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(1)对PM</w:t>
      </w:r>
      <w:r>
        <w:rPr>
          <w:rFonts w:hint="default" w:ascii="Times New Roman" w:hAnsi="Times New Roman" w:eastAsia="仿宋" w:cs="Times New Roman"/>
          <w:color w:val="auto"/>
          <w:sz w:val="24"/>
          <w:szCs w:val="22"/>
          <w:highlight w:val="none"/>
          <w:vertAlign w:val="subscript"/>
        </w:rPr>
        <w:t>10</w:t>
      </w:r>
      <w:r>
        <w:rPr>
          <w:rFonts w:hint="default" w:ascii="Times New Roman" w:hAnsi="Times New Roman" w:eastAsia="仿宋" w:cs="Times New Roman"/>
          <w:color w:val="auto"/>
          <w:sz w:val="24"/>
          <w:szCs w:val="22"/>
          <w:highlight w:val="none"/>
        </w:rPr>
        <w:t>、PM</w:t>
      </w:r>
      <w:r>
        <w:rPr>
          <w:rFonts w:hint="default" w:ascii="Times New Roman" w:hAnsi="Times New Roman" w:eastAsia="仿宋" w:cs="Times New Roman"/>
          <w:color w:val="auto"/>
          <w:sz w:val="24"/>
          <w:szCs w:val="22"/>
          <w:highlight w:val="none"/>
          <w:vertAlign w:val="subscript"/>
        </w:rPr>
        <w:t>2.5</w:t>
      </w:r>
      <w:r>
        <w:rPr>
          <w:rFonts w:hint="default" w:ascii="Times New Roman" w:hAnsi="Times New Roman" w:eastAsia="仿宋" w:cs="Times New Roman"/>
          <w:color w:val="auto"/>
          <w:sz w:val="24"/>
          <w:szCs w:val="22"/>
          <w:highlight w:val="none"/>
        </w:rPr>
        <w:t>、PM</w:t>
      </w:r>
      <w:r>
        <w:rPr>
          <w:rFonts w:hint="default" w:ascii="Times New Roman" w:hAnsi="Times New Roman" w:eastAsia="仿宋" w:cs="Times New Roman"/>
          <w:color w:val="auto"/>
          <w:sz w:val="24"/>
          <w:szCs w:val="22"/>
          <w:highlight w:val="none"/>
          <w:vertAlign w:val="subscript"/>
        </w:rPr>
        <w:t>1</w:t>
      </w:r>
      <w:r>
        <w:rPr>
          <w:rFonts w:hint="default" w:ascii="Times New Roman" w:hAnsi="Times New Roman" w:eastAsia="仿宋" w:cs="Times New Roman"/>
          <w:color w:val="auto"/>
          <w:sz w:val="24"/>
          <w:szCs w:val="22"/>
          <w:highlight w:val="none"/>
        </w:rPr>
        <w:t>分析仪进行预防性维护，按说明书的要求更换备件；</w:t>
      </w:r>
    </w:p>
    <w:p w14:paraId="6967DF33">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(2)更换泵维护包。</w:t>
      </w:r>
    </w:p>
    <w:p w14:paraId="1EFC618D">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4.3能见度及城市摄影系统巡检、维护、质控方案</w:t>
      </w:r>
    </w:p>
    <w:p w14:paraId="2C5199EB">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4.2.1每日工作</w:t>
      </w:r>
    </w:p>
    <w:p w14:paraId="7C7F99FD">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每天查看软件上在线监测仪的数据，判断仪器数据采集和传输情况，并根据采集软件上数据判断仪器运行情况。</w:t>
      </w:r>
    </w:p>
    <w:p w14:paraId="1777D79C">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4.2.2每周工作</w:t>
      </w:r>
    </w:p>
    <w:p w14:paraId="51360BB3">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每周至少巡视站点设备1次，并做好巡查记录。</w:t>
      </w:r>
    </w:p>
    <w:p w14:paraId="271E85E0">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4.2.3每月工作</w:t>
      </w:r>
    </w:p>
    <w:p w14:paraId="6F1BDADD">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每月对设备镜头进行一次清洁。</w:t>
      </w:r>
    </w:p>
    <w:p w14:paraId="2B4306F4">
      <w:pPr>
        <w:spacing w:line="3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4.4 NO</w:t>
      </w:r>
      <w:r>
        <w:rPr>
          <w:rFonts w:hint="default" w:ascii="Times New Roman" w:hAnsi="Times New Roman" w:eastAsia="仿宋" w:cs="Times New Roman"/>
          <w:color w:val="auto"/>
          <w:sz w:val="24"/>
          <w:highlight w:val="none"/>
          <w:vertAlign w:val="baseline"/>
        </w:rPr>
        <w:t>x</w:t>
      </w:r>
      <w:r>
        <w:rPr>
          <w:rFonts w:hint="default" w:ascii="Times New Roman" w:hAnsi="Times New Roman" w:eastAsia="仿宋" w:cs="Times New Roman"/>
          <w:color w:val="auto"/>
          <w:sz w:val="24"/>
          <w:highlight w:val="none"/>
        </w:rPr>
        <w:t>/NH</w:t>
      </w:r>
      <w:r>
        <w:rPr>
          <w:rFonts w:hint="default" w:ascii="Times New Roman" w:hAnsi="Times New Roman" w:eastAsia="仿宋" w:cs="Times New Roman"/>
          <w:color w:val="auto"/>
          <w:sz w:val="24"/>
          <w:highlight w:val="none"/>
          <w:vertAlign w:val="subscript"/>
        </w:rPr>
        <w:t>3</w:t>
      </w:r>
      <w:r>
        <w:rPr>
          <w:rFonts w:hint="default" w:ascii="Times New Roman" w:hAnsi="Times New Roman" w:eastAsia="仿宋" w:cs="Times New Roman"/>
          <w:color w:val="auto"/>
          <w:sz w:val="24"/>
          <w:highlight w:val="none"/>
        </w:rPr>
        <w:t>监测仪</w:t>
      </w:r>
    </w:p>
    <w:p w14:paraId="65BE1EFA">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4.4.1每日工作</w:t>
      </w:r>
    </w:p>
    <w:p w14:paraId="0CD78465">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每天审核在线监测仪的数据，判断仪器数据采集和传输情况，并根据采集软件上数据判断仪器运行情况。</w:t>
      </w:r>
    </w:p>
    <w:p w14:paraId="3DB44CB8">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4.4.2每周工作</w:t>
      </w:r>
    </w:p>
    <w:p w14:paraId="0A704AEC">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每周至少巡视站点设备1次，并做好巡查记录，巡检时需要完成的工作包括：</w:t>
      </w:r>
    </w:p>
    <w:p w14:paraId="4B9AE457">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（1）查看站点设备是否齐备，无丢失和损坏；检查仪器接地线路是否可靠；</w:t>
      </w:r>
    </w:p>
    <w:p w14:paraId="0A696589">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（2）检查采样管路是否有漏气或堵塞现象；</w:t>
      </w:r>
    </w:p>
    <w:p w14:paraId="6AFF6C4D">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（3）检查电路系统和通讯系统，保证系统供电正常，电压稳定；</w:t>
      </w:r>
    </w:p>
    <w:p w14:paraId="692827B6">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（4）检查通讯系统的连接正常，数据传输正常；</w:t>
      </w:r>
    </w:p>
    <w:p w14:paraId="0EE7FCF0">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（5）检查仪器参数是否正常，并做好记录；</w:t>
      </w:r>
    </w:p>
    <w:p w14:paraId="58CC5F69">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（6）每周对气态分析仪的颗粒物过滤膜进行更换；</w:t>
      </w:r>
    </w:p>
    <w:p w14:paraId="78C17B66">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（7）每周用有证标气对气态污染物进行质控检查。</w:t>
      </w:r>
    </w:p>
    <w:p w14:paraId="199E712D">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4.4.3每月工作</w:t>
      </w:r>
    </w:p>
    <w:p w14:paraId="10D96B69">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(1)对仪器显示数据和数据采集仪之间的一致性进行检查；</w:t>
      </w:r>
    </w:p>
    <w:p w14:paraId="23E49E1C">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(2)每月清洗制冷系统；</w:t>
      </w:r>
    </w:p>
    <w:p w14:paraId="6A4A4956">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(3)各分析仪流量检查；</w:t>
      </w:r>
    </w:p>
    <w:p w14:paraId="38517F87">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(4)动态校准仪的MFC单点流量检查。</w:t>
      </w:r>
    </w:p>
    <w:p w14:paraId="63A45D08">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4.4.4每季度工作</w:t>
      </w:r>
    </w:p>
    <w:p w14:paraId="50BC2064">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(1)清洁采样总管、采样支管、采样风机；</w:t>
      </w:r>
    </w:p>
    <w:p w14:paraId="49A030B4">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(2)气态分析仪多点检查/校准（包括低浓度点线性检查），</w:t>
      </w:r>
    </w:p>
    <w:p w14:paraId="2AC12A28">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(3)气态分析仪精密度检查。</w:t>
      </w:r>
    </w:p>
    <w:p w14:paraId="10E49BCB">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4.4.5每半年工作</w:t>
      </w:r>
    </w:p>
    <w:p w14:paraId="485CB495">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(1)动态校准仪MFC流量线性检查校准；</w:t>
      </w:r>
    </w:p>
    <w:p w14:paraId="3C2D8C3D">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(2)催化炉转化率检查；</w:t>
      </w:r>
    </w:p>
    <w:p w14:paraId="79496FB3">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(3)零气纯度检查。</w:t>
      </w:r>
    </w:p>
    <w:p w14:paraId="2582BDFF">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4.4.6每年工作</w:t>
      </w:r>
    </w:p>
    <w:p w14:paraId="6AFC6FFD">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(1)气态分析仪准确度检查；</w:t>
      </w:r>
    </w:p>
    <w:p w14:paraId="4308FAB6">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(2)分析仪预防性检修；</w:t>
      </w:r>
    </w:p>
    <w:p w14:paraId="634DD03C">
      <w:pPr>
        <w:pStyle w:val="131"/>
        <w:adjustRightInd w:val="0"/>
        <w:snapToGrid w:val="0"/>
        <w:spacing w:line="300" w:lineRule="exact"/>
        <w:ind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(3)流量传感器、温度传感器、气压传感器等设备送有资质的机构进行校准或检定。</w:t>
      </w:r>
    </w:p>
    <w:p w14:paraId="34FB7554">
      <w:pPr>
        <w:spacing w:line="3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4.5  OC/EC在线监测仪</w:t>
      </w:r>
    </w:p>
    <w:p w14:paraId="24E001FB">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4.5.1每日工作</w:t>
      </w:r>
    </w:p>
    <w:p w14:paraId="3F1F8EBC">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(1)早晚各1次对在线OC/EC设备进行监控，检查设备的运行状态。包含采集卡是否死机、内标峰是否正常、炉温是否正常、检查数据状态是否正常等，并做好记录；</w:t>
      </w:r>
    </w:p>
    <w:p w14:paraId="44F292B7">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(2)在特殊污染天气下（沙尘、雾霾、重污染天气）主动及时对OC/EC监测仪数据进行分析，并提供特殊污染天气情况下的数据分析报告；</w:t>
      </w:r>
    </w:p>
    <w:p w14:paraId="5755DAC8">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(3)审核样品图谱，包括分割时间点和甲烷峰响应稳定性；</w:t>
      </w:r>
    </w:p>
    <w:p w14:paraId="4CF376D4">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(4)检查温度梯度稳定性，气罐压力，加热炉压力，载气流量（每周自动过零）、激光。</w:t>
      </w:r>
    </w:p>
    <w:p w14:paraId="291FFBDA">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4.5.2每周工作</w:t>
      </w:r>
    </w:p>
    <w:p w14:paraId="764AC2B8">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(1)检查所用气瓶压力，并及时更换气瓶等（低于3Mpa，更换气体）；</w:t>
      </w:r>
    </w:p>
    <w:p w14:paraId="0D5C187C">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(2)检查仪器空白，确认系统是否漏气（TC≤0.3ug）；</w:t>
      </w:r>
    </w:p>
    <w:p w14:paraId="4B004464">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(3)检查仪器采样流量，并确保其为8.0L/min左右(控制±2%内) ；</w:t>
      </w:r>
    </w:p>
    <w:p w14:paraId="59D89ADF">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(4)检查雨漏中是否有积水；</w:t>
      </w:r>
    </w:p>
    <w:p w14:paraId="6EBD9BB4">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(5)检查在线OC/EC监测仪器采样膜状态，更换采样膜（laser correction低于0.88时更换滤膜）</w:t>
      </w:r>
    </w:p>
    <w:p w14:paraId="1E005AD0">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(6)进行对流量传感器的自动校零。</w:t>
      </w:r>
    </w:p>
    <w:p w14:paraId="0F059DAC">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4.5.3每月工作</w:t>
      </w:r>
    </w:p>
    <w:p w14:paraId="0EE8F2BA">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(1)清洁切割头；</w:t>
      </w:r>
    </w:p>
    <w:p w14:paraId="388E7251">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(2)每两周对OC/EC分析仪进行一次标准曲线中间浓度点核查，三次校准中间浓度点响应值的相对误差应在±10%范围内，否则重新进行曲线校准。</w:t>
      </w:r>
    </w:p>
    <w:p w14:paraId="210B94F3">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(3)每月进行1次采样流量检查，实测流量与仪器设定流量的误差应在±5%范围内，且示值流量与实测流量的误差应在±2%范围内，否则应及时对仪器采样流量进行校准。</w:t>
      </w:r>
    </w:p>
    <w:p w14:paraId="1BA2E5FD">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(4)每月对仪器进行1次温度测量示值和大气压测量示值检查。</w:t>
      </w:r>
    </w:p>
    <w:p w14:paraId="7C52D26B">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4.5.4每季度工作</w:t>
      </w:r>
    </w:p>
    <w:p w14:paraId="32CCD69B">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(1)每季度对在线OC/EC绘制一次校准曲线，相关性R&gt;0.999。当仪器更换核心部件后，应重新进行标准曲线校准。</w:t>
      </w:r>
    </w:p>
    <w:p w14:paraId="79002EDF">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(2)更换溶蚀器碳膜。</w:t>
      </w:r>
    </w:p>
    <w:p w14:paraId="65560EE7">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4.5.5每半年工作</w:t>
      </w:r>
    </w:p>
    <w:p w14:paraId="6EAE6517">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(1)每半年检查辅助气体流量，如流量相对误差超出±10%，则进行校准；</w:t>
      </w:r>
    </w:p>
    <w:p w14:paraId="43A2BE96">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(2)进行三峰测试，三峰相对标准偏差应≤5%；</w:t>
      </w:r>
    </w:p>
    <w:p w14:paraId="04F1F0DE">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(3)及时更换He气、He/CH4混合气体等；</w:t>
      </w:r>
    </w:p>
    <w:p w14:paraId="59E5AE0B">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 xml:space="preserve">(4)检查进样口部件，清理仪器后端采样入口。 </w:t>
      </w:r>
    </w:p>
    <w:p w14:paraId="3E997520">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4.5.</w:t>
      </w:r>
      <w:r>
        <w:rPr>
          <w:rFonts w:hint="default" w:ascii="Times New Roman" w:hAnsi="Times New Roman" w:eastAsia="仿宋" w:cs="Times New Roman"/>
          <w:color w:val="auto"/>
          <w:sz w:val="24"/>
          <w:szCs w:val="22"/>
          <w:highlight w:val="none"/>
          <w:lang w:val="en-US" w:eastAsia="zh-CN"/>
        </w:rPr>
        <w:t>6</w:t>
      </w:r>
      <w:r>
        <w:rPr>
          <w:rFonts w:hint="default" w:ascii="Times New Roman" w:hAnsi="Times New Roman" w:eastAsia="仿宋" w:cs="Times New Roman"/>
          <w:color w:val="auto"/>
          <w:sz w:val="24"/>
          <w:szCs w:val="22"/>
          <w:highlight w:val="none"/>
        </w:rPr>
        <w:t>每年工作</w:t>
      </w:r>
    </w:p>
    <w:p w14:paraId="4A400C01">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每年对载气及标准气流量校准。</w:t>
      </w:r>
    </w:p>
    <w:p w14:paraId="1E8A80E0">
      <w:pPr>
        <w:pStyle w:val="37"/>
        <w:spacing w:after="0" w:line="300" w:lineRule="exact"/>
        <w:ind w:left="0" w:leftChars="0" w:firstLine="482" w:firstLineChars="200"/>
        <w:rPr>
          <w:rFonts w:hint="default" w:ascii="Times New Roman" w:hAnsi="Times New Roman" w:eastAsia="仿宋" w:cs="Times New Roman"/>
          <w:b/>
          <w:bCs/>
          <w:color w:val="auto"/>
          <w:sz w:val="24"/>
          <w:szCs w:val="22"/>
          <w:highlight w:val="none"/>
        </w:rPr>
      </w:pPr>
      <w:r>
        <w:rPr>
          <w:rFonts w:hint="default" w:ascii="Times New Roman" w:hAnsi="Times New Roman" w:eastAsia="仿宋" w:cs="Times New Roman"/>
          <w:b/>
          <w:bCs/>
          <w:color w:val="auto"/>
          <w:sz w:val="24"/>
          <w:szCs w:val="22"/>
          <w:highlight w:val="none"/>
        </w:rPr>
        <w:t>4.6重金属在线监测仪</w:t>
      </w:r>
    </w:p>
    <w:p w14:paraId="2375BF29">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4.6.1每日工作</w:t>
      </w:r>
    </w:p>
    <w:p w14:paraId="1B350ED1">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(1)早晚各1次对在线元素设备进行监控，检查设备的运行状态；</w:t>
      </w:r>
    </w:p>
    <w:p w14:paraId="10AFA5F0">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(2)检查采集卡是否死机、采样流量是否正常、检查数据状态是否正常等；</w:t>
      </w:r>
    </w:p>
    <w:p w14:paraId="1E654D9C">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(3)查验设备运行状态参数及质控数据是否正常；</w:t>
      </w:r>
    </w:p>
    <w:p w14:paraId="1DEF415D">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(4)检查仪器是否存在报警情况，若存在，应及时维护，做好运行维护记录。</w:t>
      </w:r>
    </w:p>
    <w:p w14:paraId="3DD358AD">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4.6.2每周工作</w:t>
      </w:r>
    </w:p>
    <w:p w14:paraId="79457422">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(1)检查设备采样流量是否准确，采样泵是否正常工作；</w:t>
      </w:r>
    </w:p>
    <w:p w14:paraId="2E99F34C">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(2)检查设备滤纸带的使用情况；</w:t>
      </w:r>
    </w:p>
    <w:p w14:paraId="325BD144">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(3)（Cr铬、Cd镉、Pb铅）探棒测试比对；</w:t>
      </w:r>
    </w:p>
    <w:p w14:paraId="0EBB5274">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(4)检查采样管屋顶穿墙法兰开孔处是否密封无漏水。</w:t>
      </w:r>
    </w:p>
    <w:p w14:paraId="5CC8D8E9">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4.6.3每月工作</w:t>
      </w:r>
    </w:p>
    <w:p w14:paraId="4DFBB5F1">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(1)每次更换纸带后进行空白检查，至少80%的目标物空白检查结果应小于等于仪器检出限，所有目标物空白检查结果应小于等于仪器测定下限，否则更换纸带直至空白满足要求；</w:t>
      </w:r>
    </w:p>
    <w:p w14:paraId="7E1299C9">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(2)每月进行1次采样流量检查，实测流量与仪器设定流量的误差应在±5%范围内，且示值流量与实测流量的误差应在±2%范围内，否则应及时对仪器采样流量进行校准；</w:t>
      </w:r>
    </w:p>
    <w:p w14:paraId="338A1FFE">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(3)每月对仪器进行1次温度测量示值和大气压测量示值检查。</w:t>
      </w:r>
    </w:p>
    <w:p w14:paraId="7624B35E">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4.6.4每季度工作</w:t>
      </w:r>
    </w:p>
    <w:p w14:paraId="2B959F8A">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利用标准膜片进行1次正确度检查，不同能级或档位中至少选取1种元素进行正确度的检查，实测值与理论值的相对误差应在±10%范围内，否则应重新校准仪器。</w:t>
      </w:r>
    </w:p>
    <w:p w14:paraId="6D24FDBA">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4.6.5每年工作</w:t>
      </w:r>
    </w:p>
    <w:p w14:paraId="31FF0CAF">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(1)每年</w:t>
      </w:r>
      <w:r>
        <w:rPr>
          <w:rFonts w:hint="default" w:ascii="Times New Roman" w:hAnsi="Times New Roman" w:eastAsia="仿宋" w:cs="Times New Roman"/>
          <w:color w:val="auto"/>
          <w:sz w:val="24"/>
          <w:szCs w:val="22"/>
          <w:highlight w:val="none"/>
          <w:lang w:eastAsia="zh-CN"/>
        </w:rPr>
        <w:t>至少</w:t>
      </w:r>
      <w:r>
        <w:rPr>
          <w:rFonts w:hint="default" w:ascii="Times New Roman" w:hAnsi="Times New Roman" w:eastAsia="仿宋" w:cs="Times New Roman"/>
          <w:color w:val="auto"/>
          <w:sz w:val="24"/>
          <w:szCs w:val="22"/>
          <w:highlight w:val="none"/>
        </w:rPr>
        <w:t>使用标准膜对全部目标元素进行1次正确度检查，至少70%的目标</w:t>
      </w:r>
      <w:r>
        <w:rPr>
          <w:rFonts w:hint="default" w:ascii="Times New Roman" w:hAnsi="Times New Roman" w:eastAsia="仿宋" w:cs="Times New Roman"/>
          <w:color w:val="auto"/>
          <w:sz w:val="24"/>
          <w:szCs w:val="22"/>
          <w:highlight w:val="none"/>
          <w:lang w:eastAsia="zh-CN"/>
        </w:rPr>
        <w:t>元素</w:t>
      </w:r>
      <w:r>
        <w:rPr>
          <w:rFonts w:hint="default" w:ascii="Times New Roman" w:hAnsi="Times New Roman" w:eastAsia="仿宋" w:cs="Times New Roman"/>
          <w:color w:val="auto"/>
          <w:sz w:val="24"/>
          <w:szCs w:val="22"/>
          <w:highlight w:val="none"/>
        </w:rPr>
        <w:t>实测值与理论值的相对误差应在±10%范围内，否则应重新制作光谱测量文件；</w:t>
      </w:r>
    </w:p>
    <w:p w14:paraId="4D3E60E9">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(2)每半年进行1次湿度传感器检查；</w:t>
      </w:r>
    </w:p>
    <w:p w14:paraId="19F3B6E2">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lang w:val="en-US" w:eastAsia="zh-CN"/>
        </w:rPr>
      </w:pPr>
      <w:r>
        <w:rPr>
          <w:rFonts w:hint="default" w:ascii="Times New Roman" w:hAnsi="Times New Roman" w:eastAsia="仿宋" w:cs="Times New Roman"/>
          <w:color w:val="auto"/>
          <w:sz w:val="24"/>
          <w:szCs w:val="22"/>
          <w:highlight w:val="none"/>
        </w:rPr>
        <w:t>(3)</w:t>
      </w:r>
      <w:r>
        <w:rPr>
          <w:rFonts w:hint="default" w:ascii="Times New Roman" w:hAnsi="Times New Roman" w:eastAsia="仿宋" w:cs="Times New Roman"/>
          <w:color w:val="auto"/>
          <w:sz w:val="24"/>
          <w:szCs w:val="22"/>
          <w:highlight w:val="none"/>
          <w:lang w:eastAsia="zh-CN"/>
        </w:rPr>
        <w:t>每年至少对采样管路进行一次清洁，采样管路清洁后应</w:t>
      </w:r>
      <w:r>
        <w:rPr>
          <w:rFonts w:hint="default" w:ascii="Times New Roman" w:hAnsi="Times New Roman" w:eastAsia="仿宋" w:cs="Times New Roman"/>
          <w:color w:val="auto"/>
          <w:sz w:val="24"/>
          <w:szCs w:val="22"/>
          <w:highlight w:val="none"/>
          <w:lang w:val="en-US" w:eastAsia="zh-CN"/>
        </w:rPr>
        <w:t>进行气密性检查，并进行采样流量校准；</w:t>
      </w:r>
    </w:p>
    <w:p w14:paraId="5B6B2B90">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lang w:val="en-US" w:eastAsia="zh-CN"/>
        </w:rPr>
      </w:pPr>
      <w:r>
        <w:rPr>
          <w:rFonts w:hint="default" w:ascii="Times New Roman" w:hAnsi="Times New Roman" w:eastAsia="仿宋" w:cs="Times New Roman"/>
          <w:color w:val="auto"/>
          <w:sz w:val="24"/>
          <w:szCs w:val="22"/>
          <w:highlight w:val="none"/>
        </w:rPr>
        <w:t>(</w:t>
      </w:r>
      <w:r>
        <w:rPr>
          <w:rFonts w:hint="default" w:ascii="Times New Roman" w:hAnsi="Times New Roman" w:eastAsia="仿宋" w:cs="Times New Roman"/>
          <w:color w:val="auto"/>
          <w:sz w:val="24"/>
          <w:szCs w:val="22"/>
          <w:highlight w:val="none"/>
          <w:lang w:val="en-US" w:eastAsia="zh-CN"/>
        </w:rPr>
        <w:t>4</w:t>
      </w:r>
      <w:r>
        <w:rPr>
          <w:rFonts w:hint="default" w:ascii="Times New Roman" w:hAnsi="Times New Roman" w:eastAsia="仿宋" w:cs="Times New Roman"/>
          <w:color w:val="auto"/>
          <w:sz w:val="24"/>
          <w:szCs w:val="22"/>
          <w:highlight w:val="none"/>
        </w:rPr>
        <w:t>)</w:t>
      </w:r>
      <w:r>
        <w:rPr>
          <w:rFonts w:hint="default" w:ascii="Times New Roman" w:hAnsi="Times New Roman" w:eastAsia="仿宋" w:cs="Times New Roman"/>
          <w:color w:val="auto"/>
          <w:sz w:val="24"/>
          <w:szCs w:val="22"/>
          <w:highlight w:val="none"/>
          <w:lang w:eastAsia="zh-CN"/>
        </w:rPr>
        <w:t>每年至少对目标元素进行</w:t>
      </w:r>
      <w:r>
        <w:rPr>
          <w:rFonts w:hint="default" w:ascii="Times New Roman" w:hAnsi="Times New Roman" w:eastAsia="仿宋" w:cs="Times New Roman"/>
          <w:color w:val="auto"/>
          <w:sz w:val="24"/>
          <w:szCs w:val="22"/>
          <w:highlight w:val="none"/>
          <w:lang w:val="en-US" w:eastAsia="zh-CN"/>
        </w:rPr>
        <w:t>1次校准曲线绘制，使用空白纸带及3种以上不同浓度的标准膜绘制标准曲线，校准曲线线性相关系数r应≥0.98，否则应重新绘制校准曲线。</w:t>
      </w:r>
    </w:p>
    <w:p w14:paraId="4D5A3A89">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w:t>
      </w:r>
      <w:r>
        <w:rPr>
          <w:rFonts w:hint="default" w:ascii="Times New Roman" w:hAnsi="Times New Roman" w:eastAsia="仿宋" w:cs="Times New Roman"/>
          <w:color w:val="auto"/>
          <w:sz w:val="24"/>
          <w:szCs w:val="22"/>
          <w:highlight w:val="none"/>
          <w:lang w:val="en-US" w:eastAsia="zh-CN"/>
        </w:rPr>
        <w:t>5</w:t>
      </w:r>
      <w:r>
        <w:rPr>
          <w:rFonts w:hint="default" w:ascii="Times New Roman" w:hAnsi="Times New Roman" w:eastAsia="仿宋" w:cs="Times New Roman"/>
          <w:color w:val="auto"/>
          <w:sz w:val="24"/>
          <w:szCs w:val="22"/>
          <w:highlight w:val="none"/>
        </w:rPr>
        <w:t>)对仪器内标元素（Pd钯）质控，保证每个监测数据的可溯源性。</w:t>
      </w:r>
    </w:p>
    <w:p w14:paraId="192E5D75">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4.7可溶性阴阳离子浓度在线监测仪</w:t>
      </w:r>
    </w:p>
    <w:p w14:paraId="48381EE1">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4.7.1每天工作</w:t>
      </w:r>
    </w:p>
    <w:p w14:paraId="665C81BC">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(1)早晚各1次对仪器进行监控，检查设备的运行状态、检查数据状态是否正常等，并做好记录；</w:t>
      </w:r>
    </w:p>
    <w:p w14:paraId="618A750C">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(2)审核样品谱图（峰位和峰面积），必要时进行人工重积分，确保定性定量准确。</w:t>
      </w:r>
    </w:p>
    <w:p w14:paraId="2E1B2C3F">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4.7.2每周工作</w:t>
      </w:r>
    </w:p>
    <w:p w14:paraId="0CBAA51D">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(1)现场更换仪器工作所需的纯水和配制相应的试剂，清理废水桶等；</w:t>
      </w:r>
    </w:p>
    <w:p w14:paraId="68F4C4DC">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(2)仪器运行状态核查；</w:t>
      </w:r>
    </w:p>
    <w:p w14:paraId="29D21205">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(3)数据检查和备份等；</w:t>
      </w:r>
    </w:p>
    <w:p w14:paraId="5245D63F">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(4)更换样品过滤头，污染期间提高更换频率；</w:t>
      </w:r>
    </w:p>
    <w:p w14:paraId="475AFC6E">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(5)每周进行一次标准曲线中间浓度点检查，正确度应在±10%范围内，否则重新进行曲线校准。</w:t>
      </w:r>
    </w:p>
    <w:p w14:paraId="509ACC9C">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4.7.3每月工作</w:t>
      </w:r>
    </w:p>
    <w:p w14:paraId="1B35E1C5">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(1)现场更换仪器工作所需的纯水和配制相应的试剂，清理废水桶等；</w:t>
      </w:r>
    </w:p>
    <w:p w14:paraId="024F8C34">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(2)仪器运行状态核查；</w:t>
      </w:r>
    </w:p>
    <w:p w14:paraId="0C6F9502">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(3)数据检查和备份；</w:t>
      </w:r>
    </w:p>
    <w:p w14:paraId="1E51C558">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(4)检查仪器耗品损耗情况，及时更换易耗品，如过滤头和泵管；</w:t>
      </w:r>
    </w:p>
    <w:p w14:paraId="33531BCC">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(5)排气泡和清理相应的管路和流路等；</w:t>
      </w:r>
    </w:p>
    <w:p w14:paraId="2C799BFC">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(6)进行相应的清理和润滑工作，保证仪器良好的状况；</w:t>
      </w:r>
    </w:p>
    <w:p w14:paraId="10E36FB0">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(7)每月进行1次采样流量检查，实测流量与仪器设定流量的误差应在±5%范围内，且示值流量与实测流量的误差应在±2%范围内，否则应及时对仪器采样流量进行校准。</w:t>
      </w:r>
    </w:p>
    <w:p w14:paraId="232F97BF">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(8)每月对仪器进行1次温度测量示值和大气压测量示值检查。</w:t>
      </w:r>
    </w:p>
    <w:p w14:paraId="509EEA5B">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(9)每月开展1次仪器空白检查，各目标物的仪器空白检查结果应小于等于仪器检出限。</w:t>
      </w:r>
    </w:p>
    <w:p w14:paraId="534B7284">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4.7.4每季度工作</w:t>
      </w:r>
    </w:p>
    <w:p w14:paraId="33D1DFDE">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(1)现场更换仪器工作所需的纯水和配制相应的试剂，清理废水桶等；</w:t>
      </w:r>
    </w:p>
    <w:p w14:paraId="7FDE5FEF">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(2)仪器运行状态核查；</w:t>
      </w:r>
    </w:p>
    <w:p w14:paraId="52B80FD6">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(3)数据检查和备份；</w:t>
      </w:r>
    </w:p>
    <w:p w14:paraId="72B9C06F">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(4)每季度清洗溶蚀器并更换溶蚀器滤膜，当发现漏液或进气泡以及滤膜污染时，应及时维护/更换溶蚀器滤膜；</w:t>
      </w:r>
    </w:p>
    <w:p w14:paraId="3F853D62">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(5)检查仪器耗品损耗情况，及时更换易耗品，如过滤头和泵管；</w:t>
      </w:r>
    </w:p>
    <w:p w14:paraId="45685331">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(6)排气泡和清理相应的管路和流路等；</w:t>
      </w:r>
    </w:p>
    <w:p w14:paraId="3F1C1705">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(7)进行相应的清理和润滑工作，保证仪器良好的状况；</w:t>
      </w:r>
    </w:p>
    <w:p w14:paraId="452BF31F">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(8)更换磨损件，对取样部件、管路清洗、除菌；</w:t>
      </w:r>
    </w:p>
    <w:p w14:paraId="2D8C4024">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(9)每季度对在线绘制一次校准曲线，相关性R&gt;0.995。当仪器更换核心部件后，应重新进行标准曲线校准。</w:t>
      </w:r>
    </w:p>
    <w:p w14:paraId="6C5732A9">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4.7.5每半年工作</w:t>
      </w:r>
    </w:p>
    <w:p w14:paraId="3B9BFBA1">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(1)每半年至少更换1次阴离子及阳离子柱。日常维护中，当发现柱效下降较多，如NO</w:t>
      </w:r>
      <w:r>
        <w:rPr>
          <w:rFonts w:hint="default" w:ascii="Times New Roman" w:hAnsi="Times New Roman" w:eastAsia="仿宋" w:cs="Times New Roman"/>
          <w:color w:val="auto"/>
          <w:sz w:val="24"/>
          <w:szCs w:val="22"/>
          <w:highlight w:val="none"/>
          <w:vertAlign w:val="subscript"/>
        </w:rPr>
        <w:t>3</w:t>
      </w:r>
      <w:r>
        <w:rPr>
          <w:rFonts w:hint="default" w:ascii="Times New Roman" w:hAnsi="Times New Roman" w:eastAsia="仿宋" w:cs="Times New Roman"/>
          <w:color w:val="auto"/>
          <w:sz w:val="24"/>
          <w:szCs w:val="22"/>
          <w:highlight w:val="none"/>
          <w:vertAlign w:val="superscript"/>
        </w:rPr>
        <w:t>-</w:t>
      </w:r>
      <w:r>
        <w:rPr>
          <w:rFonts w:hint="default" w:ascii="Times New Roman" w:hAnsi="Times New Roman" w:eastAsia="仿宋" w:cs="Times New Roman"/>
          <w:color w:val="auto"/>
          <w:sz w:val="24"/>
          <w:szCs w:val="22"/>
          <w:highlight w:val="none"/>
        </w:rPr>
        <w:t>和SO</w:t>
      </w:r>
      <w:r>
        <w:rPr>
          <w:rFonts w:hint="default" w:ascii="Times New Roman" w:hAnsi="Times New Roman" w:eastAsia="仿宋" w:cs="Times New Roman"/>
          <w:color w:val="auto"/>
          <w:sz w:val="24"/>
          <w:szCs w:val="22"/>
          <w:highlight w:val="none"/>
          <w:vertAlign w:val="subscript"/>
        </w:rPr>
        <w:t>4</w:t>
      </w:r>
      <w:r>
        <w:rPr>
          <w:rFonts w:hint="default" w:ascii="Times New Roman" w:hAnsi="Times New Roman" w:eastAsia="仿宋" w:cs="Times New Roman"/>
          <w:color w:val="auto"/>
          <w:sz w:val="24"/>
          <w:szCs w:val="22"/>
          <w:highlight w:val="none"/>
          <w:vertAlign w:val="superscript"/>
        </w:rPr>
        <w:t>2-</w:t>
      </w:r>
      <w:r>
        <w:rPr>
          <w:rFonts w:hint="default" w:ascii="Times New Roman" w:hAnsi="Times New Roman" w:eastAsia="仿宋" w:cs="Times New Roman"/>
          <w:color w:val="auto"/>
          <w:sz w:val="24"/>
          <w:szCs w:val="22"/>
          <w:highlight w:val="none"/>
        </w:rPr>
        <w:t>色谱峰之间的分离度小于1.2时、Na</w:t>
      </w:r>
      <w:r>
        <w:rPr>
          <w:rFonts w:hint="default" w:ascii="Times New Roman" w:hAnsi="Times New Roman" w:eastAsia="仿宋" w:cs="Times New Roman"/>
          <w:color w:val="auto"/>
          <w:sz w:val="24"/>
          <w:szCs w:val="22"/>
          <w:highlight w:val="none"/>
          <w:vertAlign w:val="superscript"/>
        </w:rPr>
        <w:t>+</w:t>
      </w:r>
      <w:r>
        <w:rPr>
          <w:rFonts w:hint="default" w:ascii="Times New Roman" w:hAnsi="Times New Roman" w:eastAsia="仿宋" w:cs="Times New Roman"/>
          <w:color w:val="auto"/>
          <w:sz w:val="24"/>
          <w:szCs w:val="22"/>
          <w:highlight w:val="none"/>
        </w:rPr>
        <w:t>和NH</w:t>
      </w:r>
      <w:r>
        <w:rPr>
          <w:rFonts w:hint="default" w:ascii="Times New Roman" w:hAnsi="Times New Roman" w:eastAsia="仿宋" w:cs="Times New Roman"/>
          <w:color w:val="auto"/>
          <w:sz w:val="24"/>
          <w:szCs w:val="22"/>
          <w:highlight w:val="none"/>
          <w:vertAlign w:val="subscript"/>
        </w:rPr>
        <w:t>4</w:t>
      </w:r>
      <w:r>
        <w:rPr>
          <w:rFonts w:hint="default" w:ascii="Times New Roman" w:hAnsi="Times New Roman" w:eastAsia="仿宋" w:cs="Times New Roman"/>
          <w:color w:val="auto"/>
          <w:sz w:val="24"/>
          <w:szCs w:val="22"/>
          <w:highlight w:val="none"/>
          <w:vertAlign w:val="superscript"/>
        </w:rPr>
        <w:t>+</w:t>
      </w:r>
      <w:r>
        <w:rPr>
          <w:rFonts w:hint="default" w:ascii="Times New Roman" w:hAnsi="Times New Roman" w:eastAsia="仿宋" w:cs="Times New Roman"/>
          <w:color w:val="auto"/>
          <w:sz w:val="24"/>
          <w:szCs w:val="22"/>
          <w:highlight w:val="none"/>
        </w:rPr>
        <w:t>色谱峰之间的分离度小于1.5或Na</w:t>
      </w:r>
      <w:r>
        <w:rPr>
          <w:rFonts w:hint="default" w:ascii="Times New Roman" w:hAnsi="Times New Roman" w:eastAsia="仿宋" w:cs="Times New Roman"/>
          <w:color w:val="auto"/>
          <w:sz w:val="24"/>
          <w:szCs w:val="22"/>
          <w:highlight w:val="none"/>
          <w:vertAlign w:val="superscript"/>
        </w:rPr>
        <w:t>+</w:t>
      </w:r>
      <w:r>
        <w:rPr>
          <w:rFonts w:hint="default" w:ascii="Times New Roman" w:hAnsi="Times New Roman" w:eastAsia="仿宋" w:cs="Times New Roman"/>
          <w:color w:val="auto"/>
          <w:sz w:val="24"/>
          <w:szCs w:val="22"/>
          <w:highlight w:val="none"/>
        </w:rPr>
        <w:t>和水负峰（系统峰）分离度小于1.5时，应及时更换相应的色谱柱；</w:t>
      </w:r>
    </w:p>
    <w:p w14:paraId="3EEC8532">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(2)每半年至少更换1次蠕动泵管和采样泵过滤器。</w:t>
      </w:r>
    </w:p>
    <w:p w14:paraId="5B64D443">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4.7.6每年维护：</w:t>
      </w:r>
    </w:p>
    <w:p w14:paraId="43794731">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每年进行1次预防性维护，对采样单元和分析单元进行检查和清洁，更换必要的耗材与配件；维护后，应对仪器进行全面检查与校准，包括重新绘制校准曲线、</w:t>
      </w:r>
      <w:r>
        <w:rPr>
          <w:rFonts w:hint="default" w:ascii="Times New Roman" w:hAnsi="Times New Roman" w:eastAsia="仿宋" w:cs="Times New Roman"/>
          <w:color w:val="auto"/>
          <w:sz w:val="24"/>
          <w:szCs w:val="22"/>
          <w:highlight w:val="none"/>
          <w:lang w:eastAsia="zh-CN"/>
        </w:rPr>
        <w:t>精密度</w:t>
      </w:r>
      <w:r>
        <w:rPr>
          <w:rFonts w:hint="default" w:ascii="Times New Roman" w:hAnsi="Times New Roman" w:eastAsia="仿宋" w:cs="Times New Roman"/>
          <w:color w:val="auto"/>
          <w:sz w:val="24"/>
          <w:szCs w:val="22"/>
          <w:highlight w:val="none"/>
        </w:rPr>
        <w:t>、正确度测试等，确保仪器在维护前后数据的准确性和可比性。</w:t>
      </w:r>
    </w:p>
    <w:p w14:paraId="3CAD156D">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4.8颗粒物通量激光雷达</w:t>
      </w:r>
    </w:p>
    <w:p w14:paraId="140920ED">
      <w:pPr>
        <w:spacing w:line="3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4.8.1日常工作</w:t>
      </w:r>
    </w:p>
    <w:p w14:paraId="06D8433F">
      <w:pPr>
        <w:spacing w:line="3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每日早晚各监控一次仪器运行状态。日常巡检每周不少于一次，包括清洁镜头、天窗，检查仪器运行状态等内容，每次巡检结果应有记录并归档。日常巡检规程应包含该系统运行状况、工作状况、系统辅助设备运行状况、各主要部件的运行状况，以及仪器使用说明书中规定的其他检查项目和记录。每次巡检必须</w:t>
      </w:r>
      <w:r>
        <w:rPr>
          <w:rFonts w:hint="default" w:ascii="Times New Roman" w:hAnsi="Times New Roman" w:eastAsia="仿宋" w:cs="Times New Roman"/>
          <w:color w:val="auto"/>
          <w:sz w:val="24"/>
          <w:highlight w:val="none"/>
          <w:lang w:eastAsia="zh-CN"/>
        </w:rPr>
        <w:t>填写</w:t>
      </w:r>
      <w:r>
        <w:rPr>
          <w:rFonts w:hint="default" w:ascii="Times New Roman" w:hAnsi="Times New Roman" w:eastAsia="仿宋" w:cs="Times New Roman"/>
          <w:color w:val="auto"/>
          <w:sz w:val="24"/>
          <w:highlight w:val="none"/>
        </w:rPr>
        <w:t>设备巡检记录。</w:t>
      </w:r>
    </w:p>
    <w:p w14:paraId="24FBC0C0">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4.8.2每两周工作</w:t>
      </w:r>
    </w:p>
    <w:p w14:paraId="30C05125">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(1)检查天窗水箱的状态，若缺水及时补充；</w:t>
      </w:r>
    </w:p>
    <w:p w14:paraId="3A2F9567">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(2)遇冬季，需更换成防冻液；</w:t>
      </w:r>
    </w:p>
    <w:p w14:paraId="31BB1205">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(3)检查天窗雨量传感器、喷水和雨刷运转是否正常，若工作不正常，及时记录并上报维修维护；</w:t>
      </w:r>
    </w:p>
    <w:p w14:paraId="6DE23A6D">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(4)检查天窗的清洁状态，若透射率低影响探测距离，用清水冲刷天窗玻璃，并用棉布擦干。</w:t>
      </w:r>
    </w:p>
    <w:p w14:paraId="0F4AB486">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4.8.3每月工作</w:t>
      </w:r>
    </w:p>
    <w:p w14:paraId="1E05CF93">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(1)检查雷达主机镜片的污浊情况，若明显污浊，需用清水冲刷，并用棉布擦干；若油污比较严重，需用75%的医用酒精清洁镜片；</w:t>
      </w:r>
    </w:p>
    <w:p w14:paraId="1590C2ED">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(2)检查镜片是否有划痕，拍照存档，对划痕较多影响探测的情况，需上报维修或维护；</w:t>
      </w:r>
    </w:p>
    <w:p w14:paraId="47984E9B">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(3)检查设备工作状态指示灯、屏幕的运行情况，对于不符合运行状态的情况，及时上报维修维护。</w:t>
      </w:r>
    </w:p>
    <w:p w14:paraId="5B3BA9BD">
      <w:pPr>
        <w:spacing w:line="300" w:lineRule="exact"/>
        <w:ind w:left="0" w:leftChars="0"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4.8.4每季度工作</w:t>
      </w:r>
    </w:p>
    <w:p w14:paraId="349E6039">
      <w:pPr>
        <w:pStyle w:val="37"/>
        <w:spacing w:after="0" w:line="300" w:lineRule="exact"/>
        <w:ind w:left="0" w:leftChars="0"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(1)每季度对激光雷达进行一次系统光路光斑、激光能量的检查、校准，并记录；</w:t>
      </w:r>
    </w:p>
    <w:p w14:paraId="1B1E3DA3">
      <w:pPr>
        <w:pStyle w:val="37"/>
        <w:spacing w:after="0" w:line="300" w:lineRule="exact"/>
        <w:ind w:left="0" w:leftChars="0"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(2)其他维护工作对电源控制器、空调等辅助设备要进行经常性检查；</w:t>
      </w:r>
    </w:p>
    <w:p w14:paraId="51B7D395">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highlight w:val="none"/>
        </w:rPr>
        <w:t>(3)操作人员在对系统进行日常维护时，作好相关记录</w:t>
      </w:r>
      <w:r>
        <w:rPr>
          <w:rFonts w:hint="default" w:ascii="Times New Roman" w:hAnsi="Times New Roman" w:eastAsia="仿宋" w:cs="Times New Roman"/>
          <w:color w:val="auto"/>
          <w:sz w:val="24"/>
          <w:szCs w:val="22"/>
          <w:highlight w:val="none"/>
        </w:rPr>
        <w:t>。</w:t>
      </w:r>
    </w:p>
    <w:p w14:paraId="6F7601EC">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4.9粒径谱仪</w:t>
      </w:r>
    </w:p>
    <w:p w14:paraId="47E50977">
      <w:pPr>
        <w:spacing w:line="300" w:lineRule="exact"/>
        <w:ind w:left="0" w:leftChars="0"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4.9.1每日工作</w:t>
      </w:r>
    </w:p>
    <w:p w14:paraId="61AB3E21">
      <w:pPr>
        <w:pStyle w:val="37"/>
        <w:spacing w:after="0" w:line="300" w:lineRule="exact"/>
        <w:ind w:left="0" w:leftChars="0"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 xml:space="preserve">(1)检查仪器报警情况 </w:t>
      </w:r>
    </w:p>
    <w:p w14:paraId="0CE89BBD">
      <w:pPr>
        <w:pStyle w:val="37"/>
        <w:spacing w:after="0" w:line="300" w:lineRule="exact"/>
        <w:ind w:left="0" w:leftChars="0"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 xml:space="preserve">(2)检查PM读数状态； </w:t>
      </w:r>
    </w:p>
    <w:p w14:paraId="6D8372E4">
      <w:pPr>
        <w:pStyle w:val="37"/>
        <w:spacing w:after="0" w:line="300" w:lineRule="exact"/>
        <w:ind w:left="0" w:leftChars="0"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(3)检查温度、湿度数值；</w:t>
      </w:r>
    </w:p>
    <w:p w14:paraId="3B0E6087">
      <w:pPr>
        <w:pStyle w:val="37"/>
        <w:spacing w:after="0" w:line="300" w:lineRule="exact"/>
        <w:ind w:left="0" w:leftChars="0"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(4)检查计算机软件的运行情况；</w:t>
      </w:r>
    </w:p>
    <w:p w14:paraId="3BAF7C94">
      <w:pPr>
        <w:pStyle w:val="37"/>
        <w:spacing w:after="0" w:line="300" w:lineRule="exact"/>
        <w:ind w:left="0" w:leftChars="0"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(5)按质控要求周期检查、清洁采样头；</w:t>
      </w:r>
    </w:p>
    <w:p w14:paraId="3F06CAAF">
      <w:pPr>
        <w:pStyle w:val="37"/>
        <w:spacing w:after="0" w:line="300" w:lineRule="exact"/>
        <w:ind w:left="0" w:leftChars="0"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(6)按质控要求周期清洁采样光室；</w:t>
      </w:r>
    </w:p>
    <w:p w14:paraId="73D44E74">
      <w:pPr>
        <w:pStyle w:val="37"/>
        <w:spacing w:after="0" w:line="300" w:lineRule="exact"/>
        <w:ind w:left="0" w:leftChars="0"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(7)按质控要求周期清洁采样管路；</w:t>
      </w:r>
    </w:p>
    <w:p w14:paraId="52CD5D39">
      <w:pPr>
        <w:pStyle w:val="37"/>
        <w:spacing w:after="0" w:line="300" w:lineRule="exact"/>
        <w:ind w:left="0" w:leftChars="0"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(8)按质控要求周期检查滤芯。</w:t>
      </w:r>
    </w:p>
    <w:p w14:paraId="3A08A519">
      <w:pPr>
        <w:spacing w:line="300" w:lineRule="exact"/>
        <w:ind w:left="0" w:leftChars="0"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4.9.2每周工作</w:t>
      </w:r>
    </w:p>
    <w:p w14:paraId="446D3708">
      <w:pPr>
        <w:spacing w:line="300" w:lineRule="exact"/>
        <w:ind w:left="0" w:leftChars="0"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检查仪器采样流量。</w:t>
      </w:r>
    </w:p>
    <w:p w14:paraId="52AB7C79">
      <w:pPr>
        <w:spacing w:line="300" w:lineRule="exact"/>
        <w:ind w:left="0" w:leftChars="0"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4.9.3每两周工作</w:t>
      </w:r>
    </w:p>
    <w:p w14:paraId="0D7C0045">
      <w:pPr>
        <w:spacing w:line="300" w:lineRule="exact"/>
        <w:ind w:left="0" w:leftChars="0"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清洁采样头和采样管路。</w:t>
      </w:r>
    </w:p>
    <w:p w14:paraId="30AFB4E2">
      <w:pPr>
        <w:spacing w:line="300" w:lineRule="exact"/>
        <w:ind w:left="0" w:leftChars="0"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4.9.4每月工作</w:t>
      </w:r>
    </w:p>
    <w:p w14:paraId="1FEE899D">
      <w:pPr>
        <w:spacing w:line="300" w:lineRule="exact"/>
        <w:ind w:left="0" w:leftChars="0"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更换设备过滤器；</w:t>
      </w:r>
    </w:p>
    <w:p w14:paraId="21694D1E">
      <w:pPr>
        <w:spacing w:line="300" w:lineRule="exact"/>
        <w:ind w:left="0" w:leftChars="0"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4.9.5每季度工作</w:t>
      </w:r>
    </w:p>
    <w:p w14:paraId="55E9E13F">
      <w:pPr>
        <w:spacing w:line="300" w:lineRule="exact"/>
        <w:ind w:left="0" w:leftChars="0"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检查时钟和压力；</w:t>
      </w:r>
    </w:p>
    <w:p w14:paraId="366B6DA4">
      <w:pPr>
        <w:spacing w:line="300" w:lineRule="exact"/>
        <w:ind w:left="0" w:leftChars="0"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4.9.6每年工作</w:t>
      </w:r>
    </w:p>
    <w:p w14:paraId="73D65F70">
      <w:pPr>
        <w:spacing w:line="300" w:lineRule="exact"/>
        <w:ind w:left="0" w:leftChars="0"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(1)气路清洗、光室清洗；</w:t>
      </w:r>
    </w:p>
    <w:p w14:paraId="7938688A">
      <w:pPr>
        <w:spacing w:line="300" w:lineRule="exact"/>
        <w:ind w:left="0" w:leftChars="0"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(2)电池更换。</w:t>
      </w:r>
    </w:p>
    <w:p w14:paraId="6DFE469B">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4.10 VOCs在线监测仪</w:t>
      </w:r>
    </w:p>
    <w:p w14:paraId="1D9C86FC">
      <w:pPr>
        <w:spacing w:line="300" w:lineRule="exact"/>
        <w:ind w:left="0" w:leftChars="0" w:firstLine="480" w:firstLineChars="200"/>
        <w:jc w:val="left"/>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4.10.1每日工作</w:t>
      </w:r>
    </w:p>
    <w:p w14:paraId="4631978A">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检查并登记分析仪器零/跨报告及每日的小时报告，避免因仪器故障或传输中断的影响正确判断数据。调看VOC小时报表，观察是否有异常高值出现，是否有典型污染物如苯、甲苯等监测值为零的情况。若存在，需前往现场进行历史图谱数据调看，图谱分析是否正常。</w:t>
      </w:r>
    </w:p>
    <w:p w14:paraId="16917201">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(2)检查小时色谱谱图，观察是否出现保留时间漂移，若存在该现象进行峰窗调整；</w:t>
      </w:r>
    </w:p>
    <w:p w14:paraId="507850A2">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(3)检查色谱基线是否平稳；</w:t>
      </w:r>
    </w:p>
    <w:p w14:paraId="454AF2DB">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(4)保留时间调整：同一化合物的保留时间，一般不超过0.07min(4秒,一个色谱峰宽)认为合格；如果超过4秒，仪器自动或手动调整柱前压，使保留时间恢复到原始位置；</w:t>
      </w:r>
    </w:p>
    <w:p w14:paraId="1E14540A">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(5)查看软件浓度趋势：在软件浓度趋势界面查看仪器从上次巡检至今的浓度测试情况，查看是否出现异常浓度点（过高或过低），或数据缺失；根据异常点或数据缺失点的时间，查看历史谱图或报警信息，以确认在该点时仪器的运行情况；根据历史谱图中历史监控数据显示情况来确认该点浓度是由于仪器异常导致还是就是实际测量结果。</w:t>
      </w:r>
    </w:p>
    <w:p w14:paraId="7C759479">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(6)现场维护人员检查并确认各仪器的分析仪器零/跨报告</w:t>
      </w:r>
    </w:p>
    <w:p w14:paraId="0D19529F">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(7)每个项目的标准气浓度符合测量要求。如果不符合，立即上报并根据污染情况设定新值。</w:t>
      </w:r>
    </w:p>
    <w:p w14:paraId="3655420B">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(8)维护人员检查各个仪器每日小时数据，并确认它们是正常的。以下必须注意：</w:t>
      </w:r>
    </w:p>
    <w:p w14:paraId="469755D2">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所用标准气浓度正确；</w:t>
      </w:r>
    </w:p>
    <w:p w14:paraId="75C1BDF1">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任何影响测量数据的子站仪器操作及时记录。</w:t>
      </w:r>
    </w:p>
    <w:p w14:paraId="71472A25">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(9)巡检（不定期）</w:t>
      </w:r>
    </w:p>
    <w:p w14:paraId="60C0577F">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注意异常数据及噪音；</w:t>
      </w:r>
    </w:p>
    <w:p w14:paraId="6EB221E0">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注意观察子站周围可能影响监测结果的活动，并将之记录在记录表中；</w:t>
      </w:r>
    </w:p>
    <w:p w14:paraId="77F978E4">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检查空调运转情况并记录站房内温度；</w:t>
      </w:r>
    </w:p>
    <w:p w14:paraId="24BB8536">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目视检查仪器面板显示，观察数据是否合理及有无报警信号。</w:t>
      </w:r>
    </w:p>
    <w:p w14:paraId="28E284D6">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检查发生器工作是否正常，输出压力是否满足色谱需求；</w:t>
      </w:r>
    </w:p>
    <w:p w14:paraId="3AEF7DE1">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在线气相色谱仪需要确认及仪器是否在循环中，软件运行界面各运行参数是否在正常范围。</w:t>
      </w:r>
    </w:p>
    <w:p w14:paraId="5EE5629A">
      <w:pPr>
        <w:spacing w:line="300" w:lineRule="exact"/>
        <w:ind w:left="0" w:leftChars="0" w:firstLine="480" w:firstLineChars="200"/>
        <w:jc w:val="left"/>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4.10.2每周工作</w:t>
      </w:r>
    </w:p>
    <w:p w14:paraId="3AE53B1E">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(1)检查钢瓶气压力；</w:t>
      </w:r>
    </w:p>
    <w:p w14:paraId="4C03D5C3">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(2)检查采样总管及采样气路是否有破裂，是否有清洁，是否过于潮湿，并及时采取措施；</w:t>
      </w:r>
    </w:p>
    <w:p w14:paraId="43C2EFDC">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(3)检查并更换各仪器滤膜及仪器风扇滤网；</w:t>
      </w:r>
    </w:p>
    <w:p w14:paraId="298A31AB">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(4)检查更换干燥剂；</w:t>
      </w:r>
    </w:p>
    <w:p w14:paraId="7E7CDECB">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(5)检查空调温度；</w:t>
      </w:r>
    </w:p>
    <w:p w14:paraId="4A6DB00E">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(6)检查并记录各仪器主要参数，如流量、温度光强等；</w:t>
      </w:r>
    </w:p>
    <w:p w14:paraId="6D2F60FE">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(7)检查色谱参数，包含气相色谱分析仪的炉箱温度（柱温）、预浓缩温度和采样温度压力等运行参数；</w:t>
      </w:r>
    </w:p>
    <w:p w14:paraId="1D80C23F">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(8)每周对各仪器进行依次零/跨检查，并填写好记录；</w:t>
      </w:r>
    </w:p>
    <w:p w14:paraId="6362963F">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(9)对于FID检测器，每周开展一次VOCs单点检查，对于MS系统，每日进行单点检查。每周进行1次零气空白检查。</w:t>
      </w:r>
    </w:p>
    <w:p w14:paraId="6BA79ABA">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(10)查看近期仪器出现的报警及问题，根据报警信息检查仪器及附属设备运行情况；</w:t>
      </w:r>
    </w:p>
    <w:p w14:paraId="5307890E">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(11)灯丝使用时间确认</w:t>
      </w:r>
    </w:p>
    <w:p w14:paraId="06919E5E">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查看灯丝使用时间，如果灯丝使用时间连续超过3个月，则建议在方法中切换使用另一根灯丝，并重新进行校准曲线的建立。如果两根灯丝的使用时间均超过3个小时，则需要对灯丝进行更换，更换灯丝后重置灯丝使用时间，并且重新建立校准曲线。</w:t>
      </w:r>
    </w:p>
    <w:p w14:paraId="0E7CCA8F">
      <w:pPr>
        <w:spacing w:line="300" w:lineRule="exact"/>
        <w:ind w:left="0" w:leftChars="0" w:firstLine="480" w:firstLineChars="200"/>
        <w:jc w:val="left"/>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4.10.3每月工作</w:t>
      </w:r>
    </w:p>
    <w:p w14:paraId="40C031C3">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(1)检查钢瓶压力并做好记录；</w:t>
      </w:r>
    </w:p>
    <w:p w14:paraId="2D65AB28">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(2)清洁各设备滤网；</w:t>
      </w:r>
    </w:p>
    <w:p w14:paraId="393E234F">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(3)更换色谱滤膜；</w:t>
      </w:r>
    </w:p>
    <w:p w14:paraId="4D9B26F6">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(4)对于质谱系统，每月进行质量轴校准（调谐）；</w:t>
      </w:r>
    </w:p>
    <w:p w14:paraId="7A218E1F">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(5)每月进行采样流量检查与校准。</w:t>
      </w:r>
    </w:p>
    <w:p w14:paraId="1D7FC242">
      <w:pPr>
        <w:spacing w:line="300" w:lineRule="exact"/>
        <w:ind w:left="0" w:leftChars="0" w:firstLine="480" w:firstLineChars="200"/>
        <w:jc w:val="left"/>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4.10.4半年工作</w:t>
      </w:r>
    </w:p>
    <w:p w14:paraId="5F4346EC">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(1)检查气路连接的密封性；</w:t>
      </w:r>
    </w:p>
    <w:p w14:paraId="39C50227">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(2)清洁或更换采样口及采样管；</w:t>
      </w:r>
    </w:p>
    <w:p w14:paraId="2561455D">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(3)屋顶采样口密封胶检查；</w:t>
      </w:r>
    </w:p>
    <w:p w14:paraId="0F3C4CEE">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(4)仪器参数检查；</w:t>
      </w:r>
    </w:p>
    <w:p w14:paraId="606AA59C">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(5)前级泵状态检查；</w:t>
      </w:r>
    </w:p>
    <w:p w14:paraId="6D18C198">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(6)倍增器电压调整；</w:t>
      </w:r>
    </w:p>
    <w:p w14:paraId="63BC3BFD">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(7)重新建立校准曲线。</w:t>
      </w:r>
    </w:p>
    <w:p w14:paraId="398B3184">
      <w:pPr>
        <w:spacing w:line="300" w:lineRule="exact"/>
        <w:ind w:left="0" w:leftChars="0" w:firstLine="480" w:firstLineChars="200"/>
        <w:jc w:val="left"/>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4.10.5年度质控工作</w:t>
      </w:r>
    </w:p>
    <w:p w14:paraId="66830BE0">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(1)检查各连接部密封圈，机械动作是否正常；</w:t>
      </w:r>
    </w:p>
    <w:p w14:paraId="70F4CABE">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(2)清洁，耗材更换完毕后开机检查仪器各参数，与说明书中给出范围比较，如接近或超过限度则作相应调节或更换；</w:t>
      </w:r>
    </w:p>
    <w:p w14:paraId="7A048C82">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(3)清洁色谱FID检测器，清洁气阀；</w:t>
      </w:r>
    </w:p>
    <w:p w14:paraId="208A05DF">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(4)更换载气过滤器，更换预浓缩管；</w:t>
      </w:r>
    </w:p>
    <w:p w14:paraId="566584DD">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(5)对校准仪的流量控制器进行校准、传递。</w:t>
      </w:r>
    </w:p>
    <w:p w14:paraId="76138D64">
      <w:pPr>
        <w:spacing w:line="300" w:lineRule="exact"/>
        <w:ind w:left="0" w:leftChars="0" w:firstLine="480" w:firstLineChars="200"/>
        <w:jc w:val="left"/>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4.10.6预防性维护工作</w:t>
      </w:r>
    </w:p>
    <w:p w14:paraId="49DF6D95">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(1)每半年清洗一次空调过滤网，防止尘土阻塞空调过滤网影响运行效率；</w:t>
      </w:r>
    </w:p>
    <w:p w14:paraId="5113FC9D">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(2)每年清洗一次采样总管</w:t>
      </w:r>
      <w:r>
        <w:rPr>
          <w:rFonts w:hint="default" w:ascii="Times New Roman" w:hAnsi="Times New Roman" w:eastAsia="仿宋" w:cs="Times New Roman"/>
          <w:color w:val="auto"/>
          <w:sz w:val="24"/>
          <w:szCs w:val="22"/>
          <w:highlight w:val="none"/>
          <w:lang w:eastAsia="zh-CN"/>
        </w:rPr>
        <w:t>，</w:t>
      </w:r>
      <w:r>
        <w:rPr>
          <w:rFonts w:hint="default" w:ascii="Times New Roman" w:hAnsi="Times New Roman" w:eastAsia="仿宋" w:cs="Times New Roman"/>
          <w:color w:val="auto"/>
          <w:sz w:val="24"/>
          <w:szCs w:val="22"/>
          <w:highlight w:val="none"/>
        </w:rPr>
        <w:t>清洗完以后应做检漏测试，确保采样总管工作正常；</w:t>
      </w:r>
    </w:p>
    <w:p w14:paraId="4CCC36EF">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(3)每2-3年更换一次从总管到监测仪器采样口之间的气路管线；</w:t>
      </w:r>
    </w:p>
    <w:p w14:paraId="6106DD90">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(4)对监测仪器中的过滤装置，按仪器使用和维修手册的要求定期进行更换和清洗；</w:t>
      </w:r>
    </w:p>
    <w:p w14:paraId="7FE203FC">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(5)每半年对各在线式气相色谱仪进行一下校正；</w:t>
      </w:r>
    </w:p>
    <w:p w14:paraId="25141AC5">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(6)每2-3年对在线气相色谱仪的预分离柱进行更换；</w:t>
      </w:r>
    </w:p>
    <w:p w14:paraId="2599BC0E">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(7)每年更换一次质谱仪器离子源灯丝；</w:t>
      </w:r>
    </w:p>
    <w:p w14:paraId="1308A962">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(8)维护人员在对系统进行日常维护时，应作好巡检记录。巡检记录应包含该系统运行状况、系统辅助设备运行状况、系统校准工作、环境条件监控等必检项目和记录，以及仪器使用说明书中规定的其他检查项目和校准、维护保养、维修记录。</w:t>
      </w:r>
    </w:p>
    <w:p w14:paraId="4001F86A">
      <w:pPr>
        <w:spacing w:line="300" w:lineRule="exact"/>
        <w:ind w:left="0" w:leftChars="0" w:firstLine="480" w:firstLineChars="200"/>
        <w:jc w:val="left"/>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4.10.7系统年度维护及大修工作</w:t>
      </w:r>
    </w:p>
    <w:p w14:paraId="79AB7F0A">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每年度对系统进行年度维护和大修，必要时，对气路和关键零部件进行更换，具体内容如下：</w:t>
      </w:r>
    </w:p>
    <w:p w14:paraId="5B62B887">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(1)按仪器使用和维护手册规定的要求，根据使用寿命更换监测仪器中的光电倍增管、制冷装置、转换炉和抽气泵膜等关键零部件；</w:t>
      </w:r>
    </w:p>
    <w:p w14:paraId="5C44EBA0">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(2)对仪器电路各测试点进行测试与调整；</w:t>
      </w:r>
    </w:p>
    <w:p w14:paraId="5984DACD">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(3)对仪器进行气路检漏和流量检查；</w:t>
      </w:r>
    </w:p>
    <w:p w14:paraId="73886FFF">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(4)对仪器光路、气路、电路板和各种接头及插座等进行检查和清洁处理；</w:t>
      </w:r>
    </w:p>
    <w:p w14:paraId="1A07300F">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(5)对仪器的输出零点和满量程进行检查和校准，并检查仪器的输出线性；</w:t>
      </w:r>
    </w:p>
    <w:p w14:paraId="752A0D9F">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(6)在每次完成仪器年度维护和大修后，或更换了仪器中的关键零部件后，应对仪器重新进行多点校准和检查；</w:t>
      </w:r>
    </w:p>
    <w:p w14:paraId="72336BD7">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(7)维护人员在进行年度维护和大修时，及时做好维护记录</w:t>
      </w:r>
      <w:r>
        <w:rPr>
          <w:rFonts w:hint="default" w:ascii="Times New Roman" w:hAnsi="Times New Roman" w:eastAsia="仿宋" w:cs="Times New Roman"/>
          <w:color w:val="auto"/>
          <w:sz w:val="24"/>
          <w:szCs w:val="22"/>
          <w:highlight w:val="none"/>
          <w:lang w:eastAsia="zh-CN"/>
        </w:rPr>
        <w:t>，</w:t>
      </w:r>
      <w:r>
        <w:rPr>
          <w:rFonts w:hint="default" w:ascii="Times New Roman" w:hAnsi="Times New Roman" w:eastAsia="仿宋" w:cs="Times New Roman"/>
          <w:color w:val="auto"/>
          <w:sz w:val="24"/>
          <w:szCs w:val="22"/>
          <w:highlight w:val="none"/>
        </w:rPr>
        <w:t>维护记录包含对仪器采取的维护措施和内容，以及校准核查等记录；</w:t>
      </w:r>
    </w:p>
    <w:p w14:paraId="0D6A169B">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(8)对所有的色谱历史图谱、数据、文件进行备份。</w:t>
      </w:r>
    </w:p>
    <w:p w14:paraId="07CC9A61">
      <w:pPr>
        <w:spacing w:line="300" w:lineRule="exact"/>
        <w:ind w:left="0" w:leftChars="0"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4.11  CH</w:t>
      </w:r>
      <w:r>
        <w:rPr>
          <w:rFonts w:hint="default" w:ascii="Times New Roman" w:hAnsi="Times New Roman" w:eastAsia="仿宋" w:cs="Times New Roman"/>
          <w:color w:val="auto"/>
          <w:sz w:val="24"/>
          <w:highlight w:val="none"/>
          <w:vertAlign w:val="subscript"/>
        </w:rPr>
        <w:t>4</w:t>
      </w:r>
      <w:r>
        <w:rPr>
          <w:rFonts w:hint="default" w:ascii="Times New Roman" w:hAnsi="Times New Roman" w:eastAsia="仿宋" w:cs="Times New Roman"/>
          <w:color w:val="auto"/>
          <w:sz w:val="24"/>
          <w:highlight w:val="none"/>
        </w:rPr>
        <w:t>/NMHC在线监测仪</w:t>
      </w:r>
    </w:p>
    <w:p w14:paraId="09843FED">
      <w:pPr>
        <w:spacing w:line="300" w:lineRule="exact"/>
        <w:ind w:left="0" w:leftChars="0"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4.11.1每日工作</w:t>
      </w:r>
    </w:p>
    <w:p w14:paraId="2FF0E26A">
      <w:pPr>
        <w:spacing w:line="300" w:lineRule="exact"/>
        <w:ind w:left="0" w:leftChars="0"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(1)检查仪器报警情况；</w:t>
      </w:r>
    </w:p>
    <w:p w14:paraId="78EEDC82">
      <w:pPr>
        <w:spacing w:line="300" w:lineRule="exact"/>
        <w:ind w:left="0" w:leftChars="0"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(2)检查仪器运行参数；</w:t>
      </w:r>
    </w:p>
    <w:p w14:paraId="67791A61">
      <w:pPr>
        <w:spacing w:line="300" w:lineRule="exact"/>
        <w:ind w:left="0" w:leftChars="0"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(3)检查仪器数据及联网情况；</w:t>
      </w:r>
    </w:p>
    <w:p w14:paraId="22D591F2">
      <w:pPr>
        <w:spacing w:line="300" w:lineRule="exact"/>
        <w:ind w:left="0" w:leftChars="0"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4.11.2每周工作</w:t>
      </w:r>
    </w:p>
    <w:p w14:paraId="700F0EF3">
      <w:pPr>
        <w:numPr>
          <w:ilvl w:val="0"/>
          <w:numId w:val="3"/>
        </w:numPr>
        <w:spacing w:line="300" w:lineRule="exact"/>
        <w:ind w:left="0" w:leftChars="0"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检查仪器采样流量；</w:t>
      </w:r>
    </w:p>
    <w:p w14:paraId="54CDDEED">
      <w:pPr>
        <w:numPr>
          <w:ilvl w:val="0"/>
          <w:numId w:val="3"/>
        </w:numPr>
        <w:spacing w:line="300" w:lineRule="exact"/>
        <w:ind w:left="0" w:leftChars="0"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检查并记录钢瓶压力；</w:t>
      </w:r>
    </w:p>
    <w:p w14:paraId="44B6937F">
      <w:pPr>
        <w:numPr>
          <w:ilvl w:val="0"/>
          <w:numId w:val="3"/>
        </w:numPr>
        <w:spacing w:line="300" w:lineRule="exact"/>
        <w:ind w:left="0" w:leftChars="0"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检查温度控制；</w:t>
      </w:r>
    </w:p>
    <w:p w14:paraId="1B46C967">
      <w:pPr>
        <w:numPr>
          <w:ilvl w:val="0"/>
          <w:numId w:val="3"/>
        </w:numPr>
        <w:spacing w:line="300" w:lineRule="exact"/>
        <w:ind w:left="0" w:leftChars="0"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通标检查；</w:t>
      </w:r>
    </w:p>
    <w:p w14:paraId="2141C044">
      <w:pPr>
        <w:numPr>
          <w:ilvl w:val="0"/>
          <w:numId w:val="3"/>
        </w:numPr>
        <w:spacing w:line="300" w:lineRule="exact"/>
        <w:ind w:left="0" w:leftChars="0"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纯净水检查（氢气发生器、监测数据检查、检查并更换采样滤膜）；</w:t>
      </w:r>
    </w:p>
    <w:p w14:paraId="24A6D7E1">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（6）</w:t>
      </w:r>
      <w:r>
        <w:rPr>
          <w:rFonts w:hint="default" w:ascii="Times New Roman" w:hAnsi="Times New Roman" w:eastAsia="仿宋" w:cs="Times New Roman"/>
          <w:color w:val="auto"/>
          <w:sz w:val="24"/>
          <w:szCs w:val="22"/>
          <w:highlight w:val="none"/>
          <w:lang w:val="zh-CN"/>
        </w:rPr>
        <w:t>保留时间质控；</w:t>
      </w:r>
    </w:p>
    <w:p w14:paraId="067FAB9C">
      <w:pPr>
        <w:spacing w:line="300" w:lineRule="exact"/>
        <w:ind w:left="0" w:leftChars="0"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4.11.3每两周工作</w:t>
      </w:r>
    </w:p>
    <w:p w14:paraId="0B1AAA0C">
      <w:pPr>
        <w:spacing w:line="300" w:lineRule="exact"/>
        <w:ind w:left="0" w:leftChars="0" w:firstLine="480" w:firstLineChars="200"/>
        <w:jc w:val="left"/>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rPr>
        <w:t>清洁采样头和采样管路</w:t>
      </w:r>
      <w:r>
        <w:rPr>
          <w:rFonts w:hint="default" w:ascii="Times New Roman" w:hAnsi="Times New Roman" w:eastAsia="仿宋" w:cs="Times New Roman"/>
          <w:color w:val="auto"/>
          <w:sz w:val="24"/>
          <w:highlight w:val="none"/>
          <w:lang w:eastAsia="zh-CN"/>
        </w:rPr>
        <w:t>；</w:t>
      </w:r>
    </w:p>
    <w:p w14:paraId="1A75D54D">
      <w:pPr>
        <w:spacing w:line="300" w:lineRule="exact"/>
        <w:ind w:left="0" w:leftChars="0"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4.11.4每月工作</w:t>
      </w:r>
    </w:p>
    <w:p w14:paraId="4CF462A3">
      <w:pPr>
        <w:spacing w:line="300" w:lineRule="exact"/>
        <w:ind w:left="0" w:leftChars="0"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更换设备过滤器；</w:t>
      </w:r>
    </w:p>
    <w:p w14:paraId="4F11E7B4">
      <w:pPr>
        <w:spacing w:line="300" w:lineRule="exact"/>
        <w:ind w:left="0" w:leftChars="0"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4.11.5每季度工作</w:t>
      </w:r>
    </w:p>
    <w:p w14:paraId="74E92FB9">
      <w:pPr>
        <w:numPr>
          <w:ilvl w:val="0"/>
          <w:numId w:val="4"/>
        </w:numPr>
        <w:spacing w:line="300" w:lineRule="exact"/>
        <w:ind w:left="0" w:leftChars="0"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检查并更换变色硅胶；</w:t>
      </w:r>
    </w:p>
    <w:p w14:paraId="6607205C">
      <w:pPr>
        <w:numPr>
          <w:ilvl w:val="0"/>
          <w:numId w:val="4"/>
        </w:numPr>
        <w:spacing w:line="300" w:lineRule="exact"/>
        <w:ind w:left="0" w:leftChars="0"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系统检漏</w:t>
      </w:r>
      <w:r>
        <w:rPr>
          <w:rFonts w:hint="default" w:ascii="Times New Roman" w:hAnsi="Times New Roman" w:eastAsia="仿宋" w:cs="Times New Roman"/>
          <w:color w:val="auto"/>
          <w:sz w:val="24"/>
          <w:highlight w:val="none"/>
          <w:lang w:eastAsia="zh-CN"/>
        </w:rPr>
        <w:t>。</w:t>
      </w:r>
    </w:p>
    <w:p w14:paraId="5AD1AED8">
      <w:pPr>
        <w:spacing w:line="300" w:lineRule="exact"/>
        <w:ind w:left="0" w:leftChars="0"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4.11.6每年工作</w:t>
      </w:r>
    </w:p>
    <w:p w14:paraId="2E0E8DB5">
      <w:pPr>
        <w:spacing w:line="300" w:lineRule="exact"/>
        <w:ind w:left="0" w:leftChars="0"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（1）更换标气；</w:t>
      </w:r>
    </w:p>
    <w:p w14:paraId="79BA31E0">
      <w:pPr>
        <w:spacing w:line="300" w:lineRule="exact"/>
        <w:ind w:left="0" w:leftChars="0" w:firstLine="480" w:firstLineChars="200"/>
        <w:jc w:val="left"/>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rPr>
        <w:t>（2）更换色谱柱</w:t>
      </w:r>
      <w:r>
        <w:rPr>
          <w:rFonts w:hint="default" w:ascii="Times New Roman" w:hAnsi="Times New Roman" w:eastAsia="仿宋" w:cs="Times New Roman"/>
          <w:color w:val="auto"/>
          <w:sz w:val="24"/>
          <w:highlight w:val="none"/>
          <w:lang w:eastAsia="zh-CN"/>
        </w:rPr>
        <w:t>；</w:t>
      </w:r>
    </w:p>
    <w:p w14:paraId="60A0F19F">
      <w:pPr>
        <w:spacing w:line="300" w:lineRule="exact"/>
        <w:ind w:left="0" w:leftChars="0" w:firstLine="480" w:firstLineChars="200"/>
        <w:jc w:val="left"/>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rPr>
        <w:t>（3）更换零气过滤器</w:t>
      </w:r>
      <w:r>
        <w:rPr>
          <w:rFonts w:hint="default" w:ascii="Times New Roman" w:hAnsi="Times New Roman" w:eastAsia="仿宋" w:cs="Times New Roman"/>
          <w:color w:val="auto"/>
          <w:sz w:val="24"/>
          <w:highlight w:val="none"/>
          <w:lang w:eastAsia="zh-CN"/>
        </w:rPr>
        <w:t>。</w:t>
      </w:r>
    </w:p>
    <w:p w14:paraId="23AFCDED">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4.12 PANs（过氧酰基硝酸酯类）在线监测仪</w:t>
      </w:r>
    </w:p>
    <w:p w14:paraId="2E810B3E">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4.12.1每日工作</w:t>
      </w:r>
    </w:p>
    <w:p w14:paraId="765566E2">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 xml:space="preserve">每天检查仪器是否工作正常和自动积分是否正常。 </w:t>
      </w:r>
    </w:p>
    <w:p w14:paraId="74D27A16">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4.12.2每周工作</w:t>
      </w:r>
    </w:p>
    <w:p w14:paraId="1F536E60">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(1)每周更换采样过滤器膜片；</w:t>
      </w:r>
    </w:p>
    <w:p w14:paraId="5D613C0C">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(2)每周做一次单点标定和保留时间的修正；</w:t>
      </w:r>
    </w:p>
    <w:p w14:paraId="755C320E">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(3)检查气瓶压力。</w:t>
      </w:r>
    </w:p>
    <w:p w14:paraId="095898F5">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4.12.3每月：</w:t>
      </w:r>
    </w:p>
    <w:p w14:paraId="4DC6A930">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(1)更换硅胶管变色。</w:t>
      </w:r>
    </w:p>
    <w:p w14:paraId="56A34A44">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4.12.4每半年：</w:t>
      </w:r>
    </w:p>
    <w:p w14:paraId="3077B9F5">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氧化剂和活性炭每半年更换一次；</w:t>
      </w:r>
    </w:p>
    <w:p w14:paraId="00ADD636">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CuSO</w:t>
      </w:r>
      <w:r>
        <w:rPr>
          <w:rFonts w:hint="default" w:ascii="Times New Roman" w:hAnsi="Times New Roman" w:eastAsia="仿宋" w:cs="Times New Roman"/>
          <w:color w:val="auto"/>
          <w:sz w:val="24"/>
          <w:szCs w:val="22"/>
          <w:highlight w:val="none"/>
          <w:vertAlign w:val="subscript"/>
        </w:rPr>
        <w:t>4</w:t>
      </w:r>
      <w:r>
        <w:rPr>
          <w:rFonts w:hint="default" w:ascii="Times New Roman" w:hAnsi="Times New Roman" w:eastAsia="仿宋" w:cs="Times New Roman"/>
          <w:color w:val="auto"/>
          <w:sz w:val="24"/>
          <w:szCs w:val="22"/>
          <w:highlight w:val="none"/>
        </w:rPr>
        <w:t>•5H</w:t>
      </w:r>
      <w:r>
        <w:rPr>
          <w:rFonts w:hint="default" w:ascii="Times New Roman" w:hAnsi="Times New Roman" w:eastAsia="仿宋" w:cs="Times New Roman"/>
          <w:color w:val="auto"/>
          <w:sz w:val="24"/>
          <w:szCs w:val="22"/>
          <w:highlight w:val="none"/>
          <w:vertAlign w:val="subscript"/>
        </w:rPr>
        <w:t>2</w:t>
      </w:r>
      <w:r>
        <w:rPr>
          <w:rFonts w:hint="default" w:ascii="Times New Roman" w:hAnsi="Times New Roman" w:eastAsia="仿宋" w:cs="Times New Roman"/>
          <w:color w:val="auto"/>
          <w:sz w:val="24"/>
          <w:szCs w:val="22"/>
          <w:highlight w:val="none"/>
        </w:rPr>
        <w:t>O 2/3变色需进行更换 。</w:t>
      </w:r>
    </w:p>
    <w:p w14:paraId="071637DD">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4.13 NOy(总氮氧化物）监测仪</w:t>
      </w:r>
    </w:p>
    <w:p w14:paraId="310D9AA2">
      <w:pPr>
        <w:pStyle w:val="131"/>
        <w:adjustRightInd w:val="0"/>
        <w:snapToGrid w:val="0"/>
        <w:spacing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4.13.1每日工作</w:t>
      </w:r>
    </w:p>
    <w:p w14:paraId="41F91268">
      <w:pPr>
        <w:pStyle w:val="131"/>
        <w:adjustRightInd w:val="0"/>
        <w:snapToGrid w:val="0"/>
        <w:spacing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每天审核在线监测仪的数据，判断仪器数据采集和传输情况，并根据采集软件上数据判断仪器运行情况。</w:t>
      </w:r>
    </w:p>
    <w:p w14:paraId="5A59FE18">
      <w:pPr>
        <w:pStyle w:val="131"/>
        <w:adjustRightInd w:val="0"/>
        <w:snapToGrid w:val="0"/>
        <w:spacing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4.13.2每周工作</w:t>
      </w:r>
    </w:p>
    <w:p w14:paraId="204F4E27">
      <w:pPr>
        <w:pStyle w:val="131"/>
        <w:adjustRightInd w:val="0"/>
        <w:snapToGrid w:val="0"/>
        <w:spacing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每周至少巡视站点设备1次，并做好巡查记录，巡检时需要完成的工作包括：</w:t>
      </w:r>
    </w:p>
    <w:p w14:paraId="165D8AB2">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（1）查看站点设备是否齐备，无丢失和损坏；检查仪器接地线路是否可靠；</w:t>
      </w:r>
    </w:p>
    <w:p w14:paraId="7FF63BFA">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（2）检查采样管路是否有漏气或堵塞现象；</w:t>
      </w:r>
    </w:p>
    <w:p w14:paraId="6C345EBD">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（3）检查电路系统和通讯系统，保证系统供电正常，电压稳定；</w:t>
      </w:r>
    </w:p>
    <w:p w14:paraId="75ECF3FE">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（4）检查通讯系统的连接正常，数据传输正常；</w:t>
      </w:r>
    </w:p>
    <w:p w14:paraId="0AB0F5A3">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（5）检查仪器参数是否正常，并做好记录；</w:t>
      </w:r>
    </w:p>
    <w:p w14:paraId="620AE40F">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（6）每周对气态分析仪的颗粒物过滤膜进行更换；</w:t>
      </w:r>
    </w:p>
    <w:p w14:paraId="45630406">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（7）每周用有证一级标气对气态污染物零点跨度进行检查。</w:t>
      </w:r>
    </w:p>
    <w:p w14:paraId="42CB7432">
      <w:pPr>
        <w:pStyle w:val="131"/>
        <w:adjustRightInd w:val="0"/>
        <w:snapToGrid w:val="0"/>
        <w:spacing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4.13.3每月工作</w:t>
      </w:r>
    </w:p>
    <w:p w14:paraId="16888A8E">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(1)对仪器显示数据和数据采集仪之间的一致性进行检查；</w:t>
      </w:r>
    </w:p>
    <w:p w14:paraId="1545ABB4">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(2)每月清洗制冷系统进行清洗；</w:t>
      </w:r>
    </w:p>
    <w:p w14:paraId="1FD036C6">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(3)分析仪流量检查；</w:t>
      </w:r>
    </w:p>
    <w:p w14:paraId="19B5A2D6">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(4)动态校准仪的MFC单点流量检查。</w:t>
      </w:r>
    </w:p>
    <w:p w14:paraId="3FF2F520">
      <w:pPr>
        <w:pStyle w:val="131"/>
        <w:adjustRightInd w:val="0"/>
        <w:snapToGrid w:val="0"/>
        <w:spacing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4.13.4每季度工作</w:t>
      </w:r>
    </w:p>
    <w:p w14:paraId="522774D9">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(1)清洁采样总管，采样支管，采样风机；</w:t>
      </w:r>
    </w:p>
    <w:p w14:paraId="346C1EF4">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lang w:eastAsia="zh-CN"/>
        </w:rPr>
      </w:pPr>
      <w:r>
        <w:rPr>
          <w:rFonts w:hint="default" w:ascii="Times New Roman" w:hAnsi="Times New Roman" w:eastAsia="仿宋" w:cs="Times New Roman"/>
          <w:color w:val="auto"/>
          <w:sz w:val="24"/>
          <w:szCs w:val="22"/>
          <w:highlight w:val="none"/>
        </w:rPr>
        <w:t>(2)气态分析仪多点检查/校准（包括低浓度点线性检查）</w:t>
      </w:r>
      <w:r>
        <w:rPr>
          <w:rFonts w:hint="default" w:ascii="Times New Roman" w:hAnsi="Times New Roman" w:eastAsia="仿宋" w:cs="Times New Roman"/>
          <w:color w:val="auto"/>
          <w:sz w:val="24"/>
          <w:szCs w:val="22"/>
          <w:highlight w:val="none"/>
          <w:lang w:eastAsia="zh-CN"/>
        </w:rPr>
        <w:t>；</w:t>
      </w:r>
    </w:p>
    <w:p w14:paraId="36C798D6">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(3)气态分析仪精密度检查；</w:t>
      </w:r>
    </w:p>
    <w:p w14:paraId="10FA263B">
      <w:pPr>
        <w:pStyle w:val="131"/>
        <w:adjustRightInd w:val="0"/>
        <w:snapToGrid w:val="0"/>
        <w:spacing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4.13.5每半年工作</w:t>
      </w:r>
    </w:p>
    <w:p w14:paraId="6DF3DC0D">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(1)动态校准仪MFC流量线性检查校准；</w:t>
      </w:r>
    </w:p>
    <w:p w14:paraId="30711FEC">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(2)催化炉转化率检查；</w:t>
      </w:r>
    </w:p>
    <w:p w14:paraId="73073DC9">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(3)零气纯度检查。</w:t>
      </w:r>
    </w:p>
    <w:p w14:paraId="052FD77E">
      <w:pPr>
        <w:pStyle w:val="131"/>
        <w:adjustRightInd w:val="0"/>
        <w:snapToGrid w:val="0"/>
        <w:spacing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4.13.6每年工作</w:t>
      </w:r>
    </w:p>
    <w:p w14:paraId="2825853F">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(1)气态分析仪准确度检查；</w:t>
      </w:r>
    </w:p>
    <w:p w14:paraId="4C6AE69F">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(2)分析仪预防性检修；</w:t>
      </w:r>
    </w:p>
    <w:p w14:paraId="416733C2">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(3)流量传感器、温度传感器、气压传感器等设备溯源到经过计量的标准设备。</w:t>
      </w:r>
    </w:p>
    <w:p w14:paraId="3D64950F">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4.14 HONO（气态亚硝酸）分析仪</w:t>
      </w:r>
    </w:p>
    <w:p w14:paraId="4708D6C3">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4.14.1 每日工作</w:t>
      </w:r>
    </w:p>
    <w:p w14:paraId="7F2D1B95">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lang w:eastAsia="zh-CN"/>
        </w:rPr>
      </w:pPr>
      <w:r>
        <w:rPr>
          <w:rFonts w:hint="default" w:ascii="Times New Roman" w:hAnsi="Times New Roman" w:eastAsia="仿宋" w:cs="Times New Roman"/>
          <w:color w:val="auto"/>
          <w:sz w:val="24"/>
          <w:szCs w:val="22"/>
          <w:highlight w:val="none"/>
        </w:rPr>
        <w:t>(1)早晚各1次对设备进行巡检，检查设备的运行状态和工作模式是否正常</w:t>
      </w:r>
      <w:r>
        <w:rPr>
          <w:rFonts w:hint="default" w:ascii="Times New Roman" w:hAnsi="Times New Roman" w:eastAsia="仿宋" w:cs="Times New Roman"/>
          <w:color w:val="auto"/>
          <w:sz w:val="24"/>
          <w:szCs w:val="22"/>
          <w:highlight w:val="none"/>
          <w:lang w:eastAsia="zh-CN"/>
        </w:rPr>
        <w:t>；</w:t>
      </w:r>
    </w:p>
    <w:p w14:paraId="76FD38C0">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lang w:eastAsia="zh-CN"/>
        </w:rPr>
      </w:pPr>
      <w:r>
        <w:rPr>
          <w:rFonts w:hint="default" w:ascii="Times New Roman" w:hAnsi="Times New Roman" w:eastAsia="仿宋" w:cs="Times New Roman"/>
          <w:color w:val="auto"/>
          <w:sz w:val="24"/>
          <w:szCs w:val="22"/>
          <w:highlight w:val="none"/>
        </w:rPr>
        <w:t>(2)检查两路分析系统采样流量是否正常、检测室温度和反应室温度是否正常</w:t>
      </w:r>
      <w:r>
        <w:rPr>
          <w:rFonts w:hint="default" w:ascii="Times New Roman" w:hAnsi="Times New Roman" w:eastAsia="仿宋" w:cs="Times New Roman"/>
          <w:color w:val="auto"/>
          <w:sz w:val="24"/>
          <w:szCs w:val="22"/>
          <w:highlight w:val="none"/>
          <w:lang w:eastAsia="zh-CN"/>
        </w:rPr>
        <w:t>；</w:t>
      </w:r>
    </w:p>
    <w:p w14:paraId="7415D052">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lang w:eastAsia="zh-CN"/>
        </w:rPr>
      </w:pPr>
      <w:r>
        <w:rPr>
          <w:rFonts w:hint="default" w:ascii="Times New Roman" w:hAnsi="Times New Roman" w:eastAsia="仿宋" w:cs="Times New Roman"/>
          <w:color w:val="auto"/>
          <w:sz w:val="24"/>
          <w:szCs w:val="22"/>
          <w:highlight w:val="none"/>
        </w:rPr>
        <w:t>(3)检查R1和R2试剂是否充足、管路是否通畅，试剂不足需及时配液并充分冷藏，以备使用</w:t>
      </w:r>
      <w:r>
        <w:rPr>
          <w:rFonts w:hint="default" w:ascii="Times New Roman" w:hAnsi="Times New Roman" w:eastAsia="仿宋" w:cs="Times New Roman"/>
          <w:color w:val="auto"/>
          <w:sz w:val="24"/>
          <w:szCs w:val="22"/>
          <w:highlight w:val="none"/>
          <w:lang w:eastAsia="zh-CN"/>
        </w:rPr>
        <w:t>；</w:t>
      </w:r>
    </w:p>
    <w:p w14:paraId="5C1D17B5">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lang w:eastAsia="zh-CN"/>
        </w:rPr>
      </w:pPr>
      <w:r>
        <w:rPr>
          <w:rFonts w:hint="default" w:ascii="Times New Roman" w:hAnsi="Times New Roman" w:eastAsia="仿宋" w:cs="Times New Roman"/>
          <w:color w:val="auto"/>
          <w:sz w:val="24"/>
          <w:szCs w:val="22"/>
          <w:highlight w:val="none"/>
        </w:rPr>
        <w:t>(4)检查废液是否需要倾倒、管路是否通畅</w:t>
      </w:r>
      <w:r>
        <w:rPr>
          <w:rFonts w:hint="default" w:ascii="Times New Roman" w:hAnsi="Times New Roman" w:eastAsia="仿宋" w:cs="Times New Roman"/>
          <w:color w:val="auto"/>
          <w:sz w:val="24"/>
          <w:szCs w:val="22"/>
          <w:highlight w:val="none"/>
          <w:lang w:eastAsia="zh-CN"/>
        </w:rPr>
        <w:t>；</w:t>
      </w:r>
    </w:p>
    <w:p w14:paraId="7F1A289D">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lang w:eastAsia="zh-CN"/>
        </w:rPr>
      </w:pPr>
      <w:r>
        <w:rPr>
          <w:rFonts w:hint="default" w:ascii="Times New Roman" w:hAnsi="Times New Roman" w:eastAsia="仿宋" w:cs="Times New Roman"/>
          <w:color w:val="auto"/>
          <w:sz w:val="24"/>
          <w:szCs w:val="22"/>
          <w:highlight w:val="none"/>
        </w:rPr>
        <w:t>(5)检查电压信号是否正常</w:t>
      </w:r>
      <w:r>
        <w:rPr>
          <w:rFonts w:hint="default" w:ascii="Times New Roman" w:hAnsi="Times New Roman" w:eastAsia="仿宋" w:cs="Times New Roman"/>
          <w:color w:val="auto"/>
          <w:sz w:val="24"/>
          <w:szCs w:val="22"/>
          <w:highlight w:val="none"/>
          <w:lang w:eastAsia="zh-CN"/>
        </w:rPr>
        <w:t>；</w:t>
      </w:r>
    </w:p>
    <w:p w14:paraId="392C8E80">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lang w:eastAsia="zh-CN"/>
        </w:rPr>
      </w:pPr>
      <w:r>
        <w:rPr>
          <w:rFonts w:hint="default" w:ascii="Times New Roman" w:hAnsi="Times New Roman" w:eastAsia="仿宋" w:cs="Times New Roman"/>
          <w:color w:val="auto"/>
          <w:sz w:val="24"/>
          <w:szCs w:val="22"/>
          <w:highlight w:val="none"/>
        </w:rPr>
        <w:t>(6)检查仪器是否存在报警情况，若存在，应及时维护，并做好运行维护记录</w:t>
      </w:r>
      <w:r>
        <w:rPr>
          <w:rFonts w:hint="default" w:ascii="Times New Roman" w:hAnsi="Times New Roman" w:eastAsia="仿宋" w:cs="Times New Roman"/>
          <w:color w:val="auto"/>
          <w:sz w:val="24"/>
          <w:szCs w:val="22"/>
          <w:highlight w:val="none"/>
          <w:lang w:eastAsia="zh-CN"/>
        </w:rPr>
        <w:t>；</w:t>
      </w:r>
    </w:p>
    <w:p w14:paraId="5328D539">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lang w:eastAsia="zh-CN"/>
        </w:rPr>
      </w:pPr>
      <w:r>
        <w:rPr>
          <w:rFonts w:hint="default" w:ascii="Times New Roman" w:hAnsi="Times New Roman" w:eastAsia="仿宋" w:cs="Times New Roman"/>
          <w:color w:val="auto"/>
          <w:sz w:val="24"/>
          <w:szCs w:val="22"/>
          <w:highlight w:val="none"/>
        </w:rPr>
        <w:t>(7)检查存放试剂的冰箱运行是否正常</w:t>
      </w:r>
      <w:r>
        <w:rPr>
          <w:rFonts w:hint="default" w:ascii="Times New Roman" w:hAnsi="Times New Roman" w:eastAsia="仿宋" w:cs="Times New Roman"/>
          <w:color w:val="auto"/>
          <w:sz w:val="24"/>
          <w:szCs w:val="22"/>
          <w:highlight w:val="none"/>
          <w:lang w:eastAsia="zh-CN"/>
        </w:rPr>
        <w:t>。</w:t>
      </w:r>
    </w:p>
    <w:p w14:paraId="3A55952F">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4.14.2每旬工作</w:t>
      </w:r>
    </w:p>
    <w:p w14:paraId="0D78C900">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lang w:eastAsia="zh-CN"/>
        </w:rPr>
      </w:pPr>
      <w:r>
        <w:rPr>
          <w:rFonts w:hint="default" w:ascii="Times New Roman" w:hAnsi="Times New Roman" w:eastAsia="仿宋" w:cs="Times New Roman"/>
          <w:color w:val="auto"/>
          <w:sz w:val="24"/>
          <w:szCs w:val="22"/>
          <w:highlight w:val="none"/>
        </w:rPr>
        <w:t>（1）检查针式过滤头工作状况，每10天更换一次</w:t>
      </w:r>
      <w:r>
        <w:rPr>
          <w:rFonts w:hint="default" w:ascii="Times New Roman" w:hAnsi="Times New Roman" w:eastAsia="仿宋" w:cs="Times New Roman"/>
          <w:color w:val="auto"/>
          <w:sz w:val="24"/>
          <w:szCs w:val="22"/>
          <w:highlight w:val="none"/>
          <w:lang w:eastAsia="zh-CN"/>
        </w:rPr>
        <w:t>；</w:t>
      </w:r>
    </w:p>
    <w:p w14:paraId="4F918580">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（2）检查蠕动泵管磨损情况，每10天移动各泵管的位置。</w:t>
      </w:r>
    </w:p>
    <w:p w14:paraId="30459931">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4.14.3每月工作</w:t>
      </w:r>
    </w:p>
    <w:p w14:paraId="660E357A">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（1）如月内进行过高浓度标定，需使用纯水清洗LWCC光池。</w:t>
      </w:r>
    </w:p>
    <w:p w14:paraId="76504903">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4.15总辐射/紫外辐射UV-A/UV-B监测仪</w:t>
      </w:r>
    </w:p>
    <w:p w14:paraId="4AE1E8DF">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4.15.1每日工作</w:t>
      </w:r>
    </w:p>
    <w:p w14:paraId="1747E50A">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清洁圆顶，确保圆顶上没有留下污迹或沉积物。</w:t>
      </w:r>
    </w:p>
    <w:p w14:paraId="77EF6B3D">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4.15.2每月工作</w:t>
      </w:r>
    </w:p>
    <w:p w14:paraId="49D0A153">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(1)检查辐射计水平状态；</w:t>
      </w:r>
    </w:p>
    <w:p w14:paraId="136F6481">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(2)检查遮阳板是否牢固夹住；</w:t>
      </w:r>
    </w:p>
    <w:p w14:paraId="2E899229">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(3)检查穹顶是否干燥清洁。</w:t>
      </w:r>
    </w:p>
    <w:p w14:paraId="088DB18B">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4.15.3每年工作</w:t>
      </w:r>
    </w:p>
    <w:p w14:paraId="4E25DCE8">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(1)检查所有电气连接</w:t>
      </w:r>
      <w:r>
        <w:rPr>
          <w:rFonts w:hint="default" w:ascii="Times New Roman" w:hAnsi="Times New Roman" w:eastAsia="仿宋" w:cs="Times New Roman"/>
          <w:color w:val="auto"/>
          <w:sz w:val="24"/>
          <w:szCs w:val="22"/>
          <w:highlight w:val="none"/>
          <w:lang w:eastAsia="zh-CN"/>
        </w:rPr>
        <w:t>，</w:t>
      </w:r>
      <w:r>
        <w:rPr>
          <w:rFonts w:hint="default" w:ascii="Times New Roman" w:hAnsi="Times New Roman" w:eastAsia="仿宋" w:cs="Times New Roman"/>
          <w:color w:val="auto"/>
          <w:sz w:val="24"/>
          <w:szCs w:val="22"/>
          <w:highlight w:val="none"/>
        </w:rPr>
        <w:t>拧下插头，必要时清洁，然后重新连接；</w:t>
      </w:r>
    </w:p>
    <w:p w14:paraId="435AE475">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(2)检查电缆是否因意外或啮齿动物造成损坏；</w:t>
      </w:r>
    </w:p>
    <w:p w14:paraId="1F280CF8">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(3)检查仪器安装件和任何基座支架是否牢固。</w:t>
      </w:r>
    </w:p>
    <w:p w14:paraId="7AA9F66E">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4.16光解速率分析仪</w:t>
      </w:r>
    </w:p>
    <w:p w14:paraId="1DE3CDA8">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4.16.1每月工作</w:t>
      </w:r>
    </w:p>
    <w:p w14:paraId="2B74A08D">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(1)检查接收镜水平状态；</w:t>
      </w:r>
    </w:p>
    <w:p w14:paraId="60D0289C">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(2)检查安装架是否牢固夹住；</w:t>
      </w:r>
    </w:p>
    <w:p w14:paraId="3C48D4C8">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(3)清洗石英圆顶；</w:t>
      </w:r>
    </w:p>
    <w:p w14:paraId="0221EEA0">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(4)检查干燥硅胶是否变色。</w:t>
      </w:r>
    </w:p>
    <w:p w14:paraId="5375E4F1">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4.16.2每年工作</w:t>
      </w:r>
    </w:p>
    <w:p w14:paraId="0CF84080">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(1)检查所有电气连接</w:t>
      </w:r>
      <w:r>
        <w:rPr>
          <w:rFonts w:hint="default" w:ascii="Times New Roman" w:hAnsi="Times New Roman" w:eastAsia="仿宋" w:cs="Times New Roman"/>
          <w:color w:val="auto"/>
          <w:sz w:val="24"/>
          <w:szCs w:val="22"/>
          <w:highlight w:val="none"/>
          <w:lang w:eastAsia="zh-CN"/>
        </w:rPr>
        <w:t>，</w:t>
      </w:r>
      <w:r>
        <w:rPr>
          <w:rFonts w:hint="default" w:ascii="Times New Roman" w:hAnsi="Times New Roman" w:eastAsia="仿宋" w:cs="Times New Roman"/>
          <w:color w:val="auto"/>
          <w:sz w:val="24"/>
          <w:szCs w:val="22"/>
          <w:highlight w:val="none"/>
        </w:rPr>
        <w:t>拧下插头，必要时清洁，然后重新连接；</w:t>
      </w:r>
    </w:p>
    <w:p w14:paraId="4B100CC6">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(2)检查电缆是否因意外或啮齿动物造成损坏。</w:t>
      </w:r>
    </w:p>
    <w:p w14:paraId="39D63B10">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4.17高精度CO</w:t>
      </w:r>
      <w:r>
        <w:rPr>
          <w:rFonts w:hint="default" w:ascii="Times New Roman" w:hAnsi="Times New Roman" w:eastAsia="仿宋" w:cs="Times New Roman"/>
          <w:color w:val="auto"/>
          <w:sz w:val="24"/>
          <w:szCs w:val="22"/>
          <w:highlight w:val="none"/>
          <w:vertAlign w:val="subscript"/>
        </w:rPr>
        <w:t>2</w:t>
      </w:r>
      <w:r>
        <w:rPr>
          <w:rFonts w:hint="default" w:ascii="Times New Roman" w:hAnsi="Times New Roman" w:eastAsia="仿宋" w:cs="Times New Roman"/>
          <w:color w:val="auto"/>
          <w:sz w:val="24"/>
          <w:szCs w:val="22"/>
          <w:highlight w:val="none"/>
        </w:rPr>
        <w:t>、CH</w:t>
      </w:r>
      <w:r>
        <w:rPr>
          <w:rFonts w:hint="default" w:ascii="Times New Roman" w:hAnsi="Times New Roman" w:eastAsia="仿宋" w:cs="Times New Roman"/>
          <w:color w:val="auto"/>
          <w:sz w:val="24"/>
          <w:szCs w:val="22"/>
          <w:highlight w:val="none"/>
          <w:vertAlign w:val="subscript"/>
        </w:rPr>
        <w:t>4</w:t>
      </w:r>
      <w:r>
        <w:rPr>
          <w:rFonts w:hint="default" w:ascii="Times New Roman" w:hAnsi="Times New Roman" w:eastAsia="仿宋" w:cs="Times New Roman"/>
          <w:color w:val="auto"/>
          <w:sz w:val="24"/>
          <w:szCs w:val="22"/>
          <w:highlight w:val="none"/>
        </w:rPr>
        <w:t>分析仪</w:t>
      </w:r>
    </w:p>
    <w:p w14:paraId="3EF1F939">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4.17.1 每日工作</w:t>
      </w:r>
    </w:p>
    <w:p w14:paraId="0AB8B3B8">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(1)检查标气高中低三个浓度点是否合格；</w:t>
      </w:r>
    </w:p>
    <w:p w14:paraId="7BF43037">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(2)检查采样流量是否正常</w:t>
      </w:r>
      <w:r>
        <w:rPr>
          <w:rFonts w:hint="default" w:ascii="Times New Roman" w:hAnsi="Times New Roman" w:eastAsia="仿宋" w:cs="Times New Roman"/>
          <w:i/>
          <w:iCs/>
          <w:color w:val="auto"/>
          <w:sz w:val="24"/>
          <w:szCs w:val="22"/>
          <w:highlight w:val="none"/>
        </w:rPr>
        <w:t>、</w:t>
      </w:r>
      <w:r>
        <w:rPr>
          <w:rFonts w:hint="default" w:ascii="Times New Roman" w:hAnsi="Times New Roman" w:eastAsia="仿宋" w:cs="Times New Roman"/>
          <w:color w:val="auto"/>
          <w:sz w:val="24"/>
          <w:szCs w:val="22"/>
          <w:highlight w:val="none"/>
        </w:rPr>
        <w:t>样气湿度和光室温度是否正常；</w:t>
      </w:r>
    </w:p>
    <w:p w14:paraId="69BFD87D">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(3)检查前处理部分是否有冷凝水；</w:t>
      </w:r>
    </w:p>
    <w:p w14:paraId="42E557E6">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(4)检查仪器是否存在报警情况，若存在，应及时维护，并做好运行维护记录。</w:t>
      </w:r>
    </w:p>
    <w:p w14:paraId="50B42CFD">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4.17.2每月工作</w:t>
      </w:r>
    </w:p>
    <w:p w14:paraId="66C99F4B">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（1）更换精细颗粒物过滤器；</w:t>
      </w:r>
    </w:p>
    <w:p w14:paraId="4BD0DE7D">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（2）检查真空泵运转情况；</w:t>
      </w:r>
    </w:p>
    <w:p w14:paraId="0D3D1A2E">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（3）更换前处理吸附剂。</w:t>
      </w:r>
    </w:p>
    <w:p w14:paraId="008D754C">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4.17.3每年工作</w:t>
      </w:r>
    </w:p>
    <w:p w14:paraId="170D20CE">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（1）前处理管路整体清洗，更换吸附剂；</w:t>
      </w:r>
    </w:p>
    <w:p w14:paraId="05AAB7A2">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（2）更换真空泵泵膜，更换仪器内部第二级精密过滤器。</w:t>
      </w:r>
    </w:p>
    <w:p w14:paraId="3AC0BDBA">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4.18高精度CO、N</w:t>
      </w:r>
      <w:r>
        <w:rPr>
          <w:rFonts w:hint="default" w:ascii="Times New Roman" w:hAnsi="Times New Roman" w:eastAsia="仿宋" w:cs="Times New Roman"/>
          <w:color w:val="auto"/>
          <w:sz w:val="24"/>
          <w:szCs w:val="22"/>
          <w:highlight w:val="none"/>
          <w:vertAlign w:val="subscript"/>
        </w:rPr>
        <w:t>2</w:t>
      </w:r>
      <w:r>
        <w:rPr>
          <w:rFonts w:hint="default" w:ascii="Times New Roman" w:hAnsi="Times New Roman" w:eastAsia="仿宋" w:cs="Times New Roman"/>
          <w:color w:val="auto"/>
          <w:sz w:val="24"/>
          <w:szCs w:val="22"/>
          <w:highlight w:val="none"/>
        </w:rPr>
        <w:t>O分析仪</w:t>
      </w:r>
    </w:p>
    <w:p w14:paraId="64363441">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4.18.1 每日工作</w:t>
      </w:r>
    </w:p>
    <w:p w14:paraId="667DC8B7">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(1)检查标气高中低三个浓度点是否合格；</w:t>
      </w:r>
    </w:p>
    <w:p w14:paraId="4AB25789">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(2)检查采样流量是否正常、样气湿度和光室温度是否正常；</w:t>
      </w:r>
    </w:p>
    <w:p w14:paraId="0B66B035">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(3)检查前处理部分是否有冷凝水；</w:t>
      </w:r>
    </w:p>
    <w:p w14:paraId="4A29587C">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(4)检查仪器是否存在报警情况，若存在，应及时维护，并做好运行维护记录。</w:t>
      </w:r>
    </w:p>
    <w:p w14:paraId="23F2B88C">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4.18.2每月工作</w:t>
      </w:r>
    </w:p>
    <w:p w14:paraId="04E67160">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（1）更换精细颗粒物过滤器；</w:t>
      </w:r>
    </w:p>
    <w:p w14:paraId="28DD45C3">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（2）检查真空泵运转情况；</w:t>
      </w:r>
    </w:p>
    <w:p w14:paraId="0EFC0E20">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（3）更换前处理吸附剂。</w:t>
      </w:r>
    </w:p>
    <w:p w14:paraId="6F107795">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4.18.3每年工作</w:t>
      </w:r>
    </w:p>
    <w:p w14:paraId="434A543C">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（1）前处理管路整体清洗，更换吸附剂；</w:t>
      </w:r>
    </w:p>
    <w:p w14:paraId="2AFCB0CF">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（2）更换真空泵泵膜，更换仪器内部第二级精密过滤器</w:t>
      </w:r>
    </w:p>
    <w:p w14:paraId="1F3D7923">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4.19高精度气象参数（风向、风速、温度、湿度、气压、降水量）</w:t>
      </w:r>
    </w:p>
    <w:p w14:paraId="798B4372">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如果仪器上沉积有灰尘，可以用沾有软性清洁剂的布轻轻擦洗（不能使用有溶解性的试剂），避免划破仪器的表面。如果仪器表面堆积有雪或冰，应等其慢慢自然溶化，千万不能使用工具强行除去。</w:t>
      </w:r>
    </w:p>
    <w:p w14:paraId="36EC8CE4">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经常检查，确保仪器不被其他正在运行的设备所干扰，这些设备可能不是完全遵循通用标准，比如变频器、无线电/雷达发射装置、轮船引擎、发电机等。</w:t>
      </w:r>
    </w:p>
    <w:p w14:paraId="6A65871C">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4.20  微波辐射计</w:t>
      </w:r>
    </w:p>
    <w:p w14:paraId="64BC6303">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4.20.1每周工作</w:t>
      </w:r>
    </w:p>
    <w:p w14:paraId="09D1520D">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对红外镜头进行擦拭，对地面气象传感器进行外部清洁，清洗天线罩，清洗炭窗口。</w:t>
      </w:r>
    </w:p>
    <w:p w14:paraId="37C6A5B9">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4.20.2每月工作</w:t>
      </w:r>
    </w:p>
    <w:p w14:paraId="27D72274">
      <w:pPr>
        <w:pStyle w:val="37"/>
        <w:spacing w:after="0" w:line="300" w:lineRule="exact"/>
        <w:ind w:left="0" w:leftChars="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清洗温湿传感器，清洗、更换铝合金过滤网。</w:t>
      </w:r>
    </w:p>
    <w:p w14:paraId="2DD7DEFC">
      <w:pPr>
        <w:pStyle w:val="3"/>
        <w:numPr>
          <w:ilvl w:val="1"/>
          <w:numId w:val="1"/>
        </w:numPr>
        <w:spacing w:before="0" w:after="0" w:line="300" w:lineRule="exact"/>
        <w:ind w:left="-101" w:leftChars="0" w:firstLine="482"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5、数据审核及入库管理要求</w:t>
      </w:r>
    </w:p>
    <w:p w14:paraId="4422DFEE">
      <w:pPr>
        <w:widowControl/>
        <w:spacing w:line="300" w:lineRule="exact"/>
        <w:ind w:left="0" w:leftChars="0"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运维单位负责对实况监测数据和审核后监测数据入库管理。其中数据审核为二级审核，运维人员、新疆维吾尔自治区生态环境监测总站相关负责人手工（或电子）签字后审核数据最终入库。</w:t>
      </w:r>
    </w:p>
    <w:p w14:paraId="383F161A">
      <w:pPr>
        <w:widowControl/>
        <w:spacing w:line="300" w:lineRule="exact"/>
        <w:ind w:left="0" w:leftChars="0" w:firstLine="482" w:firstLineChars="200"/>
        <w:rPr>
          <w:rFonts w:hint="default" w:ascii="Times New Roman" w:hAnsi="Times New Roman" w:eastAsia="仿宋" w:cs="Times New Roman"/>
          <w:b/>
          <w:bCs/>
          <w:color w:val="auto"/>
          <w:sz w:val="24"/>
          <w:highlight w:val="none"/>
        </w:rPr>
      </w:pPr>
      <w:r>
        <w:rPr>
          <w:rFonts w:hint="default" w:ascii="Times New Roman" w:hAnsi="Times New Roman" w:eastAsia="仿宋" w:cs="Times New Roman"/>
          <w:b/>
          <w:bCs/>
          <w:color w:val="auto"/>
          <w:sz w:val="24"/>
          <w:highlight w:val="none"/>
        </w:rPr>
        <w:t>6、工作考核</w:t>
      </w:r>
    </w:p>
    <w:p w14:paraId="0CC010A7">
      <w:pPr>
        <w:widowControl/>
        <w:spacing w:line="300" w:lineRule="exact"/>
        <w:ind w:left="0" w:leftChars="0"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（1）采购人会在</w:t>
      </w:r>
      <w:r>
        <w:rPr>
          <w:rFonts w:hint="default" w:ascii="Times New Roman" w:hAnsi="Times New Roman" w:eastAsia="仿宋" w:cs="Times New Roman"/>
          <w:color w:val="auto"/>
          <w:sz w:val="24"/>
          <w:highlight w:val="none"/>
          <w:lang w:eastAsia="zh-CN"/>
        </w:rPr>
        <w:t>运维期满半年</w:t>
      </w:r>
      <w:r>
        <w:rPr>
          <w:rFonts w:hint="default" w:ascii="Times New Roman" w:hAnsi="Times New Roman" w:eastAsia="仿宋" w:cs="Times New Roman"/>
          <w:color w:val="auto"/>
          <w:sz w:val="24"/>
          <w:highlight w:val="none"/>
          <w:lang w:val="en-US" w:eastAsia="zh-CN"/>
        </w:rPr>
        <w:t>和运维期满后</w:t>
      </w:r>
      <w:r>
        <w:rPr>
          <w:rFonts w:hint="default" w:ascii="Times New Roman" w:hAnsi="Times New Roman" w:eastAsia="仿宋" w:cs="Times New Roman"/>
          <w:color w:val="auto"/>
          <w:sz w:val="24"/>
          <w:highlight w:val="none"/>
        </w:rPr>
        <w:t>对</w:t>
      </w:r>
      <w:r>
        <w:rPr>
          <w:rFonts w:hint="eastAsia" w:ascii="Times New Roman" w:hAnsi="Times New Roman" w:eastAsia="仿宋" w:cs="Times New Roman"/>
          <w:color w:val="auto"/>
          <w:sz w:val="24"/>
          <w:highlight w:val="none"/>
          <w:lang w:eastAsia="zh-CN"/>
        </w:rPr>
        <w:t>大气组分站</w:t>
      </w:r>
      <w:r>
        <w:rPr>
          <w:rFonts w:hint="default" w:ascii="Times New Roman" w:hAnsi="Times New Roman" w:eastAsia="仿宋" w:cs="Times New Roman"/>
          <w:color w:val="auto"/>
          <w:sz w:val="24"/>
          <w:highlight w:val="none"/>
        </w:rPr>
        <w:t>运行情况</w:t>
      </w:r>
      <w:r>
        <w:rPr>
          <w:rFonts w:hint="default" w:ascii="Times New Roman" w:hAnsi="Times New Roman" w:eastAsia="仿宋" w:cs="Times New Roman"/>
          <w:color w:val="auto"/>
          <w:sz w:val="24"/>
          <w:highlight w:val="none"/>
          <w:lang w:val="en-US" w:eastAsia="zh-CN"/>
        </w:rPr>
        <w:t>组织两次</w:t>
      </w:r>
      <w:r>
        <w:rPr>
          <w:rFonts w:hint="default" w:ascii="Times New Roman" w:hAnsi="Times New Roman" w:eastAsia="仿宋" w:cs="Times New Roman"/>
          <w:color w:val="auto"/>
          <w:sz w:val="24"/>
          <w:highlight w:val="none"/>
        </w:rPr>
        <w:t>考核。</w:t>
      </w:r>
    </w:p>
    <w:p w14:paraId="3B1584F9">
      <w:pPr>
        <w:widowControl/>
        <w:spacing w:line="300" w:lineRule="exact"/>
        <w:ind w:left="0" w:leftChars="0"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每次考核前，运维单位需对考核时段内各类监测数据按照招标单位的格式要求进行分类收集和汇总，含各类设备的原始的、审核后的分钟、小时、日数据。并对数据异常及缺失部分进行备注报告解释，接受管理单位的质疑和考核。</w:t>
      </w:r>
    </w:p>
    <w:p w14:paraId="777343A8">
      <w:pPr>
        <w:widowControl/>
        <w:spacing w:line="300" w:lineRule="exact"/>
        <w:ind w:left="0" w:leftChars="0"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（3）每次考核前，运维单位需对考核时段内各类设备的运维、管理、维护、维修、巡视等各项原始记录及表格进行收集和汇总，提交给管理部门，接受管理单位的质疑和考核。</w:t>
      </w:r>
    </w:p>
    <w:p w14:paraId="64D3F5A0">
      <w:pPr>
        <w:widowControl/>
        <w:spacing w:line="3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（4）除按期提交的各类分析报告外，每次考核前，运维单位需对考核期内各类报告进行收集和汇总，接受管理单位的质疑和考核。</w:t>
      </w:r>
    </w:p>
    <w:p w14:paraId="610CA252">
      <w:pPr>
        <w:adjustRightInd w:val="0"/>
        <w:snapToGrid w:val="0"/>
        <w:spacing w:line="400" w:lineRule="exact"/>
        <w:ind w:firstLine="420" w:firstLineChars="20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各类设备有效数据获取率支付标准</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683"/>
        <w:gridCol w:w="3400"/>
        <w:gridCol w:w="2095"/>
      </w:tblGrid>
      <w:tr w14:paraId="16B22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794" w:type="dxa"/>
            <w:noWrap w:val="0"/>
            <w:vAlign w:val="center"/>
          </w:tcPr>
          <w:p w14:paraId="75EAB5C2">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设备类型</w:t>
            </w:r>
          </w:p>
        </w:tc>
        <w:tc>
          <w:tcPr>
            <w:tcW w:w="1683" w:type="dxa"/>
            <w:noWrap w:val="0"/>
            <w:vAlign w:val="center"/>
          </w:tcPr>
          <w:p w14:paraId="72791411">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有效率</w:t>
            </w:r>
          </w:p>
        </w:tc>
        <w:tc>
          <w:tcPr>
            <w:tcW w:w="3400" w:type="dxa"/>
            <w:noWrap w:val="0"/>
            <w:vAlign w:val="center"/>
          </w:tcPr>
          <w:p w14:paraId="7598C193">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有效数据捕获率</w:t>
            </w:r>
          </w:p>
        </w:tc>
        <w:tc>
          <w:tcPr>
            <w:tcW w:w="2095" w:type="dxa"/>
            <w:noWrap w:val="0"/>
            <w:vAlign w:val="center"/>
          </w:tcPr>
          <w:p w14:paraId="1DF96EE5">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特殊情况说明</w:t>
            </w:r>
          </w:p>
        </w:tc>
      </w:tr>
      <w:tr w14:paraId="63E78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794" w:type="dxa"/>
            <w:vMerge w:val="restart"/>
            <w:noWrap w:val="0"/>
            <w:vAlign w:val="center"/>
          </w:tcPr>
          <w:p w14:paraId="70BA45B7">
            <w:pPr>
              <w:keepNext w:val="0"/>
              <w:keepLines w:val="0"/>
              <w:widowControl/>
              <w:suppressLineNumbers w:val="0"/>
              <w:adjustRightInd w:val="0"/>
              <w:snapToGrid w:val="0"/>
              <w:spacing w:before="0" w:beforeAutospacing="0" w:after="0" w:afterAutospacing="0" w:line="400" w:lineRule="exact"/>
              <w:ind w:left="0" w:right="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NOx、SO</w:t>
            </w:r>
            <w:r>
              <w:rPr>
                <w:rFonts w:hint="default" w:ascii="Times New Roman" w:hAnsi="Times New Roman" w:cs="Times New Roman"/>
                <w:color w:val="auto"/>
                <w:szCs w:val="21"/>
                <w:highlight w:val="none"/>
                <w:vertAlign w:val="subscript"/>
              </w:rPr>
              <w:t>2</w:t>
            </w:r>
            <w:r>
              <w:rPr>
                <w:rFonts w:hint="default" w:ascii="Times New Roman" w:hAnsi="Times New Roman" w:cs="Times New Roman"/>
                <w:color w:val="auto"/>
                <w:szCs w:val="21"/>
                <w:highlight w:val="none"/>
              </w:rPr>
              <w:t>、CO、O</w:t>
            </w:r>
            <w:r>
              <w:rPr>
                <w:rFonts w:hint="default" w:ascii="Times New Roman" w:hAnsi="Times New Roman" w:cs="Times New Roman"/>
                <w:color w:val="auto"/>
                <w:szCs w:val="21"/>
                <w:highlight w:val="none"/>
                <w:vertAlign w:val="subscript"/>
              </w:rPr>
              <w:t>3</w:t>
            </w:r>
            <w:r>
              <w:rPr>
                <w:rFonts w:hint="default" w:ascii="Times New Roman" w:hAnsi="Times New Roman" w:cs="Times New Roman"/>
                <w:color w:val="auto"/>
                <w:szCs w:val="21"/>
                <w:highlight w:val="none"/>
              </w:rPr>
              <w:t>、PM</w:t>
            </w:r>
            <w:r>
              <w:rPr>
                <w:rFonts w:hint="default" w:ascii="Times New Roman" w:hAnsi="Times New Roman" w:cs="Times New Roman"/>
                <w:color w:val="auto"/>
                <w:szCs w:val="21"/>
                <w:highlight w:val="none"/>
                <w:vertAlign w:val="subscript"/>
              </w:rPr>
              <w:t>2.5</w:t>
            </w:r>
            <w:r>
              <w:rPr>
                <w:rFonts w:hint="default" w:ascii="Times New Roman" w:hAnsi="Times New Roman" w:cs="Times New Roman"/>
                <w:color w:val="auto"/>
                <w:szCs w:val="21"/>
                <w:highlight w:val="none"/>
              </w:rPr>
              <w:t>、PM</w:t>
            </w:r>
            <w:r>
              <w:rPr>
                <w:rFonts w:hint="default" w:ascii="Times New Roman" w:hAnsi="Times New Roman" w:cs="Times New Roman"/>
                <w:color w:val="auto"/>
                <w:szCs w:val="21"/>
                <w:highlight w:val="none"/>
                <w:vertAlign w:val="subscript"/>
              </w:rPr>
              <w:t>10</w:t>
            </w:r>
            <w:r>
              <w:rPr>
                <w:rFonts w:hint="default" w:ascii="Times New Roman" w:hAnsi="Times New Roman" w:cs="Times New Roman"/>
                <w:color w:val="auto"/>
                <w:szCs w:val="21"/>
                <w:highlight w:val="none"/>
              </w:rPr>
              <w:t>、PM</w:t>
            </w:r>
            <w:r>
              <w:rPr>
                <w:rFonts w:hint="default" w:ascii="Times New Roman" w:hAnsi="Times New Roman" w:cs="Times New Roman"/>
                <w:color w:val="auto"/>
                <w:szCs w:val="21"/>
                <w:highlight w:val="none"/>
                <w:vertAlign w:val="subscript"/>
              </w:rPr>
              <w:t>1</w:t>
            </w:r>
            <w:r>
              <w:rPr>
                <w:rFonts w:hint="default" w:ascii="Times New Roman" w:hAnsi="Times New Roman" w:cs="Times New Roman"/>
                <w:color w:val="auto"/>
                <w:szCs w:val="21"/>
                <w:highlight w:val="none"/>
              </w:rPr>
              <w:t>、气象五参数、紫外辐射、微波辐射</w:t>
            </w:r>
          </w:p>
        </w:tc>
        <w:tc>
          <w:tcPr>
            <w:tcW w:w="1683" w:type="dxa"/>
            <w:noWrap w:val="0"/>
            <w:vAlign w:val="center"/>
          </w:tcPr>
          <w:p w14:paraId="23E399C9">
            <w:pPr>
              <w:keepNext w:val="0"/>
              <w:keepLines w:val="0"/>
              <w:widowControl/>
              <w:suppressLineNumbers w:val="0"/>
              <w:adjustRightInd w:val="0"/>
              <w:snapToGrid w:val="0"/>
              <w:spacing w:before="0" w:beforeAutospacing="0" w:after="0" w:afterAutospacing="0" w:line="400" w:lineRule="exact"/>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&gt;=90%</w:t>
            </w:r>
          </w:p>
        </w:tc>
        <w:tc>
          <w:tcPr>
            <w:tcW w:w="3400" w:type="dxa"/>
            <w:noWrap w:val="0"/>
            <w:vAlign w:val="center"/>
          </w:tcPr>
          <w:p w14:paraId="0CC8AEFF">
            <w:pPr>
              <w:keepNext w:val="0"/>
              <w:keepLines w:val="0"/>
              <w:widowControl/>
              <w:suppressLineNumbers w:val="0"/>
              <w:adjustRightInd w:val="0"/>
              <w:snapToGrid w:val="0"/>
              <w:spacing w:before="0" w:beforeAutospacing="0" w:after="0" w:afterAutospacing="0" w:line="400" w:lineRule="exact"/>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按比例全额支付</w:t>
            </w:r>
          </w:p>
        </w:tc>
        <w:tc>
          <w:tcPr>
            <w:tcW w:w="2095" w:type="dxa"/>
            <w:vMerge w:val="restart"/>
            <w:noWrap w:val="0"/>
            <w:vAlign w:val="center"/>
          </w:tcPr>
          <w:p w14:paraId="704B627A">
            <w:pPr>
              <w:keepNext w:val="0"/>
              <w:keepLines w:val="0"/>
              <w:widowControl/>
              <w:suppressLineNumbers w:val="0"/>
              <w:adjustRightInd w:val="0"/>
              <w:snapToGrid w:val="0"/>
              <w:spacing w:before="0" w:beforeAutospacing="0" w:after="0" w:afterAutospacing="0" w:line="400" w:lineRule="exact"/>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一个考核期内≥2台设备同时有效数据获取率＜65%，在不予支付本考核期全部相应费用的同时并收罚款年度合同总额10%的罚款。</w:t>
            </w:r>
          </w:p>
        </w:tc>
      </w:tr>
      <w:tr w14:paraId="161A2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794" w:type="dxa"/>
            <w:vMerge w:val="continue"/>
            <w:noWrap w:val="0"/>
            <w:vAlign w:val="center"/>
          </w:tcPr>
          <w:p w14:paraId="6914F165">
            <w:pPr>
              <w:keepNext w:val="0"/>
              <w:keepLines w:val="0"/>
              <w:widowControl/>
              <w:suppressLineNumbers w:val="0"/>
              <w:adjustRightInd w:val="0"/>
              <w:snapToGrid w:val="0"/>
              <w:spacing w:before="0" w:beforeAutospacing="0" w:after="0" w:afterAutospacing="0" w:line="400" w:lineRule="exact"/>
              <w:ind w:left="0" w:right="0"/>
              <w:rPr>
                <w:rFonts w:hint="default" w:ascii="Times New Roman" w:hAnsi="Times New Roman" w:cs="Times New Roman"/>
                <w:color w:val="auto"/>
                <w:szCs w:val="21"/>
                <w:highlight w:val="none"/>
              </w:rPr>
            </w:pPr>
          </w:p>
        </w:tc>
        <w:tc>
          <w:tcPr>
            <w:tcW w:w="1683" w:type="dxa"/>
            <w:noWrap w:val="0"/>
            <w:vAlign w:val="center"/>
          </w:tcPr>
          <w:p w14:paraId="0DD3A9A6">
            <w:pPr>
              <w:keepNext w:val="0"/>
              <w:keepLines w:val="0"/>
              <w:widowControl/>
              <w:suppressLineNumbers w:val="0"/>
              <w:adjustRightInd w:val="0"/>
              <w:snapToGrid w:val="0"/>
              <w:spacing w:before="0" w:beforeAutospacing="0" w:after="0" w:afterAutospacing="0" w:line="400" w:lineRule="exact"/>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&lt;90%且&gt;=85%</w:t>
            </w:r>
          </w:p>
        </w:tc>
        <w:tc>
          <w:tcPr>
            <w:tcW w:w="3400" w:type="dxa"/>
            <w:noWrap w:val="0"/>
            <w:vAlign w:val="center"/>
          </w:tcPr>
          <w:p w14:paraId="167FC7C6">
            <w:pPr>
              <w:keepNext w:val="0"/>
              <w:keepLines w:val="0"/>
              <w:widowControl/>
              <w:suppressLineNumbers w:val="0"/>
              <w:adjustRightInd w:val="0"/>
              <w:snapToGrid w:val="0"/>
              <w:spacing w:before="0" w:beforeAutospacing="0" w:after="0" w:afterAutospacing="0" w:line="400" w:lineRule="exact"/>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按比例扣除相应费用的3%</w:t>
            </w:r>
          </w:p>
        </w:tc>
        <w:tc>
          <w:tcPr>
            <w:tcW w:w="2095" w:type="dxa"/>
            <w:vMerge w:val="continue"/>
            <w:noWrap w:val="0"/>
            <w:vAlign w:val="center"/>
          </w:tcPr>
          <w:p w14:paraId="5BD6A499">
            <w:pPr>
              <w:keepNext w:val="0"/>
              <w:keepLines w:val="0"/>
              <w:widowControl/>
              <w:suppressLineNumbers w:val="0"/>
              <w:adjustRightInd w:val="0"/>
              <w:snapToGrid w:val="0"/>
              <w:spacing w:before="0" w:beforeAutospacing="0" w:after="0" w:afterAutospacing="0" w:line="400" w:lineRule="exact"/>
              <w:ind w:left="0" w:right="0"/>
              <w:jc w:val="left"/>
              <w:rPr>
                <w:rFonts w:hint="default" w:ascii="Times New Roman" w:hAnsi="Times New Roman" w:cs="Times New Roman"/>
                <w:color w:val="auto"/>
                <w:szCs w:val="21"/>
                <w:highlight w:val="none"/>
              </w:rPr>
            </w:pPr>
          </w:p>
        </w:tc>
      </w:tr>
      <w:tr w14:paraId="16BF2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794" w:type="dxa"/>
            <w:vMerge w:val="continue"/>
            <w:noWrap w:val="0"/>
            <w:vAlign w:val="center"/>
          </w:tcPr>
          <w:p w14:paraId="20675096">
            <w:pPr>
              <w:keepNext w:val="0"/>
              <w:keepLines w:val="0"/>
              <w:widowControl/>
              <w:suppressLineNumbers w:val="0"/>
              <w:adjustRightInd w:val="0"/>
              <w:snapToGrid w:val="0"/>
              <w:spacing w:before="0" w:beforeAutospacing="0" w:after="0" w:afterAutospacing="0" w:line="400" w:lineRule="exact"/>
              <w:ind w:left="0" w:right="0"/>
              <w:rPr>
                <w:rFonts w:hint="default" w:ascii="Times New Roman" w:hAnsi="Times New Roman" w:cs="Times New Roman"/>
                <w:color w:val="auto"/>
                <w:szCs w:val="21"/>
                <w:highlight w:val="none"/>
              </w:rPr>
            </w:pPr>
          </w:p>
        </w:tc>
        <w:tc>
          <w:tcPr>
            <w:tcW w:w="1683" w:type="dxa"/>
            <w:noWrap w:val="0"/>
            <w:vAlign w:val="center"/>
          </w:tcPr>
          <w:p w14:paraId="2958E2AF">
            <w:pPr>
              <w:keepNext w:val="0"/>
              <w:keepLines w:val="0"/>
              <w:widowControl/>
              <w:suppressLineNumbers w:val="0"/>
              <w:adjustRightInd w:val="0"/>
              <w:snapToGrid w:val="0"/>
              <w:spacing w:before="0" w:beforeAutospacing="0" w:after="0" w:afterAutospacing="0" w:line="400" w:lineRule="exact"/>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&lt;85%且&gt;=75%</w:t>
            </w:r>
          </w:p>
        </w:tc>
        <w:tc>
          <w:tcPr>
            <w:tcW w:w="3400" w:type="dxa"/>
            <w:noWrap w:val="0"/>
            <w:vAlign w:val="center"/>
          </w:tcPr>
          <w:p w14:paraId="66ACCE09">
            <w:pPr>
              <w:keepNext w:val="0"/>
              <w:keepLines w:val="0"/>
              <w:widowControl/>
              <w:suppressLineNumbers w:val="0"/>
              <w:adjustRightInd w:val="0"/>
              <w:snapToGrid w:val="0"/>
              <w:spacing w:before="0" w:beforeAutospacing="0" w:after="0" w:afterAutospacing="0" w:line="400" w:lineRule="exact"/>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按比例扣除相应费用的10%</w:t>
            </w:r>
          </w:p>
        </w:tc>
        <w:tc>
          <w:tcPr>
            <w:tcW w:w="2095" w:type="dxa"/>
            <w:vMerge w:val="continue"/>
            <w:noWrap w:val="0"/>
            <w:vAlign w:val="center"/>
          </w:tcPr>
          <w:p w14:paraId="5ADD3FE4">
            <w:pPr>
              <w:keepNext w:val="0"/>
              <w:keepLines w:val="0"/>
              <w:widowControl/>
              <w:suppressLineNumbers w:val="0"/>
              <w:adjustRightInd w:val="0"/>
              <w:snapToGrid w:val="0"/>
              <w:spacing w:before="0" w:beforeAutospacing="0" w:after="0" w:afterAutospacing="0" w:line="400" w:lineRule="exact"/>
              <w:ind w:left="0" w:right="0"/>
              <w:jc w:val="left"/>
              <w:rPr>
                <w:rFonts w:hint="default" w:ascii="Times New Roman" w:hAnsi="Times New Roman" w:cs="Times New Roman"/>
                <w:color w:val="auto"/>
                <w:szCs w:val="21"/>
                <w:highlight w:val="none"/>
              </w:rPr>
            </w:pPr>
          </w:p>
        </w:tc>
      </w:tr>
      <w:tr w14:paraId="016E1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94" w:type="dxa"/>
            <w:vMerge w:val="continue"/>
            <w:noWrap w:val="0"/>
            <w:vAlign w:val="center"/>
          </w:tcPr>
          <w:p w14:paraId="63A0F808">
            <w:pPr>
              <w:keepNext w:val="0"/>
              <w:keepLines w:val="0"/>
              <w:widowControl/>
              <w:suppressLineNumbers w:val="0"/>
              <w:adjustRightInd w:val="0"/>
              <w:snapToGrid w:val="0"/>
              <w:spacing w:before="0" w:beforeAutospacing="0" w:after="0" w:afterAutospacing="0" w:line="400" w:lineRule="exact"/>
              <w:ind w:left="0" w:right="0"/>
              <w:rPr>
                <w:rFonts w:hint="default" w:ascii="Times New Roman" w:hAnsi="Times New Roman" w:cs="Times New Roman"/>
                <w:color w:val="auto"/>
                <w:szCs w:val="21"/>
                <w:highlight w:val="none"/>
              </w:rPr>
            </w:pPr>
          </w:p>
        </w:tc>
        <w:tc>
          <w:tcPr>
            <w:tcW w:w="1683" w:type="dxa"/>
            <w:noWrap w:val="0"/>
            <w:vAlign w:val="center"/>
          </w:tcPr>
          <w:p w14:paraId="72B25782">
            <w:pPr>
              <w:keepNext w:val="0"/>
              <w:keepLines w:val="0"/>
              <w:widowControl/>
              <w:suppressLineNumbers w:val="0"/>
              <w:adjustRightInd w:val="0"/>
              <w:snapToGrid w:val="0"/>
              <w:spacing w:before="0" w:beforeAutospacing="0" w:after="0" w:afterAutospacing="0" w:line="400" w:lineRule="exact"/>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&lt;75%且&gt;=65%</w:t>
            </w:r>
          </w:p>
        </w:tc>
        <w:tc>
          <w:tcPr>
            <w:tcW w:w="3400" w:type="dxa"/>
            <w:noWrap w:val="0"/>
            <w:vAlign w:val="center"/>
          </w:tcPr>
          <w:p w14:paraId="2B99C95B">
            <w:pPr>
              <w:keepNext w:val="0"/>
              <w:keepLines w:val="0"/>
              <w:widowControl/>
              <w:suppressLineNumbers w:val="0"/>
              <w:adjustRightInd w:val="0"/>
              <w:snapToGrid w:val="0"/>
              <w:spacing w:before="0" w:beforeAutospacing="0" w:after="0" w:afterAutospacing="0" w:line="400" w:lineRule="exact"/>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按比例扣除相应费用的20%</w:t>
            </w:r>
          </w:p>
        </w:tc>
        <w:tc>
          <w:tcPr>
            <w:tcW w:w="2095" w:type="dxa"/>
            <w:vMerge w:val="continue"/>
            <w:noWrap w:val="0"/>
            <w:vAlign w:val="center"/>
          </w:tcPr>
          <w:p w14:paraId="3B41CCB7">
            <w:pPr>
              <w:keepNext w:val="0"/>
              <w:keepLines w:val="0"/>
              <w:widowControl/>
              <w:suppressLineNumbers w:val="0"/>
              <w:adjustRightInd w:val="0"/>
              <w:snapToGrid w:val="0"/>
              <w:spacing w:before="0" w:beforeAutospacing="0" w:after="0" w:afterAutospacing="0" w:line="400" w:lineRule="exact"/>
              <w:ind w:left="0" w:right="0"/>
              <w:jc w:val="left"/>
              <w:rPr>
                <w:rFonts w:hint="default" w:ascii="Times New Roman" w:hAnsi="Times New Roman" w:cs="Times New Roman"/>
                <w:color w:val="auto"/>
                <w:szCs w:val="21"/>
                <w:highlight w:val="none"/>
              </w:rPr>
            </w:pPr>
          </w:p>
        </w:tc>
      </w:tr>
      <w:tr w14:paraId="068D0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794" w:type="dxa"/>
            <w:vMerge w:val="continue"/>
            <w:noWrap w:val="0"/>
            <w:vAlign w:val="center"/>
          </w:tcPr>
          <w:p w14:paraId="17C426D8">
            <w:pPr>
              <w:keepNext w:val="0"/>
              <w:keepLines w:val="0"/>
              <w:widowControl/>
              <w:suppressLineNumbers w:val="0"/>
              <w:adjustRightInd w:val="0"/>
              <w:snapToGrid w:val="0"/>
              <w:spacing w:before="0" w:beforeAutospacing="0" w:after="0" w:afterAutospacing="0" w:line="400" w:lineRule="exact"/>
              <w:ind w:left="0" w:right="0"/>
              <w:rPr>
                <w:rFonts w:hint="default" w:ascii="Times New Roman" w:hAnsi="Times New Roman" w:cs="Times New Roman"/>
                <w:color w:val="auto"/>
                <w:szCs w:val="21"/>
                <w:highlight w:val="none"/>
              </w:rPr>
            </w:pPr>
          </w:p>
        </w:tc>
        <w:tc>
          <w:tcPr>
            <w:tcW w:w="1683" w:type="dxa"/>
            <w:noWrap w:val="0"/>
            <w:vAlign w:val="center"/>
          </w:tcPr>
          <w:p w14:paraId="67890DB7">
            <w:pPr>
              <w:keepNext w:val="0"/>
              <w:keepLines w:val="0"/>
              <w:widowControl/>
              <w:suppressLineNumbers w:val="0"/>
              <w:adjustRightInd w:val="0"/>
              <w:snapToGrid w:val="0"/>
              <w:spacing w:before="0" w:beforeAutospacing="0" w:after="0" w:afterAutospacing="0" w:line="400" w:lineRule="exact"/>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&lt;65%</w:t>
            </w:r>
          </w:p>
        </w:tc>
        <w:tc>
          <w:tcPr>
            <w:tcW w:w="3400" w:type="dxa"/>
            <w:noWrap w:val="0"/>
            <w:vAlign w:val="center"/>
          </w:tcPr>
          <w:p w14:paraId="4362A502">
            <w:pPr>
              <w:keepNext w:val="0"/>
              <w:keepLines w:val="0"/>
              <w:widowControl/>
              <w:suppressLineNumbers w:val="0"/>
              <w:adjustRightInd w:val="0"/>
              <w:snapToGrid w:val="0"/>
              <w:spacing w:before="0" w:beforeAutospacing="0" w:after="0" w:afterAutospacing="0" w:line="400" w:lineRule="exact"/>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不予支付</w:t>
            </w:r>
          </w:p>
        </w:tc>
        <w:tc>
          <w:tcPr>
            <w:tcW w:w="2095" w:type="dxa"/>
            <w:vMerge w:val="continue"/>
            <w:noWrap w:val="0"/>
            <w:vAlign w:val="center"/>
          </w:tcPr>
          <w:p w14:paraId="71463BE3">
            <w:pPr>
              <w:keepNext w:val="0"/>
              <w:keepLines w:val="0"/>
              <w:widowControl/>
              <w:suppressLineNumbers w:val="0"/>
              <w:adjustRightInd w:val="0"/>
              <w:snapToGrid w:val="0"/>
              <w:spacing w:before="0" w:beforeAutospacing="0" w:after="0" w:afterAutospacing="0" w:line="400" w:lineRule="exact"/>
              <w:ind w:left="0" w:right="0"/>
              <w:rPr>
                <w:rFonts w:hint="default" w:ascii="Times New Roman" w:hAnsi="Times New Roman" w:cs="Times New Roman"/>
                <w:color w:val="auto"/>
                <w:szCs w:val="21"/>
                <w:highlight w:val="none"/>
              </w:rPr>
            </w:pPr>
          </w:p>
        </w:tc>
      </w:tr>
      <w:tr w14:paraId="5098C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794" w:type="dxa"/>
            <w:vMerge w:val="restart"/>
            <w:noWrap w:val="0"/>
            <w:vAlign w:val="center"/>
          </w:tcPr>
          <w:p w14:paraId="3CA90AA0">
            <w:pPr>
              <w:keepNext w:val="0"/>
              <w:keepLines w:val="0"/>
              <w:widowControl/>
              <w:suppressLineNumbers w:val="0"/>
              <w:adjustRightInd w:val="0"/>
              <w:snapToGrid w:val="0"/>
              <w:spacing w:before="0" w:beforeAutospacing="0" w:after="0" w:afterAutospacing="0" w:line="400" w:lineRule="exact"/>
              <w:ind w:left="0" w:right="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离子色谱、重金属、OC/EC在线检测仪、NOx/NH</w:t>
            </w:r>
            <w:r>
              <w:rPr>
                <w:rFonts w:hint="default" w:ascii="Times New Roman" w:hAnsi="Times New Roman" w:cs="Times New Roman"/>
                <w:color w:val="auto"/>
                <w:szCs w:val="21"/>
                <w:highlight w:val="none"/>
                <w:vertAlign w:val="subscript"/>
              </w:rPr>
              <w:t>3</w:t>
            </w:r>
            <w:r>
              <w:rPr>
                <w:rFonts w:hint="default" w:ascii="Times New Roman" w:hAnsi="Times New Roman" w:cs="Times New Roman"/>
                <w:color w:val="auto"/>
                <w:szCs w:val="21"/>
                <w:highlight w:val="none"/>
              </w:rPr>
              <w:t>、VOCs组分、离子色谱、CH</w:t>
            </w:r>
            <w:r>
              <w:rPr>
                <w:rFonts w:hint="default" w:ascii="Times New Roman" w:hAnsi="Times New Roman" w:cs="Times New Roman"/>
                <w:color w:val="auto"/>
                <w:szCs w:val="21"/>
                <w:highlight w:val="none"/>
                <w:vertAlign w:val="subscript"/>
              </w:rPr>
              <w:t>4</w:t>
            </w:r>
            <w:r>
              <w:rPr>
                <w:rFonts w:hint="default" w:ascii="Times New Roman" w:hAnsi="Times New Roman" w:cs="Times New Roman"/>
                <w:color w:val="auto"/>
                <w:szCs w:val="21"/>
                <w:highlight w:val="none"/>
              </w:rPr>
              <w:t>/NMHC、PANs、NOy、HONO、光解速率、高精度CO</w:t>
            </w:r>
            <w:r>
              <w:rPr>
                <w:rFonts w:hint="default" w:ascii="Times New Roman" w:hAnsi="Times New Roman" w:cs="Times New Roman"/>
                <w:color w:val="auto"/>
                <w:szCs w:val="21"/>
                <w:highlight w:val="none"/>
                <w:vertAlign w:val="subscript"/>
              </w:rPr>
              <w:t>2</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C</w:t>
            </w:r>
            <w:r>
              <w:rPr>
                <w:rFonts w:hint="default" w:ascii="Times New Roman" w:hAnsi="Times New Roman" w:cs="Times New Roman"/>
                <w:color w:val="auto"/>
                <w:szCs w:val="21"/>
                <w:highlight w:val="none"/>
              </w:rPr>
              <w:t>H</w:t>
            </w:r>
            <w:r>
              <w:rPr>
                <w:rFonts w:hint="default" w:ascii="Times New Roman" w:hAnsi="Times New Roman" w:cs="Times New Roman"/>
                <w:color w:val="auto"/>
                <w:szCs w:val="21"/>
                <w:highlight w:val="none"/>
                <w:vertAlign w:val="subscript"/>
              </w:rPr>
              <w:t>4</w:t>
            </w:r>
            <w:r>
              <w:rPr>
                <w:rFonts w:hint="default" w:ascii="Times New Roman" w:hAnsi="Times New Roman" w:cs="Times New Roman"/>
                <w:color w:val="auto"/>
                <w:szCs w:val="21"/>
                <w:highlight w:val="none"/>
              </w:rPr>
              <w:t>、高精度CO/N</w:t>
            </w:r>
            <w:r>
              <w:rPr>
                <w:rFonts w:hint="default" w:ascii="Times New Roman" w:hAnsi="Times New Roman" w:cs="Times New Roman"/>
                <w:color w:val="auto"/>
                <w:szCs w:val="21"/>
                <w:highlight w:val="none"/>
                <w:vertAlign w:val="subscript"/>
              </w:rPr>
              <w:t>2</w:t>
            </w:r>
            <w:r>
              <w:rPr>
                <w:rFonts w:hint="default" w:ascii="Times New Roman" w:hAnsi="Times New Roman" w:cs="Times New Roman"/>
                <w:color w:val="auto"/>
                <w:szCs w:val="21"/>
                <w:highlight w:val="none"/>
              </w:rPr>
              <w:t>O、能见度、城市摄影、激光雷达、粒径谱</w:t>
            </w:r>
          </w:p>
        </w:tc>
        <w:tc>
          <w:tcPr>
            <w:tcW w:w="1683" w:type="dxa"/>
            <w:noWrap w:val="0"/>
            <w:vAlign w:val="center"/>
          </w:tcPr>
          <w:p w14:paraId="21B90606">
            <w:pPr>
              <w:keepNext w:val="0"/>
              <w:keepLines w:val="0"/>
              <w:widowControl/>
              <w:suppressLineNumbers w:val="0"/>
              <w:adjustRightInd w:val="0"/>
              <w:snapToGrid w:val="0"/>
              <w:spacing w:before="0" w:beforeAutospacing="0" w:after="0" w:afterAutospacing="0" w:line="400" w:lineRule="exact"/>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&gt;=80%（重污染期间&gt;=</w:t>
            </w:r>
            <w:r>
              <w:rPr>
                <w:rFonts w:hint="eastAsia" w:ascii="Times New Roman" w:hAnsi="Times New Roman" w:cs="Times New Roman"/>
                <w:color w:val="auto"/>
                <w:szCs w:val="21"/>
                <w:highlight w:val="none"/>
                <w:lang w:val="en-US" w:eastAsia="zh-CN"/>
              </w:rPr>
              <w:t>9</w:t>
            </w:r>
            <w:r>
              <w:rPr>
                <w:rFonts w:hint="default" w:ascii="Times New Roman" w:hAnsi="Times New Roman" w:cs="Times New Roman"/>
                <w:color w:val="auto"/>
                <w:szCs w:val="21"/>
                <w:highlight w:val="none"/>
              </w:rPr>
              <w:t>0%）</w:t>
            </w:r>
          </w:p>
        </w:tc>
        <w:tc>
          <w:tcPr>
            <w:tcW w:w="3400" w:type="dxa"/>
            <w:noWrap w:val="0"/>
            <w:vAlign w:val="center"/>
          </w:tcPr>
          <w:p w14:paraId="32C5104A">
            <w:pPr>
              <w:keepNext w:val="0"/>
              <w:keepLines w:val="0"/>
              <w:widowControl/>
              <w:suppressLineNumbers w:val="0"/>
              <w:adjustRightInd w:val="0"/>
              <w:snapToGrid w:val="0"/>
              <w:spacing w:before="0" w:beforeAutospacing="0" w:after="0" w:afterAutospacing="0" w:line="400" w:lineRule="exact"/>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按比例全额支付</w:t>
            </w:r>
          </w:p>
        </w:tc>
        <w:tc>
          <w:tcPr>
            <w:tcW w:w="2095" w:type="dxa"/>
            <w:vMerge w:val="restart"/>
            <w:noWrap w:val="0"/>
            <w:vAlign w:val="center"/>
          </w:tcPr>
          <w:p w14:paraId="04A29A9E">
            <w:pPr>
              <w:keepNext w:val="0"/>
              <w:keepLines w:val="0"/>
              <w:widowControl/>
              <w:suppressLineNumbers w:val="0"/>
              <w:adjustRightInd w:val="0"/>
              <w:snapToGrid w:val="0"/>
              <w:spacing w:before="0" w:beforeAutospacing="0" w:after="0" w:afterAutospacing="0" w:line="400" w:lineRule="exact"/>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一个考核期内≥2台设备同时有效数据获取率＜60%，在不予支付本考核期全部相应费用的同时并收罚款年度合同总额10%的罚款。</w:t>
            </w:r>
          </w:p>
        </w:tc>
      </w:tr>
      <w:tr w14:paraId="1F7A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794" w:type="dxa"/>
            <w:vMerge w:val="continue"/>
            <w:noWrap w:val="0"/>
            <w:vAlign w:val="center"/>
          </w:tcPr>
          <w:p w14:paraId="035327D0">
            <w:pPr>
              <w:keepNext w:val="0"/>
              <w:keepLines w:val="0"/>
              <w:widowControl/>
              <w:suppressLineNumbers w:val="0"/>
              <w:adjustRightInd w:val="0"/>
              <w:snapToGrid w:val="0"/>
              <w:spacing w:before="0" w:beforeAutospacing="0" w:after="0" w:afterAutospacing="0" w:line="400" w:lineRule="exact"/>
              <w:ind w:left="0" w:right="0"/>
              <w:rPr>
                <w:rFonts w:hint="default" w:ascii="Times New Roman" w:hAnsi="Times New Roman" w:cs="Times New Roman"/>
                <w:color w:val="auto"/>
                <w:szCs w:val="21"/>
                <w:highlight w:val="none"/>
              </w:rPr>
            </w:pPr>
          </w:p>
        </w:tc>
        <w:tc>
          <w:tcPr>
            <w:tcW w:w="1683" w:type="dxa"/>
            <w:noWrap w:val="0"/>
            <w:vAlign w:val="center"/>
          </w:tcPr>
          <w:p w14:paraId="395E9BAD">
            <w:pPr>
              <w:keepNext w:val="0"/>
              <w:keepLines w:val="0"/>
              <w:widowControl/>
              <w:suppressLineNumbers w:val="0"/>
              <w:adjustRightInd w:val="0"/>
              <w:snapToGrid w:val="0"/>
              <w:spacing w:before="0" w:beforeAutospacing="0" w:after="0" w:afterAutospacing="0" w:line="400" w:lineRule="exact"/>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&lt;80%且&gt;=70%（重污染期间&lt;90%且&gt;=80%）</w:t>
            </w:r>
          </w:p>
        </w:tc>
        <w:tc>
          <w:tcPr>
            <w:tcW w:w="3400" w:type="dxa"/>
            <w:noWrap w:val="0"/>
            <w:vAlign w:val="center"/>
          </w:tcPr>
          <w:p w14:paraId="1CC1A72C">
            <w:pPr>
              <w:keepNext w:val="0"/>
              <w:keepLines w:val="0"/>
              <w:widowControl/>
              <w:suppressLineNumbers w:val="0"/>
              <w:adjustRightInd w:val="0"/>
              <w:snapToGrid w:val="0"/>
              <w:spacing w:before="0" w:beforeAutospacing="0" w:after="0" w:afterAutospacing="0" w:line="400" w:lineRule="exact"/>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按比例扣除相应费用的5%</w:t>
            </w:r>
          </w:p>
        </w:tc>
        <w:tc>
          <w:tcPr>
            <w:tcW w:w="2095" w:type="dxa"/>
            <w:vMerge w:val="continue"/>
            <w:noWrap w:val="0"/>
            <w:vAlign w:val="center"/>
          </w:tcPr>
          <w:p w14:paraId="57270219">
            <w:pPr>
              <w:keepNext w:val="0"/>
              <w:keepLines w:val="0"/>
              <w:widowControl/>
              <w:suppressLineNumbers w:val="0"/>
              <w:adjustRightInd w:val="0"/>
              <w:snapToGrid w:val="0"/>
              <w:spacing w:before="0" w:beforeAutospacing="0" w:after="0" w:afterAutospacing="0" w:line="400" w:lineRule="exact"/>
              <w:ind w:left="0" w:right="0"/>
              <w:jc w:val="left"/>
              <w:rPr>
                <w:rFonts w:hint="default" w:ascii="Times New Roman" w:hAnsi="Times New Roman" w:cs="Times New Roman"/>
                <w:color w:val="auto"/>
                <w:szCs w:val="21"/>
                <w:highlight w:val="none"/>
              </w:rPr>
            </w:pPr>
          </w:p>
        </w:tc>
      </w:tr>
      <w:tr w14:paraId="6570D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794" w:type="dxa"/>
            <w:vMerge w:val="continue"/>
            <w:noWrap w:val="0"/>
            <w:vAlign w:val="center"/>
          </w:tcPr>
          <w:p w14:paraId="57E98046">
            <w:pPr>
              <w:keepNext w:val="0"/>
              <w:keepLines w:val="0"/>
              <w:widowControl/>
              <w:suppressLineNumbers w:val="0"/>
              <w:adjustRightInd w:val="0"/>
              <w:snapToGrid w:val="0"/>
              <w:spacing w:before="0" w:beforeAutospacing="0" w:after="0" w:afterAutospacing="0" w:line="400" w:lineRule="exact"/>
              <w:ind w:left="0" w:right="0"/>
              <w:rPr>
                <w:rFonts w:hint="default" w:ascii="Times New Roman" w:hAnsi="Times New Roman" w:cs="Times New Roman"/>
                <w:color w:val="auto"/>
                <w:szCs w:val="21"/>
                <w:highlight w:val="none"/>
              </w:rPr>
            </w:pPr>
          </w:p>
        </w:tc>
        <w:tc>
          <w:tcPr>
            <w:tcW w:w="1683" w:type="dxa"/>
            <w:noWrap w:val="0"/>
            <w:vAlign w:val="center"/>
          </w:tcPr>
          <w:p w14:paraId="637D0844">
            <w:pPr>
              <w:keepNext w:val="0"/>
              <w:keepLines w:val="0"/>
              <w:widowControl/>
              <w:suppressLineNumbers w:val="0"/>
              <w:adjustRightInd w:val="0"/>
              <w:snapToGrid w:val="0"/>
              <w:spacing w:before="0" w:beforeAutospacing="0" w:after="0" w:afterAutospacing="0" w:line="400" w:lineRule="exact"/>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&lt;70%且&gt;=60%（重污染期间&lt;80%且&gt;=70%）</w:t>
            </w:r>
          </w:p>
        </w:tc>
        <w:tc>
          <w:tcPr>
            <w:tcW w:w="3400" w:type="dxa"/>
            <w:noWrap w:val="0"/>
            <w:vAlign w:val="center"/>
          </w:tcPr>
          <w:p w14:paraId="2C5B8AEC">
            <w:pPr>
              <w:keepNext w:val="0"/>
              <w:keepLines w:val="0"/>
              <w:widowControl/>
              <w:suppressLineNumbers w:val="0"/>
              <w:adjustRightInd w:val="0"/>
              <w:snapToGrid w:val="0"/>
              <w:spacing w:before="0" w:beforeAutospacing="0" w:after="0" w:afterAutospacing="0" w:line="400" w:lineRule="exact"/>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按比例扣除相应费用的20%</w:t>
            </w:r>
          </w:p>
        </w:tc>
        <w:tc>
          <w:tcPr>
            <w:tcW w:w="2095" w:type="dxa"/>
            <w:vMerge w:val="continue"/>
            <w:noWrap w:val="0"/>
            <w:vAlign w:val="center"/>
          </w:tcPr>
          <w:p w14:paraId="6BD630E3">
            <w:pPr>
              <w:keepNext w:val="0"/>
              <w:keepLines w:val="0"/>
              <w:widowControl/>
              <w:suppressLineNumbers w:val="0"/>
              <w:adjustRightInd w:val="0"/>
              <w:snapToGrid w:val="0"/>
              <w:spacing w:before="0" w:beforeAutospacing="0" w:after="0" w:afterAutospacing="0" w:line="400" w:lineRule="exact"/>
              <w:ind w:left="0" w:right="0"/>
              <w:jc w:val="left"/>
              <w:rPr>
                <w:rFonts w:hint="default" w:ascii="Times New Roman" w:hAnsi="Times New Roman" w:cs="Times New Roman"/>
                <w:color w:val="auto"/>
                <w:szCs w:val="21"/>
                <w:highlight w:val="none"/>
              </w:rPr>
            </w:pPr>
          </w:p>
        </w:tc>
      </w:tr>
      <w:tr w14:paraId="76C67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794" w:type="dxa"/>
            <w:vMerge w:val="continue"/>
            <w:noWrap w:val="0"/>
            <w:vAlign w:val="center"/>
          </w:tcPr>
          <w:p w14:paraId="00FF215C">
            <w:pPr>
              <w:keepNext w:val="0"/>
              <w:keepLines w:val="0"/>
              <w:widowControl/>
              <w:suppressLineNumbers w:val="0"/>
              <w:adjustRightInd w:val="0"/>
              <w:snapToGrid w:val="0"/>
              <w:spacing w:before="0" w:beforeAutospacing="0" w:after="0" w:afterAutospacing="0" w:line="400" w:lineRule="exact"/>
              <w:ind w:left="0" w:right="0"/>
              <w:rPr>
                <w:rFonts w:hint="default" w:ascii="Times New Roman" w:hAnsi="Times New Roman" w:cs="Times New Roman"/>
                <w:color w:val="auto"/>
                <w:szCs w:val="21"/>
                <w:highlight w:val="none"/>
              </w:rPr>
            </w:pPr>
          </w:p>
        </w:tc>
        <w:tc>
          <w:tcPr>
            <w:tcW w:w="1683" w:type="dxa"/>
            <w:noWrap w:val="0"/>
            <w:vAlign w:val="center"/>
          </w:tcPr>
          <w:p w14:paraId="3469143E">
            <w:pPr>
              <w:keepNext w:val="0"/>
              <w:keepLines w:val="0"/>
              <w:widowControl/>
              <w:suppressLineNumbers w:val="0"/>
              <w:adjustRightInd w:val="0"/>
              <w:snapToGrid w:val="0"/>
              <w:spacing w:before="0" w:beforeAutospacing="0" w:after="0" w:afterAutospacing="0" w:line="400" w:lineRule="exact"/>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&lt;60%（重污染期间&lt;70%）</w:t>
            </w:r>
          </w:p>
        </w:tc>
        <w:tc>
          <w:tcPr>
            <w:tcW w:w="3400" w:type="dxa"/>
            <w:noWrap w:val="0"/>
            <w:vAlign w:val="center"/>
          </w:tcPr>
          <w:p w14:paraId="624B9CA8">
            <w:pPr>
              <w:keepNext w:val="0"/>
              <w:keepLines w:val="0"/>
              <w:widowControl/>
              <w:suppressLineNumbers w:val="0"/>
              <w:adjustRightInd w:val="0"/>
              <w:snapToGrid w:val="0"/>
              <w:spacing w:before="0" w:beforeAutospacing="0" w:after="0" w:afterAutospacing="0" w:line="400" w:lineRule="exact"/>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不予支付</w:t>
            </w:r>
          </w:p>
        </w:tc>
        <w:tc>
          <w:tcPr>
            <w:tcW w:w="2095" w:type="dxa"/>
            <w:vMerge w:val="continue"/>
            <w:noWrap w:val="0"/>
            <w:vAlign w:val="center"/>
          </w:tcPr>
          <w:p w14:paraId="488587BA">
            <w:pPr>
              <w:keepNext w:val="0"/>
              <w:keepLines w:val="0"/>
              <w:widowControl/>
              <w:suppressLineNumbers w:val="0"/>
              <w:adjustRightInd w:val="0"/>
              <w:snapToGrid w:val="0"/>
              <w:spacing w:before="0" w:beforeAutospacing="0" w:after="0" w:afterAutospacing="0" w:line="400" w:lineRule="exact"/>
              <w:ind w:left="0" w:right="0"/>
              <w:jc w:val="left"/>
              <w:rPr>
                <w:rFonts w:hint="default" w:ascii="Times New Roman" w:hAnsi="Times New Roman" w:cs="Times New Roman"/>
                <w:color w:val="auto"/>
                <w:szCs w:val="21"/>
                <w:highlight w:val="none"/>
              </w:rPr>
            </w:pPr>
          </w:p>
        </w:tc>
      </w:tr>
      <w:tr w14:paraId="1AF6B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8972" w:type="dxa"/>
            <w:gridSpan w:val="4"/>
            <w:noWrap w:val="0"/>
            <w:vAlign w:val="center"/>
          </w:tcPr>
          <w:p w14:paraId="1EAAB3CD">
            <w:pPr>
              <w:keepNext w:val="0"/>
              <w:keepLines w:val="0"/>
              <w:widowControl/>
              <w:suppressLineNumbers w:val="0"/>
              <w:adjustRightInd w:val="0"/>
              <w:snapToGrid w:val="0"/>
              <w:spacing w:before="0" w:beforeAutospacing="0" w:after="0" w:afterAutospacing="0" w:line="400" w:lineRule="exact"/>
              <w:ind w:left="0" w:right="0"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若出现连续两次考核中同一台设备有效数据获取率低于最低支付标准，甲方有权（1）终止合同不予支付全部年度运维费，并追偿年度合同总额的20%，或者（2）按照标准扣除相应考核期运维费（含追偿）的基础上，并加扣年度合同总额的10%。</w:t>
            </w:r>
          </w:p>
        </w:tc>
      </w:tr>
    </w:tbl>
    <w:p w14:paraId="72ABC4F5">
      <w:pPr>
        <w:pStyle w:val="37"/>
        <w:spacing w:after="0" w:line="300" w:lineRule="exact"/>
        <w:ind w:left="420" w:leftChars="200" w:firstLine="480" w:firstLineChars="200"/>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说明：</w:t>
      </w:r>
    </w:p>
    <w:p w14:paraId="096C6916">
      <w:pPr>
        <w:pStyle w:val="37"/>
        <w:keepNext w:val="0"/>
        <w:keepLines w:val="0"/>
        <w:pageBreakBefore w:val="0"/>
        <w:widowControl w:val="0"/>
        <w:numPr>
          <w:ilvl w:val="0"/>
          <w:numId w:val="5"/>
        </w:numPr>
        <w:kinsoku/>
        <w:wordWrap/>
        <w:overflowPunct/>
        <w:topLinePunct w:val="0"/>
        <w:autoSpaceDE/>
        <w:autoSpaceDN/>
        <w:bidi w:val="0"/>
        <w:adjustRightInd/>
        <w:snapToGrid/>
        <w:spacing w:after="0" w:line="300" w:lineRule="exact"/>
        <w:ind w:left="0" w:leftChars="0" w:firstLine="480" w:firstLineChars="200"/>
        <w:textAlignment w:val="auto"/>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有效数据获取率=（有效运行时数÷运行考核总时数）×100%</w:t>
      </w:r>
    </w:p>
    <w:p w14:paraId="7CBF3934">
      <w:pPr>
        <w:pStyle w:val="37"/>
        <w:keepNext w:val="0"/>
        <w:keepLines w:val="0"/>
        <w:pageBreakBefore w:val="0"/>
        <w:widowControl w:val="0"/>
        <w:numPr>
          <w:ilvl w:val="0"/>
          <w:numId w:val="5"/>
        </w:numPr>
        <w:kinsoku/>
        <w:wordWrap/>
        <w:overflowPunct/>
        <w:topLinePunct w:val="0"/>
        <w:autoSpaceDE/>
        <w:autoSpaceDN/>
        <w:bidi w:val="0"/>
        <w:adjustRightInd/>
        <w:snapToGrid/>
        <w:spacing w:after="0" w:line="300" w:lineRule="exact"/>
        <w:ind w:left="0" w:leftChars="0" w:firstLine="480" w:firstLineChars="200"/>
        <w:textAlignment w:val="auto"/>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有效运行时数=运行考核总时数-无效数据时数</w:t>
      </w:r>
    </w:p>
    <w:p w14:paraId="5C7AEC21">
      <w:pPr>
        <w:pStyle w:val="37"/>
        <w:keepNext w:val="0"/>
        <w:keepLines w:val="0"/>
        <w:pageBreakBefore w:val="0"/>
        <w:widowControl w:val="0"/>
        <w:numPr>
          <w:ilvl w:val="0"/>
          <w:numId w:val="5"/>
        </w:numPr>
        <w:kinsoku/>
        <w:wordWrap/>
        <w:overflowPunct/>
        <w:topLinePunct w:val="0"/>
        <w:autoSpaceDE/>
        <w:autoSpaceDN/>
        <w:bidi w:val="0"/>
        <w:adjustRightInd/>
        <w:snapToGrid/>
        <w:spacing w:after="0" w:line="300" w:lineRule="exact"/>
        <w:ind w:left="0" w:leftChars="0" w:firstLine="480" w:firstLineChars="200"/>
        <w:textAlignment w:val="auto"/>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因甲方或其他不可抗力原因导致的仪器断电、设备硬件损坏、软硬件故障或生产商配件缺货等非运维责任造成的数据缺失时段不计入数据有效性统计。</w:t>
      </w:r>
    </w:p>
    <w:p w14:paraId="5C406847">
      <w:pPr>
        <w:pStyle w:val="37"/>
        <w:keepNext w:val="0"/>
        <w:keepLines w:val="0"/>
        <w:pageBreakBefore w:val="0"/>
        <w:widowControl w:val="0"/>
        <w:numPr>
          <w:ilvl w:val="0"/>
          <w:numId w:val="5"/>
        </w:numPr>
        <w:kinsoku/>
        <w:wordWrap/>
        <w:overflowPunct/>
        <w:topLinePunct w:val="0"/>
        <w:autoSpaceDE/>
        <w:autoSpaceDN/>
        <w:bidi w:val="0"/>
        <w:adjustRightInd/>
        <w:snapToGrid/>
        <w:spacing w:after="0" w:line="300" w:lineRule="exact"/>
        <w:ind w:left="0" w:leftChars="0" w:firstLine="480" w:firstLineChars="200"/>
        <w:textAlignment w:val="auto"/>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运维单位应协助甲方完成抽查。</w:t>
      </w:r>
    </w:p>
    <w:p w14:paraId="4478B29D">
      <w:pPr>
        <w:pStyle w:val="37"/>
        <w:keepNext w:val="0"/>
        <w:keepLines w:val="0"/>
        <w:pageBreakBefore w:val="0"/>
        <w:widowControl w:val="0"/>
        <w:numPr>
          <w:ilvl w:val="0"/>
          <w:numId w:val="5"/>
        </w:numPr>
        <w:kinsoku/>
        <w:wordWrap/>
        <w:overflowPunct/>
        <w:topLinePunct w:val="0"/>
        <w:autoSpaceDE/>
        <w:autoSpaceDN/>
        <w:bidi w:val="0"/>
        <w:adjustRightInd/>
        <w:snapToGrid/>
        <w:spacing w:after="0" w:line="300" w:lineRule="exact"/>
        <w:ind w:left="0" w:leftChars="0" w:firstLine="480" w:firstLineChars="200"/>
        <w:textAlignment w:val="auto"/>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甲方的监督检查以季度方式进行，每次检查要在现场跟踪1个检测周期，并查阅运行记录。</w:t>
      </w:r>
    </w:p>
    <w:p w14:paraId="7EC61389">
      <w:pPr>
        <w:pStyle w:val="37"/>
        <w:keepNext w:val="0"/>
        <w:keepLines w:val="0"/>
        <w:pageBreakBefore w:val="0"/>
        <w:widowControl w:val="0"/>
        <w:numPr>
          <w:ilvl w:val="0"/>
          <w:numId w:val="5"/>
        </w:numPr>
        <w:kinsoku/>
        <w:wordWrap/>
        <w:overflowPunct/>
        <w:topLinePunct w:val="0"/>
        <w:autoSpaceDE/>
        <w:autoSpaceDN/>
        <w:bidi w:val="0"/>
        <w:adjustRightInd/>
        <w:snapToGrid/>
        <w:spacing w:after="0" w:line="300" w:lineRule="exact"/>
        <w:ind w:left="0" w:leftChars="0" w:firstLine="480" w:firstLineChars="200"/>
        <w:textAlignment w:val="auto"/>
        <w:rPr>
          <w:rFonts w:hint="default" w:ascii="Times New Roman" w:hAnsi="Times New Roman" w:eastAsia="仿宋" w:cs="Times New Roman"/>
          <w:color w:val="auto"/>
          <w:sz w:val="24"/>
          <w:szCs w:val="22"/>
          <w:highlight w:val="none"/>
          <w:lang w:val="en-US" w:eastAsia="zh-CN"/>
        </w:rPr>
      </w:pPr>
      <w:r>
        <w:rPr>
          <w:rFonts w:hint="default" w:ascii="Times New Roman" w:hAnsi="Times New Roman" w:eastAsia="仿宋" w:cs="Times New Roman"/>
          <w:color w:val="auto"/>
          <w:sz w:val="24"/>
          <w:szCs w:val="22"/>
          <w:highlight w:val="none"/>
        </w:rPr>
        <w:t>投标人应严格按照《环境空气</w:t>
      </w:r>
      <w:r>
        <w:rPr>
          <w:rFonts w:hint="default" w:ascii="Times New Roman" w:hAnsi="Times New Roman" w:eastAsia="仿宋" w:cs="Times New Roman"/>
          <w:color w:val="auto"/>
          <w:sz w:val="24"/>
          <w:szCs w:val="22"/>
          <w:highlight w:val="none"/>
          <w:lang w:val="en-US" w:eastAsia="zh-CN"/>
        </w:rPr>
        <w:t xml:space="preserve"> </w:t>
      </w:r>
      <w:r>
        <w:rPr>
          <w:rFonts w:hint="default" w:ascii="Times New Roman" w:hAnsi="Times New Roman" w:eastAsia="仿宋" w:cs="Times New Roman"/>
          <w:color w:val="auto"/>
          <w:sz w:val="24"/>
          <w:szCs w:val="22"/>
          <w:highlight w:val="none"/>
        </w:rPr>
        <w:t>气态污染物（SO</w:t>
      </w:r>
      <w:r>
        <w:rPr>
          <w:rFonts w:hint="default" w:ascii="Times New Roman" w:hAnsi="Times New Roman" w:eastAsia="仿宋" w:cs="Times New Roman"/>
          <w:color w:val="auto"/>
          <w:sz w:val="24"/>
          <w:szCs w:val="22"/>
          <w:highlight w:val="none"/>
          <w:vertAlign w:val="subscript"/>
        </w:rPr>
        <w:t>2</w:t>
      </w:r>
      <w:r>
        <w:rPr>
          <w:rFonts w:hint="default" w:ascii="Times New Roman" w:hAnsi="Times New Roman" w:eastAsia="仿宋" w:cs="Times New Roman"/>
          <w:color w:val="auto"/>
          <w:sz w:val="24"/>
          <w:szCs w:val="22"/>
          <w:highlight w:val="none"/>
        </w:rPr>
        <w:t>、NO</w:t>
      </w:r>
      <w:r>
        <w:rPr>
          <w:rFonts w:hint="default" w:ascii="Times New Roman" w:hAnsi="Times New Roman" w:eastAsia="仿宋" w:cs="Times New Roman"/>
          <w:color w:val="auto"/>
          <w:sz w:val="24"/>
          <w:szCs w:val="22"/>
          <w:highlight w:val="none"/>
          <w:vertAlign w:val="subscript"/>
        </w:rPr>
        <w:t>2</w:t>
      </w:r>
      <w:r>
        <w:rPr>
          <w:rFonts w:hint="default" w:ascii="Times New Roman" w:hAnsi="Times New Roman" w:eastAsia="仿宋" w:cs="Times New Roman"/>
          <w:color w:val="auto"/>
          <w:sz w:val="24"/>
          <w:szCs w:val="22"/>
          <w:highlight w:val="none"/>
        </w:rPr>
        <w:t>、O</w:t>
      </w:r>
      <w:r>
        <w:rPr>
          <w:rFonts w:hint="default" w:ascii="Times New Roman" w:hAnsi="Times New Roman" w:eastAsia="仿宋" w:cs="Times New Roman"/>
          <w:color w:val="auto"/>
          <w:sz w:val="24"/>
          <w:szCs w:val="22"/>
          <w:highlight w:val="none"/>
          <w:vertAlign w:val="subscript"/>
        </w:rPr>
        <w:t>3</w:t>
      </w:r>
      <w:r>
        <w:rPr>
          <w:rFonts w:hint="default" w:ascii="Times New Roman" w:hAnsi="Times New Roman" w:eastAsia="仿宋" w:cs="Times New Roman"/>
          <w:color w:val="auto"/>
          <w:sz w:val="24"/>
          <w:szCs w:val="22"/>
          <w:highlight w:val="none"/>
        </w:rPr>
        <w:t>、CO）连续自动监测系统运行和质控技术规范》(HJ818-2018)、《环境空气颗粒物（PM</w:t>
      </w:r>
      <w:r>
        <w:rPr>
          <w:rFonts w:hint="default" w:ascii="Times New Roman" w:hAnsi="Times New Roman" w:eastAsia="仿宋" w:cs="Times New Roman"/>
          <w:color w:val="auto"/>
          <w:sz w:val="24"/>
          <w:szCs w:val="22"/>
          <w:highlight w:val="none"/>
          <w:vertAlign w:val="subscript"/>
        </w:rPr>
        <w:t>10</w:t>
      </w:r>
      <w:r>
        <w:rPr>
          <w:rFonts w:hint="default" w:ascii="Times New Roman" w:hAnsi="Times New Roman" w:eastAsia="仿宋" w:cs="Times New Roman"/>
          <w:color w:val="auto"/>
          <w:sz w:val="24"/>
          <w:szCs w:val="22"/>
          <w:highlight w:val="none"/>
        </w:rPr>
        <w:t xml:space="preserve"> 和 PM</w:t>
      </w:r>
      <w:r>
        <w:rPr>
          <w:rFonts w:hint="default" w:ascii="Times New Roman" w:hAnsi="Times New Roman" w:eastAsia="仿宋" w:cs="Times New Roman"/>
          <w:color w:val="auto"/>
          <w:sz w:val="24"/>
          <w:szCs w:val="22"/>
          <w:highlight w:val="none"/>
          <w:vertAlign w:val="subscript"/>
        </w:rPr>
        <w:t>2.5</w:t>
      </w:r>
      <w:r>
        <w:rPr>
          <w:rFonts w:hint="default" w:ascii="Times New Roman" w:hAnsi="Times New Roman" w:eastAsia="仿宋" w:cs="Times New Roman"/>
          <w:color w:val="auto"/>
          <w:sz w:val="24"/>
          <w:szCs w:val="22"/>
          <w:highlight w:val="none"/>
        </w:rPr>
        <w:t>）连续自动监测系统运行和质控技术规范》(HJ817-2018)</w:t>
      </w:r>
      <w:r>
        <w:rPr>
          <w:rFonts w:hint="default" w:ascii="Times New Roman" w:hAnsi="Times New Roman" w:eastAsia="仿宋" w:cs="Times New Roman"/>
          <w:color w:val="auto"/>
          <w:sz w:val="24"/>
          <w:szCs w:val="22"/>
          <w:highlight w:val="none"/>
          <w:lang w:eastAsia="zh-CN"/>
        </w:rPr>
        <w:t>、《环境空气颗粒物（PM</w:t>
      </w:r>
      <w:r>
        <w:rPr>
          <w:rFonts w:hint="default" w:ascii="Times New Roman" w:hAnsi="Times New Roman" w:eastAsia="仿宋" w:cs="Times New Roman"/>
          <w:color w:val="auto"/>
          <w:sz w:val="24"/>
          <w:szCs w:val="22"/>
          <w:highlight w:val="none"/>
          <w:vertAlign w:val="subscript"/>
          <w:lang w:eastAsia="zh-CN"/>
        </w:rPr>
        <w:t>2.5</w:t>
      </w:r>
      <w:r>
        <w:rPr>
          <w:rFonts w:hint="default" w:ascii="Times New Roman" w:hAnsi="Times New Roman" w:eastAsia="仿宋" w:cs="Times New Roman"/>
          <w:color w:val="auto"/>
          <w:sz w:val="24"/>
          <w:szCs w:val="22"/>
          <w:highlight w:val="none"/>
          <w:lang w:eastAsia="zh-CN"/>
        </w:rPr>
        <w:t>）中水溶性离子连续自动监测技术规范》（HJ 1328-2023）、《环境空气颗粒物（PM</w:t>
      </w:r>
      <w:r>
        <w:rPr>
          <w:rFonts w:hint="default" w:ascii="Times New Roman" w:hAnsi="Times New Roman" w:eastAsia="仿宋" w:cs="Times New Roman"/>
          <w:color w:val="auto"/>
          <w:sz w:val="24"/>
          <w:szCs w:val="22"/>
          <w:highlight w:val="none"/>
          <w:vertAlign w:val="subscript"/>
          <w:lang w:eastAsia="zh-CN"/>
        </w:rPr>
        <w:t>2.5</w:t>
      </w:r>
      <w:r>
        <w:rPr>
          <w:rFonts w:hint="default" w:ascii="Times New Roman" w:hAnsi="Times New Roman" w:eastAsia="仿宋" w:cs="Times New Roman"/>
          <w:color w:val="auto"/>
          <w:sz w:val="24"/>
          <w:szCs w:val="22"/>
          <w:highlight w:val="none"/>
          <w:lang w:eastAsia="zh-CN"/>
        </w:rPr>
        <w:t>）中有机碳和元素碳连续自动监测技术规范》（HJ 1327-2023）、《环境空气颗粒物（PM</w:t>
      </w:r>
      <w:r>
        <w:rPr>
          <w:rFonts w:hint="default" w:ascii="Times New Roman" w:hAnsi="Times New Roman" w:eastAsia="仿宋" w:cs="Times New Roman"/>
          <w:color w:val="auto"/>
          <w:sz w:val="24"/>
          <w:szCs w:val="22"/>
          <w:highlight w:val="none"/>
          <w:vertAlign w:val="subscript"/>
          <w:lang w:eastAsia="zh-CN"/>
        </w:rPr>
        <w:t>2.5</w:t>
      </w:r>
      <w:r>
        <w:rPr>
          <w:rFonts w:hint="default" w:ascii="Times New Roman" w:hAnsi="Times New Roman" w:eastAsia="仿宋" w:cs="Times New Roman"/>
          <w:color w:val="auto"/>
          <w:sz w:val="24"/>
          <w:szCs w:val="22"/>
          <w:highlight w:val="none"/>
          <w:lang w:eastAsia="zh-CN"/>
        </w:rPr>
        <w:t xml:space="preserve">）中无机元素连续自动监测技术规范》（HJ </w:t>
      </w:r>
      <w:r>
        <w:rPr>
          <w:rFonts w:hint="default" w:ascii="Times New Roman" w:hAnsi="Times New Roman" w:eastAsia="仿宋" w:cs="Times New Roman"/>
          <w:color w:val="auto"/>
          <w:sz w:val="24"/>
          <w:szCs w:val="22"/>
          <w:highlight w:val="none"/>
          <w:lang w:val="en-US" w:eastAsia="zh-CN"/>
        </w:rPr>
        <w:t>1329</w:t>
      </w:r>
      <w:r>
        <w:rPr>
          <w:rFonts w:hint="default" w:ascii="Times New Roman" w:hAnsi="Times New Roman" w:eastAsia="仿宋" w:cs="Times New Roman"/>
          <w:color w:val="auto"/>
          <w:sz w:val="24"/>
          <w:szCs w:val="22"/>
          <w:highlight w:val="none"/>
          <w:lang w:eastAsia="zh-CN"/>
        </w:rPr>
        <w:t>-20</w:t>
      </w:r>
      <w:r>
        <w:rPr>
          <w:rFonts w:hint="default" w:ascii="Times New Roman" w:hAnsi="Times New Roman" w:eastAsia="仿宋" w:cs="Times New Roman"/>
          <w:color w:val="auto"/>
          <w:sz w:val="24"/>
          <w:szCs w:val="22"/>
          <w:highlight w:val="none"/>
          <w:lang w:val="en-US" w:eastAsia="zh-CN"/>
        </w:rPr>
        <w:t>23</w:t>
      </w:r>
      <w:r>
        <w:rPr>
          <w:rFonts w:hint="default" w:ascii="Times New Roman" w:hAnsi="Times New Roman" w:eastAsia="仿宋" w:cs="Times New Roman"/>
          <w:color w:val="auto"/>
          <w:sz w:val="24"/>
          <w:szCs w:val="22"/>
          <w:highlight w:val="none"/>
          <w:lang w:eastAsia="zh-CN"/>
        </w:rPr>
        <w:t>）</w:t>
      </w:r>
      <w:r>
        <w:rPr>
          <w:rFonts w:hint="default" w:ascii="Times New Roman" w:hAnsi="Times New Roman" w:eastAsia="仿宋" w:cs="Times New Roman"/>
          <w:color w:val="auto"/>
          <w:sz w:val="24"/>
          <w:szCs w:val="22"/>
          <w:highlight w:val="none"/>
        </w:rPr>
        <w:t>及国家其他相关标准规范的要求</w:t>
      </w:r>
      <w:r>
        <w:rPr>
          <w:rFonts w:hint="default" w:ascii="Times New Roman" w:hAnsi="Times New Roman" w:eastAsia="仿宋" w:cs="Times New Roman"/>
          <w:color w:val="auto"/>
          <w:sz w:val="24"/>
          <w:szCs w:val="22"/>
          <w:highlight w:val="none"/>
          <w:lang w:val="en-US" w:eastAsia="zh-CN"/>
        </w:rPr>
        <w:t>执行相关设备的运维。</w:t>
      </w:r>
    </w:p>
    <w:p w14:paraId="2DF9A91B">
      <w:pPr>
        <w:widowControl/>
        <w:spacing w:line="3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（5）在设备有效数据获取率支付标准的基础上，甲方根据运维单位的整体运维、质控和分析报告情况进行评级，确定考核期内运维费的终支付比例。</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2879"/>
        <w:gridCol w:w="2575"/>
        <w:gridCol w:w="2558"/>
      </w:tblGrid>
      <w:tr w14:paraId="32DF9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322" w:type="dxa"/>
            <w:noWrap w:val="0"/>
            <w:tcMar>
              <w:top w:w="0" w:type="dxa"/>
              <w:left w:w="57" w:type="dxa"/>
              <w:bottom w:w="0" w:type="dxa"/>
              <w:right w:w="57" w:type="dxa"/>
            </w:tcMar>
            <w:vAlign w:val="center"/>
          </w:tcPr>
          <w:p w14:paraId="7D97F606">
            <w:pPr>
              <w:keepNext w:val="0"/>
              <w:keepLines w:val="0"/>
              <w:widowControl/>
              <w:suppressLineNumbers w:val="0"/>
              <w:adjustRightInd w:val="0"/>
              <w:snapToGrid w:val="0"/>
              <w:spacing w:before="0" w:beforeAutospacing="0" w:after="0" w:afterAutospacing="0" w:line="0" w:lineRule="atLeast"/>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评判等级</w:t>
            </w:r>
          </w:p>
        </w:tc>
        <w:tc>
          <w:tcPr>
            <w:tcW w:w="2879" w:type="dxa"/>
            <w:noWrap w:val="0"/>
            <w:tcMar>
              <w:top w:w="0" w:type="dxa"/>
              <w:left w:w="57" w:type="dxa"/>
              <w:bottom w:w="0" w:type="dxa"/>
              <w:right w:w="57" w:type="dxa"/>
            </w:tcMar>
            <w:vAlign w:val="center"/>
          </w:tcPr>
          <w:p w14:paraId="035353F3">
            <w:pPr>
              <w:keepNext w:val="0"/>
              <w:keepLines w:val="0"/>
              <w:widowControl/>
              <w:suppressLineNumbers w:val="0"/>
              <w:adjustRightInd w:val="0"/>
              <w:snapToGrid w:val="0"/>
              <w:spacing w:before="0" w:beforeAutospacing="0" w:after="0" w:afterAutospacing="0" w:line="0" w:lineRule="atLeast"/>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运维开展情况</w:t>
            </w:r>
          </w:p>
        </w:tc>
        <w:tc>
          <w:tcPr>
            <w:tcW w:w="2575" w:type="dxa"/>
            <w:noWrap w:val="0"/>
            <w:tcMar>
              <w:top w:w="0" w:type="dxa"/>
              <w:left w:w="57" w:type="dxa"/>
              <w:bottom w:w="0" w:type="dxa"/>
              <w:right w:w="57" w:type="dxa"/>
            </w:tcMar>
            <w:vAlign w:val="center"/>
          </w:tcPr>
          <w:p w14:paraId="493087B1">
            <w:pPr>
              <w:keepNext w:val="0"/>
              <w:keepLines w:val="0"/>
              <w:widowControl/>
              <w:suppressLineNumbers w:val="0"/>
              <w:adjustRightInd w:val="0"/>
              <w:snapToGrid w:val="0"/>
              <w:spacing w:before="0" w:beforeAutospacing="0" w:after="0" w:afterAutospacing="0" w:line="0" w:lineRule="atLeast"/>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数据分析报告</w:t>
            </w:r>
          </w:p>
        </w:tc>
        <w:tc>
          <w:tcPr>
            <w:tcW w:w="2558" w:type="dxa"/>
            <w:noWrap w:val="0"/>
            <w:tcMar>
              <w:top w:w="0" w:type="dxa"/>
              <w:left w:w="57" w:type="dxa"/>
              <w:bottom w:w="0" w:type="dxa"/>
              <w:right w:w="57" w:type="dxa"/>
            </w:tcMar>
            <w:vAlign w:val="center"/>
          </w:tcPr>
          <w:p w14:paraId="28770801">
            <w:pPr>
              <w:keepNext w:val="0"/>
              <w:keepLines w:val="0"/>
              <w:widowControl/>
              <w:suppressLineNumbers w:val="0"/>
              <w:adjustRightInd w:val="0"/>
              <w:snapToGrid w:val="0"/>
              <w:spacing w:before="0" w:beforeAutospacing="0" w:after="0" w:afterAutospacing="0" w:line="0" w:lineRule="atLeast"/>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基于数据有效率的运维费支付比例</w:t>
            </w:r>
          </w:p>
        </w:tc>
      </w:tr>
      <w:tr w14:paraId="70A9C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1322" w:type="dxa"/>
            <w:noWrap w:val="0"/>
            <w:tcMar>
              <w:top w:w="0" w:type="dxa"/>
              <w:left w:w="57" w:type="dxa"/>
              <w:bottom w:w="0" w:type="dxa"/>
              <w:right w:w="57" w:type="dxa"/>
            </w:tcMar>
            <w:vAlign w:val="center"/>
          </w:tcPr>
          <w:p w14:paraId="14C405F2">
            <w:pPr>
              <w:keepNext w:val="0"/>
              <w:keepLines w:val="0"/>
              <w:widowControl/>
              <w:suppressLineNumbers w:val="0"/>
              <w:adjustRightInd w:val="0"/>
              <w:snapToGrid w:val="0"/>
              <w:spacing w:before="0" w:beforeAutospacing="0" w:after="0" w:afterAutospacing="0" w:line="0" w:lineRule="atLeast"/>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较好</w:t>
            </w:r>
          </w:p>
        </w:tc>
        <w:tc>
          <w:tcPr>
            <w:tcW w:w="2879" w:type="dxa"/>
            <w:noWrap w:val="0"/>
            <w:tcMar>
              <w:top w:w="0" w:type="dxa"/>
              <w:left w:w="57" w:type="dxa"/>
              <w:bottom w:w="0" w:type="dxa"/>
              <w:right w:w="57" w:type="dxa"/>
            </w:tcMar>
            <w:vAlign w:val="center"/>
          </w:tcPr>
          <w:p w14:paraId="68529ADB">
            <w:pPr>
              <w:keepNext w:val="0"/>
              <w:keepLines w:val="0"/>
              <w:widowControl/>
              <w:suppressLineNumbers w:val="0"/>
              <w:adjustRightInd w:val="0"/>
              <w:snapToGrid w:val="0"/>
              <w:spacing w:before="0" w:beforeAutospacing="0" w:after="0" w:afterAutospacing="0" w:line="0" w:lineRule="atLeast"/>
              <w:ind w:left="0" w:right="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按要求对相应设备及时开展校准、质控、维护、保养，保证各类设备长期稳定运行，出现问题设备故障及时处置，流程合理，且记录齐全</w:t>
            </w:r>
          </w:p>
        </w:tc>
        <w:tc>
          <w:tcPr>
            <w:tcW w:w="2575" w:type="dxa"/>
            <w:noWrap w:val="0"/>
            <w:tcMar>
              <w:top w:w="0" w:type="dxa"/>
              <w:left w:w="57" w:type="dxa"/>
              <w:bottom w:w="0" w:type="dxa"/>
              <w:right w:w="57" w:type="dxa"/>
            </w:tcMar>
            <w:vAlign w:val="center"/>
          </w:tcPr>
          <w:p w14:paraId="7BB21260">
            <w:pPr>
              <w:keepNext w:val="0"/>
              <w:keepLines w:val="0"/>
              <w:widowControl/>
              <w:suppressLineNumbers w:val="0"/>
              <w:adjustRightInd w:val="0"/>
              <w:snapToGrid w:val="0"/>
              <w:spacing w:before="0" w:beforeAutospacing="0" w:after="0" w:afterAutospacing="0" w:line="0" w:lineRule="atLeast"/>
              <w:ind w:left="0" w:right="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周报、月报、年报和专报能够按照甲方要求及时提交，数据分析报告质量较好，能为决策部门提供有效技术支撑</w:t>
            </w:r>
          </w:p>
        </w:tc>
        <w:tc>
          <w:tcPr>
            <w:tcW w:w="2558" w:type="dxa"/>
            <w:noWrap w:val="0"/>
            <w:tcMar>
              <w:top w:w="0" w:type="dxa"/>
              <w:left w:w="57" w:type="dxa"/>
              <w:bottom w:w="0" w:type="dxa"/>
              <w:right w:w="57" w:type="dxa"/>
            </w:tcMar>
            <w:vAlign w:val="center"/>
          </w:tcPr>
          <w:p w14:paraId="0D25BD6C">
            <w:pPr>
              <w:keepNext w:val="0"/>
              <w:keepLines w:val="0"/>
              <w:widowControl/>
              <w:suppressLineNumbers w:val="0"/>
              <w:adjustRightInd w:val="0"/>
              <w:snapToGrid w:val="0"/>
              <w:spacing w:before="0" w:beforeAutospacing="0" w:after="0" w:afterAutospacing="0" w:line="0" w:lineRule="atLeast"/>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100%</w:t>
            </w:r>
          </w:p>
        </w:tc>
      </w:tr>
      <w:tr w14:paraId="25097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322" w:type="dxa"/>
            <w:noWrap w:val="0"/>
            <w:tcMar>
              <w:top w:w="0" w:type="dxa"/>
              <w:left w:w="57" w:type="dxa"/>
              <w:bottom w:w="0" w:type="dxa"/>
              <w:right w:w="57" w:type="dxa"/>
            </w:tcMar>
            <w:vAlign w:val="center"/>
          </w:tcPr>
          <w:p w14:paraId="5E6DBF4E">
            <w:pPr>
              <w:keepNext w:val="0"/>
              <w:keepLines w:val="0"/>
              <w:widowControl/>
              <w:suppressLineNumbers w:val="0"/>
              <w:adjustRightInd w:val="0"/>
              <w:snapToGrid w:val="0"/>
              <w:spacing w:before="0" w:beforeAutospacing="0" w:after="0" w:afterAutospacing="0" w:line="0" w:lineRule="atLeast"/>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基本合格</w:t>
            </w:r>
          </w:p>
        </w:tc>
        <w:tc>
          <w:tcPr>
            <w:tcW w:w="2879" w:type="dxa"/>
            <w:noWrap w:val="0"/>
            <w:tcMar>
              <w:top w:w="0" w:type="dxa"/>
              <w:left w:w="57" w:type="dxa"/>
              <w:bottom w:w="0" w:type="dxa"/>
              <w:right w:w="57" w:type="dxa"/>
            </w:tcMar>
            <w:vAlign w:val="center"/>
          </w:tcPr>
          <w:p w14:paraId="18AFBBC0">
            <w:pPr>
              <w:keepNext w:val="0"/>
              <w:keepLines w:val="0"/>
              <w:widowControl/>
              <w:suppressLineNumbers w:val="0"/>
              <w:adjustRightInd w:val="0"/>
              <w:snapToGrid w:val="0"/>
              <w:spacing w:before="0" w:beforeAutospacing="0" w:after="0" w:afterAutospacing="0" w:line="0" w:lineRule="atLeast"/>
              <w:ind w:left="0" w:right="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能够按要求对设备开展日常运维，基本保证各类设备长期稳定运行，对出现问题设备故障处理不太及时，存在耽误时间、拖沓情况</w:t>
            </w:r>
          </w:p>
        </w:tc>
        <w:tc>
          <w:tcPr>
            <w:tcW w:w="2575" w:type="dxa"/>
            <w:noWrap w:val="0"/>
            <w:tcMar>
              <w:top w:w="0" w:type="dxa"/>
              <w:left w:w="57" w:type="dxa"/>
              <w:bottom w:w="0" w:type="dxa"/>
              <w:right w:w="57" w:type="dxa"/>
            </w:tcMar>
            <w:vAlign w:val="center"/>
          </w:tcPr>
          <w:p w14:paraId="14FF8273">
            <w:pPr>
              <w:keepNext w:val="0"/>
              <w:keepLines w:val="0"/>
              <w:widowControl/>
              <w:suppressLineNumbers w:val="0"/>
              <w:adjustRightInd w:val="0"/>
              <w:snapToGrid w:val="0"/>
              <w:spacing w:before="0" w:beforeAutospacing="0" w:after="0" w:afterAutospacing="0" w:line="0" w:lineRule="atLeast"/>
              <w:ind w:left="0" w:right="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各类数据分析报告未按照约定时限提交，报告内容不全面，质量一般</w:t>
            </w:r>
          </w:p>
        </w:tc>
        <w:tc>
          <w:tcPr>
            <w:tcW w:w="2558" w:type="dxa"/>
            <w:noWrap w:val="0"/>
            <w:tcMar>
              <w:top w:w="0" w:type="dxa"/>
              <w:left w:w="57" w:type="dxa"/>
              <w:bottom w:w="0" w:type="dxa"/>
              <w:right w:w="57" w:type="dxa"/>
            </w:tcMar>
            <w:vAlign w:val="center"/>
          </w:tcPr>
          <w:p w14:paraId="3DEE24E9">
            <w:pPr>
              <w:keepNext w:val="0"/>
              <w:keepLines w:val="0"/>
              <w:widowControl/>
              <w:suppressLineNumbers w:val="0"/>
              <w:adjustRightInd w:val="0"/>
              <w:snapToGrid w:val="0"/>
              <w:spacing w:before="0" w:beforeAutospacing="0" w:after="0" w:afterAutospacing="0" w:line="0" w:lineRule="atLeast"/>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80%</w:t>
            </w:r>
          </w:p>
        </w:tc>
      </w:tr>
      <w:tr w14:paraId="650A3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322" w:type="dxa"/>
            <w:noWrap w:val="0"/>
            <w:tcMar>
              <w:top w:w="0" w:type="dxa"/>
              <w:left w:w="57" w:type="dxa"/>
              <w:bottom w:w="0" w:type="dxa"/>
              <w:right w:w="57" w:type="dxa"/>
            </w:tcMar>
            <w:vAlign w:val="center"/>
          </w:tcPr>
          <w:p w14:paraId="249AD4E4">
            <w:pPr>
              <w:keepNext w:val="0"/>
              <w:keepLines w:val="0"/>
              <w:widowControl/>
              <w:suppressLineNumbers w:val="0"/>
              <w:adjustRightInd w:val="0"/>
              <w:snapToGrid w:val="0"/>
              <w:spacing w:before="0" w:beforeAutospacing="0" w:after="0" w:afterAutospacing="0" w:line="0" w:lineRule="atLeast"/>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不合格</w:t>
            </w:r>
          </w:p>
        </w:tc>
        <w:tc>
          <w:tcPr>
            <w:tcW w:w="2879" w:type="dxa"/>
            <w:noWrap w:val="0"/>
            <w:tcMar>
              <w:top w:w="0" w:type="dxa"/>
              <w:left w:w="57" w:type="dxa"/>
              <w:bottom w:w="0" w:type="dxa"/>
              <w:right w:w="57" w:type="dxa"/>
            </w:tcMar>
            <w:vAlign w:val="center"/>
          </w:tcPr>
          <w:p w14:paraId="1590CB12">
            <w:pPr>
              <w:keepNext w:val="0"/>
              <w:keepLines w:val="0"/>
              <w:widowControl/>
              <w:suppressLineNumbers w:val="0"/>
              <w:adjustRightInd w:val="0"/>
              <w:snapToGrid w:val="0"/>
              <w:spacing w:before="0" w:beforeAutospacing="0" w:after="0" w:afterAutospacing="0" w:line="0" w:lineRule="atLeast"/>
              <w:ind w:left="0" w:right="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出现重大问题不报备、重大故障不维修或者严重拖沓、设备无故停运等情况</w:t>
            </w:r>
          </w:p>
        </w:tc>
        <w:tc>
          <w:tcPr>
            <w:tcW w:w="2575" w:type="dxa"/>
            <w:noWrap w:val="0"/>
            <w:tcMar>
              <w:top w:w="0" w:type="dxa"/>
              <w:left w:w="57" w:type="dxa"/>
              <w:bottom w:w="0" w:type="dxa"/>
              <w:right w:w="57" w:type="dxa"/>
            </w:tcMar>
            <w:vAlign w:val="center"/>
          </w:tcPr>
          <w:p w14:paraId="0903894C">
            <w:pPr>
              <w:keepNext w:val="0"/>
              <w:keepLines w:val="0"/>
              <w:widowControl/>
              <w:suppressLineNumbers w:val="0"/>
              <w:adjustRightInd w:val="0"/>
              <w:snapToGrid w:val="0"/>
              <w:spacing w:before="0" w:beforeAutospacing="0" w:after="0" w:afterAutospacing="0" w:line="0" w:lineRule="atLeast"/>
              <w:ind w:left="0" w:right="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存在提交报告数量不足，拒绝按照甲方合理需求进行修改，内容有重大缺失，报告质量较差</w:t>
            </w:r>
          </w:p>
        </w:tc>
        <w:tc>
          <w:tcPr>
            <w:tcW w:w="2558" w:type="dxa"/>
            <w:noWrap w:val="0"/>
            <w:tcMar>
              <w:top w:w="0" w:type="dxa"/>
              <w:left w:w="57" w:type="dxa"/>
              <w:bottom w:w="0" w:type="dxa"/>
              <w:right w:w="57" w:type="dxa"/>
            </w:tcMar>
            <w:vAlign w:val="center"/>
          </w:tcPr>
          <w:p w14:paraId="1BC7C8B3">
            <w:pPr>
              <w:keepNext w:val="0"/>
              <w:keepLines w:val="0"/>
              <w:widowControl/>
              <w:suppressLineNumbers w:val="0"/>
              <w:adjustRightInd w:val="0"/>
              <w:snapToGrid w:val="0"/>
              <w:spacing w:before="0" w:beforeAutospacing="0" w:after="0" w:afterAutospacing="0" w:line="0" w:lineRule="atLeast"/>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不予支付</w:t>
            </w:r>
          </w:p>
        </w:tc>
      </w:tr>
    </w:tbl>
    <w:p w14:paraId="3860037B">
      <w:pPr>
        <w:rPr>
          <w:rFonts w:hint="eastAsia" w:ascii="宋体" w:hAnsi="宋体" w:eastAsia="宋体" w:cs="宋体"/>
          <w:b/>
          <w:bCs/>
          <w:color w:val="auto"/>
          <w:sz w:val="32"/>
          <w:szCs w:val="28"/>
          <w:highlight w:val="none"/>
        </w:rPr>
      </w:pPr>
      <w:r>
        <w:rPr>
          <w:rFonts w:hint="eastAsia" w:ascii="宋体" w:hAnsi="宋体" w:eastAsia="宋体" w:cs="宋体"/>
          <w:b/>
          <w:bCs/>
          <w:color w:val="auto"/>
          <w:sz w:val="32"/>
          <w:szCs w:val="28"/>
          <w:highlight w:val="none"/>
        </w:rPr>
        <w:br w:type="page"/>
      </w:r>
    </w:p>
    <w:p w14:paraId="1FF3A462">
      <w:pPr>
        <w:pageBreakBefore w:val="0"/>
        <w:kinsoku/>
        <w:overflowPunct/>
        <w:bidi w:val="0"/>
        <w:spacing w:line="360" w:lineRule="auto"/>
        <w:jc w:val="center"/>
        <w:outlineLvl w:val="0"/>
        <w:rPr>
          <w:rStyle w:val="216"/>
          <w:rFonts w:hint="eastAsia" w:ascii="宋体" w:hAnsi="宋体" w:eastAsia="宋体" w:cs="宋体"/>
          <w:color w:val="auto"/>
          <w:sz w:val="36"/>
          <w:szCs w:val="36"/>
          <w:highlight w:val="none"/>
        </w:rPr>
      </w:pPr>
      <w:r>
        <w:rPr>
          <w:rFonts w:hint="eastAsia" w:ascii="宋体" w:hAnsi="宋体" w:eastAsia="宋体" w:cs="宋体"/>
          <w:b/>
          <w:bCs/>
          <w:color w:val="auto"/>
          <w:sz w:val="32"/>
          <w:szCs w:val="28"/>
          <w:highlight w:val="none"/>
        </w:rPr>
        <w:t>第四部分  评审方法（综合评分法）</w:t>
      </w:r>
      <w:bookmarkEnd w:id="64"/>
    </w:p>
    <w:bookmarkEnd w:id="65"/>
    <w:p w14:paraId="6FA50B0F">
      <w:pPr>
        <w:pageBreakBefore w:val="0"/>
        <w:kinsoku/>
        <w:overflowPunct/>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本项目评审方法见招标文件第二部分“投标人须知前附表”中的规定。</w:t>
      </w:r>
      <w:r>
        <w:rPr>
          <w:rFonts w:hint="eastAsia" w:ascii="宋体" w:hAnsi="宋体" w:eastAsia="宋体" w:cs="宋体"/>
          <w:color w:val="auto"/>
          <w:kern w:val="0"/>
          <w:sz w:val="24"/>
          <w:highlight w:val="none"/>
        </w:rPr>
        <w:t>如果采用综合评分法，评分细则如下：</w:t>
      </w:r>
    </w:p>
    <w:p w14:paraId="01E27E65">
      <w:pPr>
        <w:pStyle w:val="21"/>
        <w:keepNext w:val="0"/>
        <w:keepLines w:val="0"/>
        <w:pageBreakBefore w:val="0"/>
        <w:widowControl w:val="0"/>
        <w:kinsoku/>
        <w:wordWrap/>
        <w:overflowPunct/>
        <w:topLinePunct w:val="0"/>
        <w:autoSpaceDE/>
        <w:autoSpaceDN/>
        <w:bidi w:val="0"/>
        <w:adjustRightInd/>
        <w:snapToGrid/>
        <w:spacing w:afterAutospacing="0" w:line="440" w:lineRule="exact"/>
        <w:ind w:firstLine="562" w:firstLineChars="200"/>
        <w:jc w:val="center"/>
        <w:textAlignment w:val="auto"/>
        <w:rPr>
          <w:rFonts w:hint="eastAsia" w:ascii="宋体" w:hAnsi="宋体" w:eastAsia="宋体" w:cs="宋体"/>
          <w:b/>
          <w:bCs w:val="0"/>
          <w:color w:val="auto"/>
          <w:spacing w:val="0"/>
          <w:position w:val="0"/>
          <w:sz w:val="28"/>
          <w:szCs w:val="28"/>
          <w:highlight w:val="none"/>
        </w:rPr>
      </w:pPr>
      <w:r>
        <w:rPr>
          <w:rFonts w:hint="eastAsia" w:ascii="宋体" w:hAnsi="宋体" w:eastAsia="宋体" w:cs="宋体"/>
          <w:b/>
          <w:bCs w:val="0"/>
          <w:color w:val="auto"/>
          <w:spacing w:val="0"/>
          <w:position w:val="0"/>
          <w:sz w:val="28"/>
          <w:szCs w:val="28"/>
          <w:highlight w:val="none"/>
        </w:rPr>
        <w:t>资格审查表</w:t>
      </w:r>
    </w:p>
    <w:tbl>
      <w:tblPr>
        <w:tblStyle w:val="38"/>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418"/>
        <w:gridCol w:w="4594"/>
        <w:gridCol w:w="684"/>
        <w:gridCol w:w="685"/>
        <w:gridCol w:w="691"/>
      </w:tblGrid>
      <w:tr w14:paraId="16F3B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4" w:type="dxa"/>
            <w:gridSpan w:val="2"/>
            <w:vMerge w:val="restart"/>
            <w:noWrap w:val="0"/>
            <w:vAlign w:val="center"/>
          </w:tcPr>
          <w:p w14:paraId="6D0EA8AF">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审查内容</w:t>
            </w:r>
          </w:p>
        </w:tc>
        <w:tc>
          <w:tcPr>
            <w:tcW w:w="4594" w:type="dxa"/>
            <w:vMerge w:val="restart"/>
            <w:noWrap w:val="0"/>
            <w:vAlign w:val="center"/>
          </w:tcPr>
          <w:p w14:paraId="2650B04B">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审查标准</w:t>
            </w:r>
          </w:p>
        </w:tc>
        <w:tc>
          <w:tcPr>
            <w:tcW w:w="2060" w:type="dxa"/>
            <w:gridSpan w:val="3"/>
            <w:noWrap w:val="0"/>
            <w:vAlign w:val="center"/>
          </w:tcPr>
          <w:p w14:paraId="59F0FA89">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投标企业名称</w:t>
            </w:r>
          </w:p>
        </w:tc>
      </w:tr>
      <w:tr w14:paraId="73085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4" w:type="dxa"/>
            <w:gridSpan w:val="2"/>
            <w:vMerge w:val="continue"/>
            <w:noWrap w:val="0"/>
            <w:vAlign w:val="center"/>
          </w:tcPr>
          <w:p w14:paraId="4545BD3A">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宋体" w:hAnsi="宋体" w:eastAsia="宋体" w:cs="宋体"/>
                <w:color w:val="auto"/>
                <w:spacing w:val="0"/>
                <w:kern w:val="0"/>
                <w:position w:val="0"/>
                <w:sz w:val="24"/>
                <w:szCs w:val="24"/>
                <w:highlight w:val="none"/>
              </w:rPr>
            </w:pPr>
          </w:p>
        </w:tc>
        <w:tc>
          <w:tcPr>
            <w:tcW w:w="4594" w:type="dxa"/>
            <w:vMerge w:val="continue"/>
            <w:noWrap w:val="0"/>
            <w:vAlign w:val="center"/>
          </w:tcPr>
          <w:p w14:paraId="720DD783">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宋体" w:hAnsi="宋体" w:eastAsia="宋体" w:cs="宋体"/>
                <w:color w:val="auto"/>
                <w:spacing w:val="0"/>
                <w:kern w:val="0"/>
                <w:position w:val="0"/>
                <w:sz w:val="24"/>
                <w:szCs w:val="24"/>
                <w:highlight w:val="none"/>
              </w:rPr>
            </w:pPr>
          </w:p>
        </w:tc>
        <w:tc>
          <w:tcPr>
            <w:tcW w:w="684" w:type="dxa"/>
            <w:noWrap w:val="0"/>
            <w:vAlign w:val="center"/>
          </w:tcPr>
          <w:p w14:paraId="51984245">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1</w:t>
            </w:r>
          </w:p>
        </w:tc>
        <w:tc>
          <w:tcPr>
            <w:tcW w:w="685" w:type="dxa"/>
            <w:noWrap w:val="0"/>
            <w:vAlign w:val="center"/>
          </w:tcPr>
          <w:p w14:paraId="4D13853E">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2</w:t>
            </w:r>
          </w:p>
        </w:tc>
        <w:tc>
          <w:tcPr>
            <w:tcW w:w="691" w:type="dxa"/>
            <w:noWrap w:val="0"/>
            <w:vAlign w:val="center"/>
          </w:tcPr>
          <w:p w14:paraId="2F8431E1">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w:t>
            </w:r>
          </w:p>
        </w:tc>
      </w:tr>
      <w:tr w14:paraId="0A99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center"/>
          </w:tcPr>
          <w:p w14:paraId="0D4562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w:t>
            </w:r>
          </w:p>
        </w:tc>
        <w:tc>
          <w:tcPr>
            <w:tcW w:w="1418" w:type="dxa"/>
            <w:noWrap w:val="0"/>
            <w:vAlign w:val="center"/>
          </w:tcPr>
          <w:p w14:paraId="485DABF8">
            <w:pPr>
              <w:pStyle w:val="2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both"/>
              <w:textAlignment w:val="baseline"/>
              <w:rPr>
                <w:rFonts w:hint="eastAsia" w:ascii="宋体" w:hAnsi="宋体" w:eastAsia="宋体" w:cs="宋体"/>
                <w:color w:val="auto"/>
                <w:spacing w:val="0"/>
                <w:kern w:val="0"/>
                <w:position w:val="0"/>
                <w:sz w:val="24"/>
                <w:szCs w:val="24"/>
                <w:highlight w:val="none"/>
              </w:rPr>
            </w:pPr>
            <w:r>
              <w:rPr>
                <w:rStyle w:val="53"/>
                <w:rFonts w:hint="eastAsia" w:ascii="宋体" w:hAnsi="宋体" w:eastAsia="宋体" w:cs="宋体"/>
                <w:b w:val="0"/>
                <w:bCs/>
                <w:i w:val="0"/>
                <w:caps w:val="0"/>
                <w:color w:val="auto"/>
                <w:spacing w:val="0"/>
                <w:w w:val="100"/>
                <w:kern w:val="2"/>
                <w:position w:val="0"/>
                <w:sz w:val="24"/>
                <w:szCs w:val="24"/>
                <w:highlight w:val="none"/>
                <w:lang w:bidi="ar-SA"/>
              </w:rPr>
              <w:t>具有独立承担民事责任的能力</w:t>
            </w:r>
          </w:p>
        </w:tc>
        <w:tc>
          <w:tcPr>
            <w:tcW w:w="4594" w:type="dxa"/>
            <w:noWrap w:val="0"/>
            <w:vAlign w:val="center"/>
          </w:tcPr>
          <w:p w14:paraId="27D236A1">
            <w:pPr>
              <w:pStyle w:val="2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both"/>
              <w:textAlignment w:val="baseline"/>
              <w:rPr>
                <w:rFonts w:hint="eastAsia" w:ascii="宋体" w:hAnsi="宋体" w:eastAsia="宋体" w:cs="宋体"/>
                <w:color w:val="auto"/>
                <w:spacing w:val="0"/>
                <w:kern w:val="0"/>
                <w:position w:val="0"/>
                <w:sz w:val="24"/>
                <w:szCs w:val="24"/>
                <w:highlight w:val="none"/>
              </w:rPr>
            </w:pPr>
            <w:r>
              <w:rPr>
                <w:rStyle w:val="53"/>
                <w:rFonts w:hint="eastAsia" w:ascii="宋体" w:hAnsi="宋体" w:eastAsia="宋体" w:cs="宋体"/>
                <w:b w:val="0"/>
                <w:bCs/>
                <w:i w:val="0"/>
                <w:caps w:val="0"/>
                <w:color w:val="auto"/>
                <w:spacing w:val="0"/>
                <w:w w:val="100"/>
                <w:kern w:val="2"/>
                <w:position w:val="0"/>
                <w:sz w:val="24"/>
                <w:szCs w:val="24"/>
                <w:highlight w:val="none"/>
                <w:lang w:bidi="ar-SA"/>
              </w:rPr>
              <w:t>是否具备有效在中华人民共和国境内注册的法人或其他组织或自然人的营业执照副本或事业法人登记证或执业许可证或身份证等相关证明原件扫描件</w:t>
            </w:r>
          </w:p>
        </w:tc>
        <w:tc>
          <w:tcPr>
            <w:tcW w:w="684" w:type="dxa"/>
            <w:noWrap w:val="0"/>
            <w:vAlign w:val="center"/>
          </w:tcPr>
          <w:p w14:paraId="4161F199">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宋体" w:hAnsi="宋体" w:eastAsia="宋体" w:cs="宋体"/>
                <w:color w:val="auto"/>
                <w:spacing w:val="0"/>
                <w:kern w:val="0"/>
                <w:position w:val="0"/>
                <w:sz w:val="24"/>
                <w:szCs w:val="24"/>
                <w:highlight w:val="none"/>
              </w:rPr>
            </w:pPr>
          </w:p>
        </w:tc>
        <w:tc>
          <w:tcPr>
            <w:tcW w:w="685" w:type="dxa"/>
            <w:noWrap w:val="0"/>
            <w:vAlign w:val="top"/>
          </w:tcPr>
          <w:p w14:paraId="072C26D8">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宋体" w:hAnsi="宋体" w:eastAsia="宋体" w:cs="宋体"/>
                <w:color w:val="auto"/>
                <w:spacing w:val="0"/>
                <w:kern w:val="0"/>
                <w:position w:val="0"/>
                <w:sz w:val="24"/>
                <w:szCs w:val="24"/>
                <w:highlight w:val="none"/>
              </w:rPr>
            </w:pPr>
          </w:p>
        </w:tc>
        <w:tc>
          <w:tcPr>
            <w:tcW w:w="691" w:type="dxa"/>
            <w:noWrap w:val="0"/>
            <w:vAlign w:val="top"/>
          </w:tcPr>
          <w:p w14:paraId="145B219D">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宋体" w:hAnsi="宋体" w:eastAsia="宋体" w:cs="宋体"/>
                <w:color w:val="auto"/>
                <w:spacing w:val="0"/>
                <w:kern w:val="0"/>
                <w:position w:val="0"/>
                <w:sz w:val="24"/>
                <w:szCs w:val="24"/>
                <w:highlight w:val="none"/>
              </w:rPr>
            </w:pPr>
          </w:p>
        </w:tc>
      </w:tr>
      <w:tr w14:paraId="347FE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center"/>
          </w:tcPr>
          <w:p w14:paraId="44044A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w:t>
            </w:r>
          </w:p>
        </w:tc>
        <w:tc>
          <w:tcPr>
            <w:tcW w:w="1418" w:type="dxa"/>
            <w:noWrap w:val="0"/>
            <w:vAlign w:val="center"/>
          </w:tcPr>
          <w:p w14:paraId="02951C9F">
            <w:pPr>
              <w:pStyle w:val="2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both"/>
              <w:textAlignment w:val="baseline"/>
              <w:rPr>
                <w:rFonts w:hint="eastAsia" w:ascii="宋体" w:hAnsi="宋体" w:eastAsia="宋体" w:cs="宋体"/>
                <w:color w:val="auto"/>
                <w:spacing w:val="0"/>
                <w:kern w:val="0"/>
                <w:position w:val="0"/>
                <w:sz w:val="24"/>
                <w:szCs w:val="24"/>
                <w:highlight w:val="none"/>
              </w:rPr>
            </w:pPr>
            <w:r>
              <w:rPr>
                <w:rStyle w:val="53"/>
                <w:rFonts w:hint="eastAsia" w:ascii="宋体" w:hAnsi="宋体" w:eastAsia="宋体" w:cs="宋体"/>
                <w:b w:val="0"/>
                <w:bCs/>
                <w:i w:val="0"/>
                <w:caps w:val="0"/>
                <w:color w:val="auto"/>
                <w:spacing w:val="0"/>
                <w:w w:val="100"/>
                <w:kern w:val="2"/>
                <w:position w:val="0"/>
                <w:sz w:val="24"/>
                <w:szCs w:val="24"/>
                <w:highlight w:val="none"/>
                <w:lang w:bidi="ar-SA"/>
              </w:rPr>
              <w:t>具有良好的商业信誉和健全的财务会计制度</w:t>
            </w:r>
          </w:p>
        </w:tc>
        <w:tc>
          <w:tcPr>
            <w:tcW w:w="4594" w:type="dxa"/>
            <w:noWrap w:val="0"/>
            <w:vAlign w:val="center"/>
          </w:tcPr>
          <w:p w14:paraId="684CB491">
            <w:pPr>
              <w:pStyle w:val="2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both"/>
              <w:textAlignment w:val="baseline"/>
              <w:rPr>
                <w:rFonts w:hint="eastAsia" w:ascii="宋体" w:hAnsi="宋体" w:eastAsia="宋体" w:cs="宋体"/>
                <w:color w:val="auto"/>
                <w:spacing w:val="0"/>
                <w:kern w:val="2"/>
                <w:position w:val="0"/>
                <w:sz w:val="24"/>
                <w:szCs w:val="24"/>
                <w:highlight w:val="none"/>
              </w:rPr>
            </w:pPr>
            <w:r>
              <w:rPr>
                <w:rStyle w:val="53"/>
                <w:rFonts w:hint="eastAsia" w:ascii="宋体" w:hAnsi="宋体" w:eastAsia="宋体" w:cs="宋体"/>
                <w:b w:val="0"/>
                <w:bCs/>
                <w:i w:val="0"/>
                <w:caps w:val="0"/>
                <w:color w:val="auto"/>
                <w:spacing w:val="0"/>
                <w:w w:val="100"/>
                <w:kern w:val="2"/>
                <w:position w:val="0"/>
                <w:sz w:val="24"/>
                <w:szCs w:val="24"/>
                <w:highlight w:val="none"/>
                <w:lang w:val="en-US" w:eastAsia="zh-CN" w:bidi="ar-SA"/>
              </w:rPr>
              <w:t>提供上年度或2023年度财务审计报告</w:t>
            </w:r>
            <w:r>
              <w:rPr>
                <w:rStyle w:val="53"/>
                <w:rFonts w:hint="eastAsia" w:ascii="宋体" w:hAnsi="宋体" w:eastAsia="宋体" w:cs="宋体"/>
                <w:b w:val="0"/>
                <w:bCs/>
                <w:i w:val="0"/>
                <w:caps w:val="0"/>
                <w:color w:val="auto"/>
                <w:spacing w:val="0"/>
                <w:w w:val="100"/>
                <w:kern w:val="2"/>
                <w:position w:val="0"/>
                <w:sz w:val="24"/>
                <w:szCs w:val="24"/>
                <w:highlight w:val="none"/>
                <w:lang w:bidi="ar-SA"/>
              </w:rPr>
              <w:t>（审计报告须包括资产负债表、利润表、现金流量表、所有者权益变动（如有）及其附注</w:t>
            </w:r>
            <w:r>
              <w:rPr>
                <w:rStyle w:val="53"/>
                <w:rFonts w:hint="eastAsia" w:ascii="宋体" w:hAnsi="宋体" w:eastAsia="宋体" w:cs="宋体"/>
                <w:b w:val="0"/>
                <w:bCs/>
                <w:i w:val="0"/>
                <w:caps w:val="0"/>
                <w:color w:val="auto"/>
                <w:spacing w:val="0"/>
                <w:w w:val="100"/>
                <w:kern w:val="2"/>
                <w:position w:val="0"/>
                <w:sz w:val="24"/>
                <w:szCs w:val="24"/>
                <w:highlight w:val="none"/>
                <w:lang w:eastAsia="zh-CN" w:bidi="ar-SA"/>
              </w:rPr>
              <w:t>；</w:t>
            </w:r>
            <w:r>
              <w:rPr>
                <w:rStyle w:val="53"/>
                <w:rFonts w:hint="eastAsia" w:ascii="宋体" w:hAnsi="宋体" w:eastAsia="宋体" w:cs="宋体"/>
                <w:b w:val="0"/>
                <w:bCs/>
                <w:i w:val="0"/>
                <w:caps w:val="0"/>
                <w:color w:val="auto"/>
                <w:spacing w:val="0"/>
                <w:w w:val="100"/>
                <w:kern w:val="2"/>
                <w:position w:val="0"/>
                <w:sz w:val="24"/>
                <w:szCs w:val="24"/>
                <w:highlight w:val="none"/>
                <w:lang w:bidi="ar-SA"/>
              </w:rPr>
              <w:t>如投标人无法提供</w:t>
            </w:r>
            <w:r>
              <w:rPr>
                <w:rStyle w:val="53"/>
                <w:rFonts w:hint="eastAsia" w:ascii="宋体" w:hAnsi="宋体" w:eastAsia="宋体" w:cs="宋体"/>
                <w:b w:val="0"/>
                <w:bCs/>
                <w:i w:val="0"/>
                <w:caps w:val="0"/>
                <w:color w:val="auto"/>
                <w:spacing w:val="0"/>
                <w:w w:val="100"/>
                <w:kern w:val="2"/>
                <w:position w:val="0"/>
                <w:sz w:val="24"/>
                <w:szCs w:val="24"/>
                <w:highlight w:val="none"/>
                <w:lang w:val="en-US" w:eastAsia="zh-CN" w:bidi="ar-SA"/>
              </w:rPr>
              <w:t>上年度或2023年度财务</w:t>
            </w:r>
            <w:r>
              <w:rPr>
                <w:rStyle w:val="53"/>
                <w:rFonts w:hint="eastAsia" w:ascii="宋体" w:hAnsi="宋体" w:eastAsia="宋体" w:cs="宋体"/>
                <w:b w:val="0"/>
                <w:bCs/>
                <w:i w:val="0"/>
                <w:caps w:val="0"/>
                <w:color w:val="auto"/>
                <w:spacing w:val="0"/>
                <w:w w:val="100"/>
                <w:kern w:val="2"/>
                <w:position w:val="0"/>
                <w:sz w:val="24"/>
                <w:szCs w:val="24"/>
                <w:highlight w:val="none"/>
                <w:lang w:bidi="ar-SA"/>
              </w:rPr>
              <w:t>审计报告，则需提供开标日前三个月内银行出具的资信证明和上年度财务报表（须包括资产负债表、利润表、现金流量表）</w:t>
            </w:r>
          </w:p>
        </w:tc>
        <w:tc>
          <w:tcPr>
            <w:tcW w:w="684" w:type="dxa"/>
            <w:noWrap w:val="0"/>
            <w:vAlign w:val="center"/>
          </w:tcPr>
          <w:p w14:paraId="16D991A1">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宋体" w:hAnsi="宋体" w:eastAsia="宋体" w:cs="宋体"/>
                <w:color w:val="auto"/>
                <w:spacing w:val="0"/>
                <w:kern w:val="0"/>
                <w:position w:val="0"/>
                <w:sz w:val="24"/>
                <w:szCs w:val="24"/>
                <w:highlight w:val="none"/>
              </w:rPr>
            </w:pPr>
          </w:p>
        </w:tc>
        <w:tc>
          <w:tcPr>
            <w:tcW w:w="685" w:type="dxa"/>
            <w:noWrap w:val="0"/>
            <w:vAlign w:val="top"/>
          </w:tcPr>
          <w:p w14:paraId="0E3E2358">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宋体" w:hAnsi="宋体" w:eastAsia="宋体" w:cs="宋体"/>
                <w:color w:val="auto"/>
                <w:spacing w:val="0"/>
                <w:kern w:val="0"/>
                <w:position w:val="0"/>
                <w:sz w:val="24"/>
                <w:szCs w:val="24"/>
                <w:highlight w:val="none"/>
              </w:rPr>
            </w:pPr>
          </w:p>
        </w:tc>
        <w:tc>
          <w:tcPr>
            <w:tcW w:w="691" w:type="dxa"/>
            <w:noWrap w:val="0"/>
            <w:vAlign w:val="top"/>
          </w:tcPr>
          <w:p w14:paraId="133210CE">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宋体" w:hAnsi="宋体" w:eastAsia="宋体" w:cs="宋体"/>
                <w:color w:val="auto"/>
                <w:spacing w:val="0"/>
                <w:kern w:val="0"/>
                <w:position w:val="0"/>
                <w:sz w:val="24"/>
                <w:szCs w:val="24"/>
                <w:highlight w:val="none"/>
              </w:rPr>
            </w:pPr>
          </w:p>
        </w:tc>
      </w:tr>
      <w:tr w14:paraId="42D78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456" w:type="dxa"/>
            <w:noWrap w:val="0"/>
            <w:vAlign w:val="center"/>
          </w:tcPr>
          <w:p w14:paraId="7CC5C7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w:t>
            </w:r>
          </w:p>
        </w:tc>
        <w:tc>
          <w:tcPr>
            <w:tcW w:w="1418" w:type="dxa"/>
            <w:noWrap w:val="0"/>
            <w:vAlign w:val="center"/>
          </w:tcPr>
          <w:p w14:paraId="3FB63384">
            <w:pPr>
              <w:pStyle w:val="2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both"/>
              <w:textAlignment w:val="baseline"/>
              <w:rPr>
                <w:rFonts w:hint="eastAsia" w:ascii="宋体" w:hAnsi="宋体" w:eastAsia="宋体" w:cs="宋体"/>
                <w:color w:val="auto"/>
                <w:spacing w:val="0"/>
                <w:kern w:val="2"/>
                <w:position w:val="0"/>
                <w:sz w:val="24"/>
                <w:szCs w:val="24"/>
                <w:highlight w:val="none"/>
              </w:rPr>
            </w:pPr>
            <w:r>
              <w:rPr>
                <w:rStyle w:val="53"/>
                <w:rFonts w:hint="eastAsia" w:ascii="宋体" w:hAnsi="宋体" w:eastAsia="宋体" w:cs="宋体"/>
                <w:b w:val="0"/>
                <w:bCs/>
                <w:i w:val="0"/>
                <w:caps w:val="0"/>
                <w:color w:val="auto"/>
                <w:spacing w:val="0"/>
                <w:w w:val="100"/>
                <w:kern w:val="2"/>
                <w:position w:val="0"/>
                <w:sz w:val="24"/>
                <w:szCs w:val="24"/>
                <w:highlight w:val="none"/>
                <w:lang w:bidi="ar-SA"/>
              </w:rPr>
              <w:t>具有履行合同所必需的设备和专业技术能力</w:t>
            </w:r>
          </w:p>
        </w:tc>
        <w:tc>
          <w:tcPr>
            <w:tcW w:w="4594" w:type="dxa"/>
            <w:noWrap w:val="0"/>
            <w:vAlign w:val="center"/>
          </w:tcPr>
          <w:p w14:paraId="6BAE54CB">
            <w:pPr>
              <w:pStyle w:val="2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both"/>
              <w:textAlignment w:val="baseline"/>
              <w:rPr>
                <w:rFonts w:hint="eastAsia" w:ascii="宋体" w:hAnsi="宋体" w:eastAsia="宋体" w:cs="宋体"/>
                <w:color w:val="auto"/>
                <w:spacing w:val="0"/>
                <w:kern w:val="2"/>
                <w:position w:val="0"/>
                <w:sz w:val="24"/>
                <w:szCs w:val="24"/>
                <w:highlight w:val="none"/>
              </w:rPr>
            </w:pPr>
            <w:r>
              <w:rPr>
                <w:rStyle w:val="53"/>
                <w:rFonts w:hint="eastAsia" w:ascii="宋体" w:hAnsi="宋体" w:eastAsia="宋体" w:cs="宋体"/>
                <w:b w:val="0"/>
                <w:bCs/>
                <w:i w:val="0"/>
                <w:caps w:val="0"/>
                <w:color w:val="auto"/>
                <w:spacing w:val="0"/>
                <w:w w:val="100"/>
                <w:kern w:val="2"/>
                <w:position w:val="0"/>
                <w:sz w:val="24"/>
                <w:szCs w:val="24"/>
                <w:highlight w:val="none"/>
                <w:lang w:bidi="ar-SA"/>
              </w:rPr>
              <w:t>根据项目需求提供履行合同所必需的设备和专业技术能力的证明材料或加盖单位</w:t>
            </w:r>
            <w:r>
              <w:rPr>
                <w:rStyle w:val="53"/>
                <w:rFonts w:hint="eastAsia" w:ascii="宋体" w:hAnsi="宋体" w:eastAsia="宋体" w:cs="宋体"/>
                <w:b w:val="0"/>
                <w:bCs/>
                <w:i w:val="0"/>
                <w:caps w:val="0"/>
                <w:color w:val="auto"/>
                <w:spacing w:val="0"/>
                <w:w w:val="100"/>
                <w:kern w:val="2"/>
                <w:position w:val="0"/>
                <w:sz w:val="24"/>
                <w:szCs w:val="24"/>
                <w:highlight w:val="none"/>
                <w:lang w:eastAsia="zh-CN" w:bidi="ar-SA"/>
              </w:rPr>
              <w:t>公</w:t>
            </w:r>
            <w:r>
              <w:rPr>
                <w:rStyle w:val="53"/>
                <w:rFonts w:hint="eastAsia" w:ascii="宋体" w:hAnsi="宋体" w:eastAsia="宋体" w:cs="宋体"/>
                <w:b w:val="0"/>
                <w:bCs/>
                <w:i w:val="0"/>
                <w:caps w:val="0"/>
                <w:color w:val="auto"/>
                <w:spacing w:val="0"/>
                <w:w w:val="100"/>
                <w:kern w:val="2"/>
                <w:position w:val="0"/>
                <w:sz w:val="24"/>
                <w:szCs w:val="24"/>
                <w:highlight w:val="none"/>
                <w:lang w:bidi="ar-SA"/>
              </w:rPr>
              <w:t>章的书面承诺函</w:t>
            </w:r>
          </w:p>
        </w:tc>
        <w:tc>
          <w:tcPr>
            <w:tcW w:w="684" w:type="dxa"/>
            <w:noWrap w:val="0"/>
            <w:vAlign w:val="center"/>
          </w:tcPr>
          <w:p w14:paraId="5ED0F392">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宋体" w:hAnsi="宋体" w:eastAsia="宋体" w:cs="宋体"/>
                <w:color w:val="auto"/>
                <w:spacing w:val="0"/>
                <w:kern w:val="0"/>
                <w:position w:val="0"/>
                <w:sz w:val="24"/>
                <w:szCs w:val="24"/>
                <w:highlight w:val="none"/>
              </w:rPr>
            </w:pPr>
          </w:p>
        </w:tc>
        <w:tc>
          <w:tcPr>
            <w:tcW w:w="685" w:type="dxa"/>
            <w:noWrap w:val="0"/>
            <w:vAlign w:val="top"/>
          </w:tcPr>
          <w:p w14:paraId="1418E444">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宋体" w:hAnsi="宋体" w:eastAsia="宋体" w:cs="宋体"/>
                <w:color w:val="auto"/>
                <w:spacing w:val="0"/>
                <w:kern w:val="0"/>
                <w:position w:val="0"/>
                <w:sz w:val="24"/>
                <w:szCs w:val="24"/>
                <w:highlight w:val="none"/>
              </w:rPr>
            </w:pPr>
          </w:p>
        </w:tc>
        <w:tc>
          <w:tcPr>
            <w:tcW w:w="691" w:type="dxa"/>
            <w:noWrap w:val="0"/>
            <w:vAlign w:val="top"/>
          </w:tcPr>
          <w:p w14:paraId="245065E0">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宋体" w:hAnsi="宋体" w:eastAsia="宋体" w:cs="宋体"/>
                <w:color w:val="auto"/>
                <w:spacing w:val="0"/>
                <w:kern w:val="0"/>
                <w:position w:val="0"/>
                <w:sz w:val="24"/>
                <w:szCs w:val="24"/>
                <w:highlight w:val="none"/>
              </w:rPr>
            </w:pPr>
          </w:p>
        </w:tc>
      </w:tr>
      <w:tr w14:paraId="6FC2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center"/>
          </w:tcPr>
          <w:p w14:paraId="436DEB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w:t>
            </w:r>
          </w:p>
        </w:tc>
        <w:tc>
          <w:tcPr>
            <w:tcW w:w="1418" w:type="dxa"/>
            <w:noWrap w:val="0"/>
            <w:vAlign w:val="center"/>
          </w:tcPr>
          <w:p w14:paraId="55C8F202">
            <w:pPr>
              <w:pStyle w:val="2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both"/>
              <w:textAlignment w:val="baseline"/>
              <w:rPr>
                <w:rFonts w:hint="eastAsia" w:ascii="宋体" w:hAnsi="宋体" w:eastAsia="宋体" w:cs="宋体"/>
                <w:color w:val="auto"/>
                <w:spacing w:val="0"/>
                <w:kern w:val="2"/>
                <w:position w:val="0"/>
                <w:sz w:val="24"/>
                <w:szCs w:val="24"/>
                <w:highlight w:val="none"/>
              </w:rPr>
            </w:pPr>
            <w:r>
              <w:rPr>
                <w:rStyle w:val="53"/>
                <w:rFonts w:hint="eastAsia" w:ascii="宋体" w:hAnsi="宋体" w:eastAsia="宋体" w:cs="宋体"/>
                <w:b w:val="0"/>
                <w:bCs/>
                <w:i w:val="0"/>
                <w:caps w:val="0"/>
                <w:color w:val="auto"/>
                <w:spacing w:val="0"/>
                <w:w w:val="100"/>
                <w:kern w:val="2"/>
                <w:position w:val="0"/>
                <w:sz w:val="24"/>
                <w:szCs w:val="24"/>
                <w:highlight w:val="none"/>
                <w:lang w:bidi="ar-SA"/>
              </w:rPr>
              <w:t>有依法缴纳税收和社会保障资金的良好记录</w:t>
            </w:r>
          </w:p>
        </w:tc>
        <w:tc>
          <w:tcPr>
            <w:tcW w:w="4594" w:type="dxa"/>
            <w:noWrap w:val="0"/>
            <w:vAlign w:val="center"/>
          </w:tcPr>
          <w:p w14:paraId="7798075E">
            <w:pPr>
              <w:pStyle w:val="2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both"/>
              <w:textAlignment w:val="baseline"/>
              <w:rPr>
                <w:rFonts w:hint="eastAsia" w:ascii="宋体" w:hAnsi="宋体" w:eastAsia="宋体" w:cs="宋体"/>
                <w:color w:val="auto"/>
                <w:spacing w:val="0"/>
                <w:kern w:val="2"/>
                <w:position w:val="0"/>
                <w:sz w:val="24"/>
                <w:szCs w:val="24"/>
                <w:highlight w:val="none"/>
              </w:rPr>
            </w:pPr>
            <w:r>
              <w:rPr>
                <w:rStyle w:val="53"/>
                <w:rFonts w:hint="eastAsia" w:ascii="宋体" w:hAnsi="宋体" w:eastAsia="宋体" w:cs="宋体"/>
                <w:b w:val="0"/>
                <w:bCs/>
                <w:i w:val="0"/>
                <w:caps w:val="0"/>
                <w:color w:val="auto"/>
                <w:spacing w:val="0"/>
                <w:w w:val="100"/>
                <w:kern w:val="2"/>
                <w:position w:val="0"/>
                <w:sz w:val="24"/>
                <w:szCs w:val="24"/>
                <w:highlight w:val="none"/>
                <w:lang w:bidi="ar-SA"/>
              </w:rPr>
              <w:t>提供近半年内任意一月依法缴纳税收证明，当月新成立公司不需提供；无需纳税或免税的也需提供相应证明材料；提供依法缴纳社会保障资金证明（近半年内任意一月缴纳社会保障资金证明，当月新成立公司不需提供）</w:t>
            </w:r>
          </w:p>
        </w:tc>
        <w:tc>
          <w:tcPr>
            <w:tcW w:w="684" w:type="dxa"/>
            <w:noWrap w:val="0"/>
            <w:vAlign w:val="center"/>
          </w:tcPr>
          <w:p w14:paraId="04ACCA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pacing w:val="0"/>
                <w:position w:val="0"/>
                <w:sz w:val="24"/>
                <w:szCs w:val="24"/>
                <w:highlight w:val="none"/>
              </w:rPr>
            </w:pPr>
          </w:p>
        </w:tc>
        <w:tc>
          <w:tcPr>
            <w:tcW w:w="685" w:type="dxa"/>
            <w:noWrap w:val="0"/>
            <w:vAlign w:val="top"/>
          </w:tcPr>
          <w:p w14:paraId="4347BA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pacing w:val="0"/>
                <w:position w:val="0"/>
                <w:sz w:val="24"/>
                <w:szCs w:val="24"/>
                <w:highlight w:val="none"/>
              </w:rPr>
            </w:pPr>
          </w:p>
        </w:tc>
        <w:tc>
          <w:tcPr>
            <w:tcW w:w="691" w:type="dxa"/>
            <w:noWrap w:val="0"/>
            <w:vAlign w:val="top"/>
          </w:tcPr>
          <w:p w14:paraId="39A22A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pacing w:val="0"/>
                <w:position w:val="0"/>
                <w:sz w:val="24"/>
                <w:szCs w:val="24"/>
                <w:highlight w:val="none"/>
              </w:rPr>
            </w:pPr>
          </w:p>
        </w:tc>
      </w:tr>
      <w:tr w14:paraId="32F2C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center"/>
          </w:tcPr>
          <w:p w14:paraId="48866D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w:t>
            </w:r>
          </w:p>
        </w:tc>
        <w:tc>
          <w:tcPr>
            <w:tcW w:w="1418" w:type="dxa"/>
            <w:noWrap w:val="0"/>
            <w:vAlign w:val="center"/>
          </w:tcPr>
          <w:p w14:paraId="5C599029">
            <w:pPr>
              <w:pStyle w:val="2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both"/>
              <w:textAlignment w:val="baseline"/>
              <w:rPr>
                <w:rFonts w:hint="eastAsia" w:ascii="宋体" w:hAnsi="宋体" w:eastAsia="宋体" w:cs="宋体"/>
                <w:color w:val="auto"/>
                <w:spacing w:val="0"/>
                <w:kern w:val="2"/>
                <w:position w:val="0"/>
                <w:sz w:val="24"/>
                <w:szCs w:val="24"/>
                <w:highlight w:val="none"/>
              </w:rPr>
            </w:pPr>
            <w:r>
              <w:rPr>
                <w:rFonts w:hint="eastAsia" w:ascii="宋体" w:hAnsi="宋体" w:eastAsia="宋体" w:cs="宋体"/>
                <w:b w:val="0"/>
                <w:bCs/>
                <w:i w:val="0"/>
                <w:caps w:val="0"/>
                <w:color w:val="auto"/>
                <w:spacing w:val="0"/>
                <w:w w:val="100"/>
                <w:kern w:val="2"/>
                <w:position w:val="0"/>
                <w:sz w:val="24"/>
                <w:szCs w:val="24"/>
                <w:highlight w:val="none"/>
                <w:lang w:val="en-US" w:bidi="ar-SA"/>
              </w:rPr>
              <w:t>参加政府采购活动前三年内，在经营活动中没有重大违法记录</w:t>
            </w:r>
          </w:p>
        </w:tc>
        <w:tc>
          <w:tcPr>
            <w:tcW w:w="4594" w:type="dxa"/>
            <w:noWrap w:val="0"/>
            <w:vAlign w:val="center"/>
          </w:tcPr>
          <w:p w14:paraId="26658CF4">
            <w:pPr>
              <w:pStyle w:val="2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both"/>
              <w:textAlignment w:val="baseline"/>
              <w:rPr>
                <w:rFonts w:hint="eastAsia" w:ascii="宋体" w:hAnsi="宋体" w:eastAsia="宋体" w:cs="宋体"/>
                <w:color w:val="auto"/>
                <w:spacing w:val="0"/>
                <w:kern w:val="2"/>
                <w:position w:val="0"/>
                <w:sz w:val="24"/>
                <w:szCs w:val="24"/>
                <w:highlight w:val="none"/>
              </w:rPr>
            </w:pPr>
            <w:r>
              <w:rPr>
                <w:rStyle w:val="53"/>
                <w:rFonts w:hint="eastAsia" w:ascii="宋体" w:hAnsi="宋体" w:eastAsia="宋体" w:cs="宋体"/>
                <w:b w:val="0"/>
                <w:bCs/>
                <w:i w:val="0"/>
                <w:caps w:val="0"/>
                <w:color w:val="auto"/>
                <w:spacing w:val="0"/>
                <w:w w:val="100"/>
                <w:kern w:val="2"/>
                <w:position w:val="0"/>
                <w:sz w:val="24"/>
                <w:szCs w:val="24"/>
                <w:highlight w:val="none"/>
                <w:lang w:bidi="ar-SA"/>
              </w:rPr>
              <w:t>提供参加本次政府采购活动前3年内在经营活动中没有重大违法记录的书面承诺函并加盖单位章</w:t>
            </w:r>
          </w:p>
        </w:tc>
        <w:tc>
          <w:tcPr>
            <w:tcW w:w="684" w:type="dxa"/>
            <w:noWrap w:val="0"/>
            <w:vAlign w:val="center"/>
          </w:tcPr>
          <w:p w14:paraId="240F86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pacing w:val="0"/>
                <w:position w:val="0"/>
                <w:sz w:val="24"/>
                <w:szCs w:val="24"/>
                <w:highlight w:val="none"/>
              </w:rPr>
            </w:pPr>
          </w:p>
        </w:tc>
        <w:tc>
          <w:tcPr>
            <w:tcW w:w="685" w:type="dxa"/>
            <w:noWrap w:val="0"/>
            <w:vAlign w:val="top"/>
          </w:tcPr>
          <w:p w14:paraId="3C5E7A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pacing w:val="0"/>
                <w:position w:val="0"/>
                <w:sz w:val="24"/>
                <w:szCs w:val="24"/>
                <w:highlight w:val="none"/>
              </w:rPr>
            </w:pPr>
          </w:p>
        </w:tc>
        <w:tc>
          <w:tcPr>
            <w:tcW w:w="691" w:type="dxa"/>
            <w:noWrap w:val="0"/>
            <w:vAlign w:val="top"/>
          </w:tcPr>
          <w:p w14:paraId="58722B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pacing w:val="0"/>
                <w:position w:val="0"/>
                <w:sz w:val="24"/>
                <w:szCs w:val="24"/>
                <w:highlight w:val="none"/>
              </w:rPr>
            </w:pPr>
          </w:p>
        </w:tc>
      </w:tr>
      <w:tr w14:paraId="5433B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center"/>
          </w:tcPr>
          <w:p w14:paraId="434D21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6</w:t>
            </w:r>
          </w:p>
        </w:tc>
        <w:tc>
          <w:tcPr>
            <w:tcW w:w="1418" w:type="dxa"/>
            <w:noWrap w:val="0"/>
            <w:vAlign w:val="center"/>
          </w:tcPr>
          <w:p w14:paraId="038C9E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position w:val="0"/>
                <w:sz w:val="24"/>
                <w:szCs w:val="24"/>
                <w:highlight w:val="none"/>
              </w:rPr>
              <w:t>投标保证金</w:t>
            </w:r>
          </w:p>
        </w:tc>
        <w:tc>
          <w:tcPr>
            <w:tcW w:w="4594" w:type="dxa"/>
            <w:noWrap w:val="0"/>
            <w:vAlign w:val="center"/>
          </w:tcPr>
          <w:p w14:paraId="011833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position w:val="0"/>
                <w:sz w:val="24"/>
                <w:szCs w:val="24"/>
                <w:highlight w:val="none"/>
              </w:rPr>
              <w:t>是否按照投标须知要求金额递交了投标保证金，并提供了投标保证金缴纳凭证</w:t>
            </w:r>
          </w:p>
        </w:tc>
        <w:tc>
          <w:tcPr>
            <w:tcW w:w="684" w:type="dxa"/>
            <w:noWrap w:val="0"/>
            <w:vAlign w:val="center"/>
          </w:tcPr>
          <w:p w14:paraId="790F11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pacing w:val="0"/>
                <w:position w:val="0"/>
                <w:sz w:val="24"/>
                <w:szCs w:val="24"/>
                <w:highlight w:val="none"/>
              </w:rPr>
            </w:pPr>
          </w:p>
        </w:tc>
        <w:tc>
          <w:tcPr>
            <w:tcW w:w="685" w:type="dxa"/>
            <w:noWrap w:val="0"/>
            <w:vAlign w:val="top"/>
          </w:tcPr>
          <w:p w14:paraId="14E02E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pacing w:val="0"/>
                <w:position w:val="0"/>
                <w:sz w:val="24"/>
                <w:szCs w:val="24"/>
                <w:highlight w:val="none"/>
              </w:rPr>
            </w:pPr>
          </w:p>
        </w:tc>
        <w:tc>
          <w:tcPr>
            <w:tcW w:w="691" w:type="dxa"/>
            <w:noWrap w:val="0"/>
            <w:vAlign w:val="top"/>
          </w:tcPr>
          <w:p w14:paraId="7FF558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pacing w:val="0"/>
                <w:position w:val="0"/>
                <w:sz w:val="24"/>
                <w:szCs w:val="24"/>
                <w:highlight w:val="none"/>
              </w:rPr>
            </w:pPr>
          </w:p>
        </w:tc>
      </w:tr>
      <w:tr w14:paraId="25EE1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center"/>
          </w:tcPr>
          <w:p w14:paraId="544212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default" w:ascii="宋体" w:hAnsi="宋体" w:cs="宋体"/>
                <w:color w:val="auto"/>
                <w:spacing w:val="0"/>
                <w:position w:val="0"/>
                <w:sz w:val="24"/>
                <w:szCs w:val="24"/>
                <w:highlight w:val="none"/>
                <w:lang w:val="en-US" w:eastAsia="zh-CN"/>
              </w:rPr>
            </w:pPr>
            <w:r>
              <w:rPr>
                <w:rFonts w:hint="eastAsia" w:ascii="宋体" w:hAnsi="宋体" w:cs="宋体"/>
                <w:color w:val="auto"/>
                <w:spacing w:val="0"/>
                <w:position w:val="0"/>
                <w:sz w:val="24"/>
                <w:szCs w:val="24"/>
                <w:highlight w:val="none"/>
                <w:lang w:val="en-US" w:eastAsia="zh-CN"/>
              </w:rPr>
              <w:t>7</w:t>
            </w:r>
          </w:p>
        </w:tc>
        <w:tc>
          <w:tcPr>
            <w:tcW w:w="1418" w:type="dxa"/>
            <w:noWrap w:val="0"/>
            <w:vAlign w:val="center"/>
          </w:tcPr>
          <w:p w14:paraId="5C1B8C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参加本次招标项目的供应商须具有良好的信誉</w:t>
            </w:r>
          </w:p>
        </w:tc>
        <w:tc>
          <w:tcPr>
            <w:tcW w:w="4594" w:type="dxa"/>
            <w:noWrap w:val="0"/>
            <w:vAlign w:val="center"/>
          </w:tcPr>
          <w:p w14:paraId="478342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default"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凡拟参加本次招标项目的供应商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尚在处罚期内的）的信用截图</w:t>
            </w:r>
          </w:p>
        </w:tc>
        <w:tc>
          <w:tcPr>
            <w:tcW w:w="684" w:type="dxa"/>
            <w:noWrap w:val="0"/>
            <w:vAlign w:val="center"/>
          </w:tcPr>
          <w:p w14:paraId="3E71E7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pacing w:val="0"/>
                <w:position w:val="0"/>
                <w:sz w:val="24"/>
                <w:szCs w:val="24"/>
                <w:highlight w:val="none"/>
              </w:rPr>
            </w:pPr>
          </w:p>
        </w:tc>
        <w:tc>
          <w:tcPr>
            <w:tcW w:w="685" w:type="dxa"/>
            <w:noWrap w:val="0"/>
            <w:vAlign w:val="top"/>
          </w:tcPr>
          <w:p w14:paraId="52B236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pacing w:val="0"/>
                <w:position w:val="0"/>
                <w:sz w:val="24"/>
                <w:szCs w:val="24"/>
                <w:highlight w:val="none"/>
              </w:rPr>
            </w:pPr>
          </w:p>
        </w:tc>
        <w:tc>
          <w:tcPr>
            <w:tcW w:w="691" w:type="dxa"/>
            <w:noWrap w:val="0"/>
            <w:vAlign w:val="top"/>
          </w:tcPr>
          <w:p w14:paraId="6F7D79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pacing w:val="0"/>
                <w:position w:val="0"/>
                <w:sz w:val="24"/>
                <w:szCs w:val="24"/>
                <w:highlight w:val="none"/>
              </w:rPr>
            </w:pPr>
          </w:p>
        </w:tc>
      </w:tr>
      <w:tr w14:paraId="3EF84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center"/>
          </w:tcPr>
          <w:p w14:paraId="050E3F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default" w:ascii="宋体" w:hAnsi="宋体" w:cs="宋体"/>
                <w:color w:val="auto"/>
                <w:spacing w:val="0"/>
                <w:position w:val="0"/>
                <w:sz w:val="24"/>
                <w:szCs w:val="24"/>
                <w:highlight w:val="none"/>
                <w:lang w:val="en-US" w:eastAsia="zh-CN"/>
              </w:rPr>
            </w:pPr>
            <w:r>
              <w:rPr>
                <w:rFonts w:hint="eastAsia" w:ascii="宋体" w:hAnsi="宋体" w:cs="宋体"/>
                <w:color w:val="auto"/>
                <w:spacing w:val="0"/>
                <w:position w:val="0"/>
                <w:sz w:val="24"/>
                <w:szCs w:val="24"/>
                <w:highlight w:val="none"/>
                <w:lang w:val="en-US" w:eastAsia="zh-CN"/>
              </w:rPr>
              <w:t>8</w:t>
            </w:r>
          </w:p>
        </w:tc>
        <w:tc>
          <w:tcPr>
            <w:tcW w:w="1418" w:type="dxa"/>
            <w:noWrap w:val="0"/>
            <w:vAlign w:val="center"/>
          </w:tcPr>
          <w:p w14:paraId="1E4640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default"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中小企业声明函</w:t>
            </w:r>
          </w:p>
        </w:tc>
        <w:tc>
          <w:tcPr>
            <w:tcW w:w="4594" w:type="dxa"/>
            <w:noWrap w:val="0"/>
            <w:vAlign w:val="center"/>
          </w:tcPr>
          <w:p w14:paraId="445982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default"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请根据要求单独上传《中小企业声明函》。格式以采购文件要求为准。</w:t>
            </w:r>
          </w:p>
        </w:tc>
        <w:tc>
          <w:tcPr>
            <w:tcW w:w="684" w:type="dxa"/>
            <w:noWrap w:val="0"/>
            <w:vAlign w:val="center"/>
          </w:tcPr>
          <w:p w14:paraId="6FBFBA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pacing w:val="0"/>
                <w:position w:val="0"/>
                <w:sz w:val="24"/>
                <w:szCs w:val="24"/>
                <w:highlight w:val="none"/>
              </w:rPr>
            </w:pPr>
          </w:p>
        </w:tc>
        <w:tc>
          <w:tcPr>
            <w:tcW w:w="685" w:type="dxa"/>
            <w:noWrap w:val="0"/>
            <w:vAlign w:val="top"/>
          </w:tcPr>
          <w:p w14:paraId="0CACAB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pacing w:val="0"/>
                <w:position w:val="0"/>
                <w:sz w:val="24"/>
                <w:szCs w:val="24"/>
                <w:highlight w:val="none"/>
              </w:rPr>
            </w:pPr>
          </w:p>
        </w:tc>
        <w:tc>
          <w:tcPr>
            <w:tcW w:w="691" w:type="dxa"/>
            <w:noWrap w:val="0"/>
            <w:vAlign w:val="top"/>
          </w:tcPr>
          <w:p w14:paraId="763CF9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pacing w:val="0"/>
                <w:position w:val="0"/>
                <w:sz w:val="24"/>
                <w:szCs w:val="24"/>
                <w:highlight w:val="none"/>
              </w:rPr>
            </w:pPr>
          </w:p>
        </w:tc>
      </w:tr>
      <w:tr w14:paraId="21698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68" w:type="dxa"/>
            <w:gridSpan w:val="3"/>
            <w:noWrap w:val="0"/>
            <w:vAlign w:val="center"/>
          </w:tcPr>
          <w:p w14:paraId="7452CD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资格审查结果</w:t>
            </w:r>
          </w:p>
        </w:tc>
        <w:tc>
          <w:tcPr>
            <w:tcW w:w="684" w:type="dxa"/>
            <w:noWrap w:val="0"/>
            <w:vAlign w:val="center"/>
          </w:tcPr>
          <w:p w14:paraId="4BC407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pacing w:val="0"/>
                <w:position w:val="0"/>
                <w:sz w:val="24"/>
                <w:szCs w:val="24"/>
                <w:highlight w:val="none"/>
              </w:rPr>
            </w:pPr>
          </w:p>
        </w:tc>
        <w:tc>
          <w:tcPr>
            <w:tcW w:w="685" w:type="dxa"/>
            <w:noWrap w:val="0"/>
            <w:vAlign w:val="top"/>
          </w:tcPr>
          <w:p w14:paraId="03F87A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pacing w:val="0"/>
                <w:position w:val="0"/>
                <w:sz w:val="24"/>
                <w:szCs w:val="24"/>
                <w:highlight w:val="none"/>
              </w:rPr>
            </w:pPr>
          </w:p>
        </w:tc>
        <w:tc>
          <w:tcPr>
            <w:tcW w:w="691" w:type="dxa"/>
            <w:noWrap w:val="0"/>
            <w:vAlign w:val="top"/>
          </w:tcPr>
          <w:p w14:paraId="4D7DD1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pacing w:val="0"/>
                <w:position w:val="0"/>
                <w:sz w:val="24"/>
                <w:szCs w:val="24"/>
                <w:highlight w:val="none"/>
              </w:rPr>
            </w:pPr>
          </w:p>
        </w:tc>
      </w:tr>
      <w:tr w14:paraId="1993E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68" w:type="dxa"/>
            <w:gridSpan w:val="3"/>
            <w:noWrap w:val="0"/>
            <w:vAlign w:val="center"/>
          </w:tcPr>
          <w:p w14:paraId="53CBE9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不通过理由说明</w:t>
            </w:r>
          </w:p>
        </w:tc>
        <w:tc>
          <w:tcPr>
            <w:tcW w:w="684" w:type="dxa"/>
            <w:noWrap w:val="0"/>
            <w:vAlign w:val="center"/>
          </w:tcPr>
          <w:p w14:paraId="267C40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pacing w:val="0"/>
                <w:position w:val="0"/>
                <w:sz w:val="24"/>
                <w:szCs w:val="24"/>
                <w:highlight w:val="none"/>
              </w:rPr>
            </w:pPr>
          </w:p>
        </w:tc>
        <w:tc>
          <w:tcPr>
            <w:tcW w:w="685" w:type="dxa"/>
            <w:noWrap w:val="0"/>
            <w:vAlign w:val="top"/>
          </w:tcPr>
          <w:p w14:paraId="58AFAB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pacing w:val="0"/>
                <w:position w:val="0"/>
                <w:sz w:val="24"/>
                <w:szCs w:val="24"/>
                <w:highlight w:val="none"/>
              </w:rPr>
            </w:pPr>
          </w:p>
        </w:tc>
        <w:tc>
          <w:tcPr>
            <w:tcW w:w="691" w:type="dxa"/>
            <w:noWrap w:val="0"/>
            <w:vAlign w:val="top"/>
          </w:tcPr>
          <w:p w14:paraId="307324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pacing w:val="0"/>
                <w:position w:val="0"/>
                <w:sz w:val="24"/>
                <w:szCs w:val="24"/>
                <w:highlight w:val="none"/>
              </w:rPr>
            </w:pPr>
          </w:p>
        </w:tc>
      </w:tr>
    </w:tbl>
    <w:p w14:paraId="01A1469B">
      <w:pPr>
        <w:keepNext w:val="0"/>
        <w:keepLines w:val="0"/>
        <w:pageBreakBefore w:val="0"/>
        <w:widowControl w:val="0"/>
        <w:kinsoku/>
        <w:wordWrap/>
        <w:overflowPunct/>
        <w:topLinePunct w:val="0"/>
        <w:autoSpaceDE/>
        <w:autoSpaceDN/>
        <w:bidi w:val="0"/>
        <w:adjustRightInd/>
        <w:snapToGrid/>
        <w:spacing w:afterAutospacing="0"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1.资格审查合格的打“√”，不合格的打“×”。</w:t>
      </w:r>
    </w:p>
    <w:p w14:paraId="59520A56">
      <w:pPr>
        <w:keepNext w:val="0"/>
        <w:keepLines w:val="0"/>
        <w:pageBreakBefore w:val="0"/>
        <w:widowControl w:val="0"/>
        <w:kinsoku/>
        <w:wordWrap/>
        <w:overflowPunct/>
        <w:topLinePunct w:val="0"/>
        <w:autoSpaceDE/>
        <w:autoSpaceDN/>
        <w:bidi w:val="0"/>
        <w:adjustRightInd/>
        <w:snapToGrid/>
        <w:spacing w:afterAutospacing="0"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2.资格审查结果，通过打“√”，不通过的打“×”。</w:t>
      </w:r>
    </w:p>
    <w:p w14:paraId="6A621245">
      <w:pPr>
        <w:keepNext w:val="0"/>
        <w:keepLines w:val="0"/>
        <w:pageBreakBefore w:val="0"/>
        <w:widowControl w:val="0"/>
        <w:kinsoku/>
        <w:wordWrap/>
        <w:overflowPunct/>
        <w:topLinePunct w:val="0"/>
        <w:autoSpaceDE/>
        <w:autoSpaceDN/>
        <w:bidi w:val="0"/>
        <w:adjustRightInd/>
        <w:snapToGrid/>
        <w:spacing w:afterAutospacing="0" w:line="440" w:lineRule="exact"/>
        <w:ind w:firstLine="480" w:firstLineChars="200"/>
        <w:textAlignment w:val="auto"/>
        <w:rPr>
          <w:rFonts w:hint="eastAsia" w:ascii="宋体" w:hAnsi="宋体" w:eastAsia="宋体" w:cs="宋体"/>
          <w:b/>
          <w:bCs w:val="0"/>
          <w:color w:val="auto"/>
          <w:spacing w:val="0"/>
          <w:position w:val="0"/>
          <w:sz w:val="28"/>
          <w:szCs w:val="28"/>
          <w:highlight w:val="none"/>
        </w:rPr>
      </w:pPr>
      <w:r>
        <w:rPr>
          <w:rFonts w:hint="eastAsia" w:ascii="宋体" w:hAnsi="宋体" w:eastAsia="宋体" w:cs="宋体"/>
          <w:color w:val="auto"/>
          <w:spacing w:val="0"/>
          <w:position w:val="0"/>
          <w:sz w:val="24"/>
          <w:szCs w:val="24"/>
          <w:highlight w:val="none"/>
        </w:rPr>
        <w:t>3.请填写不通过资格审查的供应商的原因。</w:t>
      </w:r>
    </w:p>
    <w:p w14:paraId="7180D9F4">
      <w:pPr>
        <w:pStyle w:val="21"/>
        <w:keepNext w:val="0"/>
        <w:keepLines w:val="0"/>
        <w:pageBreakBefore w:val="0"/>
        <w:widowControl w:val="0"/>
        <w:kinsoku/>
        <w:wordWrap/>
        <w:overflowPunct/>
        <w:topLinePunct w:val="0"/>
        <w:autoSpaceDE/>
        <w:autoSpaceDN/>
        <w:bidi w:val="0"/>
        <w:adjustRightInd/>
        <w:snapToGrid/>
        <w:spacing w:afterAutospacing="0" w:line="440" w:lineRule="exact"/>
        <w:ind w:firstLine="562" w:firstLineChars="200"/>
        <w:jc w:val="center"/>
        <w:textAlignment w:val="auto"/>
        <w:rPr>
          <w:rFonts w:hint="eastAsia" w:ascii="宋体" w:hAnsi="宋体" w:eastAsia="宋体" w:cs="宋体"/>
          <w:b/>
          <w:bCs w:val="0"/>
          <w:color w:val="auto"/>
          <w:spacing w:val="0"/>
          <w:position w:val="0"/>
          <w:sz w:val="28"/>
          <w:szCs w:val="28"/>
          <w:highlight w:val="none"/>
        </w:rPr>
      </w:pPr>
    </w:p>
    <w:p w14:paraId="35F59449">
      <w:pPr>
        <w:pStyle w:val="21"/>
        <w:keepNext w:val="0"/>
        <w:keepLines w:val="0"/>
        <w:pageBreakBefore w:val="0"/>
        <w:widowControl w:val="0"/>
        <w:kinsoku/>
        <w:wordWrap/>
        <w:overflowPunct/>
        <w:topLinePunct w:val="0"/>
        <w:autoSpaceDE/>
        <w:autoSpaceDN/>
        <w:bidi w:val="0"/>
        <w:adjustRightInd/>
        <w:snapToGrid/>
        <w:spacing w:afterAutospacing="0" w:line="440" w:lineRule="exact"/>
        <w:ind w:firstLine="562" w:firstLineChars="200"/>
        <w:jc w:val="center"/>
        <w:textAlignment w:val="auto"/>
        <w:rPr>
          <w:rFonts w:hint="eastAsia" w:ascii="宋体" w:hAnsi="宋体" w:eastAsia="宋体" w:cs="宋体"/>
          <w:b/>
          <w:bCs w:val="0"/>
          <w:color w:val="auto"/>
          <w:spacing w:val="0"/>
          <w:position w:val="0"/>
          <w:sz w:val="28"/>
          <w:szCs w:val="28"/>
          <w:highlight w:val="none"/>
        </w:rPr>
      </w:pPr>
    </w:p>
    <w:p w14:paraId="2550DFAF">
      <w:pPr>
        <w:pStyle w:val="21"/>
        <w:keepNext w:val="0"/>
        <w:keepLines w:val="0"/>
        <w:pageBreakBefore w:val="0"/>
        <w:widowControl w:val="0"/>
        <w:kinsoku/>
        <w:wordWrap/>
        <w:overflowPunct/>
        <w:topLinePunct w:val="0"/>
        <w:autoSpaceDE/>
        <w:autoSpaceDN/>
        <w:bidi w:val="0"/>
        <w:adjustRightInd/>
        <w:snapToGrid/>
        <w:spacing w:afterAutospacing="0" w:line="440" w:lineRule="exact"/>
        <w:ind w:firstLine="562" w:firstLineChars="200"/>
        <w:jc w:val="center"/>
        <w:textAlignment w:val="auto"/>
        <w:rPr>
          <w:rFonts w:hint="eastAsia" w:ascii="宋体" w:hAnsi="宋体" w:eastAsia="宋体" w:cs="宋体"/>
          <w:b/>
          <w:bCs w:val="0"/>
          <w:color w:val="auto"/>
          <w:spacing w:val="0"/>
          <w:position w:val="0"/>
          <w:sz w:val="28"/>
          <w:szCs w:val="28"/>
          <w:highlight w:val="none"/>
        </w:rPr>
      </w:pPr>
    </w:p>
    <w:p w14:paraId="7FB5B18C">
      <w:pPr>
        <w:pStyle w:val="21"/>
        <w:keepNext w:val="0"/>
        <w:keepLines w:val="0"/>
        <w:pageBreakBefore w:val="0"/>
        <w:widowControl w:val="0"/>
        <w:kinsoku/>
        <w:wordWrap/>
        <w:overflowPunct/>
        <w:topLinePunct w:val="0"/>
        <w:autoSpaceDE/>
        <w:autoSpaceDN/>
        <w:bidi w:val="0"/>
        <w:adjustRightInd/>
        <w:snapToGrid/>
        <w:spacing w:afterAutospacing="0" w:line="440" w:lineRule="exact"/>
        <w:ind w:firstLine="562" w:firstLineChars="200"/>
        <w:jc w:val="center"/>
        <w:textAlignment w:val="auto"/>
        <w:rPr>
          <w:rFonts w:hint="eastAsia" w:ascii="宋体" w:hAnsi="宋体" w:eastAsia="宋体" w:cs="宋体"/>
          <w:b/>
          <w:bCs w:val="0"/>
          <w:color w:val="auto"/>
          <w:spacing w:val="0"/>
          <w:position w:val="0"/>
          <w:sz w:val="28"/>
          <w:szCs w:val="28"/>
          <w:highlight w:val="none"/>
        </w:rPr>
      </w:pPr>
    </w:p>
    <w:p w14:paraId="6243FE5B">
      <w:pPr>
        <w:pStyle w:val="21"/>
        <w:keepNext w:val="0"/>
        <w:keepLines w:val="0"/>
        <w:pageBreakBefore w:val="0"/>
        <w:widowControl w:val="0"/>
        <w:kinsoku/>
        <w:wordWrap/>
        <w:overflowPunct/>
        <w:topLinePunct w:val="0"/>
        <w:autoSpaceDE/>
        <w:autoSpaceDN/>
        <w:bidi w:val="0"/>
        <w:adjustRightInd/>
        <w:snapToGrid/>
        <w:spacing w:afterAutospacing="0" w:line="440" w:lineRule="exact"/>
        <w:ind w:firstLine="562" w:firstLineChars="200"/>
        <w:jc w:val="center"/>
        <w:textAlignment w:val="auto"/>
        <w:rPr>
          <w:rFonts w:hint="eastAsia" w:ascii="宋体" w:hAnsi="宋体" w:eastAsia="宋体" w:cs="宋体"/>
          <w:b/>
          <w:bCs w:val="0"/>
          <w:color w:val="auto"/>
          <w:spacing w:val="0"/>
          <w:position w:val="0"/>
          <w:sz w:val="28"/>
          <w:szCs w:val="28"/>
          <w:highlight w:val="none"/>
        </w:rPr>
      </w:pPr>
    </w:p>
    <w:p w14:paraId="683A3BD1">
      <w:pPr>
        <w:pStyle w:val="21"/>
        <w:keepNext w:val="0"/>
        <w:keepLines w:val="0"/>
        <w:pageBreakBefore w:val="0"/>
        <w:widowControl w:val="0"/>
        <w:kinsoku/>
        <w:wordWrap/>
        <w:overflowPunct/>
        <w:topLinePunct w:val="0"/>
        <w:autoSpaceDE/>
        <w:autoSpaceDN/>
        <w:bidi w:val="0"/>
        <w:adjustRightInd/>
        <w:snapToGrid/>
        <w:spacing w:afterAutospacing="0" w:line="440" w:lineRule="exact"/>
        <w:ind w:firstLine="562" w:firstLineChars="200"/>
        <w:jc w:val="center"/>
        <w:textAlignment w:val="auto"/>
        <w:rPr>
          <w:rFonts w:hint="eastAsia" w:ascii="宋体" w:hAnsi="宋体" w:eastAsia="宋体" w:cs="宋体"/>
          <w:b/>
          <w:bCs w:val="0"/>
          <w:color w:val="auto"/>
          <w:spacing w:val="0"/>
          <w:position w:val="0"/>
          <w:sz w:val="28"/>
          <w:szCs w:val="28"/>
          <w:highlight w:val="none"/>
        </w:rPr>
      </w:pPr>
    </w:p>
    <w:p w14:paraId="14E439A5">
      <w:pPr>
        <w:pStyle w:val="21"/>
        <w:keepNext w:val="0"/>
        <w:keepLines w:val="0"/>
        <w:pageBreakBefore w:val="0"/>
        <w:widowControl w:val="0"/>
        <w:kinsoku/>
        <w:wordWrap/>
        <w:overflowPunct/>
        <w:topLinePunct w:val="0"/>
        <w:autoSpaceDE/>
        <w:autoSpaceDN/>
        <w:bidi w:val="0"/>
        <w:adjustRightInd/>
        <w:snapToGrid/>
        <w:spacing w:afterAutospacing="0" w:line="440" w:lineRule="exact"/>
        <w:ind w:firstLine="562" w:firstLineChars="200"/>
        <w:jc w:val="center"/>
        <w:textAlignment w:val="auto"/>
        <w:rPr>
          <w:rFonts w:hint="eastAsia" w:ascii="宋体" w:hAnsi="宋体" w:eastAsia="宋体" w:cs="宋体"/>
          <w:b/>
          <w:bCs w:val="0"/>
          <w:color w:val="auto"/>
          <w:spacing w:val="0"/>
          <w:position w:val="0"/>
          <w:sz w:val="28"/>
          <w:szCs w:val="28"/>
          <w:highlight w:val="none"/>
        </w:rPr>
      </w:pPr>
    </w:p>
    <w:p w14:paraId="4D166D78">
      <w:pPr>
        <w:pStyle w:val="21"/>
        <w:keepNext w:val="0"/>
        <w:keepLines w:val="0"/>
        <w:pageBreakBefore w:val="0"/>
        <w:widowControl w:val="0"/>
        <w:kinsoku/>
        <w:wordWrap/>
        <w:overflowPunct/>
        <w:topLinePunct w:val="0"/>
        <w:autoSpaceDE/>
        <w:autoSpaceDN/>
        <w:bidi w:val="0"/>
        <w:adjustRightInd/>
        <w:snapToGrid/>
        <w:spacing w:afterAutospacing="0" w:line="440" w:lineRule="exact"/>
        <w:ind w:firstLine="562" w:firstLineChars="200"/>
        <w:jc w:val="center"/>
        <w:textAlignment w:val="auto"/>
        <w:rPr>
          <w:rFonts w:hint="eastAsia" w:ascii="宋体" w:hAnsi="宋体" w:eastAsia="宋体" w:cs="宋体"/>
          <w:b/>
          <w:bCs w:val="0"/>
          <w:color w:val="auto"/>
          <w:spacing w:val="0"/>
          <w:position w:val="0"/>
          <w:sz w:val="28"/>
          <w:szCs w:val="28"/>
          <w:highlight w:val="none"/>
        </w:rPr>
      </w:pPr>
    </w:p>
    <w:p w14:paraId="391438FC">
      <w:pPr>
        <w:pStyle w:val="21"/>
        <w:keepNext w:val="0"/>
        <w:keepLines w:val="0"/>
        <w:pageBreakBefore w:val="0"/>
        <w:widowControl w:val="0"/>
        <w:kinsoku/>
        <w:wordWrap/>
        <w:overflowPunct/>
        <w:topLinePunct w:val="0"/>
        <w:autoSpaceDE/>
        <w:autoSpaceDN/>
        <w:bidi w:val="0"/>
        <w:adjustRightInd/>
        <w:snapToGrid/>
        <w:spacing w:afterAutospacing="0" w:line="440" w:lineRule="exact"/>
        <w:ind w:firstLine="562" w:firstLineChars="200"/>
        <w:jc w:val="center"/>
        <w:textAlignment w:val="auto"/>
        <w:rPr>
          <w:rFonts w:hint="eastAsia" w:ascii="宋体" w:hAnsi="宋体" w:eastAsia="宋体" w:cs="宋体"/>
          <w:b/>
          <w:bCs w:val="0"/>
          <w:color w:val="auto"/>
          <w:spacing w:val="0"/>
          <w:position w:val="0"/>
          <w:sz w:val="28"/>
          <w:szCs w:val="28"/>
          <w:highlight w:val="none"/>
        </w:rPr>
      </w:pPr>
    </w:p>
    <w:p w14:paraId="355D4B2E">
      <w:pPr>
        <w:pStyle w:val="21"/>
        <w:keepNext w:val="0"/>
        <w:keepLines w:val="0"/>
        <w:pageBreakBefore w:val="0"/>
        <w:widowControl w:val="0"/>
        <w:kinsoku/>
        <w:wordWrap/>
        <w:overflowPunct/>
        <w:topLinePunct w:val="0"/>
        <w:autoSpaceDE/>
        <w:autoSpaceDN/>
        <w:bidi w:val="0"/>
        <w:adjustRightInd/>
        <w:snapToGrid/>
        <w:spacing w:afterAutospacing="0" w:line="440" w:lineRule="exact"/>
        <w:ind w:firstLine="562" w:firstLineChars="200"/>
        <w:jc w:val="center"/>
        <w:textAlignment w:val="auto"/>
        <w:rPr>
          <w:rFonts w:hint="eastAsia" w:ascii="宋体" w:hAnsi="宋体" w:eastAsia="宋体" w:cs="宋体"/>
          <w:b/>
          <w:bCs w:val="0"/>
          <w:color w:val="auto"/>
          <w:spacing w:val="0"/>
          <w:position w:val="0"/>
          <w:sz w:val="28"/>
          <w:szCs w:val="28"/>
          <w:highlight w:val="none"/>
        </w:rPr>
      </w:pPr>
    </w:p>
    <w:p w14:paraId="64ABD3B8">
      <w:pPr>
        <w:pStyle w:val="21"/>
        <w:keepNext w:val="0"/>
        <w:keepLines w:val="0"/>
        <w:pageBreakBefore w:val="0"/>
        <w:widowControl w:val="0"/>
        <w:kinsoku/>
        <w:wordWrap/>
        <w:overflowPunct/>
        <w:topLinePunct w:val="0"/>
        <w:autoSpaceDE/>
        <w:autoSpaceDN/>
        <w:bidi w:val="0"/>
        <w:adjustRightInd/>
        <w:snapToGrid/>
        <w:spacing w:afterAutospacing="0" w:line="440" w:lineRule="exact"/>
        <w:ind w:firstLine="562" w:firstLineChars="200"/>
        <w:jc w:val="center"/>
        <w:textAlignment w:val="auto"/>
        <w:rPr>
          <w:rFonts w:hint="eastAsia" w:ascii="宋体" w:hAnsi="宋体" w:eastAsia="宋体" w:cs="宋体"/>
          <w:b/>
          <w:bCs w:val="0"/>
          <w:color w:val="auto"/>
          <w:spacing w:val="0"/>
          <w:position w:val="0"/>
          <w:sz w:val="28"/>
          <w:szCs w:val="28"/>
          <w:highlight w:val="none"/>
        </w:rPr>
      </w:pPr>
    </w:p>
    <w:p w14:paraId="3FB1E07C">
      <w:pPr>
        <w:pStyle w:val="21"/>
        <w:keepNext w:val="0"/>
        <w:keepLines w:val="0"/>
        <w:pageBreakBefore w:val="0"/>
        <w:widowControl w:val="0"/>
        <w:kinsoku/>
        <w:wordWrap/>
        <w:overflowPunct/>
        <w:topLinePunct w:val="0"/>
        <w:autoSpaceDE/>
        <w:autoSpaceDN/>
        <w:bidi w:val="0"/>
        <w:adjustRightInd/>
        <w:snapToGrid/>
        <w:spacing w:afterAutospacing="0" w:line="440" w:lineRule="exact"/>
        <w:ind w:firstLine="562" w:firstLineChars="200"/>
        <w:jc w:val="center"/>
        <w:textAlignment w:val="auto"/>
        <w:rPr>
          <w:rFonts w:hint="eastAsia" w:ascii="宋体" w:hAnsi="宋体" w:eastAsia="宋体" w:cs="宋体"/>
          <w:b/>
          <w:bCs w:val="0"/>
          <w:color w:val="auto"/>
          <w:spacing w:val="0"/>
          <w:position w:val="0"/>
          <w:sz w:val="28"/>
          <w:szCs w:val="28"/>
          <w:highlight w:val="none"/>
        </w:rPr>
      </w:pPr>
      <w:r>
        <w:rPr>
          <w:rFonts w:hint="eastAsia" w:ascii="宋体" w:hAnsi="宋体" w:eastAsia="宋体" w:cs="宋体"/>
          <w:b/>
          <w:bCs w:val="0"/>
          <w:color w:val="auto"/>
          <w:spacing w:val="0"/>
          <w:position w:val="0"/>
          <w:sz w:val="28"/>
          <w:szCs w:val="28"/>
          <w:highlight w:val="none"/>
        </w:rPr>
        <w:t>符合性审查</w:t>
      </w:r>
    </w:p>
    <w:p w14:paraId="32874120">
      <w:pPr>
        <w:pStyle w:val="12"/>
        <w:pageBreakBefore w:val="0"/>
        <w:kinsoku/>
        <w:overflowPunct/>
        <w:bidi w:val="0"/>
        <w:rPr>
          <w:rFonts w:hint="eastAsia" w:ascii="宋体" w:hAnsi="宋体" w:eastAsia="宋体" w:cs="宋体"/>
          <w:color w:val="auto"/>
          <w:spacing w:val="0"/>
          <w:position w:val="0"/>
          <w:sz w:val="24"/>
          <w:szCs w:val="24"/>
          <w:highlight w:val="none"/>
        </w:rPr>
      </w:pPr>
    </w:p>
    <w:tbl>
      <w:tblPr>
        <w:tblStyle w:val="38"/>
        <w:tblW w:w="94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0"/>
        <w:gridCol w:w="6330"/>
        <w:gridCol w:w="646"/>
        <w:gridCol w:w="646"/>
        <w:gridCol w:w="646"/>
        <w:gridCol w:w="597"/>
      </w:tblGrid>
      <w:tr w14:paraId="18903C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80" w:type="dxa"/>
            <w:gridSpan w:val="2"/>
            <w:vMerge w:val="restart"/>
            <w:tcBorders>
              <w:top w:val="single" w:color="auto" w:sz="12" w:space="0"/>
              <w:right w:val="single" w:color="auto" w:sz="4" w:space="0"/>
            </w:tcBorders>
            <w:noWrap w:val="0"/>
            <w:vAlign w:val="center"/>
          </w:tcPr>
          <w:p w14:paraId="43623303">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评审内容</w:t>
            </w:r>
          </w:p>
        </w:tc>
        <w:tc>
          <w:tcPr>
            <w:tcW w:w="2535" w:type="dxa"/>
            <w:gridSpan w:val="4"/>
            <w:tcBorders>
              <w:top w:val="single" w:color="auto" w:sz="12" w:space="0"/>
              <w:left w:val="single" w:color="auto" w:sz="4" w:space="0"/>
              <w:bottom w:val="single" w:color="auto" w:sz="4" w:space="0"/>
            </w:tcBorders>
            <w:noWrap w:val="0"/>
            <w:vAlign w:val="center"/>
          </w:tcPr>
          <w:p w14:paraId="4EB3A9FC">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投标企业名称</w:t>
            </w:r>
          </w:p>
        </w:tc>
      </w:tr>
      <w:tr w14:paraId="411BDD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80" w:type="dxa"/>
            <w:gridSpan w:val="2"/>
            <w:vMerge w:val="continue"/>
            <w:tcBorders>
              <w:right w:val="single" w:color="auto" w:sz="4" w:space="0"/>
            </w:tcBorders>
            <w:noWrap w:val="0"/>
            <w:vAlign w:val="center"/>
          </w:tcPr>
          <w:p w14:paraId="70B3C36A">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646" w:type="dxa"/>
            <w:tcBorders>
              <w:top w:val="single" w:color="auto" w:sz="4" w:space="0"/>
              <w:left w:val="single" w:color="auto" w:sz="4" w:space="0"/>
              <w:right w:val="single" w:color="auto" w:sz="4" w:space="0"/>
            </w:tcBorders>
            <w:noWrap w:val="0"/>
            <w:vAlign w:val="center"/>
          </w:tcPr>
          <w:p w14:paraId="00ECA5BF">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1</w:t>
            </w:r>
          </w:p>
        </w:tc>
        <w:tc>
          <w:tcPr>
            <w:tcW w:w="646" w:type="dxa"/>
            <w:tcBorders>
              <w:top w:val="single" w:color="auto" w:sz="4" w:space="0"/>
              <w:left w:val="single" w:color="auto" w:sz="4" w:space="0"/>
            </w:tcBorders>
            <w:noWrap w:val="0"/>
            <w:vAlign w:val="center"/>
          </w:tcPr>
          <w:p w14:paraId="3B5D1591">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2</w:t>
            </w:r>
          </w:p>
        </w:tc>
        <w:tc>
          <w:tcPr>
            <w:tcW w:w="646" w:type="dxa"/>
            <w:noWrap w:val="0"/>
            <w:vAlign w:val="center"/>
          </w:tcPr>
          <w:p w14:paraId="103B4E6A">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3</w:t>
            </w:r>
          </w:p>
        </w:tc>
        <w:tc>
          <w:tcPr>
            <w:tcW w:w="597" w:type="dxa"/>
            <w:noWrap w:val="0"/>
            <w:vAlign w:val="center"/>
          </w:tcPr>
          <w:p w14:paraId="5711FB16">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w:t>
            </w:r>
          </w:p>
        </w:tc>
      </w:tr>
      <w:tr w14:paraId="6B7F2D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50" w:type="dxa"/>
            <w:noWrap w:val="0"/>
            <w:vAlign w:val="center"/>
          </w:tcPr>
          <w:p w14:paraId="5D6E249B">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firstLine="0" w:firstLineChars="0"/>
              <w:jc w:val="center"/>
              <w:textAlignment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w:t>
            </w:r>
          </w:p>
        </w:tc>
        <w:tc>
          <w:tcPr>
            <w:tcW w:w="6330" w:type="dxa"/>
            <w:tcBorders>
              <w:right w:val="single" w:color="auto" w:sz="4" w:space="0"/>
            </w:tcBorders>
            <w:noWrap w:val="0"/>
            <w:vAlign w:val="center"/>
          </w:tcPr>
          <w:p w14:paraId="32264A9D">
            <w:pPr>
              <w:pStyle w:val="25"/>
              <w:keepNext w:val="0"/>
              <w:keepLines w:val="0"/>
              <w:suppressLineNumbers w:val="0"/>
              <w:spacing w:before="0" w:beforeAutospacing="0" w:after="0" w:afterAutospacing="0" w:line="440" w:lineRule="exact"/>
              <w:ind w:left="0" w:leftChars="0" w:right="0" w:rightChars="0"/>
              <w:jc w:val="both"/>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按照招标文件规定的内容、格式填写，字迹清晰可辨。</w:t>
            </w:r>
          </w:p>
        </w:tc>
        <w:tc>
          <w:tcPr>
            <w:tcW w:w="646" w:type="dxa"/>
            <w:tcBorders>
              <w:left w:val="single" w:color="auto" w:sz="4" w:space="0"/>
              <w:right w:val="single" w:color="auto" w:sz="4" w:space="0"/>
            </w:tcBorders>
            <w:noWrap w:val="0"/>
            <w:vAlign w:val="center"/>
          </w:tcPr>
          <w:p w14:paraId="54431A3B">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646" w:type="dxa"/>
            <w:tcBorders>
              <w:left w:val="single" w:color="auto" w:sz="4" w:space="0"/>
            </w:tcBorders>
            <w:noWrap w:val="0"/>
            <w:vAlign w:val="center"/>
          </w:tcPr>
          <w:p w14:paraId="409500CD">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646" w:type="dxa"/>
            <w:tcBorders>
              <w:right w:val="single" w:color="auto" w:sz="4" w:space="0"/>
            </w:tcBorders>
            <w:noWrap w:val="0"/>
            <w:vAlign w:val="center"/>
          </w:tcPr>
          <w:p w14:paraId="07B1CFAC">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597" w:type="dxa"/>
            <w:tcBorders>
              <w:left w:val="single" w:color="auto" w:sz="4" w:space="0"/>
            </w:tcBorders>
            <w:noWrap w:val="0"/>
            <w:vAlign w:val="center"/>
          </w:tcPr>
          <w:p w14:paraId="6CCFD299">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r>
      <w:tr w14:paraId="59E147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50" w:type="dxa"/>
            <w:noWrap w:val="0"/>
            <w:vAlign w:val="center"/>
          </w:tcPr>
          <w:p w14:paraId="7AA033CA">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firstLine="0" w:firstLineChars="0"/>
              <w:jc w:val="center"/>
              <w:textAlignment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w:t>
            </w:r>
          </w:p>
        </w:tc>
        <w:tc>
          <w:tcPr>
            <w:tcW w:w="6330" w:type="dxa"/>
            <w:tcBorders>
              <w:right w:val="single" w:color="auto" w:sz="4" w:space="0"/>
            </w:tcBorders>
            <w:noWrap w:val="0"/>
            <w:vAlign w:val="center"/>
          </w:tcPr>
          <w:p w14:paraId="3F701E3F">
            <w:pPr>
              <w:pStyle w:val="25"/>
              <w:keepNext w:val="0"/>
              <w:keepLines w:val="0"/>
              <w:suppressLineNumbers w:val="0"/>
              <w:spacing w:before="0" w:beforeAutospacing="0" w:after="0" w:afterAutospacing="0" w:line="440" w:lineRule="exact"/>
              <w:ind w:left="0" w:leftChars="0" w:right="0" w:rightChars="0"/>
              <w:jc w:val="both"/>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提供法定代表人授权委托书或提供法定代表人身份证明。</w:t>
            </w:r>
          </w:p>
        </w:tc>
        <w:tc>
          <w:tcPr>
            <w:tcW w:w="646" w:type="dxa"/>
            <w:tcBorders>
              <w:left w:val="single" w:color="auto" w:sz="4" w:space="0"/>
              <w:right w:val="single" w:color="auto" w:sz="4" w:space="0"/>
            </w:tcBorders>
            <w:noWrap w:val="0"/>
            <w:vAlign w:val="center"/>
          </w:tcPr>
          <w:p w14:paraId="58B0D9CA">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646" w:type="dxa"/>
            <w:tcBorders>
              <w:left w:val="single" w:color="auto" w:sz="4" w:space="0"/>
            </w:tcBorders>
            <w:noWrap w:val="0"/>
            <w:vAlign w:val="center"/>
          </w:tcPr>
          <w:p w14:paraId="0D2B0BEB">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646" w:type="dxa"/>
            <w:tcBorders>
              <w:right w:val="single" w:color="auto" w:sz="4" w:space="0"/>
            </w:tcBorders>
            <w:noWrap w:val="0"/>
            <w:vAlign w:val="center"/>
          </w:tcPr>
          <w:p w14:paraId="598B401C">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597" w:type="dxa"/>
            <w:tcBorders>
              <w:left w:val="single" w:color="auto" w:sz="4" w:space="0"/>
            </w:tcBorders>
            <w:noWrap w:val="0"/>
            <w:vAlign w:val="center"/>
          </w:tcPr>
          <w:p w14:paraId="1A8DA1D8">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r>
      <w:tr w14:paraId="7BB70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50" w:type="dxa"/>
            <w:noWrap w:val="0"/>
            <w:vAlign w:val="center"/>
          </w:tcPr>
          <w:p w14:paraId="6D53CD05">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firstLine="0" w:firstLineChars="0"/>
              <w:jc w:val="center"/>
              <w:textAlignment w:val="center"/>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3</w:t>
            </w:r>
          </w:p>
        </w:tc>
        <w:tc>
          <w:tcPr>
            <w:tcW w:w="6330" w:type="dxa"/>
            <w:tcBorders>
              <w:right w:val="single" w:color="auto" w:sz="4" w:space="0"/>
            </w:tcBorders>
            <w:noWrap w:val="0"/>
            <w:vAlign w:val="center"/>
          </w:tcPr>
          <w:p w14:paraId="7D01EC01">
            <w:pPr>
              <w:pStyle w:val="25"/>
              <w:keepNext w:val="0"/>
              <w:keepLines w:val="0"/>
              <w:suppressLineNumbers w:val="0"/>
              <w:spacing w:before="0" w:beforeAutospacing="0" w:after="0" w:afterAutospacing="0" w:line="440" w:lineRule="exact"/>
              <w:ind w:left="0" w:leftChars="0" w:right="0" w:rightChars="0"/>
              <w:jc w:val="both"/>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按照招标文件规定要求编制、签署、盖章</w:t>
            </w:r>
          </w:p>
        </w:tc>
        <w:tc>
          <w:tcPr>
            <w:tcW w:w="646" w:type="dxa"/>
            <w:tcBorders>
              <w:left w:val="single" w:color="auto" w:sz="4" w:space="0"/>
              <w:right w:val="single" w:color="auto" w:sz="4" w:space="0"/>
            </w:tcBorders>
            <w:noWrap w:val="0"/>
            <w:vAlign w:val="center"/>
          </w:tcPr>
          <w:p w14:paraId="0A7E862A">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646" w:type="dxa"/>
            <w:tcBorders>
              <w:left w:val="single" w:color="auto" w:sz="4" w:space="0"/>
            </w:tcBorders>
            <w:noWrap w:val="0"/>
            <w:vAlign w:val="center"/>
          </w:tcPr>
          <w:p w14:paraId="587D3F19">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646" w:type="dxa"/>
            <w:tcBorders>
              <w:right w:val="single" w:color="auto" w:sz="4" w:space="0"/>
            </w:tcBorders>
            <w:noWrap w:val="0"/>
            <w:vAlign w:val="center"/>
          </w:tcPr>
          <w:p w14:paraId="6245AFAC">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597" w:type="dxa"/>
            <w:tcBorders>
              <w:left w:val="single" w:color="auto" w:sz="4" w:space="0"/>
            </w:tcBorders>
            <w:noWrap w:val="0"/>
            <w:vAlign w:val="center"/>
          </w:tcPr>
          <w:p w14:paraId="4C9AEFD4">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r>
      <w:tr w14:paraId="11E5DE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50" w:type="dxa"/>
            <w:noWrap w:val="0"/>
            <w:vAlign w:val="center"/>
          </w:tcPr>
          <w:p w14:paraId="7D53B5EA">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firstLine="0" w:firstLineChars="0"/>
              <w:jc w:val="center"/>
              <w:textAlignment w:val="center"/>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4</w:t>
            </w:r>
          </w:p>
        </w:tc>
        <w:tc>
          <w:tcPr>
            <w:tcW w:w="6330" w:type="dxa"/>
            <w:tcBorders>
              <w:right w:val="single" w:color="auto" w:sz="4" w:space="0"/>
            </w:tcBorders>
            <w:noWrap w:val="0"/>
            <w:vAlign w:val="center"/>
          </w:tcPr>
          <w:p w14:paraId="4B218BB8">
            <w:pPr>
              <w:pStyle w:val="25"/>
              <w:keepNext w:val="0"/>
              <w:keepLines w:val="0"/>
              <w:suppressLineNumbers w:val="0"/>
              <w:spacing w:before="0" w:beforeAutospacing="0" w:after="0" w:afterAutospacing="0" w:line="440" w:lineRule="exact"/>
              <w:ind w:left="0" w:leftChars="0" w:right="0" w:rightChars="0"/>
              <w:jc w:val="both"/>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投标文件按照招标文件规定在应由企业法人或法人授权代表在所有规定签字处逐一签章及加盖单位电子公章。</w:t>
            </w:r>
          </w:p>
        </w:tc>
        <w:tc>
          <w:tcPr>
            <w:tcW w:w="646" w:type="dxa"/>
            <w:tcBorders>
              <w:left w:val="single" w:color="auto" w:sz="4" w:space="0"/>
              <w:right w:val="single" w:color="auto" w:sz="4" w:space="0"/>
            </w:tcBorders>
            <w:noWrap w:val="0"/>
            <w:vAlign w:val="center"/>
          </w:tcPr>
          <w:p w14:paraId="57FED81C">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646" w:type="dxa"/>
            <w:tcBorders>
              <w:left w:val="single" w:color="auto" w:sz="4" w:space="0"/>
            </w:tcBorders>
            <w:noWrap w:val="0"/>
            <w:vAlign w:val="center"/>
          </w:tcPr>
          <w:p w14:paraId="6F7415DD">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646" w:type="dxa"/>
            <w:tcBorders>
              <w:right w:val="single" w:color="auto" w:sz="4" w:space="0"/>
            </w:tcBorders>
            <w:noWrap w:val="0"/>
            <w:vAlign w:val="center"/>
          </w:tcPr>
          <w:p w14:paraId="0EE030D9">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597" w:type="dxa"/>
            <w:tcBorders>
              <w:left w:val="single" w:color="auto" w:sz="4" w:space="0"/>
            </w:tcBorders>
            <w:noWrap w:val="0"/>
            <w:vAlign w:val="center"/>
          </w:tcPr>
          <w:p w14:paraId="4AFF2C37">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r>
      <w:tr w14:paraId="24A795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50" w:type="dxa"/>
            <w:noWrap w:val="0"/>
            <w:vAlign w:val="center"/>
          </w:tcPr>
          <w:p w14:paraId="6A39D30E">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firstLine="0" w:firstLineChars="0"/>
              <w:jc w:val="center"/>
              <w:textAlignment w:val="center"/>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5</w:t>
            </w:r>
          </w:p>
        </w:tc>
        <w:tc>
          <w:tcPr>
            <w:tcW w:w="6330" w:type="dxa"/>
            <w:tcBorders>
              <w:right w:val="single" w:color="auto" w:sz="4" w:space="0"/>
            </w:tcBorders>
            <w:noWrap w:val="0"/>
            <w:vAlign w:val="center"/>
          </w:tcPr>
          <w:p w14:paraId="3EE9EC46">
            <w:pPr>
              <w:pStyle w:val="25"/>
              <w:keepNext w:val="0"/>
              <w:keepLines w:val="0"/>
              <w:suppressLineNumbers w:val="0"/>
              <w:spacing w:before="0" w:beforeAutospacing="0" w:after="0" w:afterAutospacing="0" w:line="440" w:lineRule="exact"/>
              <w:ind w:left="0" w:leftChars="0" w:right="0" w:rightChars="0"/>
              <w:jc w:val="both"/>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投标有效期满足招标文件要求</w:t>
            </w:r>
          </w:p>
        </w:tc>
        <w:tc>
          <w:tcPr>
            <w:tcW w:w="646" w:type="dxa"/>
            <w:tcBorders>
              <w:left w:val="single" w:color="auto" w:sz="4" w:space="0"/>
              <w:right w:val="single" w:color="auto" w:sz="4" w:space="0"/>
            </w:tcBorders>
            <w:noWrap w:val="0"/>
            <w:vAlign w:val="center"/>
          </w:tcPr>
          <w:p w14:paraId="7C10C759">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646" w:type="dxa"/>
            <w:tcBorders>
              <w:left w:val="single" w:color="auto" w:sz="4" w:space="0"/>
            </w:tcBorders>
            <w:noWrap w:val="0"/>
            <w:vAlign w:val="center"/>
          </w:tcPr>
          <w:p w14:paraId="616E6880">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646" w:type="dxa"/>
            <w:tcBorders>
              <w:right w:val="single" w:color="auto" w:sz="4" w:space="0"/>
            </w:tcBorders>
            <w:noWrap w:val="0"/>
            <w:vAlign w:val="center"/>
          </w:tcPr>
          <w:p w14:paraId="6FF0BFA9">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597" w:type="dxa"/>
            <w:tcBorders>
              <w:left w:val="single" w:color="auto" w:sz="4" w:space="0"/>
            </w:tcBorders>
            <w:noWrap w:val="0"/>
            <w:vAlign w:val="center"/>
          </w:tcPr>
          <w:p w14:paraId="32FEA748">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r>
      <w:tr w14:paraId="7F29F9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50" w:type="dxa"/>
            <w:noWrap w:val="0"/>
            <w:vAlign w:val="center"/>
          </w:tcPr>
          <w:p w14:paraId="330521E2">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firstLine="0" w:firstLineChars="0"/>
              <w:jc w:val="center"/>
              <w:textAlignment w:val="center"/>
              <w:rPr>
                <w:rFonts w:hint="default"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6</w:t>
            </w:r>
          </w:p>
        </w:tc>
        <w:tc>
          <w:tcPr>
            <w:tcW w:w="6330" w:type="dxa"/>
            <w:tcBorders>
              <w:right w:val="single" w:color="auto" w:sz="4" w:space="0"/>
            </w:tcBorders>
            <w:noWrap w:val="0"/>
            <w:vAlign w:val="center"/>
          </w:tcPr>
          <w:p w14:paraId="24D72FCE">
            <w:pPr>
              <w:pStyle w:val="25"/>
              <w:keepNext w:val="0"/>
              <w:keepLines w:val="0"/>
              <w:suppressLineNumbers w:val="0"/>
              <w:spacing w:before="0" w:beforeAutospacing="0" w:after="0" w:afterAutospacing="0" w:line="440" w:lineRule="exact"/>
              <w:ind w:left="0" w:leftChars="0" w:right="0" w:rightChars="0"/>
              <w:jc w:val="both"/>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bCs w:val="0"/>
                <w:color w:val="auto"/>
                <w:spacing w:val="0"/>
                <w:kern w:val="2"/>
                <w:sz w:val="24"/>
                <w:szCs w:val="24"/>
                <w:highlight w:val="none"/>
                <w:lang w:val="en-US" w:eastAsia="zh-CN" w:bidi="ar"/>
              </w:rPr>
              <w:t>供应商的投标报价未超出相应采购预算金额（最高限价）。</w:t>
            </w:r>
          </w:p>
        </w:tc>
        <w:tc>
          <w:tcPr>
            <w:tcW w:w="646" w:type="dxa"/>
            <w:tcBorders>
              <w:left w:val="single" w:color="auto" w:sz="4" w:space="0"/>
              <w:right w:val="single" w:color="auto" w:sz="4" w:space="0"/>
            </w:tcBorders>
            <w:noWrap w:val="0"/>
            <w:vAlign w:val="center"/>
          </w:tcPr>
          <w:p w14:paraId="522D5D0C">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646" w:type="dxa"/>
            <w:tcBorders>
              <w:left w:val="single" w:color="auto" w:sz="4" w:space="0"/>
            </w:tcBorders>
            <w:noWrap w:val="0"/>
            <w:vAlign w:val="center"/>
          </w:tcPr>
          <w:p w14:paraId="64467F46">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646" w:type="dxa"/>
            <w:tcBorders>
              <w:right w:val="single" w:color="auto" w:sz="4" w:space="0"/>
            </w:tcBorders>
            <w:noWrap w:val="0"/>
            <w:vAlign w:val="center"/>
          </w:tcPr>
          <w:p w14:paraId="565ECD1E">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597" w:type="dxa"/>
            <w:tcBorders>
              <w:left w:val="single" w:color="auto" w:sz="4" w:space="0"/>
            </w:tcBorders>
            <w:noWrap w:val="0"/>
            <w:vAlign w:val="center"/>
          </w:tcPr>
          <w:p w14:paraId="79C93D40">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r>
      <w:tr w14:paraId="02FC7F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50" w:type="dxa"/>
            <w:noWrap w:val="0"/>
            <w:vAlign w:val="center"/>
          </w:tcPr>
          <w:p w14:paraId="56980AFC">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firstLine="0" w:firstLineChars="0"/>
              <w:jc w:val="center"/>
              <w:textAlignment w:val="center"/>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7</w:t>
            </w:r>
          </w:p>
        </w:tc>
        <w:tc>
          <w:tcPr>
            <w:tcW w:w="6330" w:type="dxa"/>
            <w:tcBorders>
              <w:right w:val="single" w:color="auto" w:sz="4" w:space="0"/>
            </w:tcBorders>
            <w:noWrap w:val="0"/>
            <w:vAlign w:val="center"/>
          </w:tcPr>
          <w:p w14:paraId="30113628">
            <w:pPr>
              <w:pStyle w:val="25"/>
              <w:keepNext w:val="0"/>
              <w:keepLines w:val="0"/>
              <w:suppressLineNumbers w:val="0"/>
              <w:spacing w:before="0" w:beforeAutospacing="0" w:after="0" w:afterAutospacing="0" w:line="440" w:lineRule="exact"/>
              <w:ind w:left="0" w:leftChars="0" w:right="0" w:rightChars="0"/>
              <w:jc w:val="both"/>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服务周期满足招标文件要求</w:t>
            </w:r>
          </w:p>
        </w:tc>
        <w:tc>
          <w:tcPr>
            <w:tcW w:w="646" w:type="dxa"/>
            <w:tcBorders>
              <w:left w:val="single" w:color="auto" w:sz="4" w:space="0"/>
              <w:right w:val="single" w:color="auto" w:sz="4" w:space="0"/>
            </w:tcBorders>
            <w:noWrap w:val="0"/>
            <w:vAlign w:val="center"/>
          </w:tcPr>
          <w:p w14:paraId="36315B45">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646" w:type="dxa"/>
            <w:tcBorders>
              <w:left w:val="single" w:color="auto" w:sz="4" w:space="0"/>
            </w:tcBorders>
            <w:noWrap w:val="0"/>
            <w:vAlign w:val="center"/>
          </w:tcPr>
          <w:p w14:paraId="18402155">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646" w:type="dxa"/>
            <w:tcBorders>
              <w:right w:val="single" w:color="auto" w:sz="4" w:space="0"/>
            </w:tcBorders>
            <w:noWrap w:val="0"/>
            <w:vAlign w:val="center"/>
          </w:tcPr>
          <w:p w14:paraId="4DE5AAD8">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597" w:type="dxa"/>
            <w:tcBorders>
              <w:left w:val="single" w:color="auto" w:sz="4" w:space="0"/>
            </w:tcBorders>
            <w:noWrap w:val="0"/>
            <w:vAlign w:val="center"/>
          </w:tcPr>
          <w:p w14:paraId="70BE0DED">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r>
      <w:tr w14:paraId="217E69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50" w:type="dxa"/>
            <w:noWrap w:val="0"/>
            <w:vAlign w:val="center"/>
          </w:tcPr>
          <w:p w14:paraId="1697C663">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firstLine="0" w:firstLineChars="0"/>
              <w:jc w:val="center"/>
              <w:textAlignment w:val="center"/>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8</w:t>
            </w:r>
          </w:p>
        </w:tc>
        <w:tc>
          <w:tcPr>
            <w:tcW w:w="6330" w:type="dxa"/>
            <w:tcBorders>
              <w:right w:val="single" w:color="auto" w:sz="4" w:space="0"/>
            </w:tcBorders>
            <w:noWrap w:val="0"/>
            <w:vAlign w:val="center"/>
          </w:tcPr>
          <w:p w14:paraId="3CC720DF">
            <w:pPr>
              <w:pStyle w:val="25"/>
              <w:keepNext w:val="0"/>
              <w:keepLines w:val="0"/>
              <w:suppressLineNumbers w:val="0"/>
              <w:spacing w:before="0" w:beforeAutospacing="0" w:after="0" w:afterAutospacing="0" w:line="440" w:lineRule="exact"/>
              <w:ind w:left="0" w:leftChars="0" w:right="0" w:rightChars="0"/>
              <w:jc w:val="both"/>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bCs w:val="0"/>
                <w:color w:val="auto"/>
                <w:spacing w:val="0"/>
                <w:kern w:val="2"/>
                <w:sz w:val="24"/>
                <w:szCs w:val="24"/>
                <w:highlight w:val="none"/>
                <w:lang w:val="en-US" w:eastAsia="zh-CN" w:bidi="ar"/>
              </w:rPr>
              <w:t>报价合理，或投标人的报价明显低于其他通过符合性审查投标人的报价，有可能影响产品质量或者不能诚信履约的，能够应评标委员会要求在规定时间内证明其报价合理性的。</w:t>
            </w:r>
          </w:p>
        </w:tc>
        <w:tc>
          <w:tcPr>
            <w:tcW w:w="646" w:type="dxa"/>
            <w:tcBorders>
              <w:left w:val="single" w:color="auto" w:sz="4" w:space="0"/>
              <w:right w:val="single" w:color="auto" w:sz="4" w:space="0"/>
            </w:tcBorders>
            <w:noWrap w:val="0"/>
            <w:vAlign w:val="center"/>
          </w:tcPr>
          <w:p w14:paraId="406205D0">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646" w:type="dxa"/>
            <w:tcBorders>
              <w:left w:val="single" w:color="auto" w:sz="4" w:space="0"/>
            </w:tcBorders>
            <w:noWrap w:val="0"/>
            <w:vAlign w:val="center"/>
          </w:tcPr>
          <w:p w14:paraId="607E08DC">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646" w:type="dxa"/>
            <w:tcBorders>
              <w:right w:val="single" w:color="auto" w:sz="4" w:space="0"/>
            </w:tcBorders>
            <w:noWrap w:val="0"/>
            <w:vAlign w:val="center"/>
          </w:tcPr>
          <w:p w14:paraId="1B3AFC66">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597" w:type="dxa"/>
            <w:tcBorders>
              <w:left w:val="single" w:color="auto" w:sz="4" w:space="0"/>
            </w:tcBorders>
            <w:noWrap w:val="0"/>
            <w:vAlign w:val="center"/>
          </w:tcPr>
          <w:p w14:paraId="224DDBEA">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r>
      <w:tr w14:paraId="4B2186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50" w:type="dxa"/>
            <w:noWrap w:val="0"/>
            <w:vAlign w:val="center"/>
          </w:tcPr>
          <w:p w14:paraId="17CF4F72">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firstLine="0" w:firstLineChars="0"/>
              <w:jc w:val="center"/>
              <w:textAlignment w:val="center"/>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9</w:t>
            </w:r>
          </w:p>
        </w:tc>
        <w:tc>
          <w:tcPr>
            <w:tcW w:w="6330" w:type="dxa"/>
            <w:tcBorders>
              <w:right w:val="single" w:color="auto" w:sz="4" w:space="0"/>
            </w:tcBorders>
            <w:noWrap w:val="0"/>
            <w:vAlign w:val="center"/>
          </w:tcPr>
          <w:p w14:paraId="71403EEA">
            <w:pPr>
              <w:pStyle w:val="25"/>
              <w:keepNext w:val="0"/>
              <w:keepLines w:val="0"/>
              <w:suppressLineNumbers w:val="0"/>
              <w:spacing w:before="0" w:beforeAutospacing="0" w:after="0" w:afterAutospacing="0" w:line="440" w:lineRule="exact"/>
              <w:ind w:left="0" w:leftChars="0" w:right="0" w:rightChars="0"/>
              <w:jc w:val="both"/>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投标文件未附有采购人不能接受的条件或不符合招标文件的其他要求。</w:t>
            </w:r>
          </w:p>
        </w:tc>
        <w:tc>
          <w:tcPr>
            <w:tcW w:w="646" w:type="dxa"/>
            <w:tcBorders>
              <w:left w:val="single" w:color="auto" w:sz="4" w:space="0"/>
              <w:right w:val="single" w:color="auto" w:sz="4" w:space="0"/>
            </w:tcBorders>
            <w:noWrap w:val="0"/>
            <w:vAlign w:val="center"/>
          </w:tcPr>
          <w:p w14:paraId="5D7069B5">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646" w:type="dxa"/>
            <w:tcBorders>
              <w:left w:val="single" w:color="auto" w:sz="4" w:space="0"/>
            </w:tcBorders>
            <w:noWrap w:val="0"/>
            <w:vAlign w:val="center"/>
          </w:tcPr>
          <w:p w14:paraId="20FA064F">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646" w:type="dxa"/>
            <w:tcBorders>
              <w:right w:val="single" w:color="auto" w:sz="4" w:space="0"/>
            </w:tcBorders>
            <w:noWrap w:val="0"/>
            <w:vAlign w:val="center"/>
          </w:tcPr>
          <w:p w14:paraId="16D3084A">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597" w:type="dxa"/>
            <w:tcBorders>
              <w:left w:val="single" w:color="auto" w:sz="4" w:space="0"/>
            </w:tcBorders>
            <w:noWrap w:val="0"/>
            <w:vAlign w:val="center"/>
          </w:tcPr>
          <w:p w14:paraId="523E8BB2">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r>
      <w:tr w14:paraId="100CDC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50" w:type="dxa"/>
            <w:noWrap w:val="0"/>
            <w:vAlign w:val="center"/>
          </w:tcPr>
          <w:p w14:paraId="2A8A4082">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firstLine="0" w:firstLineChars="0"/>
              <w:jc w:val="center"/>
              <w:textAlignment w:val="center"/>
              <w:rPr>
                <w:rFonts w:hint="default" w:ascii="宋体" w:hAnsi="宋体" w:eastAsia="宋体" w:cs="宋体"/>
                <w:color w:val="auto"/>
                <w:spacing w:val="0"/>
                <w:position w:val="0"/>
                <w:sz w:val="24"/>
                <w:szCs w:val="24"/>
                <w:highlight w:val="none"/>
                <w:lang w:val="en-US" w:eastAsia="zh-CN"/>
              </w:rPr>
            </w:pPr>
            <w:r>
              <w:rPr>
                <w:rFonts w:hint="eastAsia" w:ascii="宋体" w:hAnsi="宋体" w:cs="宋体"/>
                <w:color w:val="auto"/>
                <w:spacing w:val="0"/>
                <w:position w:val="0"/>
                <w:sz w:val="24"/>
                <w:szCs w:val="24"/>
                <w:highlight w:val="none"/>
                <w:lang w:val="en-US" w:eastAsia="zh-CN"/>
              </w:rPr>
              <w:t>10</w:t>
            </w:r>
          </w:p>
        </w:tc>
        <w:tc>
          <w:tcPr>
            <w:tcW w:w="6330" w:type="dxa"/>
            <w:tcBorders>
              <w:right w:val="single" w:color="auto" w:sz="4" w:space="0"/>
            </w:tcBorders>
            <w:noWrap w:val="0"/>
            <w:vAlign w:val="center"/>
          </w:tcPr>
          <w:p w14:paraId="1E188093">
            <w:pPr>
              <w:pStyle w:val="25"/>
              <w:keepNext w:val="0"/>
              <w:keepLines w:val="0"/>
              <w:suppressLineNumbers w:val="0"/>
              <w:spacing w:before="0" w:beforeAutospacing="0" w:after="0" w:afterAutospacing="0" w:line="440" w:lineRule="exact"/>
              <w:ind w:left="0" w:leftChars="0" w:right="0" w:rightChars="0"/>
              <w:jc w:val="both"/>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法律、法规和招标文件规定的其他无效情形。</w:t>
            </w:r>
          </w:p>
        </w:tc>
        <w:tc>
          <w:tcPr>
            <w:tcW w:w="646" w:type="dxa"/>
            <w:tcBorders>
              <w:left w:val="single" w:color="auto" w:sz="4" w:space="0"/>
              <w:right w:val="single" w:color="auto" w:sz="4" w:space="0"/>
            </w:tcBorders>
            <w:noWrap w:val="0"/>
            <w:vAlign w:val="center"/>
          </w:tcPr>
          <w:p w14:paraId="55DAB693">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646" w:type="dxa"/>
            <w:tcBorders>
              <w:left w:val="single" w:color="auto" w:sz="4" w:space="0"/>
            </w:tcBorders>
            <w:noWrap w:val="0"/>
            <w:vAlign w:val="center"/>
          </w:tcPr>
          <w:p w14:paraId="3C091E67">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646" w:type="dxa"/>
            <w:tcBorders>
              <w:right w:val="single" w:color="auto" w:sz="4" w:space="0"/>
            </w:tcBorders>
            <w:noWrap w:val="0"/>
            <w:vAlign w:val="center"/>
          </w:tcPr>
          <w:p w14:paraId="1379B6DF">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597" w:type="dxa"/>
            <w:tcBorders>
              <w:left w:val="single" w:color="auto" w:sz="4" w:space="0"/>
            </w:tcBorders>
            <w:noWrap w:val="0"/>
            <w:vAlign w:val="center"/>
          </w:tcPr>
          <w:p w14:paraId="2F0A2E16">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r>
      <w:tr w14:paraId="40F00B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80" w:type="dxa"/>
            <w:gridSpan w:val="2"/>
            <w:tcBorders>
              <w:right w:val="single" w:color="auto" w:sz="4" w:space="0"/>
            </w:tcBorders>
            <w:noWrap w:val="0"/>
            <w:vAlign w:val="center"/>
          </w:tcPr>
          <w:p w14:paraId="0EF5252B">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审查结果</w:t>
            </w:r>
          </w:p>
        </w:tc>
        <w:tc>
          <w:tcPr>
            <w:tcW w:w="646" w:type="dxa"/>
            <w:tcBorders>
              <w:left w:val="single" w:color="auto" w:sz="4" w:space="0"/>
              <w:right w:val="single" w:color="auto" w:sz="4" w:space="0"/>
            </w:tcBorders>
            <w:noWrap w:val="0"/>
            <w:vAlign w:val="center"/>
          </w:tcPr>
          <w:p w14:paraId="47BB16DF">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646" w:type="dxa"/>
            <w:tcBorders>
              <w:left w:val="single" w:color="auto" w:sz="4" w:space="0"/>
            </w:tcBorders>
            <w:noWrap w:val="0"/>
            <w:vAlign w:val="center"/>
          </w:tcPr>
          <w:p w14:paraId="29B6B722">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646" w:type="dxa"/>
            <w:noWrap w:val="0"/>
            <w:vAlign w:val="center"/>
          </w:tcPr>
          <w:p w14:paraId="410237D4">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597" w:type="dxa"/>
            <w:noWrap w:val="0"/>
            <w:vAlign w:val="center"/>
          </w:tcPr>
          <w:p w14:paraId="2B617135">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r>
      <w:tr w14:paraId="478A3C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80" w:type="dxa"/>
            <w:gridSpan w:val="2"/>
            <w:tcBorders>
              <w:bottom w:val="single" w:color="auto" w:sz="12" w:space="0"/>
              <w:right w:val="single" w:color="auto" w:sz="4" w:space="0"/>
            </w:tcBorders>
            <w:noWrap w:val="0"/>
            <w:vAlign w:val="center"/>
          </w:tcPr>
          <w:p w14:paraId="5B588EEB">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不通过理由说明</w:t>
            </w:r>
          </w:p>
        </w:tc>
        <w:tc>
          <w:tcPr>
            <w:tcW w:w="646" w:type="dxa"/>
            <w:tcBorders>
              <w:left w:val="single" w:color="auto" w:sz="4" w:space="0"/>
              <w:bottom w:val="single" w:color="auto" w:sz="12" w:space="0"/>
              <w:right w:val="single" w:color="auto" w:sz="4" w:space="0"/>
            </w:tcBorders>
            <w:noWrap w:val="0"/>
            <w:vAlign w:val="center"/>
          </w:tcPr>
          <w:p w14:paraId="03E3479E">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646" w:type="dxa"/>
            <w:tcBorders>
              <w:left w:val="single" w:color="auto" w:sz="4" w:space="0"/>
              <w:bottom w:val="single" w:color="auto" w:sz="12" w:space="0"/>
            </w:tcBorders>
            <w:noWrap w:val="0"/>
            <w:vAlign w:val="center"/>
          </w:tcPr>
          <w:p w14:paraId="71744633">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646" w:type="dxa"/>
            <w:tcBorders>
              <w:bottom w:val="single" w:color="auto" w:sz="12" w:space="0"/>
            </w:tcBorders>
            <w:noWrap w:val="0"/>
            <w:vAlign w:val="center"/>
          </w:tcPr>
          <w:p w14:paraId="730F1ABB">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597" w:type="dxa"/>
            <w:tcBorders>
              <w:bottom w:val="single" w:color="auto" w:sz="12" w:space="0"/>
            </w:tcBorders>
            <w:noWrap w:val="0"/>
            <w:vAlign w:val="center"/>
          </w:tcPr>
          <w:p w14:paraId="4E9B3EE8">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r>
    </w:tbl>
    <w:p w14:paraId="58440B95">
      <w:pPr>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 符合性审查审查合格的打“√”，不合格的打“×”。</w:t>
      </w:r>
    </w:p>
    <w:p w14:paraId="459F2C90">
      <w:pPr>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 符合性审查审查结果，通过打“√”，不通过的打“×”。</w:t>
      </w:r>
    </w:p>
    <w:p w14:paraId="225CA6D2">
      <w:pPr>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3.请填写不通过符合性审查审查的供应商的原因。</w:t>
      </w:r>
    </w:p>
    <w:p w14:paraId="56B0B735">
      <w:pPr>
        <w:pageBreakBefore w:val="0"/>
        <w:kinsoku/>
        <w:overflowPunct/>
        <w:bidi w:val="0"/>
        <w:spacing w:line="360" w:lineRule="auto"/>
        <w:jc w:val="center"/>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eastAsia="zh-CN"/>
        </w:rPr>
        <w:t>投标文件</w:t>
      </w:r>
      <w:r>
        <w:rPr>
          <w:rFonts w:hint="eastAsia" w:ascii="宋体" w:hAnsi="宋体" w:eastAsia="宋体" w:cs="宋体"/>
          <w:color w:val="auto"/>
          <w:spacing w:val="0"/>
          <w:position w:val="0"/>
          <w:sz w:val="24"/>
          <w:szCs w:val="24"/>
          <w:highlight w:val="none"/>
        </w:rPr>
        <w:t>响应程度初步审查通过的投标企业，进入下一步详细评审阶段，未通过</w:t>
      </w:r>
      <w:r>
        <w:rPr>
          <w:rFonts w:hint="eastAsia" w:ascii="宋体" w:hAnsi="宋体" w:eastAsia="宋体" w:cs="宋体"/>
          <w:color w:val="auto"/>
          <w:spacing w:val="0"/>
          <w:position w:val="0"/>
          <w:sz w:val="24"/>
          <w:szCs w:val="24"/>
          <w:highlight w:val="none"/>
          <w:lang w:eastAsia="zh-CN"/>
        </w:rPr>
        <w:t>投标文件</w:t>
      </w:r>
      <w:r>
        <w:rPr>
          <w:rFonts w:hint="eastAsia" w:ascii="宋体" w:hAnsi="宋体" w:eastAsia="宋体" w:cs="宋体"/>
          <w:color w:val="auto"/>
          <w:spacing w:val="0"/>
          <w:position w:val="0"/>
          <w:sz w:val="24"/>
          <w:szCs w:val="24"/>
          <w:highlight w:val="none"/>
        </w:rPr>
        <w:t>响应程度初步审查的企业，其投标作为无效标，不进入后期评审阶段。</w:t>
      </w:r>
    </w:p>
    <w:p w14:paraId="3B0B4627">
      <w:pPr>
        <w:pStyle w:val="21"/>
        <w:keepNext w:val="0"/>
        <w:keepLines w:val="0"/>
        <w:pageBreakBefore w:val="0"/>
        <w:widowControl w:val="0"/>
        <w:kinsoku/>
        <w:wordWrap/>
        <w:overflowPunct/>
        <w:topLinePunct w:val="0"/>
        <w:autoSpaceDE/>
        <w:autoSpaceDN/>
        <w:bidi w:val="0"/>
        <w:adjustRightInd/>
        <w:snapToGrid/>
        <w:spacing w:afterAutospacing="0" w:line="440" w:lineRule="exact"/>
        <w:ind w:firstLine="480" w:firstLineChars="200"/>
        <w:jc w:val="center"/>
        <w:textAlignment w:val="auto"/>
        <w:rPr>
          <w:rFonts w:hint="eastAsia" w:ascii="宋体" w:hAnsi="宋体" w:eastAsia="宋体" w:cs="宋体"/>
          <w:b/>
          <w:bCs w:val="0"/>
          <w:color w:val="auto"/>
          <w:spacing w:val="0"/>
          <w:position w:val="0"/>
          <w:sz w:val="28"/>
          <w:szCs w:val="28"/>
          <w:highlight w:val="none"/>
        </w:rPr>
      </w:pPr>
      <w:r>
        <w:rPr>
          <w:rFonts w:hint="eastAsia" w:ascii="宋体" w:hAnsi="宋体" w:eastAsia="宋体" w:cs="宋体"/>
          <w:color w:val="auto"/>
          <w:spacing w:val="0"/>
          <w:position w:val="0"/>
          <w:sz w:val="24"/>
          <w:szCs w:val="24"/>
          <w:highlight w:val="none"/>
        </w:rPr>
        <w:br w:type="page"/>
      </w:r>
      <w:r>
        <w:rPr>
          <w:rFonts w:hint="eastAsia" w:ascii="宋体" w:hAnsi="宋体" w:eastAsia="宋体" w:cs="宋体"/>
          <w:b/>
          <w:bCs w:val="0"/>
          <w:color w:val="auto"/>
          <w:spacing w:val="0"/>
          <w:position w:val="0"/>
          <w:sz w:val="28"/>
          <w:szCs w:val="28"/>
          <w:highlight w:val="none"/>
          <w:lang w:val="en-US" w:eastAsia="zh-CN"/>
        </w:rPr>
        <w:t>详细评分</w:t>
      </w:r>
      <w:r>
        <w:rPr>
          <w:rFonts w:hint="eastAsia" w:ascii="宋体" w:hAnsi="宋体" w:eastAsia="宋体" w:cs="宋体"/>
          <w:b/>
          <w:bCs w:val="0"/>
          <w:color w:val="auto"/>
          <w:spacing w:val="0"/>
          <w:position w:val="0"/>
          <w:sz w:val="28"/>
          <w:szCs w:val="28"/>
          <w:highlight w:val="none"/>
        </w:rPr>
        <w:t>表</w:t>
      </w:r>
    </w:p>
    <w:p w14:paraId="3BEB3B23">
      <w:pPr>
        <w:jc w:val="center"/>
        <w:rPr>
          <w:rFonts w:hint="eastAsia" w:ascii="宋体" w:hAnsi="宋体" w:eastAsia="宋体" w:cs="宋体"/>
          <w:color w:val="auto"/>
          <w:spacing w:val="0"/>
          <w:position w:val="0"/>
          <w:sz w:val="24"/>
          <w:szCs w:val="24"/>
          <w:highlight w:val="none"/>
        </w:rPr>
      </w:pPr>
    </w:p>
    <w:tbl>
      <w:tblPr>
        <w:tblStyle w:val="38"/>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403"/>
        <w:gridCol w:w="5919"/>
        <w:gridCol w:w="678"/>
      </w:tblGrid>
      <w:tr w14:paraId="0C4F9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4" w:type="dxa"/>
            <w:tcBorders>
              <w:top w:val="single" w:color="auto" w:sz="4" w:space="0"/>
              <w:left w:val="single" w:color="auto" w:sz="4" w:space="0"/>
              <w:bottom w:val="single" w:color="auto" w:sz="4" w:space="0"/>
              <w:right w:val="single" w:color="auto" w:sz="4" w:space="0"/>
            </w:tcBorders>
            <w:vAlign w:val="center"/>
          </w:tcPr>
          <w:p w14:paraId="5A5E0E80">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b/>
                <w:bCs/>
                <w:color w:val="auto"/>
                <w:kern w:val="0"/>
                <w:sz w:val="24"/>
                <w:szCs w:val="24"/>
                <w:highlight w:val="none"/>
                <w:lang w:val="zh-CN"/>
              </w:rPr>
            </w:pPr>
            <w:r>
              <w:rPr>
                <w:rFonts w:hint="eastAsia" w:ascii="宋体" w:hAnsi="宋体" w:eastAsia="宋体" w:cs="宋体"/>
                <w:b/>
                <w:bCs/>
                <w:color w:val="auto"/>
                <w:kern w:val="0"/>
                <w:sz w:val="24"/>
                <w:szCs w:val="24"/>
                <w:highlight w:val="none"/>
              </w:rPr>
              <w:t>类别</w:t>
            </w:r>
          </w:p>
        </w:tc>
        <w:tc>
          <w:tcPr>
            <w:tcW w:w="1403" w:type="dxa"/>
            <w:tcBorders>
              <w:top w:val="single" w:color="auto" w:sz="4" w:space="0"/>
              <w:left w:val="single" w:color="auto" w:sz="4" w:space="0"/>
              <w:bottom w:val="single" w:color="auto" w:sz="4" w:space="0"/>
              <w:right w:val="single" w:color="auto" w:sz="4" w:space="0"/>
            </w:tcBorders>
            <w:vAlign w:val="center"/>
          </w:tcPr>
          <w:p w14:paraId="3AF4F9E0">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b/>
                <w:bCs/>
                <w:color w:val="auto"/>
                <w:kern w:val="0"/>
                <w:sz w:val="24"/>
                <w:szCs w:val="24"/>
                <w:highlight w:val="none"/>
                <w:lang w:val="zh-CN"/>
              </w:rPr>
            </w:pPr>
            <w:r>
              <w:rPr>
                <w:rFonts w:hint="eastAsia" w:ascii="宋体" w:hAnsi="宋体" w:eastAsia="宋体" w:cs="宋体"/>
                <w:b/>
                <w:bCs/>
                <w:color w:val="auto"/>
                <w:kern w:val="0"/>
                <w:sz w:val="24"/>
                <w:szCs w:val="24"/>
                <w:highlight w:val="none"/>
                <w:lang w:eastAsia="zh-CN"/>
              </w:rPr>
              <w:t>评分</w:t>
            </w:r>
            <w:r>
              <w:rPr>
                <w:rFonts w:hint="eastAsia" w:ascii="宋体" w:hAnsi="宋体" w:eastAsia="宋体" w:cs="宋体"/>
                <w:b/>
                <w:bCs/>
                <w:color w:val="auto"/>
                <w:kern w:val="0"/>
                <w:sz w:val="24"/>
                <w:szCs w:val="24"/>
                <w:highlight w:val="none"/>
              </w:rPr>
              <w:t>内容</w:t>
            </w:r>
          </w:p>
        </w:tc>
        <w:tc>
          <w:tcPr>
            <w:tcW w:w="5919" w:type="dxa"/>
            <w:tcBorders>
              <w:top w:val="single" w:color="auto" w:sz="4" w:space="0"/>
              <w:left w:val="single" w:color="auto" w:sz="4" w:space="0"/>
              <w:bottom w:val="single" w:color="auto" w:sz="4" w:space="0"/>
              <w:right w:val="single" w:color="auto" w:sz="4" w:space="0"/>
            </w:tcBorders>
            <w:vAlign w:val="center"/>
          </w:tcPr>
          <w:p w14:paraId="353B97FC">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b/>
                <w:bCs/>
                <w:color w:val="auto"/>
                <w:kern w:val="0"/>
                <w:sz w:val="24"/>
                <w:szCs w:val="24"/>
                <w:highlight w:val="none"/>
                <w:lang w:val="zh-CN"/>
              </w:rPr>
            </w:pPr>
            <w:r>
              <w:rPr>
                <w:rFonts w:hint="eastAsia" w:ascii="宋体" w:hAnsi="宋体" w:eastAsia="宋体" w:cs="宋体"/>
                <w:b/>
                <w:bCs/>
                <w:color w:val="auto"/>
                <w:kern w:val="0"/>
                <w:sz w:val="24"/>
                <w:szCs w:val="24"/>
                <w:highlight w:val="none"/>
                <w:lang w:eastAsia="zh-CN"/>
              </w:rPr>
              <w:t>评分</w:t>
            </w:r>
            <w:r>
              <w:rPr>
                <w:rFonts w:hint="eastAsia" w:ascii="宋体" w:hAnsi="宋体" w:eastAsia="宋体" w:cs="宋体"/>
                <w:b/>
                <w:bCs/>
                <w:color w:val="auto"/>
                <w:kern w:val="0"/>
                <w:sz w:val="24"/>
                <w:szCs w:val="24"/>
                <w:highlight w:val="none"/>
              </w:rPr>
              <w:t>标准</w:t>
            </w:r>
          </w:p>
        </w:tc>
        <w:tc>
          <w:tcPr>
            <w:tcW w:w="678" w:type="dxa"/>
            <w:tcBorders>
              <w:top w:val="single" w:color="auto" w:sz="4" w:space="0"/>
              <w:left w:val="single" w:color="auto" w:sz="4" w:space="0"/>
              <w:bottom w:val="single" w:color="auto" w:sz="4" w:space="0"/>
              <w:right w:val="single" w:color="auto" w:sz="4" w:space="0"/>
            </w:tcBorders>
            <w:vAlign w:val="center"/>
          </w:tcPr>
          <w:p w14:paraId="680A1059">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b/>
                <w:bCs/>
                <w:color w:val="auto"/>
                <w:kern w:val="0"/>
                <w:sz w:val="24"/>
                <w:szCs w:val="24"/>
                <w:highlight w:val="none"/>
                <w:lang w:val="zh-CN"/>
              </w:rPr>
            </w:pPr>
            <w:r>
              <w:rPr>
                <w:rFonts w:hint="eastAsia" w:ascii="宋体" w:hAnsi="宋体" w:eastAsia="宋体" w:cs="宋体"/>
                <w:b/>
                <w:bCs/>
                <w:color w:val="auto"/>
                <w:kern w:val="0"/>
                <w:sz w:val="24"/>
                <w:szCs w:val="24"/>
                <w:highlight w:val="none"/>
              </w:rPr>
              <w:t>分值</w:t>
            </w:r>
          </w:p>
        </w:tc>
      </w:tr>
      <w:tr w14:paraId="5AD1A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724" w:type="dxa"/>
            <w:tcBorders>
              <w:top w:val="single" w:color="auto" w:sz="4" w:space="0"/>
              <w:left w:val="single" w:color="auto" w:sz="4" w:space="0"/>
              <w:bottom w:val="single" w:color="auto" w:sz="4" w:space="0"/>
              <w:right w:val="single" w:color="auto" w:sz="4" w:space="0"/>
            </w:tcBorders>
            <w:vAlign w:val="center"/>
          </w:tcPr>
          <w:p w14:paraId="728B0FB7">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报价得分</w:t>
            </w:r>
          </w:p>
        </w:tc>
        <w:tc>
          <w:tcPr>
            <w:tcW w:w="7322" w:type="dxa"/>
            <w:gridSpan w:val="2"/>
            <w:tcBorders>
              <w:top w:val="single" w:color="auto" w:sz="4" w:space="0"/>
              <w:left w:val="single" w:color="auto" w:sz="4" w:space="0"/>
              <w:bottom w:val="single" w:color="auto" w:sz="4" w:space="0"/>
              <w:right w:val="single" w:color="auto" w:sz="4" w:space="0"/>
            </w:tcBorders>
            <w:vAlign w:val="center"/>
          </w:tcPr>
          <w:p w14:paraId="4AB4D16D">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价格分采用满足采购文件要求且最后</w:t>
            </w:r>
            <w:r>
              <w:rPr>
                <w:rFonts w:hint="eastAsia" w:ascii="宋体" w:hAnsi="宋体" w:eastAsia="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价格最低的</w:t>
            </w:r>
            <w:r>
              <w:rPr>
                <w:rFonts w:hint="eastAsia" w:ascii="宋体" w:hAnsi="宋体" w:eastAsia="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报价为评标基准价，其价格分为满分。其他</w:t>
            </w:r>
            <w:r>
              <w:rPr>
                <w:rFonts w:hint="eastAsia" w:ascii="宋体" w:hAnsi="宋体" w:eastAsia="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人的价格分按照下列公式计算：</w:t>
            </w:r>
            <w:r>
              <w:rPr>
                <w:rFonts w:hint="eastAsia" w:ascii="宋体" w:hAnsi="宋体" w:eastAsia="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报价得分=（评标基准价／</w:t>
            </w:r>
            <w:r>
              <w:rPr>
                <w:rFonts w:hint="eastAsia" w:ascii="宋体" w:hAnsi="宋体" w:eastAsia="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报价）*10（保留小数点后两位）。</w:t>
            </w:r>
          </w:p>
        </w:tc>
        <w:tc>
          <w:tcPr>
            <w:tcW w:w="678" w:type="dxa"/>
            <w:tcBorders>
              <w:top w:val="single" w:color="auto" w:sz="4" w:space="0"/>
              <w:left w:val="single" w:color="auto" w:sz="4" w:space="0"/>
              <w:bottom w:val="single" w:color="auto" w:sz="4" w:space="0"/>
              <w:right w:val="single" w:color="auto" w:sz="4" w:space="0"/>
            </w:tcBorders>
            <w:vAlign w:val="center"/>
          </w:tcPr>
          <w:p w14:paraId="3312DD41">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14:paraId="10492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724" w:type="dxa"/>
            <w:vMerge w:val="restart"/>
            <w:tcBorders>
              <w:top w:val="single" w:color="auto" w:sz="4" w:space="0"/>
              <w:left w:val="single" w:color="auto" w:sz="4" w:space="0"/>
              <w:right w:val="single" w:color="auto" w:sz="4" w:space="0"/>
            </w:tcBorders>
            <w:vAlign w:val="center"/>
          </w:tcPr>
          <w:p w14:paraId="0F1DF56F">
            <w:pPr>
              <w:keepNext w:val="0"/>
              <w:keepLines w:val="0"/>
              <w:suppressLineNumbers w:val="0"/>
              <w:spacing w:before="0" w:beforeAutospacing="0" w:after="0" w:afterAutospacing="0" w:line="276" w:lineRule="auto"/>
              <w:ind w:left="0" w:right="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商务</w:t>
            </w:r>
            <w:r>
              <w:rPr>
                <w:rFonts w:hint="eastAsia" w:ascii="宋体" w:hAnsi="宋体" w:eastAsia="宋体" w:cs="宋体"/>
                <w:color w:val="auto"/>
                <w:kern w:val="0"/>
                <w:sz w:val="24"/>
                <w:szCs w:val="24"/>
                <w:highlight w:val="none"/>
                <w:lang w:eastAsia="zh-CN"/>
              </w:rPr>
              <w:t>评分</w:t>
            </w:r>
          </w:p>
        </w:tc>
        <w:tc>
          <w:tcPr>
            <w:tcW w:w="1403" w:type="dxa"/>
            <w:tcBorders>
              <w:top w:val="single" w:color="auto" w:sz="4" w:space="0"/>
              <w:left w:val="single" w:color="auto" w:sz="4" w:space="0"/>
              <w:bottom w:val="single" w:color="auto" w:sz="4" w:space="0"/>
              <w:right w:val="single" w:color="auto" w:sz="4" w:space="0"/>
            </w:tcBorders>
            <w:vAlign w:val="center"/>
          </w:tcPr>
          <w:p w14:paraId="0B80937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同类项目业绩</w:t>
            </w:r>
          </w:p>
        </w:tc>
        <w:tc>
          <w:tcPr>
            <w:tcW w:w="5919" w:type="dxa"/>
            <w:tcBorders>
              <w:top w:val="single" w:color="auto" w:sz="4" w:space="0"/>
              <w:left w:val="single" w:color="auto" w:sz="4" w:space="0"/>
              <w:bottom w:val="single" w:color="auto" w:sz="4" w:space="0"/>
              <w:right w:val="single" w:color="auto" w:sz="4" w:space="0"/>
            </w:tcBorders>
            <w:vAlign w:val="center"/>
          </w:tcPr>
          <w:p w14:paraId="0F202418">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人自2022年至今具备</w:t>
            </w:r>
            <w:r>
              <w:rPr>
                <w:rFonts w:hint="eastAsia" w:ascii="宋体" w:hAnsi="宋体" w:eastAsia="宋体" w:cs="宋体"/>
                <w:color w:val="auto"/>
                <w:kern w:val="0"/>
                <w:sz w:val="24"/>
                <w:szCs w:val="24"/>
                <w:highlight w:val="none"/>
                <w:lang w:val="en-US" w:eastAsia="zh-CN"/>
              </w:rPr>
              <w:t>类似项目业绩</w:t>
            </w:r>
            <w:r>
              <w:rPr>
                <w:rFonts w:hint="eastAsia" w:ascii="宋体" w:hAnsi="宋体" w:eastAsia="宋体" w:cs="宋体"/>
                <w:color w:val="auto"/>
                <w:kern w:val="0"/>
                <w:sz w:val="24"/>
                <w:szCs w:val="24"/>
                <w:highlight w:val="none"/>
              </w:rPr>
              <w:t>，并提供相应的证明材料（中标通知书或合同），</w:t>
            </w:r>
            <w:r>
              <w:rPr>
                <w:rFonts w:hint="eastAsia" w:ascii="宋体" w:hAnsi="宋体" w:eastAsia="宋体" w:cs="宋体"/>
                <w:color w:val="auto"/>
                <w:kern w:val="0"/>
                <w:sz w:val="24"/>
                <w:szCs w:val="24"/>
                <w:highlight w:val="none"/>
                <w:lang w:val="en-US" w:eastAsia="zh-CN"/>
              </w:rPr>
              <w:t>每有一项得2分，</w:t>
            </w:r>
            <w:r>
              <w:rPr>
                <w:rFonts w:hint="eastAsia" w:ascii="宋体" w:hAnsi="宋体" w:eastAsia="宋体" w:cs="宋体"/>
                <w:color w:val="auto"/>
                <w:kern w:val="0"/>
                <w:sz w:val="24"/>
                <w:szCs w:val="24"/>
                <w:highlight w:val="none"/>
              </w:rPr>
              <w:t>最高得8分（相同站点不同年份的运维不可累计得分），无相关运维管理经验的得0分。</w:t>
            </w:r>
          </w:p>
        </w:tc>
        <w:tc>
          <w:tcPr>
            <w:tcW w:w="678" w:type="dxa"/>
            <w:tcBorders>
              <w:top w:val="single" w:color="auto" w:sz="4" w:space="0"/>
              <w:left w:val="single" w:color="auto" w:sz="4" w:space="0"/>
              <w:bottom w:val="single" w:color="auto" w:sz="4" w:space="0"/>
              <w:right w:val="single" w:color="auto" w:sz="4" w:space="0"/>
            </w:tcBorders>
            <w:vAlign w:val="center"/>
          </w:tcPr>
          <w:p w14:paraId="2FFF3BA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r>
      <w:tr w14:paraId="503C7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724" w:type="dxa"/>
            <w:vMerge w:val="continue"/>
            <w:tcBorders>
              <w:left w:val="single" w:color="auto" w:sz="4" w:space="0"/>
              <w:right w:val="single" w:color="auto" w:sz="4" w:space="0"/>
            </w:tcBorders>
            <w:vAlign w:val="center"/>
          </w:tcPr>
          <w:p w14:paraId="74E09237">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color w:val="auto"/>
                <w:kern w:val="0"/>
                <w:sz w:val="24"/>
                <w:szCs w:val="24"/>
                <w:highlight w:val="none"/>
              </w:rPr>
            </w:pPr>
          </w:p>
        </w:tc>
        <w:tc>
          <w:tcPr>
            <w:tcW w:w="1403" w:type="dxa"/>
            <w:tcBorders>
              <w:top w:val="single" w:color="auto" w:sz="4" w:space="0"/>
              <w:left w:val="single" w:color="auto" w:sz="4" w:space="0"/>
              <w:bottom w:val="single" w:color="auto" w:sz="4" w:space="0"/>
              <w:right w:val="single" w:color="auto" w:sz="4" w:space="0"/>
            </w:tcBorders>
            <w:vAlign w:val="center"/>
          </w:tcPr>
          <w:p w14:paraId="650C34E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人技术能力情况</w:t>
            </w:r>
          </w:p>
        </w:tc>
        <w:tc>
          <w:tcPr>
            <w:tcW w:w="5919" w:type="dxa"/>
            <w:tcBorders>
              <w:top w:val="single" w:color="auto" w:sz="4" w:space="0"/>
              <w:left w:val="single" w:color="auto" w:sz="4" w:space="0"/>
              <w:bottom w:val="single" w:color="auto" w:sz="4" w:space="0"/>
              <w:right w:val="single" w:color="auto" w:sz="4" w:space="0"/>
            </w:tcBorders>
            <w:vAlign w:val="center"/>
          </w:tcPr>
          <w:p w14:paraId="31AA51F8">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投标</w:t>
            </w:r>
            <w:r>
              <w:rPr>
                <w:rFonts w:hint="eastAsia" w:ascii="宋体" w:hAnsi="宋体" w:eastAsia="宋体" w:cs="宋体"/>
                <w:color w:val="auto"/>
                <w:kern w:val="0"/>
                <w:sz w:val="24"/>
                <w:highlight w:val="none"/>
              </w:rPr>
              <w:t>人2021年以来作为第一编制单位牵头编制的超站平台数据管理、污染成因分析、在线源解析相关软著或平台，每有一个得2分，满分6分。</w:t>
            </w:r>
          </w:p>
          <w:p w14:paraId="393CF37A">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证明材料：提供软著登记证书。</w:t>
            </w:r>
          </w:p>
        </w:tc>
        <w:tc>
          <w:tcPr>
            <w:tcW w:w="678" w:type="dxa"/>
            <w:tcBorders>
              <w:top w:val="single" w:color="auto" w:sz="4" w:space="0"/>
              <w:left w:val="single" w:color="auto" w:sz="4" w:space="0"/>
              <w:bottom w:val="single" w:color="auto" w:sz="4" w:space="0"/>
              <w:right w:val="single" w:color="auto" w:sz="4" w:space="0"/>
            </w:tcBorders>
            <w:vAlign w:val="center"/>
          </w:tcPr>
          <w:p w14:paraId="304E065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6</w:t>
            </w:r>
          </w:p>
        </w:tc>
      </w:tr>
      <w:tr w14:paraId="528C2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724" w:type="dxa"/>
            <w:vMerge w:val="continue"/>
            <w:tcBorders>
              <w:left w:val="single" w:color="auto" w:sz="4" w:space="0"/>
              <w:right w:val="single" w:color="auto" w:sz="4" w:space="0"/>
            </w:tcBorders>
            <w:vAlign w:val="center"/>
          </w:tcPr>
          <w:p w14:paraId="03612DBC">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color w:val="auto"/>
                <w:kern w:val="0"/>
                <w:sz w:val="24"/>
                <w:szCs w:val="24"/>
                <w:highlight w:val="none"/>
              </w:rPr>
            </w:pPr>
          </w:p>
        </w:tc>
        <w:tc>
          <w:tcPr>
            <w:tcW w:w="1403" w:type="dxa"/>
            <w:tcBorders>
              <w:top w:val="single" w:color="auto" w:sz="4" w:space="0"/>
              <w:left w:val="single" w:color="auto" w:sz="4" w:space="0"/>
              <w:bottom w:val="single" w:color="auto" w:sz="4" w:space="0"/>
              <w:right w:val="single" w:color="auto" w:sz="4" w:space="0"/>
            </w:tcBorders>
            <w:vAlign w:val="center"/>
          </w:tcPr>
          <w:p w14:paraId="0011632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人通过相关认证</w:t>
            </w:r>
            <w:bookmarkStart w:id="112" w:name="_GoBack"/>
            <w:bookmarkEnd w:id="112"/>
            <w:r>
              <w:rPr>
                <w:rFonts w:hint="eastAsia" w:ascii="宋体" w:hAnsi="宋体" w:eastAsia="宋体" w:cs="宋体"/>
                <w:color w:val="auto"/>
                <w:kern w:val="0"/>
                <w:sz w:val="24"/>
                <w:szCs w:val="24"/>
                <w:highlight w:val="none"/>
              </w:rPr>
              <w:t>情况</w:t>
            </w:r>
          </w:p>
        </w:tc>
        <w:tc>
          <w:tcPr>
            <w:tcW w:w="5919" w:type="dxa"/>
            <w:tcBorders>
              <w:top w:val="single" w:color="auto" w:sz="4" w:space="0"/>
              <w:left w:val="single" w:color="auto" w:sz="4" w:space="0"/>
              <w:bottom w:val="single" w:color="auto" w:sz="4" w:space="0"/>
              <w:right w:val="single" w:color="auto" w:sz="4" w:space="0"/>
            </w:tcBorders>
            <w:vAlign w:val="center"/>
          </w:tcPr>
          <w:p w14:paraId="77E492DA">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eastAsia="zh-CN"/>
              </w:rPr>
              <w:t>投标</w:t>
            </w:r>
            <w:r>
              <w:rPr>
                <w:rFonts w:hint="eastAsia" w:ascii="宋体" w:hAnsi="宋体" w:eastAsia="宋体" w:cs="宋体"/>
                <w:color w:val="auto"/>
                <w:kern w:val="0"/>
                <w:sz w:val="24"/>
                <w:highlight w:val="none"/>
              </w:rPr>
              <w:t>人具有有效期内的ISO9001质量管理体系认证证书、ISO14001环境管理体系认证证书、ISO45001职业健康安全管理体系等证书，每提供一份得1分，最多得3分；</w:t>
            </w:r>
          </w:p>
          <w:p w14:paraId="3226B274">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eastAsia="zh-CN"/>
              </w:rPr>
              <w:t>投标</w:t>
            </w:r>
            <w:r>
              <w:rPr>
                <w:rFonts w:hint="eastAsia" w:ascii="宋体" w:hAnsi="宋体" w:eastAsia="宋体" w:cs="宋体"/>
                <w:color w:val="auto"/>
                <w:kern w:val="0"/>
                <w:sz w:val="24"/>
                <w:highlight w:val="none"/>
              </w:rPr>
              <w:t>人具有大气生态环境保护领域国家级实验室的，每拥有1个得4分；</w:t>
            </w:r>
            <w:r>
              <w:rPr>
                <w:rFonts w:hint="eastAsia" w:ascii="宋体" w:hAnsi="宋体" w:eastAsia="宋体" w:cs="宋体"/>
                <w:color w:val="auto"/>
                <w:kern w:val="0"/>
                <w:sz w:val="24"/>
                <w:highlight w:val="none"/>
                <w:lang w:eastAsia="zh-CN"/>
              </w:rPr>
              <w:t>投标</w:t>
            </w:r>
            <w:r>
              <w:rPr>
                <w:rFonts w:hint="eastAsia" w:ascii="宋体" w:hAnsi="宋体" w:eastAsia="宋体" w:cs="宋体"/>
                <w:color w:val="auto"/>
                <w:kern w:val="0"/>
                <w:sz w:val="24"/>
                <w:highlight w:val="none"/>
              </w:rPr>
              <w:t>人具有省部级实验室或研究平台的，每拥有1个得2分；本项最多得8分。</w:t>
            </w:r>
          </w:p>
          <w:p w14:paraId="7576A9F5">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证明材料：提供有效证书或重点实验室建设批准等相关证明材料复印件并加盖单位公章，未提供或无法判断的不得分。</w:t>
            </w:r>
          </w:p>
          <w:p w14:paraId="0A975B43">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（3）驻点运维人员通过国家相关部门组织的有关大气颗粒物组分或大气挥发性有机物监测技术培训考核，每提供 1 份证明文件得 1 分，最多得 3 分。</w:t>
            </w:r>
          </w:p>
        </w:tc>
        <w:tc>
          <w:tcPr>
            <w:tcW w:w="678" w:type="dxa"/>
            <w:tcBorders>
              <w:top w:val="single" w:color="auto" w:sz="4" w:space="0"/>
              <w:left w:val="single" w:color="auto" w:sz="4" w:space="0"/>
              <w:bottom w:val="single" w:color="auto" w:sz="4" w:space="0"/>
              <w:right w:val="single" w:color="auto" w:sz="4" w:space="0"/>
            </w:tcBorders>
            <w:vAlign w:val="center"/>
          </w:tcPr>
          <w:p w14:paraId="4F3A111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14</w:t>
            </w:r>
          </w:p>
        </w:tc>
      </w:tr>
      <w:tr w14:paraId="3884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724" w:type="dxa"/>
            <w:vMerge w:val="continue"/>
            <w:tcBorders>
              <w:left w:val="single" w:color="auto" w:sz="4" w:space="0"/>
              <w:right w:val="single" w:color="auto" w:sz="4" w:space="0"/>
            </w:tcBorders>
            <w:vAlign w:val="center"/>
          </w:tcPr>
          <w:p w14:paraId="05E08D19">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color w:val="auto"/>
                <w:kern w:val="0"/>
                <w:sz w:val="24"/>
                <w:szCs w:val="24"/>
                <w:highlight w:val="none"/>
              </w:rPr>
            </w:pPr>
          </w:p>
        </w:tc>
        <w:tc>
          <w:tcPr>
            <w:tcW w:w="1403" w:type="dxa"/>
            <w:tcBorders>
              <w:top w:val="single" w:color="auto" w:sz="4" w:space="0"/>
              <w:left w:val="single" w:color="auto" w:sz="4" w:space="0"/>
              <w:bottom w:val="single" w:color="auto" w:sz="4" w:space="0"/>
              <w:right w:val="single" w:color="auto" w:sz="4" w:space="0"/>
            </w:tcBorders>
            <w:vAlign w:val="center"/>
          </w:tcPr>
          <w:p w14:paraId="531F894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w:t>
            </w:r>
            <w:r>
              <w:rPr>
                <w:rFonts w:hint="default" w:ascii="宋体" w:hAnsi="宋体" w:eastAsia="宋体" w:cs="宋体"/>
                <w:color w:val="auto"/>
                <w:kern w:val="0"/>
                <w:sz w:val="24"/>
                <w:szCs w:val="24"/>
                <w:highlight w:val="none"/>
              </w:rPr>
              <w:t>人获奖情况</w:t>
            </w:r>
          </w:p>
        </w:tc>
        <w:tc>
          <w:tcPr>
            <w:tcW w:w="5919" w:type="dxa"/>
            <w:tcBorders>
              <w:top w:val="single" w:color="auto" w:sz="4" w:space="0"/>
              <w:left w:val="single" w:color="auto" w:sz="4" w:space="0"/>
              <w:bottom w:val="single" w:color="auto" w:sz="4" w:space="0"/>
              <w:right w:val="single" w:color="auto" w:sz="4" w:space="0"/>
            </w:tcBorders>
            <w:vAlign w:val="center"/>
          </w:tcPr>
          <w:p w14:paraId="250FF4B8">
            <w:pPr>
              <w:keepNext w:val="0"/>
              <w:keepLines w:val="0"/>
              <w:widowControl/>
              <w:suppressLineNumbers w:val="0"/>
              <w:spacing w:before="0" w:beforeAutospacing="0" w:after="0" w:afterAutospacing="0" w:line="360" w:lineRule="auto"/>
              <w:ind w:left="0" w:right="0"/>
              <w:jc w:val="left"/>
              <w:rPr>
                <w:rFonts w:hint="eastAsia"/>
                <w:color w:val="auto"/>
                <w:highlight w:val="none"/>
              </w:rPr>
            </w:pPr>
            <w:r>
              <w:rPr>
                <w:rFonts w:hint="eastAsia" w:ascii="宋体" w:hAnsi="宋体" w:eastAsia="宋体" w:cs="宋体"/>
                <w:color w:val="auto"/>
                <w:kern w:val="0"/>
                <w:sz w:val="24"/>
                <w:highlight w:val="none"/>
                <w:lang w:eastAsia="zh-CN"/>
              </w:rPr>
              <w:t>投标</w:t>
            </w:r>
            <w:r>
              <w:rPr>
                <w:rFonts w:hint="eastAsia" w:ascii="宋体" w:hAnsi="宋体" w:eastAsia="宋体" w:cs="宋体"/>
                <w:color w:val="auto"/>
                <w:kern w:val="0"/>
                <w:sz w:val="24"/>
                <w:highlight w:val="none"/>
              </w:rPr>
              <w:t>人有生态环境类国家技术发明一等奖的，每有一项得5分；省部级科学技术进步奖，每有一项得2分；</w:t>
            </w:r>
            <w:r>
              <w:rPr>
                <w:rFonts w:hint="eastAsia" w:ascii="宋体" w:hAnsi="宋体" w:eastAsia="宋体" w:cs="宋体"/>
                <w:color w:val="auto"/>
                <w:kern w:val="0"/>
                <w:sz w:val="24"/>
                <w:highlight w:val="none"/>
                <w:lang w:eastAsia="zh-CN"/>
              </w:rPr>
              <w:t>投标</w:t>
            </w:r>
            <w:r>
              <w:rPr>
                <w:rFonts w:hint="eastAsia" w:ascii="宋体" w:hAnsi="宋体" w:eastAsia="宋体" w:cs="宋体"/>
                <w:color w:val="auto"/>
                <w:kern w:val="0"/>
                <w:sz w:val="24"/>
                <w:highlight w:val="none"/>
              </w:rPr>
              <w:t>人有生态环境类市级科学技术进步奖的，每有一项得1分；本项最高不超过10分。</w:t>
            </w:r>
          </w:p>
        </w:tc>
        <w:tc>
          <w:tcPr>
            <w:tcW w:w="678" w:type="dxa"/>
            <w:tcBorders>
              <w:top w:val="single" w:color="auto" w:sz="4" w:space="0"/>
              <w:left w:val="single" w:color="auto" w:sz="4" w:space="0"/>
              <w:bottom w:val="single" w:color="auto" w:sz="4" w:space="0"/>
              <w:right w:val="single" w:color="auto" w:sz="4" w:space="0"/>
            </w:tcBorders>
            <w:vAlign w:val="center"/>
          </w:tcPr>
          <w:p w14:paraId="55EB6D3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r>
      <w:tr w14:paraId="4D0C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724" w:type="dxa"/>
            <w:vMerge w:val="continue"/>
            <w:tcBorders>
              <w:left w:val="single" w:color="auto" w:sz="4" w:space="0"/>
              <w:right w:val="single" w:color="auto" w:sz="4" w:space="0"/>
            </w:tcBorders>
            <w:vAlign w:val="center"/>
          </w:tcPr>
          <w:p w14:paraId="6DAC6BDA">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color w:val="auto"/>
                <w:kern w:val="0"/>
                <w:sz w:val="24"/>
                <w:szCs w:val="24"/>
                <w:highlight w:val="none"/>
              </w:rPr>
            </w:pPr>
          </w:p>
        </w:tc>
        <w:tc>
          <w:tcPr>
            <w:tcW w:w="1403" w:type="dxa"/>
            <w:tcBorders>
              <w:top w:val="single" w:color="auto" w:sz="4" w:space="0"/>
              <w:left w:val="single" w:color="auto" w:sz="4" w:space="0"/>
              <w:bottom w:val="single" w:color="auto" w:sz="4" w:space="0"/>
              <w:right w:val="single" w:color="auto" w:sz="4" w:space="0"/>
            </w:tcBorders>
            <w:vAlign w:val="center"/>
          </w:tcPr>
          <w:p w14:paraId="5349BBB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rPr>
              <w:t>人员配备</w:t>
            </w:r>
          </w:p>
        </w:tc>
        <w:tc>
          <w:tcPr>
            <w:tcW w:w="5919" w:type="dxa"/>
            <w:tcBorders>
              <w:top w:val="single" w:color="auto" w:sz="4" w:space="0"/>
              <w:left w:val="single" w:color="auto" w:sz="4" w:space="0"/>
              <w:bottom w:val="single" w:color="auto" w:sz="4" w:space="0"/>
              <w:right w:val="single" w:color="auto" w:sz="4" w:space="0"/>
            </w:tcBorders>
            <w:vAlign w:val="center"/>
          </w:tcPr>
          <w:p w14:paraId="72C53B1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（1）项目负责人：项目负责人具有环境领域相关的正高级技术职称的得2分，具有环境领域相关的副高级专业职称的得1分，其他不得分；满分2分。</w:t>
            </w:r>
          </w:p>
          <w:p w14:paraId="5EECC2F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项目团队：项目团队（项目负责人除外）具有环境领域相关专业正高级技术职称的，每提供1个得2分；具有环境领域相关的副高级技术职称的，每提供1个得1分；具有环境领域相关的中级技术职称的，每提供1个得0.5分；此项满分8分.</w:t>
            </w:r>
          </w:p>
          <w:p w14:paraId="5F56D07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证明材料：提供人员职称证书扫描件及近6个月内任意一个月缴纳的社保，劳动合同，身份证件，证明材料复印件需要加盖单位公章，未提供或无法判断的不得分。</w:t>
            </w:r>
          </w:p>
        </w:tc>
        <w:tc>
          <w:tcPr>
            <w:tcW w:w="678" w:type="dxa"/>
            <w:tcBorders>
              <w:top w:val="single" w:color="auto" w:sz="4" w:space="0"/>
              <w:left w:val="single" w:color="auto" w:sz="4" w:space="0"/>
              <w:bottom w:val="single" w:color="auto" w:sz="4" w:space="0"/>
              <w:right w:val="single" w:color="auto" w:sz="4" w:space="0"/>
            </w:tcBorders>
            <w:vAlign w:val="center"/>
          </w:tcPr>
          <w:p w14:paraId="446CE19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r>
      <w:tr w14:paraId="528B1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24" w:type="dxa"/>
            <w:vMerge w:val="restart"/>
            <w:tcBorders>
              <w:left w:val="single" w:color="auto" w:sz="4" w:space="0"/>
              <w:right w:val="single" w:color="auto" w:sz="4" w:space="0"/>
            </w:tcBorders>
            <w:vAlign w:val="center"/>
          </w:tcPr>
          <w:p w14:paraId="09BAF25A">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技术部分</w:t>
            </w:r>
          </w:p>
        </w:tc>
        <w:tc>
          <w:tcPr>
            <w:tcW w:w="1403" w:type="dxa"/>
            <w:tcBorders>
              <w:top w:val="single" w:color="auto" w:sz="4" w:space="0"/>
              <w:left w:val="single" w:color="auto" w:sz="4" w:space="0"/>
              <w:bottom w:val="single" w:color="auto" w:sz="4" w:space="0"/>
              <w:right w:val="single" w:color="auto" w:sz="4" w:space="0"/>
            </w:tcBorders>
            <w:vAlign w:val="center"/>
          </w:tcPr>
          <w:p w14:paraId="23CF435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技术要求</w:t>
            </w:r>
          </w:p>
        </w:tc>
        <w:tc>
          <w:tcPr>
            <w:tcW w:w="5919" w:type="dxa"/>
            <w:tcBorders>
              <w:top w:val="single" w:color="auto" w:sz="4" w:space="0"/>
              <w:left w:val="single" w:color="auto" w:sz="4" w:space="0"/>
              <w:bottom w:val="single" w:color="auto" w:sz="4" w:space="0"/>
              <w:right w:val="single" w:color="auto" w:sz="4" w:space="0"/>
            </w:tcBorders>
            <w:vAlign w:val="center"/>
          </w:tcPr>
          <w:p w14:paraId="4065AEA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根据</w:t>
            </w:r>
            <w:r>
              <w:rPr>
                <w:rFonts w:hint="eastAsia" w:ascii="宋体" w:hAnsi="宋体" w:eastAsia="宋体" w:cs="宋体"/>
                <w:color w:val="auto"/>
                <w:kern w:val="0"/>
                <w:sz w:val="24"/>
                <w:highlight w:val="none"/>
                <w:lang w:eastAsia="zh-CN"/>
              </w:rPr>
              <w:t>投标</w:t>
            </w:r>
            <w:r>
              <w:rPr>
                <w:rFonts w:hint="eastAsia" w:ascii="宋体" w:hAnsi="宋体" w:eastAsia="宋体" w:cs="宋体"/>
                <w:color w:val="auto"/>
                <w:kern w:val="0"/>
                <w:sz w:val="24"/>
                <w:highlight w:val="none"/>
              </w:rPr>
              <w:t>文件中对项目技术要求的响应程度进行综合评审：完全满足技术要求的得15分，带“★”的重要技术参数每有一项存在负偏离的扣2 分，扣完为止；</w:t>
            </w:r>
            <w:r>
              <w:rPr>
                <w:rFonts w:hint="eastAsia" w:ascii="宋体" w:hAnsi="宋体" w:eastAsia="宋体" w:cs="宋体"/>
                <w:color w:val="auto"/>
                <w:kern w:val="0"/>
                <w:sz w:val="24"/>
                <w:highlight w:val="none"/>
                <w:lang w:eastAsia="zh-CN"/>
              </w:rPr>
              <w:t>投标</w:t>
            </w:r>
            <w:r>
              <w:rPr>
                <w:rFonts w:hint="eastAsia" w:ascii="宋体" w:hAnsi="宋体" w:eastAsia="宋体" w:cs="宋体"/>
                <w:color w:val="auto"/>
                <w:kern w:val="0"/>
                <w:sz w:val="24"/>
                <w:highlight w:val="none"/>
              </w:rPr>
              <w:t>人一般技术指标、参数低于招标文件规定的相应技术指标、参数的，每有一项减 1 分，减完为止。</w:t>
            </w:r>
          </w:p>
        </w:tc>
        <w:tc>
          <w:tcPr>
            <w:tcW w:w="678" w:type="dxa"/>
            <w:tcBorders>
              <w:top w:val="single" w:color="auto" w:sz="4" w:space="0"/>
              <w:left w:val="single" w:color="auto" w:sz="4" w:space="0"/>
              <w:bottom w:val="single" w:color="auto" w:sz="4" w:space="0"/>
              <w:right w:val="single" w:color="auto" w:sz="4" w:space="0"/>
            </w:tcBorders>
            <w:vAlign w:val="center"/>
          </w:tcPr>
          <w:p w14:paraId="764B4E74">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r>
      <w:tr w14:paraId="15C66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24" w:type="dxa"/>
            <w:vMerge w:val="continue"/>
            <w:tcBorders>
              <w:left w:val="single" w:color="auto" w:sz="4" w:space="0"/>
              <w:right w:val="single" w:color="auto" w:sz="4" w:space="0"/>
            </w:tcBorders>
            <w:vAlign w:val="center"/>
          </w:tcPr>
          <w:p w14:paraId="60BACE74">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color w:val="auto"/>
                <w:kern w:val="0"/>
                <w:sz w:val="24"/>
                <w:szCs w:val="24"/>
                <w:highlight w:val="none"/>
              </w:rPr>
            </w:pP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14:paraId="1537395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实施方案</w:t>
            </w:r>
          </w:p>
        </w:tc>
        <w:tc>
          <w:tcPr>
            <w:tcW w:w="5919" w:type="dxa"/>
            <w:tcBorders>
              <w:top w:val="single" w:color="auto" w:sz="4" w:space="0"/>
              <w:left w:val="single" w:color="auto" w:sz="4" w:space="0"/>
              <w:bottom w:val="single" w:color="auto" w:sz="4" w:space="0"/>
              <w:right w:val="single" w:color="auto" w:sz="4" w:space="0"/>
            </w:tcBorders>
            <w:shd w:val="clear" w:color="auto" w:fill="auto"/>
            <w:vAlign w:val="center"/>
          </w:tcPr>
          <w:p w14:paraId="4BEABDE7">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内容包括不限于：1.运维范围、2.运维内容、3.运维依据、4.运维目标、5.人员安全保障措施、6.岗位职责、7.运维安全保证措施、8.详细的进度安排、方法与流程9.质量管理制度、10.</w:t>
            </w:r>
            <w:r>
              <w:rPr>
                <w:rFonts w:hint="eastAsia" w:ascii="宋体" w:hAnsi="宋体" w:eastAsia="宋体" w:cs="宋体"/>
                <w:color w:val="auto"/>
                <w:sz w:val="24"/>
                <w:szCs w:val="32"/>
                <w:highlight w:val="none"/>
              </w:rPr>
              <w:t>关键技术说明</w:t>
            </w:r>
            <w:r>
              <w:rPr>
                <w:rFonts w:hint="eastAsia" w:ascii="宋体" w:hAnsi="宋体" w:eastAsia="宋体" w:cs="宋体"/>
                <w:color w:val="auto"/>
                <w:kern w:val="0"/>
                <w:sz w:val="24"/>
                <w:highlight w:val="none"/>
              </w:rPr>
              <w:t>。</w:t>
            </w:r>
          </w:p>
          <w:p w14:paraId="48208A18">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4"/>
                <w:highlight w:val="none"/>
              </w:rPr>
            </w:pPr>
            <w:r>
              <w:rPr>
                <w:rFonts w:hint="eastAsia" w:ascii="宋体" w:hAnsi="宋体" w:eastAsia="宋体" w:cs="宋体"/>
                <w:color w:val="auto"/>
                <w:sz w:val="24"/>
                <w:szCs w:val="24"/>
                <w:highlight w:val="none"/>
              </w:rPr>
              <w:t>注：以上内容完整且完全满足项目要求得10分，每缺失一项内容扣2分，每项内容中每有一处内容缺陷扣1分(缺陷是指：存在不适用项目实际情况的情形、凭空编造、内容前后不一致、前后逻辑错误、涉及的规范及标准错误、地点区域错误、内容遗漏、不符合采购需求等)，扣完为止。</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72C1A17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r>
      <w:tr w14:paraId="01CB5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24" w:type="dxa"/>
            <w:vMerge w:val="continue"/>
            <w:tcBorders>
              <w:left w:val="single" w:color="auto" w:sz="4" w:space="0"/>
              <w:right w:val="single" w:color="auto" w:sz="4" w:space="0"/>
            </w:tcBorders>
            <w:vAlign w:val="center"/>
          </w:tcPr>
          <w:p w14:paraId="5770B579">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color w:val="auto"/>
                <w:kern w:val="0"/>
                <w:sz w:val="24"/>
                <w:szCs w:val="24"/>
                <w:highlight w:val="none"/>
              </w:rPr>
            </w:pPr>
          </w:p>
        </w:tc>
        <w:tc>
          <w:tcPr>
            <w:tcW w:w="1403" w:type="dxa"/>
            <w:tcBorders>
              <w:top w:val="single" w:color="auto" w:sz="4" w:space="0"/>
              <w:left w:val="single" w:color="auto" w:sz="4" w:space="0"/>
              <w:bottom w:val="single" w:color="auto" w:sz="4" w:space="0"/>
              <w:right w:val="single" w:color="auto" w:sz="4" w:space="0"/>
            </w:tcBorders>
            <w:vAlign w:val="center"/>
          </w:tcPr>
          <w:p w14:paraId="0801824C">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服务保证措施</w:t>
            </w:r>
          </w:p>
        </w:tc>
        <w:tc>
          <w:tcPr>
            <w:tcW w:w="5919" w:type="dxa"/>
            <w:tcBorders>
              <w:top w:val="single" w:color="auto" w:sz="4" w:space="0"/>
              <w:left w:val="single" w:color="auto" w:sz="4" w:space="0"/>
              <w:bottom w:val="single" w:color="auto" w:sz="4" w:space="0"/>
              <w:right w:val="single" w:color="auto" w:sz="4" w:space="0"/>
            </w:tcBorders>
            <w:vAlign w:val="center"/>
          </w:tcPr>
          <w:p w14:paraId="1D7B2615">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必须包含但不仅限于：1.进度安排及保证措施；2.质量控制标准；3.质量控制方案及保证措施；4.技术能力保证措施。注：以上内容完整且完全满足项目要求得8分，每缺失一项内容扣2分，每项内容中每有一处内容缺陷扣</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分(缺陷是指：存在不适用项目实际情况的情形、凭空编造、内容前后不一致、前后逻辑错误、涉及的规范及标准错误、地点区域错误、内容遗漏、不符合采购需求等)，扣完为止。</w:t>
            </w:r>
          </w:p>
        </w:tc>
        <w:tc>
          <w:tcPr>
            <w:tcW w:w="678" w:type="dxa"/>
            <w:tcBorders>
              <w:top w:val="single" w:color="auto" w:sz="4" w:space="0"/>
              <w:left w:val="single" w:color="auto" w:sz="4" w:space="0"/>
              <w:bottom w:val="single" w:color="auto" w:sz="4" w:space="0"/>
              <w:right w:val="single" w:color="auto" w:sz="4" w:space="0"/>
            </w:tcBorders>
            <w:vAlign w:val="center"/>
          </w:tcPr>
          <w:p w14:paraId="0012D10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r>
      <w:tr w14:paraId="76D3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24" w:type="dxa"/>
            <w:vMerge w:val="continue"/>
            <w:tcBorders>
              <w:left w:val="single" w:color="auto" w:sz="4" w:space="0"/>
              <w:right w:val="single" w:color="auto" w:sz="4" w:space="0"/>
            </w:tcBorders>
            <w:vAlign w:val="center"/>
          </w:tcPr>
          <w:p w14:paraId="618789A3">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color w:val="auto"/>
                <w:kern w:val="0"/>
                <w:sz w:val="24"/>
                <w:szCs w:val="24"/>
                <w:highlight w:val="none"/>
              </w:rPr>
            </w:pPr>
          </w:p>
        </w:tc>
        <w:tc>
          <w:tcPr>
            <w:tcW w:w="1403" w:type="dxa"/>
            <w:tcBorders>
              <w:top w:val="single" w:color="auto" w:sz="4" w:space="0"/>
              <w:left w:val="single" w:color="auto" w:sz="4" w:space="0"/>
              <w:bottom w:val="single" w:color="auto" w:sz="4" w:space="0"/>
              <w:right w:val="single" w:color="auto" w:sz="4" w:space="0"/>
            </w:tcBorders>
            <w:vAlign w:val="center"/>
          </w:tcPr>
          <w:p w14:paraId="269528BA">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应急</w:t>
            </w:r>
          </w:p>
          <w:p w14:paraId="5CAB8660">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预案</w:t>
            </w:r>
          </w:p>
        </w:tc>
        <w:tc>
          <w:tcPr>
            <w:tcW w:w="5919" w:type="dxa"/>
            <w:tcBorders>
              <w:top w:val="single" w:color="auto" w:sz="4" w:space="0"/>
              <w:left w:val="single" w:color="auto" w:sz="4" w:space="0"/>
              <w:bottom w:val="single" w:color="auto" w:sz="4" w:space="0"/>
              <w:right w:val="single" w:color="auto" w:sz="4" w:space="0"/>
            </w:tcBorders>
            <w:vAlign w:val="center"/>
          </w:tcPr>
          <w:p w14:paraId="462C70D5">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必须包含但不仅限于：1.紧急情况报告机制；2.应急人员调配机制；3.应急处置措施等。注：以上内容完整且完全满足项目要求得3分，每缺失一项内容扣1分，每项内容中每有一处内容缺陷扣0.5分(缺陷是指：存在不适用项目实际情况的情形、凭空编造、内容前后不一致、前后逻辑错误、涉及的规范及标准错误、地点区域错误、内容遗漏、不符合采购需求等)，扣完为止。</w:t>
            </w:r>
          </w:p>
        </w:tc>
        <w:tc>
          <w:tcPr>
            <w:tcW w:w="678" w:type="dxa"/>
            <w:tcBorders>
              <w:top w:val="single" w:color="auto" w:sz="4" w:space="0"/>
              <w:left w:val="single" w:color="auto" w:sz="4" w:space="0"/>
              <w:bottom w:val="single" w:color="auto" w:sz="4" w:space="0"/>
              <w:right w:val="single" w:color="auto" w:sz="4" w:space="0"/>
            </w:tcBorders>
            <w:vAlign w:val="center"/>
          </w:tcPr>
          <w:p w14:paraId="28A75C7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r>
      <w:tr w14:paraId="54451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24" w:type="dxa"/>
            <w:vMerge w:val="continue"/>
            <w:tcBorders>
              <w:left w:val="single" w:color="auto" w:sz="4" w:space="0"/>
              <w:right w:val="single" w:color="auto" w:sz="4" w:space="0"/>
            </w:tcBorders>
            <w:vAlign w:val="center"/>
          </w:tcPr>
          <w:p w14:paraId="64EEBBAE">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color w:val="auto"/>
                <w:kern w:val="0"/>
                <w:sz w:val="24"/>
                <w:szCs w:val="24"/>
                <w:highlight w:val="none"/>
              </w:rPr>
            </w:pPr>
          </w:p>
        </w:tc>
        <w:tc>
          <w:tcPr>
            <w:tcW w:w="1403" w:type="dxa"/>
            <w:tcBorders>
              <w:top w:val="single" w:color="auto" w:sz="4" w:space="0"/>
              <w:left w:val="single" w:color="auto" w:sz="4" w:space="0"/>
              <w:bottom w:val="single" w:color="auto" w:sz="4" w:space="0"/>
              <w:right w:val="single" w:color="auto" w:sz="4" w:space="0"/>
            </w:tcBorders>
            <w:vAlign w:val="center"/>
          </w:tcPr>
          <w:p w14:paraId="300C093C">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rPr>
              <w:t>项目整体重点、难点可行性工作建议</w:t>
            </w:r>
          </w:p>
        </w:tc>
        <w:tc>
          <w:tcPr>
            <w:tcW w:w="5919" w:type="dxa"/>
            <w:tcBorders>
              <w:top w:val="single" w:color="auto" w:sz="4" w:space="0"/>
              <w:left w:val="single" w:color="auto" w:sz="4" w:space="0"/>
              <w:bottom w:val="single" w:color="auto" w:sz="4" w:space="0"/>
              <w:right w:val="single" w:color="auto" w:sz="4" w:space="0"/>
            </w:tcBorders>
            <w:vAlign w:val="center"/>
          </w:tcPr>
          <w:p w14:paraId="2974B557">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对大气组分站运维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质控保障整体情况的分析程度，大气污染防治技术支撑。</w:t>
            </w:r>
          </w:p>
          <w:p w14:paraId="0EE63601">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以上内容完整且完全满足项目要求得6分，每缺失一项内容扣2分，每项内容中每有一处内容缺陷扣1分(缺陷是指：存在不适用项目实际情况的情形、凭空编造、内容前后不一致、前后逻辑错误、涉及的规范及标准错误、地点区域错误、内容遗漏、不符合采购需</w:t>
            </w:r>
          </w:p>
          <w:p w14:paraId="0235E992">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求等)，扣完为止。</w:t>
            </w:r>
          </w:p>
        </w:tc>
        <w:tc>
          <w:tcPr>
            <w:tcW w:w="678" w:type="dxa"/>
            <w:tcBorders>
              <w:top w:val="single" w:color="auto" w:sz="4" w:space="0"/>
              <w:left w:val="single" w:color="auto" w:sz="4" w:space="0"/>
              <w:bottom w:val="single" w:color="auto" w:sz="4" w:space="0"/>
              <w:right w:val="single" w:color="auto" w:sz="4" w:space="0"/>
            </w:tcBorders>
            <w:vAlign w:val="center"/>
          </w:tcPr>
          <w:p w14:paraId="24DB06C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r>
      <w:tr w14:paraId="6232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046" w:type="dxa"/>
            <w:gridSpan w:val="3"/>
            <w:tcBorders>
              <w:left w:val="single" w:color="auto" w:sz="4" w:space="0"/>
              <w:right w:val="single" w:color="auto" w:sz="4" w:space="0"/>
            </w:tcBorders>
            <w:vAlign w:val="center"/>
          </w:tcPr>
          <w:p w14:paraId="6C0576A6">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678" w:type="dxa"/>
            <w:tcBorders>
              <w:top w:val="single" w:color="auto" w:sz="4" w:space="0"/>
              <w:left w:val="single" w:color="auto" w:sz="4" w:space="0"/>
              <w:bottom w:val="single" w:color="auto" w:sz="4" w:space="0"/>
              <w:right w:val="single" w:color="auto" w:sz="4" w:space="0"/>
            </w:tcBorders>
            <w:vAlign w:val="center"/>
          </w:tcPr>
          <w:p w14:paraId="4B4E514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r>
    </w:tbl>
    <w:p w14:paraId="4AACB240">
      <w:pPr>
        <w:rPr>
          <w:rFonts w:hint="eastAsia" w:ascii="宋体" w:hAnsi="宋体" w:eastAsia="宋体" w:cs="宋体"/>
          <w:color w:val="auto"/>
          <w:spacing w:val="0"/>
          <w:position w:val="0"/>
          <w:sz w:val="24"/>
          <w:szCs w:val="24"/>
          <w:highlight w:val="none"/>
        </w:rPr>
      </w:pPr>
    </w:p>
    <w:p w14:paraId="7B0C07C5">
      <w:pPr>
        <w:rPr>
          <w:rFonts w:hint="eastAsia" w:ascii="宋体" w:hAnsi="宋体" w:eastAsia="宋体" w:cs="宋体"/>
          <w:color w:val="auto"/>
          <w:spacing w:val="0"/>
          <w:position w:val="0"/>
          <w:sz w:val="24"/>
          <w:szCs w:val="24"/>
          <w:highlight w:val="none"/>
        </w:rPr>
      </w:pPr>
    </w:p>
    <w:p w14:paraId="706CB20D">
      <w:pPr>
        <w:rPr>
          <w:rFonts w:hint="eastAsia" w:ascii="宋体" w:hAnsi="宋体" w:eastAsia="宋体" w:cs="宋体"/>
          <w:color w:val="auto"/>
          <w:highlight w:val="none"/>
        </w:rPr>
      </w:pPr>
    </w:p>
    <w:p w14:paraId="47AA64E8">
      <w:pPr>
        <w:pageBreakBefore w:val="0"/>
        <w:kinsoku/>
        <w:overflowPunct/>
        <w:bidi w:val="0"/>
        <w:spacing w:line="360" w:lineRule="auto"/>
        <w:ind w:firstLine="480" w:firstLineChars="200"/>
        <w:rPr>
          <w:rFonts w:hint="eastAsia" w:ascii="宋体" w:hAnsi="宋体" w:eastAsia="宋体" w:cs="宋体"/>
          <w:color w:val="auto"/>
          <w:sz w:val="24"/>
          <w:highlight w:val="none"/>
        </w:rPr>
      </w:pPr>
      <w:bookmarkStart w:id="68" w:name="EBa48645eff2ee4582a36f886367fb689c"/>
      <w:bookmarkEnd w:id="68"/>
      <w:r>
        <w:rPr>
          <w:rFonts w:hint="eastAsia" w:ascii="宋体" w:hAnsi="宋体" w:eastAsia="宋体" w:cs="宋体"/>
          <w:color w:val="auto"/>
          <w:sz w:val="24"/>
          <w:highlight w:val="none"/>
        </w:rPr>
        <w:t>1、经评标委员会认可小、微企业产品和产品报价后，投标人相应产品政策计算公式如下：</w:t>
      </w:r>
    </w:p>
    <w:p w14:paraId="205258FD">
      <w:pPr>
        <w:pageBreakBefore w:val="0"/>
        <w:kinsoku/>
        <w:overflowPunct/>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中小微企业产品价格扣除后的投标人报价=投标人总报价-中小微企业产品报价*扣除幅度。（以价格扣除后的投标人报价作为评审依据）</w:t>
      </w:r>
    </w:p>
    <w:p w14:paraId="739D10D5">
      <w:pPr>
        <w:pageBreakBefore w:val="0"/>
        <w:kinsoku/>
        <w:overflowPunct/>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14:paraId="168936A1">
      <w:pPr>
        <w:pageBreakBefore w:val="0"/>
        <w:kinsoku/>
        <w:overflowPunct/>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14:paraId="775947A7">
      <w:pPr>
        <w:pageBreakBefore w:val="0"/>
        <w:kinsoku/>
        <w:overflowPunct/>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4、在任何评标环节中，需评标委员会就某项评审结论做出表决的，由评标委员会全体成员按照少数服从多数的原则，以记名投票方式表决。</w:t>
      </w:r>
    </w:p>
    <w:p w14:paraId="78FE5093">
      <w:pPr>
        <w:pageBreakBefore w:val="0"/>
        <w:kinsoku/>
        <w:overflowPunct/>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5、本次采购优先选取向我国企业转让技术、与我国企业签订消化吸收再创新方案的供应商的进口产品。</w:t>
      </w:r>
    </w:p>
    <w:p w14:paraId="54BC6CEA">
      <w:pPr>
        <w:pageBreakBefore w:val="0"/>
        <w:kinsoku/>
        <w:overflowPunct/>
        <w:bidi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采购文件中的技术、服务等要求不得指向特定的供应商、特定产品，至少应当有3家以上供应商通过资格性审查或符合性审查。使用综合评分法的项目，属于单一产品采购的，提供相同品牌产品的不同投标人参加同一合同项下采购活动的，按一家供应商计算。非单一产品采购项目，多家投标人提供的核心产品品牌相同的，按上述规定处理。</w:t>
      </w:r>
    </w:p>
    <w:p w14:paraId="02639171">
      <w:pPr>
        <w:pageBreakBefore w:val="0"/>
        <w:kinsoku/>
        <w:overflowPunct/>
        <w:bidi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 非单一产品采购项目，采购人应当根据采购项目技术构成、产品价格比重等合理确定核心产品，并在招标文件中载明。核心产品的数量原则上不超过3个。</w:t>
      </w:r>
    </w:p>
    <w:p w14:paraId="422917BF">
      <w:pPr>
        <w:pStyle w:val="18"/>
        <w:tabs>
          <w:tab w:val="left" w:pos="0"/>
        </w:tabs>
        <w:spacing w:line="360" w:lineRule="auto"/>
        <w:ind w:left="0" w:leftChars="0" w:firstLine="480" w:firstLineChars="200"/>
        <w:jc w:val="center"/>
        <w:outlineLvl w:val="0"/>
        <w:rPr>
          <w:rFonts w:hint="eastAsia" w:ascii="宋体" w:hAnsi="宋体" w:eastAsia="宋体" w:cs="宋体"/>
          <w:b/>
          <w:color w:val="auto"/>
          <w:sz w:val="36"/>
          <w:highlight w:val="none"/>
        </w:rPr>
      </w:pPr>
      <w:r>
        <w:rPr>
          <w:rFonts w:hint="eastAsia" w:ascii="宋体" w:hAnsi="宋体" w:eastAsia="宋体" w:cs="宋体"/>
          <w:color w:val="auto"/>
          <w:kern w:val="2"/>
          <w:sz w:val="24"/>
          <w:szCs w:val="22"/>
          <w:highlight w:val="none"/>
          <w:lang w:val="en-US" w:eastAsia="zh-CN" w:bidi="ar-SA"/>
        </w:rPr>
        <w:t>8、根据《政府采购货物与服务招投标管理办法》第三十一条 采用综合评分法的采购项目，提供相同品牌且通过资格审查、符合性审查的不同投标人参加同一合同项下投标的，按一家投标人计算，评审后得分最高的同品牌投标人获得中标人推荐资格；评审得分相同的，由采购人或者采购人委派评审委员会按照招标文件规定的方式确定一个投标人获得中标人推荐的资格，招标文件未规定的采取随机抽取方式确定，其他同品牌投标人不作为中标候选人。非单一产品采购的项目，采购人应当根据项目技术构成、产品价格比重等合理确核心产品，并在招标文件中载明。多家投标人提供的核心产品品牌相同的，按前款规定处理。</w:t>
      </w:r>
      <w:r>
        <w:rPr>
          <w:rFonts w:hint="eastAsia" w:ascii="宋体" w:hAnsi="宋体" w:eastAsia="宋体" w:cs="宋体"/>
          <w:b/>
          <w:color w:val="auto"/>
          <w:sz w:val="36"/>
          <w:highlight w:val="none"/>
        </w:rPr>
        <w:br w:type="page"/>
      </w:r>
      <w:r>
        <w:rPr>
          <w:rFonts w:hint="eastAsia" w:ascii="宋体" w:hAnsi="宋体" w:eastAsia="宋体" w:cs="宋体"/>
          <w:b/>
          <w:color w:val="auto"/>
          <w:sz w:val="36"/>
          <w:highlight w:val="none"/>
        </w:rPr>
        <w:t>第五部分   政府采购合同</w:t>
      </w:r>
      <w:bookmarkEnd w:id="66"/>
      <w:bookmarkEnd w:id="67"/>
    </w:p>
    <w:p w14:paraId="67D5555A">
      <w:pPr>
        <w:pStyle w:val="222"/>
        <w:spacing w:line="360" w:lineRule="auto"/>
        <w:jc w:val="center"/>
        <w:outlineLvl w:val="1"/>
        <w:rPr>
          <w:rFonts w:hint="eastAsia" w:ascii="仿宋" w:hAnsi="仿宋" w:eastAsia="仿宋" w:cs="仿宋"/>
          <w:b/>
          <w:color w:val="auto"/>
          <w:sz w:val="32"/>
          <w:szCs w:val="32"/>
          <w:highlight w:val="none"/>
        </w:rPr>
      </w:pPr>
      <w:r>
        <w:rPr>
          <w:rFonts w:hint="eastAsia" w:ascii="仿宋" w:hAnsi="仿宋" w:eastAsia="仿宋" w:cs="仿宋"/>
          <w:b/>
          <w:color w:val="auto"/>
          <w:sz w:val="40"/>
          <w:szCs w:val="40"/>
          <w:highlight w:val="none"/>
        </w:rPr>
        <w:t>（仅供参考，具体以实际签订内容为准）</w:t>
      </w:r>
    </w:p>
    <w:p w14:paraId="4C43B3D9">
      <w:pPr>
        <w:spacing w:line="360" w:lineRule="auto"/>
        <w:jc w:val="center"/>
        <w:rPr>
          <w:rFonts w:hint="eastAsia" w:ascii="仿宋" w:hAnsi="仿宋" w:eastAsia="仿宋" w:cs="仿宋"/>
          <w:b/>
          <w:color w:val="auto"/>
          <w:sz w:val="28"/>
          <w:szCs w:val="28"/>
          <w:highlight w:val="none"/>
        </w:rPr>
      </w:pPr>
    </w:p>
    <w:p w14:paraId="2BDB7924">
      <w:pPr>
        <w:pStyle w:val="222"/>
        <w:spacing w:line="480" w:lineRule="auto"/>
        <w:jc w:val="center"/>
        <w:rPr>
          <w:rFonts w:hint="default" w:ascii="Times New Roman" w:hAnsi="Times New Roman" w:cs="Times New Roman"/>
          <w:b/>
          <w:color w:val="auto"/>
          <w:sz w:val="48"/>
          <w:highlight w:val="none"/>
        </w:rPr>
      </w:pPr>
      <w:r>
        <w:rPr>
          <w:rFonts w:hint="default" w:ascii="Times New Roman" w:hAnsi="Times New Roman" w:cs="Times New Roman"/>
          <w:b/>
          <w:color w:val="auto"/>
          <w:sz w:val="48"/>
          <w:szCs w:val="48"/>
          <w:highlight w:val="none"/>
        </w:rPr>
        <w:t>新疆维吾尔自治区政府采购</w:t>
      </w:r>
    </w:p>
    <w:p w14:paraId="7EB9A44E">
      <w:pPr>
        <w:pStyle w:val="222"/>
        <w:spacing w:line="360" w:lineRule="auto"/>
        <w:jc w:val="center"/>
        <w:rPr>
          <w:rFonts w:hint="default" w:ascii="Times New Roman" w:hAnsi="Times New Roman" w:cs="Times New Roman"/>
          <w:color w:val="auto"/>
          <w:sz w:val="48"/>
          <w:highlight w:val="none"/>
        </w:rPr>
      </w:pPr>
    </w:p>
    <w:p w14:paraId="68066242">
      <w:pPr>
        <w:pStyle w:val="222"/>
        <w:spacing w:line="360" w:lineRule="auto"/>
        <w:jc w:val="center"/>
        <w:rPr>
          <w:rFonts w:hint="default" w:ascii="Times New Roman" w:hAnsi="Times New Roman" w:cs="Times New Roman"/>
          <w:color w:val="auto"/>
          <w:sz w:val="96"/>
          <w:highlight w:val="none"/>
        </w:rPr>
      </w:pPr>
      <w:r>
        <w:rPr>
          <w:rFonts w:hint="default" w:ascii="Times New Roman" w:hAnsi="Times New Roman" w:cs="Times New Roman"/>
          <w:b/>
          <w:bCs/>
          <w:color w:val="auto"/>
          <w:sz w:val="96"/>
          <w:szCs w:val="112"/>
          <w:highlight w:val="none"/>
        </w:rPr>
        <w:t>合同文本</w:t>
      </w:r>
    </w:p>
    <w:p w14:paraId="1CB2631E">
      <w:pPr>
        <w:pStyle w:val="222"/>
        <w:spacing w:line="360" w:lineRule="auto"/>
        <w:rPr>
          <w:rFonts w:hint="default" w:ascii="Times New Roman" w:hAnsi="Times New Roman" w:cs="Times New Roman"/>
          <w:color w:val="auto"/>
          <w:sz w:val="32"/>
          <w:highlight w:val="none"/>
        </w:rPr>
      </w:pPr>
      <w:r>
        <w:rPr>
          <w:rFonts w:hint="default" w:ascii="Times New Roman" w:hAnsi="Times New Roman" w:cs="Times New Roman"/>
          <w:color w:val="auto"/>
          <w:sz w:val="32"/>
          <w:highlight w:val="none"/>
        </w:rPr>
        <w:t xml:space="preserve">                                               </w:t>
      </w:r>
    </w:p>
    <w:p w14:paraId="07AB6081">
      <w:pPr>
        <w:pStyle w:val="222"/>
        <w:spacing w:line="360" w:lineRule="auto"/>
        <w:ind w:firstLine="1920" w:firstLineChars="600"/>
        <w:rPr>
          <w:rFonts w:hint="default" w:ascii="Times New Roman" w:hAnsi="Times New Roman" w:cs="Times New Roman"/>
          <w:color w:val="auto"/>
          <w:sz w:val="32"/>
          <w:highlight w:val="none"/>
        </w:rPr>
      </w:pPr>
    </w:p>
    <w:p w14:paraId="4202AA3F">
      <w:pPr>
        <w:pStyle w:val="222"/>
        <w:spacing w:line="360" w:lineRule="auto"/>
        <w:ind w:firstLine="1920" w:firstLineChars="600"/>
        <w:rPr>
          <w:rFonts w:hint="default" w:ascii="Times New Roman" w:hAnsi="Times New Roman" w:cs="Times New Roman"/>
          <w:color w:val="auto"/>
          <w:sz w:val="32"/>
          <w:highlight w:val="none"/>
        </w:rPr>
      </w:pPr>
    </w:p>
    <w:p w14:paraId="0F0D302C">
      <w:pPr>
        <w:pStyle w:val="222"/>
        <w:spacing w:line="360" w:lineRule="auto"/>
        <w:ind w:firstLine="1920" w:firstLineChars="600"/>
        <w:rPr>
          <w:rFonts w:hint="default" w:ascii="Times New Roman" w:hAnsi="Times New Roman" w:cs="Times New Roman"/>
          <w:color w:val="auto"/>
          <w:sz w:val="32"/>
          <w:highlight w:val="none"/>
        </w:rPr>
      </w:pPr>
    </w:p>
    <w:p w14:paraId="3099FD45">
      <w:pPr>
        <w:spacing w:line="360" w:lineRule="auto"/>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rPr>
        <w:t>项目名称：</w:t>
      </w:r>
      <w:r>
        <w:rPr>
          <w:rFonts w:hint="default" w:ascii="Times New Roman" w:hAnsi="Times New Roman" w:cs="Times New Roman"/>
          <w:color w:val="auto"/>
          <w:sz w:val="28"/>
          <w:szCs w:val="28"/>
          <w:highlight w:val="none"/>
        </w:rPr>
        <w:t xml:space="preserve"> </w:t>
      </w:r>
    </w:p>
    <w:p w14:paraId="24DF49B9">
      <w:pPr>
        <w:tabs>
          <w:tab w:val="left" w:pos="3780"/>
        </w:tabs>
        <w:spacing w:before="240" w:after="240" w:line="360" w:lineRule="auto"/>
        <w:rPr>
          <w:rFonts w:hint="default" w:ascii="Times New Roman" w:hAnsi="Times New Roman" w:cs="Times New Roman"/>
          <w:bCs/>
          <w:color w:val="auto"/>
          <w:sz w:val="30"/>
          <w:szCs w:val="30"/>
          <w:highlight w:val="none"/>
        </w:rPr>
      </w:pPr>
      <w:r>
        <w:rPr>
          <w:rFonts w:hint="default" w:ascii="Times New Roman" w:hAnsi="Times New Roman" w:cs="Times New Roman"/>
          <w:color w:val="auto"/>
          <w:sz w:val="30"/>
          <w:szCs w:val="30"/>
          <w:highlight w:val="none"/>
        </w:rPr>
        <w:t>项目文件编号：</w:t>
      </w:r>
    </w:p>
    <w:p w14:paraId="049DFCAF">
      <w:pPr>
        <w:spacing w:before="240" w:after="240" w:line="360" w:lineRule="auto"/>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rPr>
        <w:t>中标单位：</w:t>
      </w:r>
    </w:p>
    <w:p w14:paraId="47878531">
      <w:pPr>
        <w:pStyle w:val="222"/>
        <w:spacing w:line="360" w:lineRule="auto"/>
        <w:jc w:val="both"/>
        <w:rPr>
          <w:rFonts w:hint="default" w:ascii="Times New Roman" w:hAnsi="Times New Roman" w:cs="Times New Roman"/>
          <w:color w:val="auto"/>
          <w:spacing w:val="40"/>
          <w:sz w:val="32"/>
          <w:highlight w:val="none"/>
        </w:rPr>
      </w:pPr>
    </w:p>
    <w:p w14:paraId="1AD4A346">
      <w:pPr>
        <w:pStyle w:val="222"/>
        <w:spacing w:line="360" w:lineRule="auto"/>
        <w:jc w:val="both"/>
        <w:rPr>
          <w:rFonts w:hint="default" w:ascii="Times New Roman" w:hAnsi="Times New Roman" w:cs="Times New Roman"/>
          <w:color w:val="auto"/>
          <w:spacing w:val="40"/>
          <w:sz w:val="32"/>
          <w:highlight w:val="none"/>
        </w:rPr>
      </w:pPr>
      <w:r>
        <w:rPr>
          <w:rFonts w:hint="default" w:ascii="Times New Roman" w:hAnsi="Times New Roman" w:cs="Times New Roman"/>
          <w:color w:val="auto"/>
          <w:spacing w:val="40"/>
          <w:sz w:val="32"/>
          <w:highlight w:val="none"/>
        </w:rPr>
        <w:t xml:space="preserve">          二〇二</w:t>
      </w:r>
      <w:r>
        <w:rPr>
          <w:rFonts w:hint="eastAsia" w:ascii="Times New Roman" w:hAnsi="Times New Roman" w:cs="Times New Roman"/>
          <w:color w:val="auto"/>
          <w:spacing w:val="40"/>
          <w:sz w:val="32"/>
          <w:highlight w:val="none"/>
          <w:lang w:eastAsia="zh-CN"/>
        </w:rPr>
        <w:t>五</w:t>
      </w:r>
      <w:r>
        <w:rPr>
          <w:rFonts w:hint="default" w:ascii="Times New Roman" w:hAnsi="Times New Roman" w:cs="Times New Roman"/>
          <w:color w:val="auto"/>
          <w:spacing w:val="40"/>
          <w:sz w:val="32"/>
          <w:highlight w:val="none"/>
        </w:rPr>
        <w:t>年  月  日</w:t>
      </w:r>
    </w:p>
    <w:p w14:paraId="7F63407B">
      <w:pPr>
        <w:pStyle w:val="222"/>
        <w:spacing w:line="360" w:lineRule="auto"/>
        <w:jc w:val="both"/>
        <w:rPr>
          <w:rFonts w:hint="default" w:ascii="Times New Roman" w:hAnsi="Times New Roman" w:cs="Times New Roman"/>
          <w:color w:val="auto"/>
          <w:spacing w:val="40"/>
          <w:sz w:val="32"/>
          <w:highlight w:val="none"/>
        </w:rPr>
      </w:pPr>
    </w:p>
    <w:p w14:paraId="365AE98F">
      <w:pPr>
        <w:pStyle w:val="222"/>
        <w:spacing w:line="360" w:lineRule="auto"/>
        <w:jc w:val="both"/>
        <w:rPr>
          <w:rFonts w:hint="default" w:ascii="Times New Roman" w:hAnsi="Times New Roman" w:cs="Times New Roman"/>
          <w:color w:val="auto"/>
          <w:spacing w:val="40"/>
          <w:sz w:val="32"/>
          <w:highlight w:val="none"/>
        </w:rPr>
      </w:pPr>
    </w:p>
    <w:p w14:paraId="193380A6">
      <w:pPr>
        <w:pStyle w:val="222"/>
        <w:spacing w:line="360" w:lineRule="auto"/>
        <w:jc w:val="both"/>
        <w:rPr>
          <w:rFonts w:hint="default" w:ascii="Times New Roman" w:hAnsi="Times New Roman" w:cs="Times New Roman"/>
          <w:color w:val="auto"/>
          <w:spacing w:val="40"/>
          <w:sz w:val="32"/>
          <w:highlight w:val="none"/>
        </w:rPr>
      </w:pPr>
    </w:p>
    <w:p w14:paraId="1C70541B">
      <w:pPr>
        <w:spacing w:before="240" w:after="240" w:line="360" w:lineRule="auto"/>
        <w:jc w:val="center"/>
        <w:rPr>
          <w:rFonts w:hint="default" w:ascii="Times New Roman" w:hAnsi="Times New Roman" w:cs="Times New Roman"/>
          <w:color w:val="auto"/>
          <w:sz w:val="44"/>
          <w:szCs w:val="44"/>
          <w:highlight w:val="none"/>
        </w:rPr>
      </w:pPr>
      <w:r>
        <w:rPr>
          <w:rFonts w:hint="default" w:ascii="Times New Roman" w:hAnsi="Times New Roman" w:cs="Times New Roman"/>
          <w:color w:val="auto"/>
          <w:sz w:val="44"/>
          <w:szCs w:val="44"/>
          <w:highlight w:val="none"/>
        </w:rPr>
        <w:t>新疆维吾尔自治区政府采购合同</w:t>
      </w:r>
    </w:p>
    <w:p w14:paraId="512F4179">
      <w:pPr>
        <w:pStyle w:val="222"/>
        <w:spacing w:before="240" w:after="240" w:line="360" w:lineRule="auto"/>
        <w:ind w:firstLine="24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t>甲方：</w:t>
      </w:r>
      <w:r>
        <w:rPr>
          <w:rFonts w:hint="default" w:ascii="Times New Roman" w:hAnsi="Times New Roman" w:cs="Times New Roman"/>
          <w:color w:val="auto"/>
          <w:highlight w:val="none"/>
          <w:u w:val="single"/>
        </w:rPr>
        <w:t>新疆维吾尔自治区生态环境监测总站</w:t>
      </w:r>
    </w:p>
    <w:p w14:paraId="4AA77BCB">
      <w:pPr>
        <w:spacing w:before="240" w:after="385" w:afterLines="100" w:line="360" w:lineRule="auto"/>
        <w:ind w:firstLine="240" w:firstLineChars="100"/>
        <w:rPr>
          <w:rFonts w:hint="default" w:ascii="Times New Roman" w:hAnsi="Times New Roman" w:cs="Times New Roman"/>
          <w:color w:val="auto"/>
          <w:kern w:val="0"/>
          <w:sz w:val="24"/>
          <w:highlight w:val="none"/>
          <w:u w:val="single"/>
        </w:rPr>
      </w:pPr>
      <w:r>
        <w:rPr>
          <w:rFonts w:hint="default" w:ascii="Times New Roman" w:hAnsi="Times New Roman" w:cs="Times New Roman"/>
          <w:color w:val="auto"/>
          <w:sz w:val="24"/>
          <w:highlight w:val="none"/>
        </w:rPr>
        <w:t>乙方：</w:t>
      </w:r>
      <w:r>
        <w:rPr>
          <w:rFonts w:hint="default" w:ascii="Times New Roman" w:hAnsi="Times New Roman" w:cs="Times New Roman"/>
          <w:color w:val="auto"/>
          <w:kern w:val="0"/>
          <w:sz w:val="24"/>
          <w:highlight w:val="none"/>
          <w:u w:val="single"/>
        </w:rPr>
        <w:t xml:space="preserve">                                </w:t>
      </w:r>
    </w:p>
    <w:p w14:paraId="588C57F2">
      <w:pPr>
        <w:spacing w:line="360" w:lineRule="auto"/>
        <w:ind w:firstLine="480" w:firstLineChars="200"/>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在</w:t>
      </w:r>
      <w:r>
        <w:rPr>
          <w:rFonts w:hint="default" w:ascii="Times New Roman" w:hAnsi="Times New Roman" w:cs="Times New Roman"/>
          <w:color w:val="auto"/>
          <w:kern w:val="0"/>
          <w:sz w:val="24"/>
          <w:highlight w:val="none"/>
          <w:u w:val="single"/>
        </w:rPr>
        <w:t xml:space="preserve">        有限公司</w:t>
      </w:r>
      <w:r>
        <w:rPr>
          <w:rFonts w:hint="default" w:ascii="Times New Roman" w:hAnsi="Times New Roman" w:cs="Times New Roman"/>
          <w:color w:val="auto"/>
          <w:kern w:val="0"/>
          <w:sz w:val="24"/>
          <w:highlight w:val="none"/>
        </w:rPr>
        <w:t>于</w:t>
      </w:r>
      <w:r>
        <w:rPr>
          <w:rFonts w:hint="default" w:ascii="Times New Roman" w:hAnsi="Times New Roman" w:cs="Times New Roman"/>
          <w:color w:val="auto"/>
          <w:kern w:val="0"/>
          <w:sz w:val="24"/>
          <w:highlight w:val="none"/>
          <w:u w:val="single"/>
        </w:rPr>
        <w:t>202</w:t>
      </w:r>
      <w:r>
        <w:rPr>
          <w:rFonts w:hint="default" w:ascii="Times New Roman" w:hAnsi="Times New Roman" w:cs="Times New Roman"/>
          <w:color w:val="auto"/>
          <w:kern w:val="0"/>
          <w:sz w:val="24"/>
          <w:highlight w:val="none"/>
          <w:u w:val="single"/>
          <w:lang w:val="en-US" w:eastAsia="zh-CN"/>
        </w:rPr>
        <w:t>5</w:t>
      </w:r>
      <w:r>
        <w:rPr>
          <w:rFonts w:hint="default" w:ascii="Times New Roman" w:hAnsi="Times New Roman" w:cs="Times New Roman"/>
          <w:color w:val="auto"/>
          <w:kern w:val="0"/>
          <w:sz w:val="24"/>
          <w:highlight w:val="none"/>
        </w:rPr>
        <w:t>年</w:t>
      </w:r>
      <w:r>
        <w:rPr>
          <w:rFonts w:hint="default" w:ascii="Times New Roman" w:hAnsi="Times New Roman" w:cs="Times New Roman"/>
          <w:color w:val="auto"/>
          <w:kern w:val="0"/>
          <w:sz w:val="24"/>
          <w:highlight w:val="none"/>
          <w:u w:val="single"/>
        </w:rPr>
        <w:t xml:space="preserve">   </w:t>
      </w:r>
      <w:r>
        <w:rPr>
          <w:rFonts w:hint="default" w:ascii="Times New Roman" w:hAnsi="Times New Roman" w:cs="Times New Roman"/>
          <w:color w:val="auto"/>
          <w:kern w:val="0"/>
          <w:sz w:val="24"/>
          <w:highlight w:val="none"/>
        </w:rPr>
        <w:t>月</w:t>
      </w:r>
      <w:r>
        <w:rPr>
          <w:rFonts w:hint="default" w:ascii="Times New Roman" w:hAnsi="Times New Roman" w:cs="Times New Roman"/>
          <w:color w:val="auto"/>
          <w:kern w:val="0"/>
          <w:sz w:val="24"/>
          <w:highlight w:val="none"/>
          <w:u w:val="single"/>
        </w:rPr>
        <w:t xml:space="preserve">  </w:t>
      </w:r>
      <w:r>
        <w:rPr>
          <w:rFonts w:hint="default" w:ascii="Times New Roman" w:hAnsi="Times New Roman" w:cs="Times New Roman"/>
          <w:color w:val="auto"/>
          <w:kern w:val="0"/>
          <w:sz w:val="24"/>
          <w:highlight w:val="none"/>
        </w:rPr>
        <w:t>日组织的、招标文件编号为</w:t>
      </w:r>
      <w:r>
        <w:rPr>
          <w:rFonts w:hint="eastAsia" w:ascii="Times New Roman" w:hAnsi="Times New Roman" w:cs="Times New Roman"/>
          <w:color w:val="auto"/>
          <w:kern w:val="0"/>
          <w:sz w:val="24"/>
          <w:highlight w:val="none"/>
          <w:lang w:val="en-US" w:eastAsia="zh-CN"/>
        </w:rPr>
        <w:t>________________________</w:t>
      </w:r>
      <w:r>
        <w:rPr>
          <w:rFonts w:hint="default" w:ascii="Times New Roman" w:hAnsi="Times New Roman" w:cs="Times New Roman"/>
          <w:color w:val="auto"/>
          <w:kern w:val="0"/>
          <w:sz w:val="24"/>
          <w:highlight w:val="none"/>
        </w:rPr>
        <w:t>的</w:t>
      </w:r>
      <w:r>
        <w:rPr>
          <w:rFonts w:hint="default" w:ascii="Times New Roman" w:hAnsi="Times New Roman" w:cs="Times New Roman"/>
          <w:b/>
          <w:color w:val="auto"/>
          <w:kern w:val="0"/>
          <w:sz w:val="24"/>
          <w:highlight w:val="none"/>
          <w:u w:val="single"/>
        </w:rPr>
        <w:t xml:space="preserve">                     </w:t>
      </w:r>
      <w:r>
        <w:rPr>
          <w:rFonts w:hint="default" w:ascii="Times New Roman" w:hAnsi="Times New Roman" w:cs="Times New Roman"/>
          <w:color w:val="auto"/>
          <w:kern w:val="0"/>
          <w:sz w:val="24"/>
          <w:highlight w:val="none"/>
          <w:u w:val="single"/>
        </w:rPr>
        <w:t xml:space="preserve"> </w:t>
      </w:r>
      <w:r>
        <w:rPr>
          <w:rFonts w:hint="default" w:ascii="Times New Roman" w:hAnsi="Times New Roman" w:cs="Times New Roman"/>
          <w:color w:val="auto"/>
          <w:kern w:val="0"/>
          <w:sz w:val="24"/>
          <w:highlight w:val="none"/>
        </w:rPr>
        <w:t>的招标采购中，经评定，乙方</w:t>
      </w:r>
      <w:r>
        <w:rPr>
          <w:rFonts w:hint="default" w:ascii="Times New Roman" w:hAnsi="Times New Roman" w:cs="Times New Roman"/>
          <w:b/>
          <w:color w:val="auto"/>
          <w:sz w:val="24"/>
          <w:highlight w:val="none"/>
          <w:u w:val="single"/>
        </w:rPr>
        <w:t xml:space="preserve">     </w:t>
      </w:r>
      <w:r>
        <w:rPr>
          <w:rFonts w:hint="eastAsia" w:ascii="Times New Roman" w:hAnsi="Times New Roman" w:cs="Times New Roman"/>
          <w:b/>
          <w:color w:val="auto"/>
          <w:sz w:val="24"/>
          <w:highlight w:val="none"/>
          <w:u w:val="single"/>
          <w:lang w:val="en-US" w:eastAsia="zh-CN"/>
        </w:rPr>
        <w:t xml:space="preserve">   </w:t>
      </w:r>
      <w:r>
        <w:rPr>
          <w:rFonts w:hint="default" w:ascii="Times New Roman" w:hAnsi="Times New Roman" w:cs="Times New Roman"/>
          <w:b/>
          <w:color w:val="auto"/>
          <w:sz w:val="24"/>
          <w:highlight w:val="none"/>
          <w:u w:val="single"/>
        </w:rPr>
        <w:t xml:space="preserve">    </w:t>
      </w:r>
      <w:r>
        <w:rPr>
          <w:rFonts w:hint="default" w:ascii="Times New Roman" w:hAnsi="Times New Roman" w:cs="Times New Roman"/>
          <w:color w:val="auto"/>
          <w:kern w:val="0"/>
          <w:sz w:val="24"/>
          <w:highlight w:val="none"/>
          <w:u w:val="single"/>
        </w:rPr>
        <w:t xml:space="preserve">  </w:t>
      </w:r>
      <w:r>
        <w:rPr>
          <w:rFonts w:hint="default" w:ascii="Times New Roman" w:hAnsi="Times New Roman" w:cs="Times New Roman"/>
          <w:color w:val="auto"/>
          <w:kern w:val="0"/>
          <w:sz w:val="24"/>
          <w:highlight w:val="none"/>
        </w:rPr>
        <w:t>为中标方，中标金额为人民币大写</w:t>
      </w:r>
      <w:r>
        <w:rPr>
          <w:rFonts w:hint="default" w:ascii="Times New Roman" w:hAnsi="Times New Roman" w:cs="Times New Roman"/>
          <w:b/>
          <w:bCs/>
          <w:color w:val="auto"/>
          <w:kern w:val="0"/>
          <w:sz w:val="24"/>
          <w:highlight w:val="none"/>
          <w:u w:val="single"/>
        </w:rPr>
        <w:t xml:space="preserve"> </w:t>
      </w:r>
      <w:r>
        <w:rPr>
          <w:rFonts w:hint="default" w:ascii="Times New Roman" w:hAnsi="Times New Roman" w:cs="Times New Roman"/>
          <w:b/>
          <w:color w:val="auto"/>
          <w:sz w:val="24"/>
          <w:highlight w:val="none"/>
          <w:u w:val="single"/>
        </w:rPr>
        <w:t xml:space="preserve">            </w:t>
      </w:r>
      <w:r>
        <w:rPr>
          <w:rFonts w:hint="default" w:ascii="Times New Roman" w:hAnsi="Times New Roman" w:cs="Times New Roman"/>
          <w:b/>
          <w:bCs/>
          <w:color w:val="auto"/>
          <w:kern w:val="0"/>
          <w:sz w:val="24"/>
          <w:highlight w:val="none"/>
          <w:u w:val="single"/>
        </w:rPr>
        <w:t>元整</w:t>
      </w:r>
      <w:r>
        <w:rPr>
          <w:rFonts w:hint="default" w:ascii="Times New Roman" w:hAnsi="Times New Roman" w:cs="Times New Roman"/>
          <w:b/>
          <w:bCs/>
          <w:color w:val="auto"/>
          <w:sz w:val="24"/>
          <w:highlight w:val="none"/>
          <w:u w:val="single"/>
        </w:rPr>
        <w:t>（¥</w:t>
      </w:r>
      <w:r>
        <w:rPr>
          <w:rFonts w:hint="default" w:ascii="Times New Roman" w:hAnsi="Times New Roman" w:cs="Times New Roman"/>
          <w:b/>
          <w:color w:val="auto"/>
          <w:sz w:val="24"/>
          <w:highlight w:val="none"/>
          <w:u w:val="single"/>
        </w:rPr>
        <w:t xml:space="preserve">          元整</w:t>
      </w:r>
      <w:r>
        <w:rPr>
          <w:rFonts w:hint="default" w:ascii="Times New Roman" w:hAnsi="Times New Roman" w:cs="Times New Roman"/>
          <w:b/>
          <w:bCs/>
          <w:color w:val="auto"/>
          <w:sz w:val="24"/>
          <w:highlight w:val="none"/>
          <w:u w:val="single"/>
        </w:rPr>
        <w:t>）</w:t>
      </w:r>
      <w:r>
        <w:rPr>
          <w:rFonts w:hint="default" w:ascii="Times New Roman" w:hAnsi="Times New Roman" w:cs="Times New Roman"/>
          <w:color w:val="auto"/>
          <w:kern w:val="0"/>
          <w:sz w:val="24"/>
          <w:highlight w:val="none"/>
        </w:rPr>
        <w:t>。</w:t>
      </w:r>
    </w:p>
    <w:p w14:paraId="005395E5">
      <w:pPr>
        <w:pStyle w:val="222"/>
        <w:spacing w:before="240" w:after="240" w:line="360" w:lineRule="auto"/>
        <w:ind w:firstLine="48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甲、乙双方根据《中华人民共和国政府采购法》和《中华人民共和国民法典》的规定，按照公平、公正、平等自愿和诚实信用、协商一致的原则，甲、乙双方授权代表就所供设备的购销、安装、调试和售后服务等事宜达成如下条款。</w:t>
      </w:r>
    </w:p>
    <w:p w14:paraId="5E18DB71">
      <w:pPr>
        <w:pStyle w:val="222"/>
        <w:spacing w:before="240" w:after="240" w:line="360" w:lineRule="auto"/>
        <w:ind w:left="472"/>
        <w:rPr>
          <w:rFonts w:hint="eastAsia" w:ascii="Times New Roman" w:hAnsi="Times New Roman" w:cs="Times New Roman"/>
          <w:b/>
          <w:color w:val="auto"/>
          <w:highlight w:val="none"/>
          <w:lang w:eastAsia="zh-CN"/>
        </w:rPr>
      </w:pPr>
      <w:r>
        <w:rPr>
          <w:rFonts w:hint="default" w:ascii="Times New Roman" w:hAnsi="Times New Roman" w:cs="Times New Roman"/>
          <w:b/>
          <w:color w:val="auto"/>
          <w:highlight w:val="none"/>
        </w:rPr>
        <w:t>一、运维设备清单</w:t>
      </w:r>
      <w:r>
        <w:rPr>
          <w:rFonts w:hint="eastAsia" w:ascii="Times New Roman" w:hAnsi="Times New Roman" w:cs="Times New Roman"/>
          <w:b/>
          <w:color w:val="auto"/>
          <w:highlight w:val="none"/>
          <w:lang w:eastAsia="zh-CN"/>
        </w:rPr>
        <w:t>及费用分配</w:t>
      </w:r>
    </w:p>
    <w:p w14:paraId="1A8D4F51">
      <w:pPr>
        <w:pStyle w:val="222"/>
        <w:keepNext w:val="0"/>
        <w:keepLines w:val="0"/>
        <w:pageBreakBefore w:val="0"/>
        <w:widowControl w:val="0"/>
        <w:kinsoku/>
        <w:wordWrap/>
        <w:overflowPunct/>
        <w:topLinePunct w:val="0"/>
        <w:autoSpaceDE w:val="0"/>
        <w:autoSpaceDN w:val="0"/>
        <w:bidi w:val="0"/>
        <w:adjustRightInd w:val="0"/>
        <w:snapToGrid/>
        <w:spacing w:before="120" w:line="240" w:lineRule="auto"/>
        <w:ind w:firstLine="0" w:firstLineChars="0"/>
        <w:jc w:val="center"/>
        <w:textAlignment w:val="auto"/>
        <w:rPr>
          <w:rFonts w:hint="eastAsia" w:ascii="Times New Roman" w:hAnsi="Times New Roman" w:cs="Times New Roman"/>
          <w:b/>
          <w:bCs/>
          <w:color w:val="auto"/>
          <w:highlight w:val="none"/>
          <w:lang w:eastAsia="zh-CN"/>
        </w:rPr>
      </w:pPr>
      <w:r>
        <w:rPr>
          <w:rFonts w:hint="eastAsia" w:ascii="Times New Roman" w:hAnsi="Times New Roman" w:cs="Times New Roman"/>
          <w:b/>
          <w:bCs/>
          <w:color w:val="auto"/>
          <w:highlight w:val="none"/>
          <w:lang w:eastAsia="zh-CN"/>
        </w:rPr>
        <w:t>大气组分站</w:t>
      </w:r>
      <w:r>
        <w:rPr>
          <w:rFonts w:hint="default" w:ascii="Times New Roman" w:hAnsi="Times New Roman" w:cs="Times New Roman"/>
          <w:b/>
          <w:bCs/>
          <w:color w:val="auto"/>
          <w:highlight w:val="none"/>
        </w:rPr>
        <w:t>主要特</w:t>
      </w:r>
      <w:r>
        <w:rPr>
          <w:rFonts w:hint="default" w:ascii="Times New Roman" w:hAnsi="Times New Roman" w:cs="Times New Roman"/>
          <w:b/>
          <w:bCs/>
          <w:color w:val="auto"/>
          <w:highlight w:val="none"/>
        </w:rPr>
        <w:t>征因子仪器配置</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1845"/>
        <w:gridCol w:w="4308"/>
        <w:gridCol w:w="1241"/>
      </w:tblGrid>
      <w:tr w14:paraId="3018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73" w:type="dxa"/>
            <w:noWrap w:val="0"/>
            <w:vAlign w:val="center"/>
          </w:tcPr>
          <w:p w14:paraId="310D65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firstLine="0" w:firstLineChars="0"/>
              <w:jc w:val="center"/>
              <w:textAlignment w:val="auto"/>
              <w:rPr>
                <w:rFonts w:hint="default" w:ascii="Times New Roman" w:hAnsi="Times New Roman" w:cs="Times New Roman"/>
                <w:b/>
                <w:bCs/>
                <w:color w:val="auto"/>
                <w:kern w:val="0"/>
                <w:sz w:val="20"/>
                <w:szCs w:val="24"/>
                <w:highlight w:val="none"/>
              </w:rPr>
            </w:pPr>
            <w:r>
              <w:rPr>
                <w:rFonts w:hint="default" w:ascii="Times New Roman" w:hAnsi="Times New Roman" w:cs="Times New Roman"/>
                <w:b/>
                <w:bCs/>
                <w:color w:val="auto"/>
                <w:kern w:val="0"/>
                <w:sz w:val="20"/>
                <w:szCs w:val="24"/>
                <w:highlight w:val="none"/>
              </w:rPr>
              <w:t>序号</w:t>
            </w:r>
          </w:p>
        </w:tc>
        <w:tc>
          <w:tcPr>
            <w:tcW w:w="6153" w:type="dxa"/>
            <w:gridSpan w:val="2"/>
            <w:noWrap w:val="0"/>
            <w:vAlign w:val="center"/>
          </w:tcPr>
          <w:p w14:paraId="2EE3E4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firstLine="0" w:firstLineChars="0"/>
              <w:jc w:val="center"/>
              <w:textAlignment w:val="auto"/>
              <w:rPr>
                <w:rFonts w:hint="default" w:ascii="Times New Roman" w:hAnsi="Times New Roman" w:cs="Times New Roman"/>
                <w:b/>
                <w:bCs/>
                <w:color w:val="auto"/>
                <w:kern w:val="0"/>
                <w:sz w:val="20"/>
                <w:szCs w:val="24"/>
                <w:highlight w:val="none"/>
              </w:rPr>
            </w:pPr>
            <w:r>
              <w:rPr>
                <w:rFonts w:hint="default" w:ascii="Times New Roman" w:hAnsi="Times New Roman" w:cs="Times New Roman"/>
                <w:b/>
                <w:bCs/>
                <w:color w:val="auto"/>
                <w:kern w:val="0"/>
                <w:sz w:val="20"/>
                <w:szCs w:val="24"/>
                <w:highlight w:val="none"/>
              </w:rPr>
              <w:t>仪器设备</w:t>
            </w:r>
          </w:p>
        </w:tc>
        <w:tc>
          <w:tcPr>
            <w:tcW w:w="1241" w:type="dxa"/>
            <w:noWrap w:val="0"/>
            <w:vAlign w:val="center"/>
          </w:tcPr>
          <w:p w14:paraId="480FDC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firstLine="0" w:firstLineChars="0"/>
              <w:jc w:val="center"/>
              <w:textAlignment w:val="auto"/>
              <w:rPr>
                <w:rFonts w:hint="default" w:ascii="Times New Roman" w:hAnsi="Times New Roman" w:cs="Times New Roman"/>
                <w:b/>
                <w:bCs/>
                <w:color w:val="auto"/>
                <w:kern w:val="0"/>
                <w:sz w:val="20"/>
                <w:szCs w:val="24"/>
                <w:highlight w:val="none"/>
              </w:rPr>
            </w:pPr>
            <w:r>
              <w:rPr>
                <w:rFonts w:hint="default" w:ascii="Times New Roman" w:hAnsi="Times New Roman" w:cs="Times New Roman"/>
                <w:b/>
                <w:bCs/>
                <w:color w:val="auto"/>
                <w:kern w:val="0"/>
                <w:sz w:val="20"/>
                <w:szCs w:val="24"/>
                <w:highlight w:val="none"/>
              </w:rPr>
              <w:t>数量</w:t>
            </w:r>
          </w:p>
        </w:tc>
      </w:tr>
      <w:tr w14:paraId="66EFD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73" w:type="dxa"/>
            <w:noWrap w:val="0"/>
            <w:vAlign w:val="center"/>
          </w:tcPr>
          <w:p w14:paraId="590C60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4"/>
                <w:highlight w:val="none"/>
              </w:rPr>
            </w:pPr>
            <w:r>
              <w:rPr>
                <w:rFonts w:hint="default" w:ascii="Times New Roman" w:hAnsi="Times New Roman" w:cs="Times New Roman"/>
                <w:color w:val="auto"/>
                <w:kern w:val="0"/>
                <w:sz w:val="20"/>
                <w:szCs w:val="24"/>
                <w:highlight w:val="none"/>
              </w:rPr>
              <w:t>1</w:t>
            </w:r>
          </w:p>
        </w:tc>
        <w:tc>
          <w:tcPr>
            <w:tcW w:w="1845" w:type="dxa"/>
            <w:vMerge w:val="restart"/>
            <w:noWrap w:val="0"/>
            <w:vAlign w:val="center"/>
          </w:tcPr>
          <w:p w14:paraId="1E8122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4"/>
                <w:highlight w:val="none"/>
              </w:rPr>
            </w:pPr>
          </w:p>
        </w:tc>
        <w:tc>
          <w:tcPr>
            <w:tcW w:w="4308" w:type="dxa"/>
            <w:noWrap w:val="0"/>
            <w:vAlign w:val="center"/>
          </w:tcPr>
          <w:p w14:paraId="52A26E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0"/>
                <w:highlight w:val="none"/>
              </w:rPr>
            </w:pPr>
          </w:p>
        </w:tc>
        <w:tc>
          <w:tcPr>
            <w:tcW w:w="1241" w:type="dxa"/>
            <w:noWrap w:val="0"/>
            <w:vAlign w:val="center"/>
          </w:tcPr>
          <w:p w14:paraId="725BE4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0"/>
                <w:highlight w:val="none"/>
              </w:rPr>
            </w:pPr>
          </w:p>
        </w:tc>
      </w:tr>
      <w:tr w14:paraId="253B7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73" w:type="dxa"/>
            <w:noWrap w:val="0"/>
            <w:vAlign w:val="center"/>
          </w:tcPr>
          <w:p w14:paraId="7D382D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4"/>
                <w:highlight w:val="none"/>
              </w:rPr>
            </w:pPr>
            <w:r>
              <w:rPr>
                <w:rFonts w:hint="default" w:ascii="Times New Roman" w:hAnsi="Times New Roman" w:cs="Times New Roman"/>
                <w:color w:val="auto"/>
                <w:kern w:val="0"/>
                <w:sz w:val="20"/>
                <w:szCs w:val="24"/>
                <w:highlight w:val="none"/>
              </w:rPr>
              <w:t>2</w:t>
            </w:r>
          </w:p>
        </w:tc>
        <w:tc>
          <w:tcPr>
            <w:tcW w:w="1845" w:type="dxa"/>
            <w:vMerge w:val="continue"/>
            <w:noWrap w:val="0"/>
            <w:vAlign w:val="center"/>
          </w:tcPr>
          <w:p w14:paraId="6A80DD3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4"/>
                <w:highlight w:val="none"/>
              </w:rPr>
            </w:pPr>
          </w:p>
        </w:tc>
        <w:tc>
          <w:tcPr>
            <w:tcW w:w="4308" w:type="dxa"/>
            <w:noWrap w:val="0"/>
            <w:vAlign w:val="center"/>
          </w:tcPr>
          <w:p w14:paraId="5AD215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0"/>
                <w:highlight w:val="none"/>
              </w:rPr>
            </w:pPr>
          </w:p>
        </w:tc>
        <w:tc>
          <w:tcPr>
            <w:tcW w:w="1241" w:type="dxa"/>
            <w:noWrap w:val="0"/>
            <w:vAlign w:val="center"/>
          </w:tcPr>
          <w:p w14:paraId="35F142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0"/>
                <w:highlight w:val="none"/>
              </w:rPr>
            </w:pPr>
          </w:p>
        </w:tc>
      </w:tr>
      <w:tr w14:paraId="5A52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73" w:type="dxa"/>
            <w:noWrap w:val="0"/>
            <w:vAlign w:val="center"/>
          </w:tcPr>
          <w:p w14:paraId="2DE731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4"/>
                <w:highlight w:val="none"/>
              </w:rPr>
            </w:pPr>
            <w:r>
              <w:rPr>
                <w:rFonts w:hint="default" w:ascii="Times New Roman" w:hAnsi="Times New Roman" w:cs="Times New Roman"/>
                <w:color w:val="auto"/>
                <w:kern w:val="0"/>
                <w:sz w:val="20"/>
                <w:szCs w:val="24"/>
                <w:highlight w:val="none"/>
              </w:rPr>
              <w:t>3</w:t>
            </w:r>
          </w:p>
        </w:tc>
        <w:tc>
          <w:tcPr>
            <w:tcW w:w="1845" w:type="dxa"/>
            <w:vMerge w:val="continue"/>
            <w:noWrap w:val="0"/>
            <w:vAlign w:val="center"/>
          </w:tcPr>
          <w:p w14:paraId="58965A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4"/>
                <w:highlight w:val="none"/>
              </w:rPr>
            </w:pPr>
          </w:p>
        </w:tc>
        <w:tc>
          <w:tcPr>
            <w:tcW w:w="4308" w:type="dxa"/>
            <w:noWrap w:val="0"/>
            <w:vAlign w:val="center"/>
          </w:tcPr>
          <w:p w14:paraId="33C098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0"/>
                <w:highlight w:val="none"/>
              </w:rPr>
            </w:pPr>
          </w:p>
        </w:tc>
        <w:tc>
          <w:tcPr>
            <w:tcW w:w="1241" w:type="dxa"/>
            <w:noWrap w:val="0"/>
            <w:vAlign w:val="center"/>
          </w:tcPr>
          <w:p w14:paraId="720AD4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0"/>
                <w:highlight w:val="none"/>
              </w:rPr>
            </w:pPr>
          </w:p>
        </w:tc>
      </w:tr>
      <w:tr w14:paraId="25CDD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73" w:type="dxa"/>
            <w:noWrap w:val="0"/>
            <w:vAlign w:val="center"/>
          </w:tcPr>
          <w:p w14:paraId="3558BE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4"/>
                <w:highlight w:val="none"/>
              </w:rPr>
            </w:pPr>
            <w:r>
              <w:rPr>
                <w:rFonts w:hint="default" w:ascii="Times New Roman" w:hAnsi="Times New Roman" w:cs="Times New Roman"/>
                <w:color w:val="auto"/>
                <w:kern w:val="0"/>
                <w:sz w:val="20"/>
                <w:szCs w:val="24"/>
                <w:highlight w:val="none"/>
              </w:rPr>
              <w:t>4</w:t>
            </w:r>
          </w:p>
        </w:tc>
        <w:tc>
          <w:tcPr>
            <w:tcW w:w="1845" w:type="dxa"/>
            <w:vMerge w:val="continue"/>
            <w:noWrap w:val="0"/>
            <w:vAlign w:val="center"/>
          </w:tcPr>
          <w:p w14:paraId="6B3E6D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4"/>
                <w:highlight w:val="none"/>
              </w:rPr>
            </w:pPr>
          </w:p>
        </w:tc>
        <w:tc>
          <w:tcPr>
            <w:tcW w:w="4308" w:type="dxa"/>
            <w:noWrap w:val="0"/>
            <w:vAlign w:val="center"/>
          </w:tcPr>
          <w:p w14:paraId="635550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0"/>
                <w:highlight w:val="none"/>
              </w:rPr>
            </w:pPr>
          </w:p>
        </w:tc>
        <w:tc>
          <w:tcPr>
            <w:tcW w:w="1241" w:type="dxa"/>
            <w:noWrap w:val="0"/>
            <w:vAlign w:val="center"/>
          </w:tcPr>
          <w:p w14:paraId="54F9DD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0"/>
                <w:highlight w:val="none"/>
              </w:rPr>
            </w:pPr>
          </w:p>
        </w:tc>
      </w:tr>
      <w:tr w14:paraId="63FFF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73" w:type="dxa"/>
            <w:noWrap w:val="0"/>
            <w:vAlign w:val="center"/>
          </w:tcPr>
          <w:p w14:paraId="5D8F12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4"/>
                <w:highlight w:val="none"/>
              </w:rPr>
            </w:pPr>
            <w:r>
              <w:rPr>
                <w:rFonts w:hint="default" w:ascii="Times New Roman" w:hAnsi="Times New Roman" w:cs="Times New Roman"/>
                <w:color w:val="auto"/>
                <w:kern w:val="0"/>
                <w:sz w:val="20"/>
                <w:szCs w:val="24"/>
                <w:highlight w:val="none"/>
              </w:rPr>
              <w:t>5</w:t>
            </w:r>
          </w:p>
        </w:tc>
        <w:tc>
          <w:tcPr>
            <w:tcW w:w="1845" w:type="dxa"/>
            <w:vMerge w:val="continue"/>
            <w:noWrap w:val="0"/>
            <w:vAlign w:val="center"/>
          </w:tcPr>
          <w:p w14:paraId="314778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4"/>
                <w:highlight w:val="none"/>
              </w:rPr>
            </w:pPr>
          </w:p>
        </w:tc>
        <w:tc>
          <w:tcPr>
            <w:tcW w:w="4308" w:type="dxa"/>
            <w:noWrap w:val="0"/>
            <w:vAlign w:val="center"/>
          </w:tcPr>
          <w:p w14:paraId="33AD03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0"/>
                <w:highlight w:val="none"/>
              </w:rPr>
            </w:pPr>
          </w:p>
        </w:tc>
        <w:tc>
          <w:tcPr>
            <w:tcW w:w="1241" w:type="dxa"/>
            <w:noWrap w:val="0"/>
            <w:vAlign w:val="center"/>
          </w:tcPr>
          <w:p w14:paraId="5D9E0F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0"/>
                <w:highlight w:val="none"/>
              </w:rPr>
            </w:pPr>
          </w:p>
        </w:tc>
      </w:tr>
      <w:tr w14:paraId="6308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73" w:type="dxa"/>
            <w:noWrap w:val="0"/>
            <w:vAlign w:val="center"/>
          </w:tcPr>
          <w:p w14:paraId="5CA7E2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4"/>
                <w:highlight w:val="none"/>
              </w:rPr>
            </w:pPr>
            <w:r>
              <w:rPr>
                <w:rFonts w:hint="default" w:ascii="Times New Roman" w:hAnsi="Times New Roman" w:cs="Times New Roman"/>
                <w:color w:val="auto"/>
                <w:kern w:val="0"/>
                <w:sz w:val="20"/>
                <w:szCs w:val="24"/>
                <w:highlight w:val="none"/>
              </w:rPr>
              <w:t>6</w:t>
            </w:r>
          </w:p>
        </w:tc>
        <w:tc>
          <w:tcPr>
            <w:tcW w:w="1845" w:type="dxa"/>
            <w:vMerge w:val="continue"/>
            <w:noWrap w:val="0"/>
            <w:vAlign w:val="center"/>
          </w:tcPr>
          <w:p w14:paraId="500B83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4"/>
                <w:highlight w:val="none"/>
              </w:rPr>
            </w:pPr>
          </w:p>
        </w:tc>
        <w:tc>
          <w:tcPr>
            <w:tcW w:w="4308" w:type="dxa"/>
            <w:noWrap w:val="0"/>
            <w:vAlign w:val="center"/>
          </w:tcPr>
          <w:p w14:paraId="6C1251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0"/>
                <w:highlight w:val="none"/>
              </w:rPr>
            </w:pPr>
          </w:p>
        </w:tc>
        <w:tc>
          <w:tcPr>
            <w:tcW w:w="1241" w:type="dxa"/>
            <w:noWrap w:val="0"/>
            <w:vAlign w:val="center"/>
          </w:tcPr>
          <w:p w14:paraId="636205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0"/>
                <w:highlight w:val="none"/>
              </w:rPr>
            </w:pPr>
          </w:p>
        </w:tc>
      </w:tr>
      <w:tr w14:paraId="6F779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73" w:type="dxa"/>
            <w:noWrap w:val="0"/>
            <w:vAlign w:val="center"/>
          </w:tcPr>
          <w:p w14:paraId="076C87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4"/>
                <w:highlight w:val="none"/>
              </w:rPr>
            </w:pPr>
            <w:r>
              <w:rPr>
                <w:rFonts w:hint="default" w:ascii="Times New Roman" w:hAnsi="Times New Roman" w:cs="Times New Roman"/>
                <w:color w:val="auto"/>
                <w:kern w:val="0"/>
                <w:sz w:val="20"/>
                <w:szCs w:val="24"/>
                <w:highlight w:val="none"/>
              </w:rPr>
              <w:t>7</w:t>
            </w:r>
          </w:p>
        </w:tc>
        <w:tc>
          <w:tcPr>
            <w:tcW w:w="1845" w:type="dxa"/>
            <w:vMerge w:val="continue"/>
            <w:noWrap w:val="0"/>
            <w:vAlign w:val="center"/>
          </w:tcPr>
          <w:p w14:paraId="32A796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4"/>
                <w:highlight w:val="none"/>
              </w:rPr>
            </w:pPr>
          </w:p>
        </w:tc>
        <w:tc>
          <w:tcPr>
            <w:tcW w:w="4308" w:type="dxa"/>
            <w:noWrap w:val="0"/>
            <w:vAlign w:val="center"/>
          </w:tcPr>
          <w:p w14:paraId="032FED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0"/>
                <w:highlight w:val="none"/>
              </w:rPr>
            </w:pPr>
          </w:p>
        </w:tc>
        <w:tc>
          <w:tcPr>
            <w:tcW w:w="1241" w:type="dxa"/>
            <w:noWrap w:val="0"/>
            <w:vAlign w:val="center"/>
          </w:tcPr>
          <w:p w14:paraId="1BE353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0"/>
                <w:highlight w:val="none"/>
              </w:rPr>
            </w:pPr>
          </w:p>
        </w:tc>
      </w:tr>
      <w:tr w14:paraId="3AFB5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73" w:type="dxa"/>
            <w:noWrap w:val="0"/>
            <w:vAlign w:val="center"/>
          </w:tcPr>
          <w:p w14:paraId="231256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4"/>
                <w:highlight w:val="none"/>
              </w:rPr>
            </w:pPr>
            <w:r>
              <w:rPr>
                <w:rFonts w:hint="default" w:ascii="Times New Roman" w:hAnsi="Times New Roman" w:cs="Times New Roman"/>
                <w:color w:val="auto"/>
                <w:kern w:val="0"/>
                <w:sz w:val="20"/>
                <w:szCs w:val="24"/>
                <w:highlight w:val="none"/>
              </w:rPr>
              <w:t>8</w:t>
            </w:r>
          </w:p>
        </w:tc>
        <w:tc>
          <w:tcPr>
            <w:tcW w:w="1845" w:type="dxa"/>
            <w:vMerge w:val="restart"/>
            <w:noWrap w:val="0"/>
            <w:vAlign w:val="center"/>
          </w:tcPr>
          <w:p w14:paraId="6F3005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4"/>
                <w:highlight w:val="none"/>
              </w:rPr>
            </w:pPr>
          </w:p>
        </w:tc>
        <w:tc>
          <w:tcPr>
            <w:tcW w:w="4308" w:type="dxa"/>
            <w:noWrap w:val="0"/>
            <w:vAlign w:val="center"/>
          </w:tcPr>
          <w:p w14:paraId="03CB69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0"/>
                <w:highlight w:val="none"/>
              </w:rPr>
            </w:pPr>
          </w:p>
        </w:tc>
        <w:tc>
          <w:tcPr>
            <w:tcW w:w="1241" w:type="dxa"/>
            <w:noWrap w:val="0"/>
            <w:vAlign w:val="center"/>
          </w:tcPr>
          <w:p w14:paraId="37030C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0"/>
                <w:highlight w:val="none"/>
              </w:rPr>
            </w:pPr>
          </w:p>
        </w:tc>
      </w:tr>
      <w:tr w14:paraId="0AF5E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73" w:type="dxa"/>
            <w:noWrap w:val="0"/>
            <w:vAlign w:val="center"/>
          </w:tcPr>
          <w:p w14:paraId="3074CF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4"/>
                <w:highlight w:val="none"/>
              </w:rPr>
            </w:pPr>
            <w:r>
              <w:rPr>
                <w:rFonts w:hint="default" w:ascii="Times New Roman" w:hAnsi="Times New Roman" w:cs="Times New Roman"/>
                <w:color w:val="auto"/>
                <w:kern w:val="0"/>
                <w:sz w:val="20"/>
                <w:szCs w:val="24"/>
                <w:highlight w:val="none"/>
              </w:rPr>
              <w:t>9</w:t>
            </w:r>
          </w:p>
        </w:tc>
        <w:tc>
          <w:tcPr>
            <w:tcW w:w="1845" w:type="dxa"/>
            <w:vMerge w:val="continue"/>
            <w:noWrap w:val="0"/>
            <w:vAlign w:val="center"/>
          </w:tcPr>
          <w:p w14:paraId="0D442F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4"/>
                <w:highlight w:val="none"/>
              </w:rPr>
            </w:pPr>
          </w:p>
        </w:tc>
        <w:tc>
          <w:tcPr>
            <w:tcW w:w="4308" w:type="dxa"/>
            <w:noWrap w:val="0"/>
            <w:vAlign w:val="center"/>
          </w:tcPr>
          <w:p w14:paraId="3A0512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0"/>
                <w:highlight w:val="none"/>
              </w:rPr>
            </w:pPr>
          </w:p>
        </w:tc>
        <w:tc>
          <w:tcPr>
            <w:tcW w:w="1241" w:type="dxa"/>
            <w:noWrap w:val="0"/>
            <w:vAlign w:val="center"/>
          </w:tcPr>
          <w:p w14:paraId="49535A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0"/>
                <w:highlight w:val="none"/>
              </w:rPr>
            </w:pPr>
          </w:p>
        </w:tc>
      </w:tr>
      <w:tr w14:paraId="7D748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73" w:type="dxa"/>
            <w:noWrap w:val="0"/>
            <w:vAlign w:val="center"/>
          </w:tcPr>
          <w:p w14:paraId="3A6DAD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4"/>
                <w:highlight w:val="none"/>
              </w:rPr>
            </w:pPr>
            <w:r>
              <w:rPr>
                <w:rFonts w:hint="default" w:ascii="Times New Roman" w:hAnsi="Times New Roman" w:cs="Times New Roman"/>
                <w:color w:val="auto"/>
                <w:kern w:val="0"/>
                <w:sz w:val="20"/>
                <w:szCs w:val="24"/>
                <w:highlight w:val="none"/>
              </w:rPr>
              <w:t>10</w:t>
            </w:r>
          </w:p>
        </w:tc>
        <w:tc>
          <w:tcPr>
            <w:tcW w:w="1845" w:type="dxa"/>
            <w:vMerge w:val="continue"/>
            <w:noWrap w:val="0"/>
            <w:vAlign w:val="center"/>
          </w:tcPr>
          <w:p w14:paraId="39CD6E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4"/>
                <w:highlight w:val="none"/>
              </w:rPr>
            </w:pPr>
          </w:p>
        </w:tc>
        <w:tc>
          <w:tcPr>
            <w:tcW w:w="4308" w:type="dxa"/>
            <w:noWrap w:val="0"/>
            <w:vAlign w:val="center"/>
          </w:tcPr>
          <w:p w14:paraId="18065E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0"/>
                <w:highlight w:val="none"/>
              </w:rPr>
            </w:pPr>
          </w:p>
        </w:tc>
        <w:tc>
          <w:tcPr>
            <w:tcW w:w="1241" w:type="dxa"/>
            <w:noWrap w:val="0"/>
            <w:vAlign w:val="center"/>
          </w:tcPr>
          <w:p w14:paraId="1E087F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0"/>
                <w:highlight w:val="none"/>
              </w:rPr>
            </w:pPr>
          </w:p>
        </w:tc>
      </w:tr>
      <w:tr w14:paraId="0BD7F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73" w:type="dxa"/>
            <w:noWrap w:val="0"/>
            <w:vAlign w:val="center"/>
          </w:tcPr>
          <w:p w14:paraId="232621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4"/>
                <w:highlight w:val="none"/>
              </w:rPr>
            </w:pPr>
            <w:r>
              <w:rPr>
                <w:rFonts w:hint="default" w:ascii="Times New Roman" w:hAnsi="Times New Roman" w:cs="Times New Roman"/>
                <w:color w:val="auto"/>
                <w:kern w:val="0"/>
                <w:sz w:val="20"/>
                <w:szCs w:val="24"/>
                <w:highlight w:val="none"/>
              </w:rPr>
              <w:t>11</w:t>
            </w:r>
          </w:p>
        </w:tc>
        <w:tc>
          <w:tcPr>
            <w:tcW w:w="1845" w:type="dxa"/>
            <w:vMerge w:val="continue"/>
            <w:noWrap w:val="0"/>
            <w:vAlign w:val="center"/>
          </w:tcPr>
          <w:p w14:paraId="144033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4"/>
                <w:highlight w:val="none"/>
              </w:rPr>
            </w:pPr>
          </w:p>
        </w:tc>
        <w:tc>
          <w:tcPr>
            <w:tcW w:w="4308" w:type="dxa"/>
            <w:noWrap w:val="0"/>
            <w:vAlign w:val="center"/>
          </w:tcPr>
          <w:p w14:paraId="5D9AA3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0"/>
                <w:highlight w:val="none"/>
              </w:rPr>
            </w:pPr>
          </w:p>
        </w:tc>
        <w:tc>
          <w:tcPr>
            <w:tcW w:w="1241" w:type="dxa"/>
            <w:noWrap w:val="0"/>
            <w:vAlign w:val="center"/>
          </w:tcPr>
          <w:p w14:paraId="7FA652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0"/>
                <w:highlight w:val="none"/>
              </w:rPr>
            </w:pPr>
          </w:p>
        </w:tc>
      </w:tr>
      <w:tr w14:paraId="1B584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73" w:type="dxa"/>
            <w:noWrap w:val="0"/>
            <w:vAlign w:val="center"/>
          </w:tcPr>
          <w:p w14:paraId="32CA9D1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4"/>
                <w:highlight w:val="none"/>
              </w:rPr>
            </w:pPr>
            <w:r>
              <w:rPr>
                <w:rFonts w:hint="default" w:ascii="Times New Roman" w:hAnsi="Times New Roman" w:cs="Times New Roman"/>
                <w:color w:val="auto"/>
                <w:kern w:val="0"/>
                <w:sz w:val="20"/>
                <w:szCs w:val="24"/>
                <w:highlight w:val="none"/>
              </w:rPr>
              <w:t>12</w:t>
            </w:r>
          </w:p>
        </w:tc>
        <w:tc>
          <w:tcPr>
            <w:tcW w:w="1845" w:type="dxa"/>
            <w:vMerge w:val="continue"/>
            <w:noWrap w:val="0"/>
            <w:vAlign w:val="center"/>
          </w:tcPr>
          <w:p w14:paraId="2C4E043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4"/>
                <w:highlight w:val="none"/>
              </w:rPr>
            </w:pPr>
          </w:p>
        </w:tc>
        <w:tc>
          <w:tcPr>
            <w:tcW w:w="4308" w:type="dxa"/>
            <w:noWrap w:val="0"/>
            <w:vAlign w:val="center"/>
          </w:tcPr>
          <w:p w14:paraId="6338C0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0"/>
                <w:highlight w:val="none"/>
              </w:rPr>
            </w:pPr>
          </w:p>
        </w:tc>
        <w:tc>
          <w:tcPr>
            <w:tcW w:w="1241" w:type="dxa"/>
            <w:noWrap w:val="0"/>
            <w:vAlign w:val="center"/>
          </w:tcPr>
          <w:p w14:paraId="557DF9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0"/>
                <w:highlight w:val="none"/>
              </w:rPr>
            </w:pPr>
          </w:p>
        </w:tc>
      </w:tr>
      <w:tr w14:paraId="325AB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73" w:type="dxa"/>
            <w:noWrap w:val="0"/>
            <w:vAlign w:val="center"/>
          </w:tcPr>
          <w:p w14:paraId="78B801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4"/>
                <w:highlight w:val="none"/>
              </w:rPr>
            </w:pPr>
            <w:r>
              <w:rPr>
                <w:rFonts w:hint="default" w:ascii="Times New Roman" w:hAnsi="Times New Roman" w:cs="Times New Roman"/>
                <w:color w:val="auto"/>
                <w:kern w:val="0"/>
                <w:sz w:val="20"/>
                <w:szCs w:val="24"/>
                <w:highlight w:val="none"/>
              </w:rPr>
              <w:t>13</w:t>
            </w:r>
          </w:p>
        </w:tc>
        <w:tc>
          <w:tcPr>
            <w:tcW w:w="1845" w:type="dxa"/>
            <w:vMerge w:val="restart"/>
            <w:noWrap w:val="0"/>
            <w:vAlign w:val="center"/>
          </w:tcPr>
          <w:p w14:paraId="7A20B9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4"/>
                <w:highlight w:val="none"/>
              </w:rPr>
            </w:pPr>
          </w:p>
        </w:tc>
        <w:tc>
          <w:tcPr>
            <w:tcW w:w="4308" w:type="dxa"/>
            <w:noWrap w:val="0"/>
            <w:vAlign w:val="center"/>
          </w:tcPr>
          <w:p w14:paraId="78A1F9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0"/>
                <w:highlight w:val="none"/>
              </w:rPr>
            </w:pPr>
          </w:p>
        </w:tc>
        <w:tc>
          <w:tcPr>
            <w:tcW w:w="1241" w:type="dxa"/>
            <w:noWrap w:val="0"/>
            <w:vAlign w:val="center"/>
          </w:tcPr>
          <w:p w14:paraId="5B0912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0"/>
                <w:highlight w:val="none"/>
              </w:rPr>
            </w:pPr>
          </w:p>
        </w:tc>
      </w:tr>
      <w:tr w14:paraId="7DB03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73" w:type="dxa"/>
            <w:noWrap w:val="0"/>
            <w:vAlign w:val="center"/>
          </w:tcPr>
          <w:p w14:paraId="43176A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4"/>
                <w:highlight w:val="none"/>
              </w:rPr>
            </w:pPr>
            <w:r>
              <w:rPr>
                <w:rFonts w:hint="default" w:ascii="Times New Roman" w:hAnsi="Times New Roman" w:cs="Times New Roman"/>
                <w:color w:val="auto"/>
                <w:kern w:val="0"/>
                <w:sz w:val="20"/>
                <w:szCs w:val="24"/>
                <w:highlight w:val="none"/>
              </w:rPr>
              <w:t>14</w:t>
            </w:r>
          </w:p>
        </w:tc>
        <w:tc>
          <w:tcPr>
            <w:tcW w:w="1845" w:type="dxa"/>
            <w:vMerge w:val="continue"/>
            <w:noWrap w:val="0"/>
            <w:vAlign w:val="center"/>
          </w:tcPr>
          <w:p w14:paraId="4CE461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4"/>
                <w:highlight w:val="none"/>
              </w:rPr>
            </w:pPr>
          </w:p>
        </w:tc>
        <w:tc>
          <w:tcPr>
            <w:tcW w:w="4308" w:type="dxa"/>
            <w:noWrap w:val="0"/>
            <w:vAlign w:val="center"/>
          </w:tcPr>
          <w:p w14:paraId="7AC161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0"/>
                <w:highlight w:val="none"/>
              </w:rPr>
            </w:pPr>
          </w:p>
        </w:tc>
        <w:tc>
          <w:tcPr>
            <w:tcW w:w="1241" w:type="dxa"/>
            <w:noWrap w:val="0"/>
            <w:vAlign w:val="center"/>
          </w:tcPr>
          <w:p w14:paraId="06EC8A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0"/>
                <w:highlight w:val="none"/>
              </w:rPr>
            </w:pPr>
          </w:p>
        </w:tc>
      </w:tr>
      <w:tr w14:paraId="29C7D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73" w:type="dxa"/>
            <w:noWrap w:val="0"/>
            <w:vAlign w:val="center"/>
          </w:tcPr>
          <w:p w14:paraId="19E792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4"/>
                <w:highlight w:val="none"/>
              </w:rPr>
            </w:pPr>
            <w:r>
              <w:rPr>
                <w:rFonts w:hint="default" w:ascii="Times New Roman" w:hAnsi="Times New Roman" w:cs="Times New Roman"/>
                <w:color w:val="auto"/>
                <w:kern w:val="0"/>
                <w:sz w:val="20"/>
                <w:szCs w:val="24"/>
                <w:highlight w:val="none"/>
              </w:rPr>
              <w:t>15</w:t>
            </w:r>
          </w:p>
        </w:tc>
        <w:tc>
          <w:tcPr>
            <w:tcW w:w="1845" w:type="dxa"/>
            <w:vMerge w:val="continue"/>
            <w:noWrap w:val="0"/>
            <w:vAlign w:val="center"/>
          </w:tcPr>
          <w:p w14:paraId="343DE1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4"/>
                <w:highlight w:val="none"/>
              </w:rPr>
            </w:pPr>
          </w:p>
        </w:tc>
        <w:tc>
          <w:tcPr>
            <w:tcW w:w="4308" w:type="dxa"/>
            <w:noWrap w:val="0"/>
            <w:vAlign w:val="center"/>
          </w:tcPr>
          <w:p w14:paraId="71432C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0"/>
                <w:highlight w:val="none"/>
              </w:rPr>
            </w:pPr>
          </w:p>
        </w:tc>
        <w:tc>
          <w:tcPr>
            <w:tcW w:w="1241" w:type="dxa"/>
            <w:noWrap w:val="0"/>
            <w:vAlign w:val="center"/>
          </w:tcPr>
          <w:p w14:paraId="3A770D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0"/>
                <w:highlight w:val="none"/>
              </w:rPr>
            </w:pPr>
          </w:p>
        </w:tc>
      </w:tr>
      <w:tr w14:paraId="2D75E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73" w:type="dxa"/>
            <w:noWrap w:val="0"/>
            <w:vAlign w:val="center"/>
          </w:tcPr>
          <w:p w14:paraId="71AB56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4"/>
                <w:highlight w:val="none"/>
              </w:rPr>
            </w:pPr>
            <w:r>
              <w:rPr>
                <w:rFonts w:hint="default" w:ascii="Times New Roman" w:hAnsi="Times New Roman" w:cs="Times New Roman"/>
                <w:color w:val="auto"/>
                <w:kern w:val="0"/>
                <w:sz w:val="20"/>
                <w:szCs w:val="24"/>
                <w:highlight w:val="none"/>
              </w:rPr>
              <w:t>16</w:t>
            </w:r>
          </w:p>
        </w:tc>
        <w:tc>
          <w:tcPr>
            <w:tcW w:w="1845" w:type="dxa"/>
            <w:vMerge w:val="continue"/>
            <w:noWrap w:val="0"/>
            <w:vAlign w:val="center"/>
          </w:tcPr>
          <w:p w14:paraId="0B7D48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4"/>
                <w:highlight w:val="none"/>
              </w:rPr>
            </w:pPr>
          </w:p>
        </w:tc>
        <w:tc>
          <w:tcPr>
            <w:tcW w:w="4308" w:type="dxa"/>
            <w:noWrap w:val="0"/>
            <w:vAlign w:val="center"/>
          </w:tcPr>
          <w:p w14:paraId="23B919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0"/>
                <w:highlight w:val="none"/>
              </w:rPr>
            </w:pPr>
          </w:p>
        </w:tc>
        <w:tc>
          <w:tcPr>
            <w:tcW w:w="1241" w:type="dxa"/>
            <w:noWrap w:val="0"/>
            <w:vAlign w:val="center"/>
          </w:tcPr>
          <w:p w14:paraId="3DCFF3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0"/>
                <w:highlight w:val="none"/>
              </w:rPr>
            </w:pPr>
          </w:p>
        </w:tc>
      </w:tr>
      <w:tr w14:paraId="5B1F5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73" w:type="dxa"/>
            <w:noWrap w:val="0"/>
            <w:vAlign w:val="center"/>
          </w:tcPr>
          <w:p w14:paraId="7F6EE4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4"/>
                <w:highlight w:val="none"/>
              </w:rPr>
            </w:pPr>
            <w:r>
              <w:rPr>
                <w:rFonts w:hint="default" w:ascii="Times New Roman" w:hAnsi="Times New Roman" w:cs="Times New Roman"/>
                <w:color w:val="auto"/>
                <w:kern w:val="0"/>
                <w:sz w:val="20"/>
                <w:szCs w:val="24"/>
                <w:highlight w:val="none"/>
              </w:rPr>
              <w:t>17</w:t>
            </w:r>
          </w:p>
        </w:tc>
        <w:tc>
          <w:tcPr>
            <w:tcW w:w="1845" w:type="dxa"/>
            <w:vMerge w:val="continue"/>
            <w:noWrap w:val="0"/>
            <w:vAlign w:val="center"/>
          </w:tcPr>
          <w:p w14:paraId="2E7CFD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4"/>
                <w:highlight w:val="none"/>
              </w:rPr>
            </w:pPr>
          </w:p>
        </w:tc>
        <w:tc>
          <w:tcPr>
            <w:tcW w:w="4308" w:type="dxa"/>
            <w:noWrap w:val="0"/>
            <w:vAlign w:val="center"/>
          </w:tcPr>
          <w:p w14:paraId="7EF5E73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0"/>
                <w:highlight w:val="none"/>
              </w:rPr>
            </w:pPr>
          </w:p>
        </w:tc>
        <w:tc>
          <w:tcPr>
            <w:tcW w:w="1241" w:type="dxa"/>
            <w:noWrap w:val="0"/>
            <w:vAlign w:val="center"/>
          </w:tcPr>
          <w:p w14:paraId="4953E7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0"/>
                <w:highlight w:val="none"/>
              </w:rPr>
            </w:pPr>
          </w:p>
        </w:tc>
      </w:tr>
      <w:tr w14:paraId="4591D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73" w:type="dxa"/>
            <w:noWrap w:val="0"/>
            <w:vAlign w:val="center"/>
          </w:tcPr>
          <w:p w14:paraId="60ECE4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4"/>
                <w:highlight w:val="none"/>
              </w:rPr>
            </w:pPr>
            <w:r>
              <w:rPr>
                <w:rFonts w:hint="default" w:ascii="Times New Roman" w:hAnsi="Times New Roman" w:cs="Times New Roman"/>
                <w:color w:val="auto"/>
                <w:kern w:val="0"/>
                <w:sz w:val="20"/>
                <w:szCs w:val="24"/>
                <w:highlight w:val="none"/>
              </w:rPr>
              <w:t>18</w:t>
            </w:r>
          </w:p>
        </w:tc>
        <w:tc>
          <w:tcPr>
            <w:tcW w:w="1845" w:type="dxa"/>
            <w:vMerge w:val="continue"/>
            <w:noWrap w:val="0"/>
            <w:vAlign w:val="center"/>
          </w:tcPr>
          <w:p w14:paraId="79736E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4"/>
                <w:highlight w:val="none"/>
              </w:rPr>
            </w:pPr>
          </w:p>
        </w:tc>
        <w:tc>
          <w:tcPr>
            <w:tcW w:w="4308" w:type="dxa"/>
            <w:noWrap w:val="0"/>
            <w:vAlign w:val="center"/>
          </w:tcPr>
          <w:p w14:paraId="4C1B19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0"/>
                <w:highlight w:val="none"/>
              </w:rPr>
            </w:pPr>
          </w:p>
        </w:tc>
        <w:tc>
          <w:tcPr>
            <w:tcW w:w="1241" w:type="dxa"/>
            <w:noWrap w:val="0"/>
            <w:vAlign w:val="center"/>
          </w:tcPr>
          <w:p w14:paraId="6E8E82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0"/>
                <w:highlight w:val="none"/>
              </w:rPr>
            </w:pPr>
          </w:p>
        </w:tc>
      </w:tr>
      <w:tr w14:paraId="73052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73" w:type="dxa"/>
            <w:noWrap w:val="0"/>
            <w:vAlign w:val="center"/>
          </w:tcPr>
          <w:p w14:paraId="313171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4"/>
                <w:highlight w:val="none"/>
              </w:rPr>
            </w:pPr>
            <w:r>
              <w:rPr>
                <w:rFonts w:hint="default" w:ascii="Times New Roman" w:hAnsi="Times New Roman" w:cs="Times New Roman"/>
                <w:color w:val="auto"/>
                <w:kern w:val="0"/>
                <w:sz w:val="20"/>
                <w:szCs w:val="24"/>
                <w:highlight w:val="none"/>
              </w:rPr>
              <w:t>19</w:t>
            </w:r>
          </w:p>
        </w:tc>
        <w:tc>
          <w:tcPr>
            <w:tcW w:w="1845" w:type="dxa"/>
            <w:vMerge w:val="continue"/>
            <w:noWrap w:val="0"/>
            <w:vAlign w:val="center"/>
          </w:tcPr>
          <w:p w14:paraId="22EE2B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4"/>
                <w:highlight w:val="none"/>
              </w:rPr>
            </w:pPr>
          </w:p>
        </w:tc>
        <w:tc>
          <w:tcPr>
            <w:tcW w:w="4308" w:type="dxa"/>
            <w:noWrap w:val="0"/>
            <w:vAlign w:val="center"/>
          </w:tcPr>
          <w:p w14:paraId="27A937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0"/>
                <w:highlight w:val="none"/>
              </w:rPr>
            </w:pPr>
          </w:p>
        </w:tc>
        <w:tc>
          <w:tcPr>
            <w:tcW w:w="1241" w:type="dxa"/>
            <w:noWrap w:val="0"/>
            <w:vAlign w:val="center"/>
          </w:tcPr>
          <w:p w14:paraId="0A8935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0"/>
                <w:highlight w:val="none"/>
              </w:rPr>
            </w:pPr>
          </w:p>
        </w:tc>
      </w:tr>
      <w:tr w14:paraId="2DEB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73" w:type="dxa"/>
            <w:noWrap w:val="0"/>
            <w:vAlign w:val="center"/>
          </w:tcPr>
          <w:p w14:paraId="7CBE85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4"/>
                <w:highlight w:val="none"/>
              </w:rPr>
            </w:pPr>
            <w:r>
              <w:rPr>
                <w:rFonts w:hint="default" w:ascii="Times New Roman" w:hAnsi="Times New Roman" w:cs="Times New Roman"/>
                <w:color w:val="auto"/>
                <w:kern w:val="0"/>
                <w:sz w:val="20"/>
                <w:szCs w:val="24"/>
                <w:highlight w:val="none"/>
              </w:rPr>
              <w:t>20</w:t>
            </w:r>
          </w:p>
        </w:tc>
        <w:tc>
          <w:tcPr>
            <w:tcW w:w="1845" w:type="dxa"/>
            <w:vMerge w:val="restart"/>
            <w:noWrap w:val="0"/>
            <w:vAlign w:val="center"/>
          </w:tcPr>
          <w:p w14:paraId="273000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4"/>
                <w:highlight w:val="none"/>
              </w:rPr>
            </w:pPr>
          </w:p>
        </w:tc>
        <w:tc>
          <w:tcPr>
            <w:tcW w:w="4308" w:type="dxa"/>
            <w:noWrap w:val="0"/>
            <w:vAlign w:val="center"/>
          </w:tcPr>
          <w:p w14:paraId="20CE55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0"/>
                <w:highlight w:val="none"/>
              </w:rPr>
            </w:pPr>
          </w:p>
        </w:tc>
        <w:tc>
          <w:tcPr>
            <w:tcW w:w="1241" w:type="dxa"/>
            <w:noWrap w:val="0"/>
            <w:vAlign w:val="center"/>
          </w:tcPr>
          <w:p w14:paraId="3BF14C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0"/>
                <w:highlight w:val="none"/>
              </w:rPr>
            </w:pPr>
          </w:p>
        </w:tc>
      </w:tr>
      <w:tr w14:paraId="72F8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73" w:type="dxa"/>
            <w:noWrap w:val="0"/>
            <w:vAlign w:val="center"/>
          </w:tcPr>
          <w:p w14:paraId="5501C2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4"/>
                <w:highlight w:val="none"/>
              </w:rPr>
            </w:pPr>
            <w:r>
              <w:rPr>
                <w:rFonts w:hint="default" w:ascii="Times New Roman" w:hAnsi="Times New Roman" w:cs="Times New Roman"/>
                <w:color w:val="auto"/>
                <w:kern w:val="0"/>
                <w:sz w:val="20"/>
                <w:szCs w:val="24"/>
                <w:highlight w:val="none"/>
              </w:rPr>
              <w:t>21</w:t>
            </w:r>
          </w:p>
        </w:tc>
        <w:tc>
          <w:tcPr>
            <w:tcW w:w="1845" w:type="dxa"/>
            <w:vMerge w:val="continue"/>
            <w:noWrap w:val="0"/>
            <w:vAlign w:val="center"/>
          </w:tcPr>
          <w:p w14:paraId="1FE792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4"/>
                <w:highlight w:val="none"/>
              </w:rPr>
            </w:pPr>
          </w:p>
        </w:tc>
        <w:tc>
          <w:tcPr>
            <w:tcW w:w="4308" w:type="dxa"/>
            <w:noWrap w:val="0"/>
            <w:vAlign w:val="center"/>
          </w:tcPr>
          <w:p w14:paraId="7C7195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0"/>
                <w:highlight w:val="none"/>
              </w:rPr>
            </w:pPr>
          </w:p>
        </w:tc>
        <w:tc>
          <w:tcPr>
            <w:tcW w:w="1241" w:type="dxa"/>
            <w:noWrap w:val="0"/>
            <w:vAlign w:val="center"/>
          </w:tcPr>
          <w:p w14:paraId="107A0D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0"/>
                <w:highlight w:val="none"/>
              </w:rPr>
            </w:pPr>
          </w:p>
        </w:tc>
      </w:tr>
      <w:tr w14:paraId="607DB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73" w:type="dxa"/>
            <w:noWrap w:val="0"/>
            <w:vAlign w:val="center"/>
          </w:tcPr>
          <w:p w14:paraId="0B576C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4"/>
                <w:highlight w:val="none"/>
              </w:rPr>
            </w:pPr>
            <w:r>
              <w:rPr>
                <w:rFonts w:hint="default" w:ascii="Times New Roman" w:hAnsi="Times New Roman" w:cs="Times New Roman"/>
                <w:color w:val="auto"/>
                <w:kern w:val="0"/>
                <w:sz w:val="20"/>
                <w:szCs w:val="24"/>
                <w:highlight w:val="none"/>
              </w:rPr>
              <w:t>22</w:t>
            </w:r>
          </w:p>
        </w:tc>
        <w:tc>
          <w:tcPr>
            <w:tcW w:w="1845" w:type="dxa"/>
            <w:vMerge w:val="restart"/>
            <w:noWrap w:val="0"/>
            <w:vAlign w:val="center"/>
          </w:tcPr>
          <w:p w14:paraId="00593A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4"/>
                <w:highlight w:val="none"/>
              </w:rPr>
            </w:pPr>
          </w:p>
        </w:tc>
        <w:tc>
          <w:tcPr>
            <w:tcW w:w="4308" w:type="dxa"/>
            <w:noWrap w:val="0"/>
            <w:vAlign w:val="center"/>
          </w:tcPr>
          <w:p w14:paraId="0402AA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0"/>
                <w:highlight w:val="none"/>
              </w:rPr>
            </w:pPr>
          </w:p>
        </w:tc>
        <w:tc>
          <w:tcPr>
            <w:tcW w:w="1241" w:type="dxa"/>
            <w:noWrap w:val="0"/>
            <w:vAlign w:val="center"/>
          </w:tcPr>
          <w:p w14:paraId="66BFA6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0"/>
                <w:highlight w:val="none"/>
              </w:rPr>
            </w:pPr>
          </w:p>
        </w:tc>
      </w:tr>
      <w:tr w14:paraId="3A33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73" w:type="dxa"/>
            <w:noWrap w:val="0"/>
            <w:vAlign w:val="center"/>
          </w:tcPr>
          <w:p w14:paraId="21F7AE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18"/>
                <w:highlight w:val="none"/>
              </w:rPr>
            </w:pPr>
            <w:r>
              <w:rPr>
                <w:rFonts w:hint="default" w:ascii="Times New Roman" w:hAnsi="Times New Roman" w:cs="Times New Roman"/>
                <w:color w:val="auto"/>
                <w:kern w:val="0"/>
                <w:sz w:val="20"/>
                <w:szCs w:val="24"/>
                <w:highlight w:val="none"/>
              </w:rPr>
              <w:t>23</w:t>
            </w:r>
          </w:p>
        </w:tc>
        <w:tc>
          <w:tcPr>
            <w:tcW w:w="1845" w:type="dxa"/>
            <w:vMerge w:val="continue"/>
            <w:noWrap w:val="0"/>
            <w:vAlign w:val="center"/>
          </w:tcPr>
          <w:p w14:paraId="21E25D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18"/>
                <w:highlight w:val="none"/>
              </w:rPr>
            </w:pPr>
          </w:p>
        </w:tc>
        <w:tc>
          <w:tcPr>
            <w:tcW w:w="4308" w:type="dxa"/>
            <w:noWrap w:val="0"/>
            <w:vAlign w:val="center"/>
          </w:tcPr>
          <w:p w14:paraId="112C4E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0"/>
                <w:highlight w:val="none"/>
              </w:rPr>
            </w:pPr>
          </w:p>
        </w:tc>
        <w:tc>
          <w:tcPr>
            <w:tcW w:w="1241" w:type="dxa"/>
            <w:noWrap w:val="0"/>
            <w:vAlign w:val="center"/>
          </w:tcPr>
          <w:p w14:paraId="75545C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cs="Times New Roman"/>
                <w:color w:val="auto"/>
                <w:kern w:val="0"/>
                <w:sz w:val="20"/>
                <w:szCs w:val="20"/>
                <w:highlight w:val="none"/>
              </w:rPr>
            </w:pPr>
          </w:p>
        </w:tc>
      </w:tr>
    </w:tbl>
    <w:p w14:paraId="6076EA5C">
      <w:pPr>
        <w:pStyle w:val="222"/>
        <w:spacing w:before="240" w:after="240" w:line="360" w:lineRule="auto"/>
        <w:rPr>
          <w:rFonts w:hint="default" w:ascii="Times New Roman" w:hAnsi="Times New Roman" w:cs="Times New Roman"/>
          <w:b/>
          <w:color w:val="auto"/>
          <w:highlight w:val="none"/>
        </w:rPr>
      </w:pPr>
      <w:r>
        <w:rPr>
          <w:rFonts w:hint="default" w:ascii="Times New Roman" w:hAnsi="Times New Roman" w:cs="Times New Roman"/>
          <w:b/>
          <w:color w:val="auto"/>
          <w:highlight w:val="none"/>
        </w:rPr>
        <w:t>二、报价币种、合同总价</w:t>
      </w:r>
    </w:p>
    <w:p w14:paraId="4ECC3074">
      <w:pPr>
        <w:pStyle w:val="222"/>
        <w:spacing w:line="360" w:lineRule="auto"/>
        <w:ind w:firstLine="48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1、本合同总金额大写:人民币</w:t>
      </w:r>
      <w:r>
        <w:rPr>
          <w:rFonts w:hint="default" w:ascii="Times New Roman" w:hAnsi="Times New Roman" w:cs="Times New Roman"/>
          <w:b/>
          <w:bCs/>
          <w:color w:val="auto"/>
          <w:highlight w:val="none"/>
          <w:u w:val="single"/>
        </w:rPr>
        <w:t xml:space="preserve"> </w:t>
      </w:r>
      <w:r>
        <w:rPr>
          <w:rFonts w:hint="default" w:ascii="Times New Roman" w:hAnsi="Times New Roman" w:cs="Times New Roman"/>
          <w:b/>
          <w:color w:val="auto"/>
          <w:highlight w:val="none"/>
          <w:u w:val="single"/>
        </w:rPr>
        <w:t xml:space="preserve">         </w:t>
      </w:r>
      <w:r>
        <w:rPr>
          <w:rFonts w:hint="default" w:ascii="Times New Roman" w:hAnsi="Times New Roman" w:cs="Times New Roman"/>
          <w:b/>
          <w:bCs/>
          <w:color w:val="auto"/>
          <w:highlight w:val="none"/>
          <w:u w:val="single"/>
        </w:rPr>
        <w:t>元整（¥</w:t>
      </w:r>
      <w:r>
        <w:rPr>
          <w:rFonts w:hint="default" w:ascii="Times New Roman" w:hAnsi="Times New Roman" w:cs="Times New Roman"/>
          <w:b/>
          <w:color w:val="auto"/>
          <w:highlight w:val="none"/>
          <w:u w:val="single"/>
        </w:rPr>
        <w:t xml:space="preserve">        </w:t>
      </w:r>
      <w:r>
        <w:rPr>
          <w:rFonts w:hint="default" w:ascii="Times New Roman" w:hAnsi="Times New Roman" w:cs="Times New Roman"/>
          <w:b/>
          <w:bCs/>
          <w:color w:val="auto"/>
          <w:highlight w:val="none"/>
          <w:u w:val="single"/>
        </w:rPr>
        <w:t>）</w:t>
      </w:r>
      <w:r>
        <w:rPr>
          <w:rFonts w:hint="default" w:ascii="Times New Roman" w:hAnsi="Times New Roman" w:cs="Times New Roman"/>
          <w:color w:val="auto"/>
          <w:highlight w:val="none"/>
        </w:rPr>
        <w:t>。合同总金额中包含全部货物的运输、保管、税金、保险、组装、调试、运维服务等所有的费用。</w:t>
      </w:r>
    </w:p>
    <w:p w14:paraId="6699A2C5">
      <w:pPr>
        <w:pStyle w:val="222"/>
        <w:spacing w:line="360" w:lineRule="auto"/>
        <w:ind w:firstLine="480" w:firstLineChars="200"/>
        <w:jc w:val="both"/>
        <w:rPr>
          <w:rFonts w:hint="default" w:ascii="Times New Roman" w:hAnsi="Times New Roman" w:cs="Times New Roman"/>
          <w:b/>
          <w:color w:val="auto"/>
          <w:highlight w:val="none"/>
        </w:rPr>
      </w:pPr>
      <w:r>
        <w:rPr>
          <w:rFonts w:hint="default" w:ascii="Times New Roman" w:hAnsi="Times New Roman" w:cs="Times New Roman"/>
          <w:color w:val="auto"/>
          <w:highlight w:val="none"/>
        </w:rPr>
        <w:t>2、本合同生效后，若无型号、品种、规格、数量、颜色、交货期等事宜上的重大变更，合同总价款不再做任何调整，甲方为此项目不再向乙方支付任何其他费用。</w:t>
      </w:r>
    </w:p>
    <w:p w14:paraId="52E70FCF">
      <w:pPr>
        <w:pStyle w:val="222"/>
        <w:spacing w:before="240" w:after="240" w:line="360" w:lineRule="auto"/>
        <w:rPr>
          <w:rFonts w:hint="default" w:ascii="Times New Roman" w:hAnsi="Times New Roman" w:cs="Times New Roman"/>
          <w:b/>
          <w:color w:val="auto"/>
          <w:highlight w:val="none"/>
        </w:rPr>
      </w:pPr>
      <w:r>
        <w:rPr>
          <w:rFonts w:hint="default" w:ascii="Times New Roman" w:hAnsi="Times New Roman" w:cs="Times New Roman"/>
          <w:b/>
          <w:color w:val="auto"/>
          <w:highlight w:val="none"/>
        </w:rPr>
        <w:t>三、付款方式</w:t>
      </w:r>
    </w:p>
    <w:p w14:paraId="1D6D7576">
      <w:pPr>
        <w:pStyle w:val="222"/>
        <w:spacing w:line="360" w:lineRule="auto"/>
        <w:ind w:firstLine="480" w:firstLineChars="200"/>
        <w:jc w:val="both"/>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val="en-US" w:eastAsia="zh-CN"/>
        </w:rPr>
        <w:t xml:space="preserve">3.1 </w:t>
      </w:r>
      <w:r>
        <w:rPr>
          <w:rFonts w:hint="default" w:ascii="Times New Roman" w:hAnsi="Times New Roman" w:eastAsia="宋体" w:cs="Times New Roman"/>
          <w:color w:val="auto"/>
          <w:highlight w:val="none"/>
        </w:rPr>
        <w:t>合</w:t>
      </w:r>
      <w:r>
        <w:rPr>
          <w:rFonts w:hint="default" w:ascii="Times New Roman" w:hAnsi="Times New Roman" w:eastAsia="宋体" w:cs="Times New Roman"/>
          <w:color w:val="auto"/>
          <w:highlight w:val="none"/>
        </w:rPr>
        <w:t>同签订</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乙方提供</w:t>
      </w:r>
      <w:r>
        <w:rPr>
          <w:rFonts w:hint="default" w:ascii="Times New Roman" w:hAnsi="Times New Roman" w:eastAsia="宋体" w:cs="Times New Roman"/>
          <w:color w:val="auto"/>
          <w:highlight w:val="none"/>
          <w:lang w:val="en-US" w:eastAsia="zh-CN"/>
        </w:rPr>
        <w:t>合同总额5%的银行保函，</w:t>
      </w:r>
      <w:r>
        <w:rPr>
          <w:rFonts w:hint="default" w:ascii="Times New Roman" w:hAnsi="Times New Roman" w:eastAsia="宋体" w:cs="Times New Roman"/>
          <w:color w:val="auto"/>
          <w:highlight w:val="none"/>
        </w:rPr>
        <w:t>甲方</w:t>
      </w:r>
      <w:r>
        <w:rPr>
          <w:rFonts w:hint="default" w:ascii="Times New Roman" w:hAnsi="Times New Roman" w:eastAsia="宋体" w:cs="Times New Roman"/>
          <w:color w:val="auto"/>
          <w:highlight w:val="none"/>
          <w:lang w:val="en-US" w:eastAsia="zh-CN"/>
        </w:rPr>
        <w:t>支付合同总额的50%给乙方</w:t>
      </w:r>
      <w:r>
        <w:rPr>
          <w:rFonts w:hint="default" w:ascii="Times New Roman" w:hAnsi="Times New Roman" w:eastAsia="宋体" w:cs="Times New Roman"/>
          <w:color w:val="auto"/>
          <w:highlight w:val="none"/>
          <w:lang w:eastAsia="zh-CN"/>
        </w:rPr>
        <w:t>；</w:t>
      </w:r>
    </w:p>
    <w:p w14:paraId="79FD72EC">
      <w:pPr>
        <w:pStyle w:val="222"/>
        <w:spacing w:line="360" w:lineRule="auto"/>
        <w:ind w:firstLine="480" w:firstLineChars="200"/>
        <w:jc w:val="both"/>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val="en-US" w:eastAsia="zh-CN"/>
        </w:rPr>
        <w:t xml:space="preserve">3.2 </w:t>
      </w:r>
      <w:r>
        <w:rPr>
          <w:rFonts w:hint="default" w:ascii="Times New Roman" w:hAnsi="Times New Roman" w:eastAsia="宋体" w:cs="Times New Roman"/>
          <w:color w:val="auto"/>
          <w:highlight w:val="none"/>
        </w:rPr>
        <w:t>甲方</w:t>
      </w:r>
      <w:r>
        <w:rPr>
          <w:rFonts w:hint="default" w:ascii="Times New Roman" w:hAnsi="Times New Roman" w:eastAsia="宋体" w:cs="Times New Roman"/>
          <w:color w:val="auto"/>
          <w:highlight w:val="none"/>
          <w:lang w:val="en-US" w:eastAsia="zh-CN"/>
        </w:rPr>
        <w:t>在2025年  月</w:t>
      </w:r>
      <w:r>
        <w:rPr>
          <w:rFonts w:hint="default" w:ascii="Times New Roman" w:hAnsi="Times New Roman" w:eastAsia="宋体" w:cs="Times New Roman"/>
          <w:color w:val="auto"/>
          <w:highlight w:val="none"/>
        </w:rPr>
        <w:t>组织运维考核，考核合格</w:t>
      </w:r>
      <w:r>
        <w:rPr>
          <w:rFonts w:hint="default" w:ascii="Times New Roman" w:hAnsi="Times New Roman" w:eastAsia="宋体" w:cs="Times New Roman"/>
          <w:color w:val="auto"/>
          <w:highlight w:val="none"/>
          <w:lang w:val="en-US" w:eastAsia="zh-CN"/>
        </w:rPr>
        <w:t>后，乙方向</w:t>
      </w:r>
      <w:r>
        <w:rPr>
          <w:rFonts w:hint="default" w:ascii="Times New Roman" w:hAnsi="Times New Roman" w:eastAsia="宋体" w:cs="Times New Roman"/>
          <w:color w:val="auto"/>
          <w:highlight w:val="none"/>
        </w:rPr>
        <w:t>甲方</w:t>
      </w:r>
      <w:r>
        <w:rPr>
          <w:rFonts w:hint="default" w:ascii="Times New Roman" w:hAnsi="Times New Roman" w:eastAsia="宋体" w:cs="Times New Roman"/>
          <w:color w:val="auto"/>
          <w:highlight w:val="none"/>
          <w:lang w:val="en-US" w:eastAsia="zh-CN"/>
        </w:rPr>
        <w:t>提供合同全额发票后，甲方</w:t>
      </w:r>
      <w:r>
        <w:rPr>
          <w:rFonts w:hint="default" w:ascii="Times New Roman" w:hAnsi="Times New Roman" w:eastAsia="宋体" w:cs="Times New Roman"/>
          <w:color w:val="auto"/>
          <w:highlight w:val="none"/>
        </w:rPr>
        <w:t>支付</w:t>
      </w:r>
      <w:r>
        <w:rPr>
          <w:rFonts w:hint="default" w:ascii="Times New Roman" w:hAnsi="Times New Roman" w:eastAsia="宋体" w:cs="Times New Roman"/>
          <w:color w:val="auto"/>
          <w:highlight w:val="none"/>
          <w:lang w:val="en-US" w:eastAsia="zh-CN"/>
        </w:rPr>
        <w:t>合同总额</w:t>
      </w:r>
      <w:r>
        <w:rPr>
          <w:rFonts w:hint="default" w:ascii="Times New Roman" w:hAnsi="Times New Roman" w:eastAsia="宋体" w:cs="Times New Roman"/>
          <w:color w:val="auto"/>
          <w:highlight w:val="none"/>
        </w:rPr>
        <w:t>的</w:t>
      </w:r>
      <w:r>
        <w:rPr>
          <w:rFonts w:hint="default" w:ascii="Times New Roman" w:hAnsi="Times New Roman" w:eastAsia="宋体" w:cs="Times New Roman"/>
          <w:color w:val="auto"/>
          <w:highlight w:val="none"/>
          <w:lang w:val="en-US" w:eastAsia="zh-CN"/>
        </w:rPr>
        <w:t>50</w:t>
      </w:r>
      <w:r>
        <w:rPr>
          <w:rFonts w:hint="default" w:ascii="Times New Roman" w:hAnsi="Times New Roman" w:eastAsia="宋体" w:cs="Times New Roman"/>
          <w:color w:val="auto"/>
          <w:highlight w:val="none"/>
        </w:rPr>
        <w:t>%给乙方</w:t>
      </w:r>
      <w:r>
        <w:rPr>
          <w:rFonts w:hint="default" w:ascii="Times New Roman" w:hAnsi="Times New Roman" w:eastAsia="宋体" w:cs="Times New Roman"/>
          <w:color w:val="auto"/>
          <w:highlight w:val="none"/>
          <w:lang w:eastAsia="zh-CN"/>
        </w:rPr>
        <w:t>；</w:t>
      </w:r>
    </w:p>
    <w:p w14:paraId="2B5227DE">
      <w:pPr>
        <w:pStyle w:val="222"/>
        <w:spacing w:line="360" w:lineRule="auto"/>
        <w:ind w:firstLine="480" w:firstLineChars="200"/>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 xml:space="preserve">3.3 </w:t>
      </w:r>
      <w:r>
        <w:rPr>
          <w:rFonts w:hint="default" w:ascii="Times New Roman" w:hAnsi="Times New Roman" w:eastAsia="宋体" w:cs="Times New Roman"/>
          <w:color w:val="auto"/>
          <w:highlight w:val="none"/>
        </w:rPr>
        <w:t>甲方</w:t>
      </w:r>
      <w:r>
        <w:rPr>
          <w:rFonts w:hint="default" w:ascii="Times New Roman" w:hAnsi="Times New Roman" w:eastAsia="宋体" w:cs="Times New Roman"/>
          <w:color w:val="auto"/>
          <w:highlight w:val="none"/>
          <w:lang w:val="en-US" w:eastAsia="zh-CN"/>
        </w:rPr>
        <w:t>在合同期满后</w:t>
      </w:r>
      <w:r>
        <w:rPr>
          <w:rFonts w:hint="default" w:ascii="Times New Roman" w:hAnsi="Times New Roman" w:eastAsia="宋体" w:cs="Times New Roman"/>
          <w:color w:val="auto"/>
          <w:highlight w:val="none"/>
        </w:rPr>
        <w:t>组织运维考核</w:t>
      </w:r>
      <w:r>
        <w:rPr>
          <w:rFonts w:hint="default" w:ascii="Times New Roman" w:hAnsi="Times New Roman" w:eastAsia="宋体" w:cs="Times New Roman"/>
          <w:color w:val="auto"/>
          <w:highlight w:val="none"/>
        </w:rPr>
        <w:t>，考核合格后</w:t>
      </w:r>
      <w:r>
        <w:rPr>
          <w:rFonts w:hint="default" w:ascii="Times New Roman" w:hAnsi="Times New Roman" w:eastAsia="宋体" w:cs="Times New Roman"/>
          <w:color w:val="auto"/>
          <w:highlight w:val="none"/>
          <w:lang w:val="en-US" w:eastAsia="zh-CN"/>
        </w:rPr>
        <w:t>将银行保函退还</w:t>
      </w:r>
      <w:r>
        <w:rPr>
          <w:rFonts w:hint="default" w:ascii="Times New Roman" w:hAnsi="Times New Roman" w:eastAsia="宋体" w:cs="Times New Roman"/>
          <w:color w:val="auto"/>
          <w:highlight w:val="none"/>
        </w:rPr>
        <w:t>给乙方</w:t>
      </w:r>
      <w:r>
        <w:rPr>
          <w:rFonts w:hint="default" w:ascii="Times New Roman" w:hAnsi="Times New Roman" w:eastAsia="宋体" w:cs="Times New Roman"/>
          <w:color w:val="auto"/>
          <w:highlight w:val="none"/>
          <w:lang w:eastAsia="zh-CN"/>
        </w:rPr>
        <w:t>。</w:t>
      </w:r>
    </w:p>
    <w:p w14:paraId="241AD107">
      <w:pPr>
        <w:pStyle w:val="52"/>
        <w:rPr>
          <w:rFonts w:hint="default" w:ascii="Times New Roman" w:hAnsi="Times New Roman" w:eastAsia="仿宋_GB2312" w:cs="Times New Roman"/>
          <w:color w:val="auto"/>
          <w:sz w:val="24"/>
          <w:szCs w:val="24"/>
          <w:highlight w:val="none"/>
        </w:rPr>
      </w:pPr>
    </w:p>
    <w:p w14:paraId="324D0306">
      <w:pPr>
        <w:pStyle w:val="17"/>
        <w:spacing w:before="240"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四、运维日期</w:t>
      </w:r>
    </w:p>
    <w:p w14:paraId="4008F020">
      <w:pPr>
        <w:pStyle w:val="222"/>
        <w:spacing w:line="360" w:lineRule="auto"/>
        <w:ind w:firstLine="48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乙方工作人员经甲方认可进场后开始计算运维日期，运维期为</w:t>
      </w:r>
      <w:r>
        <w:rPr>
          <w:rFonts w:hint="eastAsia" w:ascii="Times New Roman" w:hAnsi="Times New Roman" w:cs="Times New Roman"/>
          <w:color w:val="auto"/>
          <w:highlight w:val="none"/>
          <w:lang w:val="en-US" w:eastAsia="zh-CN"/>
        </w:rPr>
        <w:t>12</w:t>
      </w:r>
      <w:r>
        <w:rPr>
          <w:rFonts w:hint="default" w:ascii="Times New Roman" w:hAnsi="Times New Roman" w:cs="Times New Roman"/>
          <w:color w:val="auto"/>
          <w:highlight w:val="none"/>
        </w:rPr>
        <w:t>个月</w:t>
      </w:r>
      <w:r>
        <w:rPr>
          <w:rFonts w:hint="default" w:ascii="Times New Roman" w:hAnsi="Times New Roman" w:cs="Times New Roman"/>
          <w:color w:val="auto"/>
          <w:highlight w:val="none"/>
        </w:rPr>
        <w:t>。</w:t>
      </w:r>
    </w:p>
    <w:p w14:paraId="0E179AA0">
      <w:pPr>
        <w:pStyle w:val="222"/>
        <w:spacing w:before="240" w:after="240" w:line="360" w:lineRule="auto"/>
        <w:rPr>
          <w:rFonts w:hint="default" w:ascii="Times New Roman" w:hAnsi="Times New Roman" w:cs="Times New Roman"/>
          <w:b/>
          <w:color w:val="auto"/>
          <w:highlight w:val="none"/>
        </w:rPr>
      </w:pPr>
      <w:r>
        <w:rPr>
          <w:rFonts w:hint="default" w:ascii="Times New Roman" w:hAnsi="Times New Roman" w:cs="Times New Roman"/>
          <w:b/>
          <w:color w:val="auto"/>
          <w:highlight w:val="none"/>
        </w:rPr>
        <w:t>五、运维地点</w:t>
      </w:r>
    </w:p>
    <w:p w14:paraId="1DD9173A">
      <w:pPr>
        <w:pStyle w:val="222"/>
        <w:spacing w:before="240" w:after="240" w:line="360" w:lineRule="auto"/>
        <w:ind w:firstLine="480" w:firstLineChars="200"/>
        <w:rPr>
          <w:rFonts w:hint="default" w:ascii="Times New Roman" w:hAnsi="Times New Roman" w:cs="Times New Roman"/>
          <w:b/>
          <w:color w:val="auto"/>
          <w:highlight w:val="none"/>
        </w:rPr>
      </w:pPr>
      <w:r>
        <w:rPr>
          <w:rFonts w:hint="default" w:ascii="Times New Roman" w:hAnsi="Times New Roman" w:cs="Times New Roman"/>
          <w:bCs/>
          <w:color w:val="auto"/>
          <w:highlight w:val="none"/>
        </w:rPr>
        <w:t>甲方指定。</w:t>
      </w:r>
    </w:p>
    <w:p w14:paraId="6DBF516A">
      <w:pPr>
        <w:pStyle w:val="222"/>
        <w:spacing w:before="240" w:after="240" w:line="360" w:lineRule="auto"/>
        <w:rPr>
          <w:rFonts w:hint="default" w:ascii="Times New Roman" w:hAnsi="Times New Roman" w:cs="Times New Roman"/>
          <w:color w:val="auto"/>
          <w:highlight w:val="none"/>
        </w:rPr>
      </w:pPr>
      <w:r>
        <w:rPr>
          <w:rFonts w:hint="default" w:ascii="Times New Roman" w:hAnsi="Times New Roman" w:cs="Times New Roman"/>
          <w:b/>
          <w:color w:val="auto"/>
          <w:highlight w:val="none"/>
        </w:rPr>
        <w:t>六、运维服务具体内容</w:t>
      </w:r>
    </w:p>
    <w:p w14:paraId="2BD4ACFD">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大气组分站内所有监测仪器、气象仪器、质控设备、数据采集与传输设备、辅助设备等的日常维护、质量控制等工作，确保大气组分站各项监测仪器正常稳定运行，数据长期稳定有效；定期出具各类满足环保主管单位要求的专业数据分析报告，为新疆维吾尔自治区生态环境厅及新疆维吾尔自治区生态环境监测总站提供必要的大气组分站数据分析服务，接受新疆维吾尔自治区生态环境厅及新疆维吾尔自治区生态环境监测总站质控检查和考核。</w:t>
      </w:r>
    </w:p>
    <w:p w14:paraId="56D35AE3">
      <w:pPr>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具体内容见本合同附件一。</w:t>
      </w:r>
    </w:p>
    <w:p w14:paraId="43E74B31">
      <w:pPr>
        <w:pStyle w:val="222"/>
        <w:spacing w:before="240" w:after="240" w:line="360" w:lineRule="auto"/>
        <w:rPr>
          <w:rFonts w:hint="default" w:ascii="Times New Roman" w:hAnsi="Times New Roman" w:cs="Times New Roman"/>
          <w:b/>
          <w:color w:val="auto"/>
          <w:highlight w:val="none"/>
        </w:rPr>
      </w:pPr>
      <w:r>
        <w:rPr>
          <w:rFonts w:hint="default" w:ascii="Times New Roman" w:hAnsi="Times New Roman" w:cs="Times New Roman"/>
          <w:b/>
          <w:color w:val="auto"/>
          <w:highlight w:val="none"/>
        </w:rPr>
        <w:t>七、合同变更、违约及其它</w:t>
      </w:r>
    </w:p>
    <w:p w14:paraId="47787E01">
      <w:pPr>
        <w:pStyle w:val="222"/>
        <w:spacing w:line="360" w:lineRule="auto"/>
        <w:ind w:firstLine="470" w:firstLineChars="196"/>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1、甲方按合同规定的付款要求履约，合同价格不变，甲方由于非不可抗力原因不能在本合同规定的时间内支付合同款项时，应与乙方协商。如遇非甲方原因导致逾期付款的，甲方不承担违约责任。甲方因财政政策原因未按期支付合同款项的，甲方不承担违约责任。</w:t>
      </w:r>
    </w:p>
    <w:p w14:paraId="67ABE2B6">
      <w:pPr>
        <w:pStyle w:val="222"/>
        <w:spacing w:line="360" w:lineRule="auto"/>
        <w:ind w:firstLine="470" w:firstLineChars="196"/>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2、乙方必须在本合同规定的时间内按时开展运维服务，否则甲方有权因乙方违约撤销合同，乙方应按以下方式向甲方支付违约金：每逾期七天按合同总价款的千分之五支付；不满七天按七天计算，依次类推，逾期超过30天的，甲方有权单方面解除合同。</w:t>
      </w:r>
    </w:p>
    <w:p w14:paraId="3F356503">
      <w:pPr>
        <w:pStyle w:val="222"/>
        <w:spacing w:line="360" w:lineRule="auto"/>
        <w:ind w:firstLine="48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3、乙方未按照本合同和招标文件中规定的运维要求提供相应的成果及服务的，每违约一次，按合同总价款的10%支付违约金，甲方可选择解除合同或继续履行本合同。</w:t>
      </w:r>
    </w:p>
    <w:p w14:paraId="03942ADE">
      <w:pPr>
        <w:pStyle w:val="222"/>
        <w:spacing w:line="360" w:lineRule="auto"/>
        <w:ind w:firstLine="48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4、</w:t>
      </w:r>
      <w:r>
        <w:rPr>
          <w:rFonts w:hint="default" w:ascii="Times New Roman" w:hAnsi="Times New Roman" w:cs="Times New Roman"/>
          <w:color w:val="auto"/>
          <w:highlight w:val="none"/>
        </w:rPr>
        <w:t>本合</w:t>
      </w:r>
      <w:r>
        <w:rPr>
          <w:rFonts w:hint="default" w:ascii="Times New Roman" w:hAnsi="Times New Roman" w:cs="Times New Roman"/>
          <w:color w:val="auto"/>
          <w:highlight w:val="none"/>
        </w:rPr>
        <w:t>同根据202</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年  月  日由</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single"/>
        </w:rPr>
        <w:t xml:space="preserve">     有限公司</w:t>
      </w:r>
      <w:r>
        <w:rPr>
          <w:rFonts w:hint="default" w:ascii="Times New Roman" w:hAnsi="Times New Roman" w:cs="Times New Roman"/>
          <w:color w:val="auto"/>
          <w:highlight w:val="none"/>
        </w:rPr>
        <w:t>组织</w:t>
      </w:r>
      <w:r>
        <w:rPr>
          <w:rFonts w:hint="default" w:ascii="Times New Roman" w:hAnsi="Times New Roman" w:cs="Times New Roman"/>
          <w:color w:val="auto"/>
          <w:highlight w:val="none"/>
        </w:rPr>
        <w:t>的招标会的招投标结果签订。招标文件、投标文件及开标会议上签名的答疑和承诺内容等均作为合同的附件，是合同文本不可分割的组成部分。合同文本未述及和不详之处，以附件为准。</w:t>
      </w:r>
    </w:p>
    <w:p w14:paraId="7F7D0E0B">
      <w:pPr>
        <w:pStyle w:val="222"/>
        <w:spacing w:line="360" w:lineRule="auto"/>
        <w:ind w:firstLine="48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5、合同文本不得涂改，如需修改应在合同附件中注明。经甲、乙双方协商达成一致修改意见，需经甲、乙双方代表共同签署此附件，方能生效。</w:t>
      </w:r>
    </w:p>
    <w:p w14:paraId="47BC7437">
      <w:pPr>
        <w:pStyle w:val="222"/>
        <w:spacing w:line="360" w:lineRule="auto"/>
        <w:ind w:firstLine="48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6、合同所有附件（包括乙方在招标会现场答疑及承诺内容），均与合同具有同等法律效力。</w:t>
      </w:r>
    </w:p>
    <w:p w14:paraId="54529E33">
      <w:pPr>
        <w:pStyle w:val="222"/>
        <w:spacing w:line="360" w:lineRule="auto"/>
        <w:ind w:firstLine="48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7、合同经甲、乙双方签字盖章后即行生效。本合同签订后，乙方不履行、不能履行本合同，或因乙方原因导致本合同解除的，乙方除应返还甲方已支付的货款外，还应按合同总价款的30%向甲方支付违约金。</w:t>
      </w:r>
    </w:p>
    <w:p w14:paraId="644834FD">
      <w:pPr>
        <w:spacing w:line="360" w:lineRule="auto"/>
        <w:ind w:firstLine="480"/>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8、因不可抗力致使合同暂不能履行的，履行义务一方应向对方出示有权机关的证明文件，双方应友好协商解决后续事宜。因不可抗力致使合同无法履行的，双方互不承担违约责任。</w:t>
      </w:r>
    </w:p>
    <w:p w14:paraId="696564BC">
      <w:pPr>
        <w:spacing w:line="360" w:lineRule="auto"/>
        <w:ind w:firstLine="480"/>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9、本合同依照《中华人民共和国政府采购法》和《中华人民共和国民法典》等相关法律法规制定。未尽事项皆受上述法律法规约束。甲、乙双方发生争议时，应先协商解决，协商不成的，任何一方有权向甲方住所地有管辖权的人民法院提起诉讼。</w:t>
      </w:r>
    </w:p>
    <w:p w14:paraId="296EDE42">
      <w:pPr>
        <w:pStyle w:val="222"/>
        <w:spacing w:line="360" w:lineRule="auto"/>
        <w:ind w:firstLine="48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10、合同一式九份，甲方执五份，乙方执四份。</w:t>
      </w:r>
    </w:p>
    <w:p w14:paraId="1BEE2DB3">
      <w:pPr>
        <w:pStyle w:val="222"/>
        <w:spacing w:line="360" w:lineRule="auto"/>
        <w:ind w:firstLine="48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11、本合同自双方签字盖章之日起生效，质量保证期满后终止。</w:t>
      </w:r>
    </w:p>
    <w:p w14:paraId="3A99F20C">
      <w:pPr>
        <w:autoSpaceDE w:val="0"/>
        <w:autoSpaceDN w:val="0"/>
        <w:adjustRightInd w:val="0"/>
        <w:snapToGrid w:val="0"/>
        <w:spacing w:before="240" w:after="240" w:line="360" w:lineRule="auto"/>
        <w:rPr>
          <w:rFonts w:hint="default" w:ascii="Times New Roman" w:hAnsi="Times New Roman" w:cs="Times New Roman"/>
          <w:b/>
          <w:color w:val="auto"/>
          <w:kern w:val="0"/>
          <w:sz w:val="24"/>
          <w:highlight w:val="none"/>
        </w:rPr>
      </w:pPr>
      <w:r>
        <w:rPr>
          <w:rFonts w:hint="default" w:ascii="Times New Roman" w:hAnsi="Times New Roman" w:cs="Times New Roman"/>
          <w:b/>
          <w:color w:val="auto"/>
          <w:sz w:val="24"/>
          <w:highlight w:val="none"/>
        </w:rPr>
        <w:t>八、</w:t>
      </w:r>
      <w:r>
        <w:rPr>
          <w:rFonts w:hint="default" w:ascii="Times New Roman" w:hAnsi="Times New Roman" w:cs="Times New Roman"/>
          <w:b/>
          <w:color w:val="auto"/>
          <w:kern w:val="0"/>
          <w:sz w:val="24"/>
          <w:highlight w:val="none"/>
        </w:rPr>
        <w:t>技术资料及知识产权</w:t>
      </w:r>
    </w:p>
    <w:p w14:paraId="542770FF">
      <w:pPr>
        <w:autoSpaceDE w:val="0"/>
        <w:autoSpaceDN w:val="0"/>
        <w:adjustRightInd w:val="0"/>
        <w:snapToGrid w:val="0"/>
        <w:spacing w:before="240" w:after="240" w:line="360" w:lineRule="auto"/>
        <w:ind w:firstLine="480" w:firstLineChars="200"/>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1、知识产权归属</w:t>
      </w:r>
    </w:p>
    <w:p w14:paraId="27D8A233">
      <w:pPr>
        <w:tabs>
          <w:tab w:val="left" w:pos="709"/>
          <w:tab w:val="left" w:pos="834"/>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乙方向甲方提交的成果以及乙方在本项目服务过程中形成的专利、秘密信息、技术资料和文件的知识产权归甲方单独所有。乙方在本合同签署之前已经拥有的知识产权和乙方按照本合同约定使用的第三方的知识产权以及通用科学技术方法除外。</w:t>
      </w:r>
    </w:p>
    <w:p w14:paraId="109A94AC">
      <w:pPr>
        <w:tabs>
          <w:tab w:val="left" w:pos="709"/>
          <w:tab w:val="left" w:pos="834"/>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2）除非甲方书面同意，乙方不得以任何方式向第三方披露、转让和许可有关的技术成果、秘密信息、技术资料、文件等。</w:t>
      </w:r>
    </w:p>
    <w:p w14:paraId="6AB2F4AF">
      <w:pPr>
        <w:tabs>
          <w:tab w:val="left" w:pos="709"/>
          <w:tab w:val="left" w:pos="834"/>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3）除本项目服务需要之外，未得到甲方的书面许可，乙方不得以任何方式商业性地利用上述资料和技术。</w:t>
      </w:r>
    </w:p>
    <w:p w14:paraId="4266CD30">
      <w:pPr>
        <w:autoSpaceDE w:val="0"/>
        <w:autoSpaceDN w:val="0"/>
        <w:adjustRightInd w:val="0"/>
        <w:snapToGrid w:val="0"/>
        <w:spacing w:before="240" w:after="240" w:line="360" w:lineRule="auto"/>
        <w:ind w:firstLine="480" w:firstLineChars="200"/>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2、禁止对第三方造成侵权</w:t>
      </w:r>
    </w:p>
    <w:p w14:paraId="72B867D0">
      <w:pPr>
        <w:autoSpaceDE w:val="0"/>
        <w:autoSpaceDN w:val="0"/>
        <w:adjustRightInd w:val="0"/>
        <w:snapToGrid w:val="0"/>
        <w:spacing w:line="360" w:lineRule="auto"/>
        <w:ind w:firstLine="480" w:firstLineChars="200"/>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乙方应当保证其提供的成果及服务过程不侵害任何第三方的知识产权。如乙方需要使用第三方的知识产权，应当在使用前合法的获得使用该知识产权的许可，并在获得许可后7日内将相关协议及许可文件复印件报甲方备案。乙方为本合同履行之目的使用自身或第三方知识产权的费用已包含在合同价款中，甲方不再另行支付。</w:t>
      </w:r>
    </w:p>
    <w:p w14:paraId="697D3FFE">
      <w:pPr>
        <w:autoSpaceDE w:val="0"/>
        <w:autoSpaceDN w:val="0"/>
        <w:adjustRightInd w:val="0"/>
        <w:snapToGrid w:val="0"/>
        <w:spacing w:before="240" w:after="240" w:line="360" w:lineRule="auto"/>
        <w:ind w:firstLine="480" w:firstLineChars="200"/>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3、乙方保证</w:t>
      </w:r>
    </w:p>
    <w:p w14:paraId="58673AAB">
      <w:pPr>
        <w:autoSpaceDE w:val="0"/>
        <w:autoSpaceDN w:val="0"/>
        <w:adjustRightInd w:val="0"/>
        <w:snapToGrid w:val="0"/>
        <w:spacing w:before="240" w:after="240" w:line="360" w:lineRule="auto"/>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kern w:val="0"/>
          <w:sz w:val="24"/>
          <w:highlight w:val="none"/>
        </w:rPr>
        <w:t>乙方保证甲方及其授权的第三方能够合法地使用其提供的成果。如果任何第三人因甲方及其授权的第三方使用成果向甲方及其授权的第三方提出有关知识产权的任何索赔、要求停止使用、要求支付费用、诉讼、仲裁或其它不利于甲方及其授权的第三方之行为，乙方应当自费为甲方及其授权的第三方进行处理，并保证甲方及其授权的第三方能够正常使用成果，由此给甲方及其授权的第三方造成的一切损失由乙方承担（包括但不限于赔偿、补偿、诉讼费、仲裁费用、律师费、甲方的其他损失等）。</w:t>
      </w:r>
    </w:p>
    <w:p w14:paraId="151A462D">
      <w:pPr>
        <w:pStyle w:val="222"/>
        <w:spacing w:before="240" w:after="240" w:line="360" w:lineRule="auto"/>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（此页无正文）</w:t>
      </w:r>
    </w:p>
    <w:p w14:paraId="5F62364F">
      <w:pPr>
        <w:pStyle w:val="222"/>
        <w:spacing w:before="240" w:after="240" w:line="360" w:lineRule="auto"/>
        <w:rPr>
          <w:rFonts w:hint="default" w:ascii="Times New Roman" w:hAnsi="Times New Roman" w:cs="Times New Roman"/>
          <w:b/>
          <w:color w:val="auto"/>
          <w:highlight w:val="none"/>
        </w:rPr>
      </w:pPr>
      <w:r>
        <w:rPr>
          <w:rFonts w:hint="default" w:ascii="Times New Roman" w:hAnsi="Times New Roman" w:cs="Times New Roman"/>
          <w:b/>
          <w:color w:val="auto"/>
          <w:highlight w:val="none"/>
        </w:rPr>
        <w:t>甲方（公章）：新疆维吾尔自治区生态环境监测总站</w:t>
      </w:r>
    </w:p>
    <w:p w14:paraId="07DE96FD">
      <w:pPr>
        <w:pStyle w:val="222"/>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法人或授权代表签字：</w:t>
      </w:r>
    </w:p>
    <w:p w14:paraId="5CDB07DD">
      <w:pPr>
        <w:pStyle w:val="222"/>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合同联系人：</w:t>
      </w:r>
    </w:p>
    <w:p w14:paraId="103132CE">
      <w:pPr>
        <w:pStyle w:val="222"/>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联系电话：</w:t>
      </w:r>
    </w:p>
    <w:p w14:paraId="1FF3CC47">
      <w:pPr>
        <w:pStyle w:val="222"/>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签订日期：      年  月   日</w:t>
      </w:r>
    </w:p>
    <w:p w14:paraId="31E14527">
      <w:pPr>
        <w:pStyle w:val="222"/>
        <w:spacing w:before="240" w:after="240" w:line="360" w:lineRule="auto"/>
        <w:rPr>
          <w:rFonts w:hint="default" w:ascii="Times New Roman" w:hAnsi="Times New Roman" w:cs="Times New Roman"/>
          <w:b/>
          <w:color w:val="auto"/>
          <w:highlight w:val="none"/>
        </w:rPr>
      </w:pPr>
    </w:p>
    <w:p w14:paraId="50AA2363">
      <w:pPr>
        <w:pStyle w:val="222"/>
        <w:spacing w:before="240" w:after="240" w:line="360" w:lineRule="auto"/>
        <w:rPr>
          <w:rFonts w:hint="default" w:ascii="Times New Roman" w:hAnsi="Times New Roman" w:cs="Times New Roman"/>
          <w:b/>
          <w:color w:val="auto"/>
          <w:highlight w:val="none"/>
        </w:rPr>
      </w:pPr>
      <w:r>
        <w:rPr>
          <w:rFonts w:hint="default" w:ascii="Times New Roman" w:hAnsi="Times New Roman" w:cs="Times New Roman"/>
          <w:b/>
          <w:color w:val="auto"/>
          <w:highlight w:val="none"/>
        </w:rPr>
        <w:t xml:space="preserve">乙方（公章）：  </w:t>
      </w:r>
    </w:p>
    <w:p w14:paraId="678EB7B1">
      <w:pPr>
        <w:pStyle w:val="222"/>
        <w:spacing w:line="360" w:lineRule="auto"/>
        <w:ind w:right="-512" w:rightChars="-244"/>
        <w:rPr>
          <w:rFonts w:hint="default" w:ascii="Times New Roman" w:hAnsi="Times New Roman" w:cs="Times New Roman"/>
          <w:color w:val="auto"/>
          <w:highlight w:val="none"/>
        </w:rPr>
      </w:pPr>
      <w:r>
        <w:rPr>
          <w:rFonts w:hint="default" w:ascii="Times New Roman" w:hAnsi="Times New Roman" w:cs="Times New Roman"/>
          <w:color w:val="auto"/>
          <w:highlight w:val="none"/>
        </w:rPr>
        <w:t>法人或授权代表签字：</w:t>
      </w:r>
    </w:p>
    <w:p w14:paraId="1A101E67">
      <w:pPr>
        <w:pStyle w:val="222"/>
        <w:spacing w:line="360" w:lineRule="auto"/>
        <w:ind w:right="-512" w:rightChars="-244"/>
        <w:rPr>
          <w:rFonts w:hint="default" w:ascii="Times New Roman" w:hAnsi="Times New Roman" w:cs="Times New Roman"/>
          <w:color w:val="auto"/>
          <w:highlight w:val="none"/>
        </w:rPr>
      </w:pPr>
      <w:r>
        <w:rPr>
          <w:rFonts w:hint="default" w:ascii="Times New Roman" w:hAnsi="Times New Roman" w:cs="Times New Roman"/>
          <w:color w:val="auto"/>
          <w:highlight w:val="none"/>
        </w:rPr>
        <w:t>联系人：</w:t>
      </w:r>
    </w:p>
    <w:p w14:paraId="17B09E39">
      <w:pPr>
        <w:pStyle w:val="222"/>
        <w:spacing w:line="360" w:lineRule="auto"/>
        <w:ind w:right="-512" w:rightChars="-244"/>
        <w:rPr>
          <w:rFonts w:hint="default" w:ascii="Times New Roman" w:hAnsi="Times New Roman" w:cs="Times New Roman"/>
          <w:color w:val="auto"/>
          <w:highlight w:val="none"/>
        </w:rPr>
      </w:pPr>
      <w:r>
        <w:rPr>
          <w:rFonts w:hint="default" w:ascii="Times New Roman" w:hAnsi="Times New Roman" w:cs="Times New Roman"/>
          <w:color w:val="auto"/>
          <w:highlight w:val="none"/>
        </w:rPr>
        <w:t>联系电话：</w:t>
      </w:r>
    </w:p>
    <w:p w14:paraId="3CE1464B">
      <w:pPr>
        <w:pStyle w:val="222"/>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签订日期：    年  月   日</w:t>
      </w:r>
    </w:p>
    <w:p w14:paraId="79F6CBA9">
      <w:pPr>
        <w:pStyle w:val="222"/>
        <w:spacing w:line="360" w:lineRule="auto"/>
        <w:ind w:right="-512" w:rightChars="-244"/>
        <w:rPr>
          <w:rFonts w:hint="default" w:ascii="Times New Roman" w:hAnsi="Times New Roman" w:cs="Times New Roman"/>
          <w:color w:val="auto"/>
          <w:highlight w:val="none"/>
        </w:rPr>
      </w:pPr>
      <w:r>
        <w:rPr>
          <w:rFonts w:hint="default" w:ascii="Times New Roman" w:hAnsi="Times New Roman" w:cs="Times New Roman"/>
          <w:color w:val="auto"/>
          <w:highlight w:val="none"/>
        </w:rPr>
        <w:t>开户银行：</w:t>
      </w:r>
    </w:p>
    <w:p w14:paraId="55BA96F2">
      <w:pPr>
        <w:pStyle w:val="222"/>
        <w:spacing w:line="360" w:lineRule="auto"/>
        <w:ind w:right="-512" w:rightChars="-244"/>
        <w:rPr>
          <w:rFonts w:hint="default" w:ascii="Times New Roman" w:hAnsi="Times New Roman" w:cs="Times New Roman"/>
          <w:color w:val="auto"/>
          <w:highlight w:val="none"/>
        </w:rPr>
      </w:pPr>
      <w:r>
        <w:rPr>
          <w:rFonts w:hint="default" w:ascii="Times New Roman" w:hAnsi="Times New Roman" w:cs="Times New Roman"/>
          <w:color w:val="auto"/>
          <w:highlight w:val="none"/>
        </w:rPr>
        <w:t>行    号：</w:t>
      </w:r>
    </w:p>
    <w:p w14:paraId="262F75A4">
      <w:pPr>
        <w:pStyle w:val="222"/>
        <w:spacing w:line="360" w:lineRule="auto"/>
        <w:ind w:right="-512" w:rightChars="-244"/>
        <w:rPr>
          <w:rFonts w:hint="default" w:ascii="Times New Roman" w:hAnsi="Times New Roman" w:cs="Times New Roman"/>
          <w:color w:val="auto"/>
          <w:highlight w:val="none"/>
        </w:rPr>
      </w:pPr>
      <w:r>
        <w:rPr>
          <w:rFonts w:hint="default" w:ascii="Times New Roman" w:hAnsi="Times New Roman" w:cs="Times New Roman"/>
          <w:color w:val="auto"/>
          <w:highlight w:val="none"/>
        </w:rPr>
        <w:t>帐    号：</w:t>
      </w:r>
    </w:p>
    <w:p w14:paraId="194ED59D">
      <w:pPr>
        <w:pStyle w:val="222"/>
        <w:spacing w:line="360" w:lineRule="auto"/>
        <w:ind w:right="-512" w:rightChars="-244"/>
        <w:rPr>
          <w:rFonts w:hint="default" w:ascii="Times New Roman" w:hAnsi="Times New Roman" w:cs="Times New Roman"/>
          <w:color w:val="auto"/>
          <w:highlight w:val="none"/>
        </w:rPr>
      </w:pPr>
    </w:p>
    <w:p w14:paraId="5ECF1D9C">
      <w:pPr>
        <w:pStyle w:val="222"/>
        <w:spacing w:line="360" w:lineRule="auto"/>
        <w:ind w:right="-512" w:rightChars="-244"/>
        <w:rPr>
          <w:rFonts w:hint="default" w:ascii="Times New Roman" w:hAnsi="Times New Roman" w:cs="Times New Roman"/>
          <w:color w:val="auto"/>
          <w:highlight w:val="none"/>
        </w:rPr>
      </w:pPr>
    </w:p>
    <w:p w14:paraId="340860C7">
      <w:pPr>
        <w:pStyle w:val="222"/>
        <w:spacing w:line="360" w:lineRule="auto"/>
        <w:ind w:right="-512" w:rightChars="-244"/>
        <w:rPr>
          <w:rFonts w:hint="default" w:ascii="Times New Roman" w:hAnsi="Times New Roman" w:cs="Times New Roman"/>
          <w:color w:val="auto"/>
          <w:highlight w:val="none"/>
        </w:rPr>
      </w:pPr>
    </w:p>
    <w:p w14:paraId="41DA8018">
      <w:pPr>
        <w:pStyle w:val="222"/>
        <w:spacing w:line="360" w:lineRule="auto"/>
        <w:ind w:right="-512" w:rightChars="-244"/>
        <w:rPr>
          <w:rFonts w:hint="default" w:ascii="Times New Roman" w:hAnsi="Times New Roman" w:cs="Times New Roman"/>
          <w:color w:val="auto"/>
          <w:highlight w:val="none"/>
        </w:rPr>
      </w:pPr>
    </w:p>
    <w:p w14:paraId="2A2BDC28">
      <w:pPr>
        <w:pStyle w:val="222"/>
        <w:spacing w:line="360" w:lineRule="auto"/>
        <w:ind w:right="-512" w:rightChars="-244"/>
        <w:rPr>
          <w:rFonts w:hint="default" w:ascii="Times New Roman" w:hAnsi="Times New Roman" w:cs="Times New Roman"/>
          <w:color w:val="auto"/>
          <w:highlight w:val="none"/>
        </w:rPr>
      </w:pPr>
    </w:p>
    <w:p w14:paraId="68A23A0A">
      <w:pPr>
        <w:pStyle w:val="222"/>
        <w:spacing w:line="360" w:lineRule="auto"/>
        <w:ind w:right="-512" w:rightChars="-244"/>
        <w:rPr>
          <w:rFonts w:hint="default" w:ascii="Times New Roman" w:hAnsi="Times New Roman" w:cs="Times New Roman"/>
          <w:color w:val="auto"/>
          <w:highlight w:val="none"/>
        </w:rPr>
      </w:pPr>
    </w:p>
    <w:p w14:paraId="6738D8D1">
      <w:pPr>
        <w:pStyle w:val="17"/>
        <w:spacing w:line="360" w:lineRule="auto"/>
        <w:rPr>
          <w:rFonts w:hint="eastAsia" w:ascii="仿宋" w:hAnsi="仿宋" w:eastAsia="仿宋" w:cs="仿宋"/>
          <w:b/>
          <w:color w:val="auto"/>
          <w:spacing w:val="8"/>
          <w:sz w:val="24"/>
          <w:szCs w:val="24"/>
          <w:highlight w:val="none"/>
        </w:rPr>
      </w:pPr>
      <w:r>
        <w:rPr>
          <w:rFonts w:hint="eastAsia" w:ascii="仿宋" w:hAnsi="仿宋" w:eastAsia="仿宋" w:cs="仿宋"/>
          <w:b/>
          <w:color w:val="auto"/>
          <w:spacing w:val="8"/>
          <w:sz w:val="24"/>
          <w:szCs w:val="24"/>
          <w:highlight w:val="none"/>
        </w:rPr>
        <w:t>附件一、</w:t>
      </w:r>
      <w:r>
        <w:rPr>
          <w:rFonts w:hint="eastAsia" w:ascii="仿宋" w:hAnsi="仿宋" w:eastAsia="仿宋" w:cs="仿宋"/>
          <w:b/>
          <w:color w:val="auto"/>
          <w:spacing w:val="8"/>
          <w:sz w:val="24"/>
          <w:szCs w:val="24"/>
          <w:highlight w:val="none"/>
          <w:lang w:val="en-US" w:eastAsia="zh-CN"/>
        </w:rPr>
        <w:t>运维服务内容</w:t>
      </w:r>
    </w:p>
    <w:p w14:paraId="7972B7B0">
      <w:pPr>
        <w:pStyle w:val="17"/>
        <w:spacing w:line="360" w:lineRule="auto"/>
        <w:rPr>
          <w:rFonts w:hint="eastAsia" w:ascii="仿宋" w:hAnsi="仿宋" w:eastAsia="仿宋" w:cs="仿宋"/>
          <w:b/>
          <w:color w:val="auto"/>
          <w:spacing w:val="8"/>
          <w:sz w:val="24"/>
          <w:szCs w:val="24"/>
          <w:highlight w:val="none"/>
        </w:rPr>
      </w:pPr>
    </w:p>
    <w:p w14:paraId="50BDB417">
      <w:pPr>
        <w:spacing w:line="360" w:lineRule="auto"/>
        <w:rPr>
          <w:rFonts w:hint="eastAsia" w:ascii="仿宋" w:hAnsi="仿宋" w:eastAsia="仿宋" w:cs="仿宋"/>
          <w:b/>
          <w:color w:val="auto"/>
          <w:spacing w:val="8"/>
          <w:sz w:val="24"/>
          <w:szCs w:val="24"/>
          <w:highlight w:val="none"/>
        </w:rPr>
      </w:pPr>
      <w:r>
        <w:rPr>
          <w:rFonts w:hint="eastAsia" w:ascii="仿宋" w:hAnsi="仿宋" w:eastAsia="仿宋" w:cs="仿宋"/>
          <w:b/>
          <w:color w:val="auto"/>
          <w:spacing w:val="8"/>
          <w:sz w:val="24"/>
          <w:szCs w:val="24"/>
          <w:highlight w:val="none"/>
        </w:rPr>
        <w:t>附件二、质量保证及培训</w:t>
      </w:r>
    </w:p>
    <w:p w14:paraId="0627FA9C">
      <w:pPr>
        <w:spacing w:line="360" w:lineRule="auto"/>
        <w:rPr>
          <w:rFonts w:hint="eastAsia" w:ascii="仿宋" w:hAnsi="仿宋" w:eastAsia="仿宋" w:cs="仿宋"/>
          <w:b/>
          <w:color w:val="auto"/>
          <w:spacing w:val="8"/>
          <w:sz w:val="24"/>
          <w:szCs w:val="24"/>
          <w:highlight w:val="none"/>
        </w:rPr>
      </w:pPr>
    </w:p>
    <w:p w14:paraId="59861CD7">
      <w:pPr>
        <w:spacing w:before="170" w:line="219" w:lineRule="auto"/>
        <w:jc w:val="both"/>
        <w:rPr>
          <w:rFonts w:ascii="宋体" w:hAnsi="宋体" w:eastAsia="宋体" w:cs="宋体"/>
          <w:color w:val="auto"/>
          <w:spacing w:val="27"/>
          <w:sz w:val="29"/>
          <w:szCs w:val="29"/>
          <w:highlight w:val="none"/>
        </w:rPr>
      </w:pPr>
      <w:r>
        <w:rPr>
          <w:rFonts w:hint="eastAsia" w:ascii="仿宋" w:hAnsi="仿宋" w:eastAsia="仿宋" w:cs="仿宋"/>
          <w:b/>
          <w:color w:val="auto"/>
          <w:spacing w:val="8"/>
          <w:sz w:val="24"/>
          <w:szCs w:val="24"/>
          <w:highlight w:val="none"/>
        </w:rPr>
        <w:t>附件三  中标通知书</w:t>
      </w:r>
    </w:p>
    <w:p w14:paraId="08CAB116">
      <w:pPr>
        <w:pageBreakBefore w:val="0"/>
        <w:kinsoku/>
        <w:overflowPunct/>
        <w:bidi w:val="0"/>
        <w:rPr>
          <w:rFonts w:hint="eastAsia" w:asciiTheme="minorEastAsia" w:hAnsiTheme="minorEastAsia" w:eastAsiaTheme="minorEastAsia" w:cstheme="minorEastAsia"/>
          <w:color w:val="auto"/>
          <w:spacing w:val="0"/>
          <w:position w:val="0"/>
          <w:highlight w:val="none"/>
        </w:rPr>
        <w:sectPr>
          <w:headerReference r:id="rId8" w:type="default"/>
          <w:footerReference r:id="rId9" w:type="default"/>
          <w:pgSz w:w="11837" w:h="16798"/>
          <w:pgMar w:top="1134" w:right="1134" w:bottom="1440" w:left="1134" w:header="0" w:footer="0" w:gutter="0"/>
          <w:pgNumType w:fmt="decimal"/>
          <w:cols w:space="0" w:num="1"/>
          <w:rtlGutter w:val="0"/>
          <w:docGrid w:linePitch="0" w:charSpace="0"/>
        </w:sectPr>
      </w:pPr>
    </w:p>
    <w:p w14:paraId="3AAA42CB">
      <w:pPr>
        <w:pStyle w:val="18"/>
        <w:tabs>
          <w:tab w:val="left" w:pos="0"/>
        </w:tabs>
        <w:spacing w:line="360" w:lineRule="auto"/>
        <w:ind w:left="0" w:leftChars="0" w:firstLine="0" w:firstLineChars="0"/>
        <w:jc w:val="center"/>
        <w:outlineLvl w:val="0"/>
        <w:rPr>
          <w:rFonts w:hint="eastAsia" w:ascii="宋体" w:hAnsi="宋体" w:eastAsia="宋体" w:cs="宋体"/>
          <w:b/>
          <w:color w:val="auto"/>
          <w:sz w:val="36"/>
          <w:highlight w:val="none"/>
        </w:rPr>
      </w:pPr>
      <w:bookmarkStart w:id="69" w:name="_Toc503463636"/>
      <w:bookmarkStart w:id="70" w:name="_Toc256000019"/>
      <w:r>
        <w:rPr>
          <w:rFonts w:hint="eastAsia" w:ascii="宋体" w:hAnsi="宋体" w:eastAsia="宋体" w:cs="宋体"/>
          <w:b/>
          <w:color w:val="auto"/>
          <w:sz w:val="36"/>
          <w:highlight w:val="none"/>
        </w:rPr>
        <w:t>第六部分   投标文件格式</w:t>
      </w:r>
      <w:bookmarkEnd w:id="69"/>
      <w:bookmarkEnd w:id="70"/>
    </w:p>
    <w:p w14:paraId="6243ED64">
      <w:pPr>
        <w:rPr>
          <w:rFonts w:hint="eastAsia" w:ascii="宋体" w:hAnsi="宋体" w:eastAsia="宋体" w:cs="宋体"/>
          <w:color w:val="auto"/>
          <w:highlight w:val="none"/>
        </w:rPr>
      </w:pPr>
      <w:bookmarkStart w:id="71" w:name="EBa6563f599c41462c9a1a5775fbb6dec3"/>
    </w:p>
    <w:p w14:paraId="7A7C252E">
      <w:pPr>
        <w:pStyle w:val="154"/>
        <w:jc w:val="center"/>
        <w:outlineLvl w:val="2"/>
        <w:rPr>
          <w:rFonts w:hint="eastAsia" w:ascii="宋体" w:hAnsi="宋体" w:eastAsia="宋体" w:cs="宋体"/>
          <w:color w:val="auto"/>
          <w:highlight w:val="none"/>
        </w:rPr>
      </w:pPr>
      <w:bookmarkStart w:id="72" w:name="_Toc256000021"/>
      <w:r>
        <w:rPr>
          <w:rFonts w:hint="eastAsia" w:ascii="宋体" w:hAnsi="宋体" w:eastAsia="宋体" w:cs="宋体"/>
          <w:color w:val="auto"/>
          <w:highlight w:val="none"/>
        </w:rPr>
        <w:t>投标文件封面</w:t>
      </w:r>
      <w:bookmarkEnd w:id="72"/>
    </w:p>
    <w:p w14:paraId="77807AA3">
      <w:pPr>
        <w:pStyle w:val="106"/>
        <w:spacing w:line="360" w:lineRule="auto"/>
        <w:rPr>
          <w:rFonts w:hint="eastAsia" w:ascii="宋体" w:hAnsi="宋体" w:eastAsia="宋体" w:cs="宋体"/>
          <w:b/>
          <w:color w:val="auto"/>
          <w:sz w:val="24"/>
          <w:highlight w:val="none"/>
        </w:rPr>
      </w:pPr>
    </w:p>
    <w:p w14:paraId="3FC60412">
      <w:pPr>
        <w:pStyle w:val="106"/>
        <w:spacing w:line="360" w:lineRule="auto"/>
        <w:jc w:val="center"/>
        <w:rPr>
          <w:rFonts w:hint="eastAsia" w:ascii="宋体" w:hAnsi="宋体" w:eastAsia="宋体" w:cs="宋体"/>
          <w:color w:val="auto"/>
          <w:sz w:val="24"/>
          <w:highlight w:val="none"/>
        </w:rPr>
      </w:pPr>
    </w:p>
    <w:p w14:paraId="6D5C1189">
      <w:pPr>
        <w:pStyle w:val="106"/>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w:t>
      </w:r>
    </w:p>
    <w:p w14:paraId="573838D0">
      <w:pPr>
        <w:pStyle w:val="106"/>
        <w:spacing w:line="360" w:lineRule="auto"/>
        <w:jc w:val="center"/>
        <w:rPr>
          <w:rFonts w:hint="eastAsia" w:ascii="宋体" w:hAnsi="宋体" w:eastAsia="宋体" w:cs="宋体"/>
          <w:color w:val="auto"/>
          <w:sz w:val="28"/>
          <w:szCs w:val="28"/>
          <w:highlight w:val="none"/>
        </w:rPr>
      </w:pPr>
    </w:p>
    <w:p w14:paraId="37BA9F25">
      <w:pPr>
        <w:pStyle w:val="106"/>
        <w:spacing w:line="360" w:lineRule="auto"/>
        <w:ind w:firstLine="1680" w:firstLineChars="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6BF54409">
      <w:pPr>
        <w:pStyle w:val="106"/>
        <w:spacing w:line="360" w:lineRule="auto"/>
        <w:jc w:val="center"/>
        <w:rPr>
          <w:rFonts w:hint="eastAsia" w:ascii="宋体" w:hAnsi="宋体" w:eastAsia="宋体" w:cs="宋体"/>
          <w:color w:val="auto"/>
          <w:sz w:val="24"/>
          <w:highlight w:val="none"/>
        </w:rPr>
      </w:pPr>
    </w:p>
    <w:p w14:paraId="1EFD8EF7">
      <w:pPr>
        <w:pStyle w:val="106"/>
        <w:spacing w:line="360" w:lineRule="auto"/>
        <w:jc w:val="center"/>
        <w:rPr>
          <w:rFonts w:hint="eastAsia" w:ascii="宋体" w:hAnsi="宋体" w:eastAsia="宋体" w:cs="宋体"/>
          <w:color w:val="auto"/>
          <w:sz w:val="24"/>
          <w:highlight w:val="none"/>
        </w:rPr>
      </w:pPr>
    </w:p>
    <w:p w14:paraId="2083E59C">
      <w:pPr>
        <w:pStyle w:val="106"/>
        <w:spacing w:line="360" w:lineRule="auto"/>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投标文件</w:t>
      </w:r>
    </w:p>
    <w:p w14:paraId="1F73661C">
      <w:pPr>
        <w:pStyle w:val="106"/>
        <w:spacing w:line="360" w:lineRule="auto"/>
        <w:jc w:val="center"/>
        <w:rPr>
          <w:rFonts w:hint="eastAsia" w:ascii="宋体" w:hAnsi="宋体" w:eastAsia="宋体" w:cs="宋体"/>
          <w:color w:val="auto"/>
          <w:sz w:val="24"/>
          <w:highlight w:val="none"/>
        </w:rPr>
      </w:pPr>
    </w:p>
    <w:p w14:paraId="6B4E774C">
      <w:pPr>
        <w:pStyle w:val="106"/>
        <w:spacing w:line="360" w:lineRule="auto"/>
        <w:jc w:val="center"/>
        <w:rPr>
          <w:rFonts w:hint="eastAsia" w:ascii="宋体" w:hAnsi="宋体" w:eastAsia="宋体" w:cs="宋体"/>
          <w:color w:val="auto"/>
          <w:sz w:val="24"/>
          <w:highlight w:val="none"/>
        </w:rPr>
      </w:pPr>
    </w:p>
    <w:p w14:paraId="459A3593">
      <w:pPr>
        <w:pStyle w:val="106"/>
        <w:spacing w:line="360" w:lineRule="auto"/>
        <w:jc w:val="center"/>
        <w:rPr>
          <w:rFonts w:hint="eastAsia" w:ascii="宋体" w:hAnsi="宋体" w:eastAsia="宋体" w:cs="宋体"/>
          <w:b/>
          <w:color w:val="auto"/>
          <w:sz w:val="24"/>
          <w:highlight w:val="none"/>
        </w:rPr>
      </w:pPr>
    </w:p>
    <w:p w14:paraId="113DAA8C">
      <w:pPr>
        <w:pStyle w:val="106"/>
        <w:spacing w:line="360" w:lineRule="auto"/>
        <w:jc w:val="both"/>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val="en-US" w:eastAsia="zh-CN"/>
        </w:rPr>
        <w:t xml:space="preserve">   </w:t>
      </w:r>
    </w:p>
    <w:p w14:paraId="080A476D">
      <w:pPr>
        <w:pStyle w:val="106"/>
        <w:spacing w:line="360" w:lineRule="auto"/>
        <w:jc w:val="center"/>
        <w:rPr>
          <w:rFonts w:hint="eastAsia" w:ascii="宋体" w:hAnsi="宋体" w:eastAsia="宋体" w:cs="宋体"/>
          <w:color w:val="auto"/>
          <w:sz w:val="28"/>
          <w:szCs w:val="28"/>
          <w:highlight w:val="none"/>
        </w:rPr>
      </w:pPr>
    </w:p>
    <w:p w14:paraId="2EB369A2">
      <w:pPr>
        <w:pStyle w:val="105"/>
        <w:tabs>
          <w:tab w:val="left" w:pos="0"/>
        </w:tabs>
        <w:spacing w:line="360" w:lineRule="auto"/>
        <w:ind w:left="0" w:leftChars="0" w:firstLine="0" w:firstLineChars="0"/>
        <w:rPr>
          <w:rFonts w:hint="default" w:ascii="宋体" w:hAnsi="宋体" w:cs="宋体"/>
          <w:b w:val="0"/>
          <w:bCs/>
          <w:color w:val="auto"/>
          <w:sz w:val="28"/>
          <w:szCs w:val="28"/>
          <w:highlight w:val="none"/>
          <w:u w:val="single"/>
          <w:lang w:val="en-US" w:eastAsia="zh-CN"/>
        </w:rPr>
      </w:pPr>
      <w:r>
        <w:rPr>
          <w:rFonts w:hint="eastAsia" w:ascii="宋体" w:hAnsi="宋体" w:cs="宋体"/>
          <w:b w:val="0"/>
          <w:bCs/>
          <w:color w:val="auto"/>
          <w:sz w:val="28"/>
          <w:szCs w:val="28"/>
          <w:highlight w:val="none"/>
          <w:lang w:val="en-US" w:eastAsia="zh-CN"/>
        </w:rPr>
        <w:t>供应商：</w:t>
      </w:r>
      <w:r>
        <w:rPr>
          <w:rFonts w:hint="eastAsia" w:ascii="宋体" w:hAnsi="宋体" w:cs="宋体"/>
          <w:b w:val="0"/>
          <w:bCs/>
          <w:color w:val="auto"/>
          <w:sz w:val="28"/>
          <w:szCs w:val="28"/>
          <w:highlight w:val="none"/>
          <w:u w:val="single"/>
          <w:lang w:val="en-US" w:eastAsia="zh-CN"/>
        </w:rPr>
        <w:t xml:space="preserve">                           </w:t>
      </w:r>
      <w:r>
        <w:rPr>
          <w:rFonts w:hint="eastAsia" w:ascii="宋体" w:hAnsi="宋体" w:cs="宋体"/>
          <w:b w:val="0"/>
          <w:bCs/>
          <w:color w:val="auto"/>
          <w:sz w:val="28"/>
          <w:szCs w:val="28"/>
          <w:highlight w:val="none"/>
          <w:u w:val="none"/>
          <w:lang w:val="en-US" w:eastAsia="zh-CN"/>
        </w:rPr>
        <w:t>（盖章）</w:t>
      </w:r>
    </w:p>
    <w:p w14:paraId="7D1E86B2">
      <w:pPr>
        <w:pStyle w:val="105"/>
        <w:tabs>
          <w:tab w:val="left" w:pos="0"/>
        </w:tabs>
        <w:spacing w:line="360" w:lineRule="auto"/>
        <w:ind w:left="0" w:leftChars="0" w:firstLine="0" w:firstLineChars="0"/>
        <w:rPr>
          <w:rFonts w:hint="eastAsia" w:ascii="宋体" w:hAnsi="宋体" w:cs="宋体"/>
          <w:b w:val="0"/>
          <w:bCs/>
          <w:color w:val="auto"/>
          <w:sz w:val="28"/>
          <w:szCs w:val="28"/>
          <w:highlight w:val="none"/>
          <w:lang w:val="en-US" w:eastAsia="zh-CN"/>
        </w:rPr>
      </w:pPr>
      <w:r>
        <w:rPr>
          <w:rFonts w:hint="eastAsia" w:ascii="宋体" w:hAnsi="宋体" w:cs="宋体"/>
          <w:b w:val="0"/>
          <w:bCs/>
          <w:color w:val="auto"/>
          <w:sz w:val="28"/>
          <w:szCs w:val="28"/>
          <w:highlight w:val="none"/>
          <w:lang w:val="en-US" w:eastAsia="zh-CN"/>
        </w:rPr>
        <w:t>法定代表人或委托代理人：</w:t>
      </w:r>
      <w:r>
        <w:rPr>
          <w:rFonts w:hint="eastAsia" w:ascii="宋体" w:hAnsi="宋体" w:cs="宋体"/>
          <w:b w:val="0"/>
          <w:bCs/>
          <w:color w:val="auto"/>
          <w:sz w:val="28"/>
          <w:szCs w:val="28"/>
          <w:highlight w:val="none"/>
          <w:u w:val="single"/>
          <w:lang w:val="en-US" w:eastAsia="zh-CN"/>
        </w:rPr>
        <w:t xml:space="preserve">                        </w:t>
      </w:r>
      <w:r>
        <w:rPr>
          <w:rFonts w:hint="eastAsia" w:ascii="宋体" w:hAnsi="宋体" w:cs="宋体"/>
          <w:b w:val="0"/>
          <w:bCs/>
          <w:color w:val="auto"/>
          <w:sz w:val="28"/>
          <w:szCs w:val="28"/>
          <w:highlight w:val="none"/>
          <w:u w:val="none"/>
          <w:lang w:val="en-US" w:eastAsia="zh-CN"/>
        </w:rPr>
        <w:t>（签字或盖章）</w:t>
      </w:r>
    </w:p>
    <w:p w14:paraId="72C8CD2D">
      <w:pPr>
        <w:pStyle w:val="105"/>
        <w:tabs>
          <w:tab w:val="left" w:pos="0"/>
        </w:tabs>
        <w:spacing w:line="360" w:lineRule="auto"/>
        <w:ind w:left="0" w:leftChars="0" w:firstLine="0" w:firstLineChars="0"/>
        <w:rPr>
          <w:rFonts w:hint="default" w:ascii="宋体" w:hAnsi="宋体" w:cs="宋体"/>
          <w:b w:val="0"/>
          <w:bCs/>
          <w:color w:val="auto"/>
          <w:sz w:val="28"/>
          <w:szCs w:val="28"/>
          <w:highlight w:val="none"/>
          <w:lang w:val="en-US" w:eastAsia="zh-CN"/>
        </w:rPr>
      </w:pPr>
      <w:r>
        <w:rPr>
          <w:rFonts w:hint="eastAsia" w:ascii="宋体" w:hAnsi="宋体" w:cs="宋体"/>
          <w:b w:val="0"/>
          <w:bCs/>
          <w:color w:val="auto"/>
          <w:sz w:val="28"/>
          <w:szCs w:val="28"/>
          <w:highlight w:val="none"/>
          <w:lang w:val="en-US" w:eastAsia="zh-CN"/>
        </w:rPr>
        <w:t>日期：</w:t>
      </w:r>
      <w:r>
        <w:rPr>
          <w:rFonts w:hint="eastAsia" w:ascii="宋体" w:hAnsi="宋体" w:cs="宋体"/>
          <w:b w:val="0"/>
          <w:bCs/>
          <w:color w:val="auto"/>
          <w:sz w:val="28"/>
          <w:szCs w:val="28"/>
          <w:highlight w:val="none"/>
          <w:u w:val="single"/>
          <w:lang w:val="en-US" w:eastAsia="zh-CN"/>
        </w:rPr>
        <w:t xml:space="preserve">                           </w:t>
      </w:r>
    </w:p>
    <w:p w14:paraId="0530A359">
      <w:pPr>
        <w:pStyle w:val="141"/>
        <w:pageBreakBefore w:val="0"/>
        <w:kinsoku/>
        <w:overflowPunct/>
        <w:topLinePunct w:val="0"/>
        <w:bidi w:val="0"/>
        <w:jc w:val="center"/>
        <w:outlineLvl w:val="1"/>
        <w:rPr>
          <w:rFonts w:hint="eastAsia" w:asciiTheme="minorEastAsia" w:hAnsiTheme="minorEastAsia" w:eastAsiaTheme="minorEastAsia" w:cstheme="minorEastAsia"/>
          <w:color w:val="auto"/>
          <w:spacing w:val="0"/>
          <w:position w:val="0"/>
          <w:highlight w:val="none"/>
          <w:lang w:eastAsia="zh-CN"/>
        </w:rPr>
      </w:pPr>
      <w:r>
        <w:rPr>
          <w:rFonts w:hint="eastAsia" w:ascii="宋体" w:hAnsi="宋体" w:eastAsia="宋体" w:cs="宋体"/>
          <w:color w:val="auto"/>
          <w:highlight w:val="none"/>
        </w:rPr>
        <w:br w:type="page"/>
      </w:r>
      <w:bookmarkStart w:id="73" w:name="_Toc15886"/>
      <w:bookmarkStart w:id="74" w:name="_Toc256000022"/>
      <w:r>
        <w:rPr>
          <w:rFonts w:hint="eastAsia" w:asciiTheme="minorEastAsia" w:hAnsiTheme="minorEastAsia" w:eastAsiaTheme="minorEastAsia" w:cstheme="minorEastAsia"/>
          <w:color w:val="auto"/>
          <w:spacing w:val="0"/>
          <w:position w:val="0"/>
          <w:highlight w:val="none"/>
          <w:lang w:eastAsia="zh-CN"/>
        </w:rPr>
        <w:t>目录</w:t>
      </w:r>
      <w:bookmarkEnd w:id="73"/>
    </w:p>
    <w:p w14:paraId="37633FE4">
      <w:pPr>
        <w:pStyle w:val="141"/>
        <w:pageBreakBefore w:val="0"/>
        <w:kinsoku/>
        <w:overflowPunct/>
        <w:topLinePunct w:val="0"/>
        <w:bidi w:val="0"/>
        <w:jc w:val="center"/>
        <w:outlineLvl w:val="1"/>
        <w:rPr>
          <w:rFonts w:hint="eastAsia" w:ascii="宋体" w:hAnsi="宋体" w:eastAsia="宋体" w:cs="宋体"/>
          <w:color w:val="auto"/>
          <w:spacing w:val="0"/>
          <w:position w:val="0"/>
          <w:highlight w:val="none"/>
          <w:lang w:eastAsia="zh-CN"/>
        </w:rPr>
      </w:pPr>
    </w:p>
    <w:p w14:paraId="43E47009">
      <w:pPr>
        <w:pStyle w:val="12"/>
        <w:pageBreakBefore w:val="0"/>
        <w:kinsoku/>
        <w:overflowPunct/>
        <w:topLinePunct w:val="0"/>
        <w:bidi w:val="0"/>
        <w:jc w:val="center"/>
        <w:rPr>
          <w:rFonts w:hint="eastAsia" w:ascii="宋体" w:hAnsi="宋体" w:eastAsia="宋体" w:cs="宋体"/>
          <w:color w:val="auto"/>
          <w:spacing w:val="0"/>
          <w:position w:val="0"/>
          <w:highlight w:val="none"/>
        </w:rPr>
      </w:pPr>
      <w:r>
        <w:rPr>
          <w:rFonts w:hint="eastAsia" w:ascii="宋体" w:hAnsi="宋体" w:eastAsia="宋体" w:cs="宋体"/>
          <w:b w:val="0"/>
          <w:bCs w:val="0"/>
          <w:color w:val="auto"/>
          <w:sz w:val="24"/>
          <w:szCs w:val="24"/>
          <w:highlight w:val="none"/>
          <w:lang w:val="en-US" w:eastAsia="zh-CN"/>
        </w:rPr>
        <w:t>格式自拟（必须标注页码）</w:t>
      </w:r>
    </w:p>
    <w:p w14:paraId="6AAA23E1">
      <w:pPr>
        <w:rPr>
          <w:rFonts w:hint="eastAsia" w:ascii="宋体" w:hAnsi="宋体" w:eastAsia="宋体" w:cs="宋体"/>
          <w:color w:val="auto"/>
          <w:highlight w:val="none"/>
        </w:rPr>
      </w:pPr>
    </w:p>
    <w:p w14:paraId="6DCE5A3D">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09583B1">
      <w:pPr>
        <w:pStyle w:val="141"/>
        <w:jc w:val="center"/>
        <w:outlineLvl w:val="1"/>
        <w:rPr>
          <w:rFonts w:hint="eastAsia" w:ascii="宋体" w:hAnsi="宋体" w:eastAsia="宋体" w:cs="宋体"/>
          <w:color w:val="auto"/>
          <w:highlight w:val="none"/>
        </w:rPr>
      </w:pPr>
      <w:r>
        <w:rPr>
          <w:rFonts w:hint="eastAsia" w:ascii="宋体" w:hAnsi="宋体" w:eastAsia="宋体" w:cs="宋体"/>
          <w:color w:val="auto"/>
          <w:highlight w:val="none"/>
        </w:rPr>
        <w:t>资格审查材料</w:t>
      </w:r>
      <w:bookmarkEnd w:id="74"/>
    </w:p>
    <w:p w14:paraId="27BA258C">
      <w:pPr>
        <w:pStyle w:val="141"/>
        <w:outlineLvl w:val="1"/>
        <w:rPr>
          <w:rFonts w:hint="eastAsia" w:ascii="宋体" w:hAnsi="宋体" w:eastAsia="宋体" w:cs="宋体"/>
          <w:b w:val="0"/>
          <w:bCs/>
          <w:color w:val="auto"/>
          <w:highlight w:val="none"/>
        </w:rPr>
      </w:pPr>
      <w:r>
        <w:rPr>
          <w:rFonts w:hint="eastAsia" w:ascii="宋体" w:hAnsi="宋体" w:eastAsia="宋体" w:cs="宋体"/>
          <w:b w:val="0"/>
          <w:bCs/>
          <w:color w:val="auto"/>
          <w:highlight w:val="none"/>
        </w:rPr>
        <w:t>按照招标文件中《资格审查表》提供相关证明材料</w:t>
      </w:r>
    </w:p>
    <w:p w14:paraId="68F239E8">
      <w:pPr>
        <w:pStyle w:val="114"/>
        <w:jc w:val="center"/>
        <w:outlineLvl w:val="2"/>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75" w:name="_Toc256000023"/>
      <w:r>
        <w:rPr>
          <w:rFonts w:hint="eastAsia" w:ascii="宋体" w:hAnsi="宋体" w:eastAsia="宋体" w:cs="宋体"/>
          <w:color w:val="auto"/>
          <w:highlight w:val="none"/>
        </w:rPr>
        <w:t>营业执照、组织机构代码证、税务登记证</w:t>
      </w:r>
      <w:bookmarkEnd w:id="75"/>
    </w:p>
    <w:p w14:paraId="65FE6258">
      <w:pPr>
        <w:pStyle w:val="165"/>
        <w:outlineLvl w:val="2"/>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76" w:name="_Toc256000024"/>
    </w:p>
    <w:p w14:paraId="1D589167">
      <w:pPr>
        <w:pStyle w:val="165"/>
        <w:jc w:val="center"/>
        <w:outlineLvl w:val="2"/>
        <w:rPr>
          <w:rFonts w:hint="eastAsia" w:ascii="宋体" w:hAnsi="宋体" w:eastAsia="宋体" w:cs="宋体"/>
          <w:b/>
          <w:color w:val="auto"/>
          <w:sz w:val="32"/>
          <w:szCs w:val="24"/>
          <w:highlight w:val="none"/>
          <w:lang w:bidi="ar-SA"/>
        </w:rPr>
      </w:pPr>
      <w:r>
        <w:rPr>
          <w:rFonts w:hint="eastAsia" w:ascii="宋体" w:hAnsi="宋体" w:eastAsia="宋体" w:cs="宋体"/>
          <w:b/>
          <w:color w:val="auto"/>
          <w:sz w:val="32"/>
          <w:szCs w:val="24"/>
          <w:highlight w:val="none"/>
          <w:lang w:bidi="ar-SA"/>
        </w:rPr>
        <w:t>政府采购供应商信用承诺函</w:t>
      </w:r>
    </w:p>
    <w:p w14:paraId="032A2FA8">
      <w:pPr>
        <w:wordWrap w:val="0"/>
        <w:spacing w:line="560" w:lineRule="exact"/>
        <w:rPr>
          <w:rFonts w:hint="eastAsia" w:ascii="宋体" w:hAnsi="宋体" w:eastAsia="宋体" w:cs="宋体"/>
          <w:color w:val="auto"/>
          <w:kern w:val="2"/>
          <w:sz w:val="28"/>
          <w:szCs w:val="28"/>
          <w:highlight w:val="none"/>
          <w:lang w:val="en-US" w:eastAsia="zh-CN" w:bidi="ar-SA"/>
        </w:rPr>
      </w:pPr>
    </w:p>
    <w:p w14:paraId="3539D694">
      <w:pPr>
        <w:wordWrap w:val="0"/>
        <w:spacing w:line="56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单位名称(自然人姓名)：</w:t>
      </w:r>
    </w:p>
    <w:p w14:paraId="38C98C1D">
      <w:pPr>
        <w:wordWrap w:val="0"/>
        <w:spacing w:line="56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统一社会信用代码(身份证号码)：</w:t>
      </w:r>
    </w:p>
    <w:p w14:paraId="0F3C04DD">
      <w:pPr>
        <w:wordWrap w:val="0"/>
        <w:spacing w:line="56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法定代表人(负责人)：</w:t>
      </w:r>
    </w:p>
    <w:p w14:paraId="0EED4874">
      <w:pPr>
        <w:wordWrap w:val="0"/>
        <w:spacing w:line="5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为维护公平、公正、公开的政府采购市场秩序，树立诚实守信的政府采购供应商形象，我单位(本人)自愿作出以下承诺：</w:t>
      </w:r>
    </w:p>
    <w:p w14:paraId="078FD76C">
      <w:pPr>
        <w:wordWrap w:val="0"/>
        <w:spacing w:line="5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79267E93">
      <w:pPr>
        <w:wordWrap w:val="0"/>
        <w:spacing w:line="5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(一)具有独立承担民事责任的能力;</w:t>
      </w:r>
    </w:p>
    <w:p w14:paraId="512D0784">
      <w:pPr>
        <w:wordWrap w:val="0"/>
        <w:spacing w:line="5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(二)具有良好的商业信誉和健全的财务会计制度;</w:t>
      </w:r>
    </w:p>
    <w:p w14:paraId="5235A5E8">
      <w:pPr>
        <w:wordWrap w:val="0"/>
        <w:spacing w:line="5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(三)具有履行合同所必需的设备和专业技术能力;</w:t>
      </w:r>
    </w:p>
    <w:p w14:paraId="5DEE19ED">
      <w:pPr>
        <w:wordWrap w:val="0"/>
        <w:spacing w:line="5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(四)有依法缴纳税收和社会保障资金的良好记录;</w:t>
      </w:r>
    </w:p>
    <w:p w14:paraId="6B29D7AC">
      <w:pPr>
        <w:wordWrap w:val="0"/>
        <w:spacing w:line="5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(五)参加政府采购活动前三年内，在经营活动中没有重大违法记录;</w:t>
      </w:r>
    </w:p>
    <w:p w14:paraId="59C4EEDA">
      <w:pPr>
        <w:wordWrap w:val="0"/>
        <w:spacing w:line="5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(六)未被列入经营异常名录或者严重违法失信名单、失信被执行人、重大税收违法案件当事人名单、政府采购严重违法失信行为记录名单;</w:t>
      </w:r>
    </w:p>
    <w:p w14:paraId="0DD59C40">
      <w:pPr>
        <w:wordWrap w:val="0"/>
        <w:spacing w:line="5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(七)未在相关监管部门暂停参加政府采购活动的处罚期内;</w:t>
      </w:r>
    </w:p>
    <w:p w14:paraId="2F18AA45">
      <w:pPr>
        <w:wordWrap w:val="0"/>
        <w:spacing w:line="5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(八)未曾作出虚假采购承诺;</w:t>
      </w:r>
    </w:p>
    <w:p w14:paraId="420D884E">
      <w:pPr>
        <w:wordWrap w:val="0"/>
        <w:spacing w:line="5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(九)符合法律、行政法规规定的其他条件。</w:t>
      </w:r>
    </w:p>
    <w:p w14:paraId="07FC2818">
      <w:pPr>
        <w:wordWrap w:val="0"/>
        <w:spacing w:line="56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3C85ACD4">
      <w:pPr>
        <w:wordWrap w:val="0"/>
        <w:spacing w:line="560" w:lineRule="exact"/>
        <w:rPr>
          <w:rFonts w:hint="eastAsia" w:ascii="宋体" w:hAnsi="宋体" w:eastAsia="宋体" w:cs="宋体"/>
          <w:color w:val="auto"/>
          <w:kern w:val="2"/>
          <w:sz w:val="24"/>
          <w:szCs w:val="24"/>
          <w:highlight w:val="none"/>
          <w:lang w:val="en-US" w:eastAsia="zh-CN" w:bidi="ar-SA"/>
        </w:rPr>
      </w:pPr>
    </w:p>
    <w:p w14:paraId="72D09551">
      <w:pPr>
        <w:wordWrap w:val="0"/>
        <w:spacing w:line="560" w:lineRule="exact"/>
        <w:rPr>
          <w:rFonts w:hint="eastAsia" w:ascii="宋体" w:hAnsi="宋体" w:eastAsia="宋体" w:cs="宋体"/>
          <w:color w:val="auto"/>
          <w:kern w:val="2"/>
          <w:sz w:val="24"/>
          <w:szCs w:val="24"/>
          <w:highlight w:val="none"/>
          <w:lang w:val="en-US" w:eastAsia="zh-CN" w:bidi="ar-SA"/>
        </w:rPr>
      </w:pPr>
    </w:p>
    <w:p w14:paraId="65E9524E">
      <w:pPr>
        <w:wordWrap w:val="0"/>
        <w:spacing w:line="56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供应商(盖章)：</w:t>
      </w:r>
    </w:p>
    <w:p w14:paraId="2A00CDAD">
      <w:pPr>
        <w:wordWrap w:val="0"/>
        <w:spacing w:line="56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法定代表人或授权代表(签字或盖章)：</w:t>
      </w:r>
    </w:p>
    <w:p w14:paraId="688B7C99">
      <w:pPr>
        <w:wordWrap w:val="0"/>
        <w:spacing w:line="56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日期： 年 月 日</w:t>
      </w:r>
    </w:p>
    <w:p w14:paraId="3C7A0B61">
      <w:pPr>
        <w:pStyle w:val="165"/>
        <w:outlineLvl w:val="2"/>
        <w:rPr>
          <w:rFonts w:hint="eastAsia" w:ascii="宋体" w:hAnsi="宋体" w:eastAsia="宋体" w:cs="宋体"/>
          <w:color w:val="auto"/>
          <w:highlight w:val="none"/>
        </w:rPr>
      </w:pPr>
      <w:r>
        <w:rPr>
          <w:rFonts w:hint="eastAsia" w:ascii="宋体" w:hAnsi="宋体" w:eastAsia="宋体" w:cs="宋体"/>
          <w:color w:val="auto"/>
          <w:sz w:val="24"/>
          <w:szCs w:val="24"/>
          <w:highlight w:val="none"/>
        </w:rPr>
        <w:br w:type="page"/>
      </w:r>
    </w:p>
    <w:p w14:paraId="7DEA6C62">
      <w:pPr>
        <w:pStyle w:val="165"/>
        <w:jc w:val="center"/>
        <w:outlineLvl w:val="2"/>
        <w:rPr>
          <w:rFonts w:hint="eastAsia" w:ascii="宋体" w:hAnsi="宋体" w:eastAsia="宋体" w:cs="宋体"/>
          <w:color w:val="auto"/>
          <w:highlight w:val="none"/>
        </w:rPr>
      </w:pPr>
      <w:r>
        <w:rPr>
          <w:rFonts w:hint="eastAsia" w:ascii="宋体" w:hAnsi="宋体" w:eastAsia="宋体" w:cs="宋体"/>
          <w:color w:val="auto"/>
          <w:highlight w:val="none"/>
        </w:rPr>
        <w:t>法定代表人身份证明及授权委托书</w:t>
      </w:r>
      <w:bookmarkEnd w:id="76"/>
    </w:p>
    <w:p w14:paraId="3024CA0E">
      <w:pPr>
        <w:pStyle w:val="108"/>
        <w:jc w:val="center"/>
        <w:outlineLvl w:val="9"/>
        <w:rPr>
          <w:rFonts w:hint="eastAsia" w:ascii="宋体" w:hAnsi="宋体" w:eastAsia="宋体" w:cs="宋体"/>
          <w:b/>
          <w:bCs/>
          <w:color w:val="auto"/>
          <w:sz w:val="24"/>
          <w:szCs w:val="24"/>
          <w:highlight w:val="none"/>
          <w:lang w:eastAsia="zh-CN"/>
        </w:rPr>
      </w:pPr>
      <w:bookmarkStart w:id="77" w:name="_Toc480368424"/>
      <w:bookmarkStart w:id="78" w:name="_Toc256000025"/>
      <w:bookmarkStart w:id="79" w:name="_Toc480371721"/>
      <w:bookmarkStart w:id="80" w:name="_Toc468535482"/>
      <w:bookmarkStart w:id="81" w:name="_Toc480368595"/>
      <w:bookmarkStart w:id="82" w:name="_Toc480368653"/>
      <w:r>
        <w:rPr>
          <w:rFonts w:hint="eastAsia" w:ascii="宋体" w:hAnsi="宋体" w:eastAsia="宋体" w:cs="宋体"/>
          <w:b/>
          <w:bCs/>
          <w:color w:val="auto"/>
          <w:sz w:val="24"/>
          <w:szCs w:val="24"/>
          <w:highlight w:val="none"/>
        </w:rPr>
        <w:t>法定代表人资格证明文件</w:t>
      </w:r>
      <w:bookmarkEnd w:id="77"/>
      <w:bookmarkEnd w:id="78"/>
      <w:bookmarkEnd w:id="79"/>
      <w:bookmarkEnd w:id="80"/>
      <w:bookmarkEnd w:id="81"/>
      <w:bookmarkEnd w:id="82"/>
    </w:p>
    <w:p w14:paraId="4C1E580D">
      <w:pPr>
        <w:pStyle w:val="109"/>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（代理机构名称）</w:t>
      </w:r>
      <w:r>
        <w:rPr>
          <w:rFonts w:hint="eastAsia" w:ascii="宋体" w:hAnsi="宋体" w:eastAsia="宋体" w:cs="宋体"/>
          <w:color w:val="auto"/>
          <w:sz w:val="24"/>
          <w:szCs w:val="24"/>
          <w:highlight w:val="none"/>
        </w:rPr>
        <w:t>：</w:t>
      </w:r>
    </w:p>
    <w:p w14:paraId="30B2EFF1">
      <w:pPr>
        <w:pStyle w:val="109"/>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同志为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公司法定代表人，代表我公司办理一切社会公务事宜，具有法律效力。 </w:t>
      </w:r>
    </w:p>
    <w:p w14:paraId="2427978A">
      <w:pPr>
        <w:pStyle w:val="109"/>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附法定代表人基本情况： </w:t>
      </w:r>
    </w:p>
    <w:p w14:paraId="6830EC41">
      <w:pPr>
        <w:pStyle w:val="109"/>
        <w:adjustRightInd w:val="0"/>
        <w:snapToGrid w:val="0"/>
        <w:spacing w:line="5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467401F8">
      <w:pPr>
        <w:pStyle w:val="109"/>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0C11DA3A">
      <w:pPr>
        <w:pStyle w:val="109"/>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r>
        <w:rPr>
          <w:rFonts w:hint="eastAsia" w:ascii="宋体" w:hAnsi="宋体" w:eastAsia="宋体" w:cs="宋体"/>
          <w:color w:val="auto"/>
          <w:sz w:val="24"/>
          <w:szCs w:val="24"/>
          <w:highlight w:val="none"/>
          <w:u w:val="single"/>
        </w:rPr>
        <w:t xml:space="preserve">                       </w:t>
      </w:r>
    </w:p>
    <w:p w14:paraId="05411756">
      <w:pPr>
        <w:pStyle w:val="109"/>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p>
    <w:p w14:paraId="37E6450F">
      <w:pPr>
        <w:pStyle w:val="109"/>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bl>
      <w:tblPr>
        <w:tblStyle w:val="38"/>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28750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noWrap w:val="0"/>
            <w:vAlign w:val="top"/>
          </w:tcPr>
          <w:p w14:paraId="6438BD5C">
            <w:pPr>
              <w:pStyle w:val="109"/>
              <w:keepNext w:val="0"/>
              <w:keepLines w:val="0"/>
              <w:suppressLineNumbers w:val="0"/>
              <w:adjustRightInd w:val="0"/>
              <w:snapToGrid w:val="0"/>
              <w:spacing w:before="0" w:beforeAutospacing="0" w:after="0" w:afterAutospacing="0" w:line="500" w:lineRule="exact"/>
              <w:ind w:left="0" w:right="0"/>
              <w:jc w:val="center"/>
              <w:rPr>
                <w:rFonts w:hint="eastAsia" w:ascii="宋体" w:hAnsi="宋体" w:eastAsia="宋体" w:cs="宋体"/>
                <w:color w:val="auto"/>
                <w:sz w:val="24"/>
                <w:szCs w:val="24"/>
                <w:highlight w:val="none"/>
              </w:rPr>
            </w:pPr>
          </w:p>
          <w:p w14:paraId="7201795A">
            <w:pPr>
              <w:pStyle w:val="109"/>
              <w:keepNext w:val="0"/>
              <w:keepLines w:val="0"/>
              <w:suppressLineNumbers w:val="0"/>
              <w:adjustRightInd w:val="0"/>
              <w:snapToGrid w:val="0"/>
              <w:spacing w:before="0" w:beforeAutospacing="0" w:after="0" w:afterAutospacing="0" w:line="500" w:lineRule="exact"/>
              <w:ind w:left="0" w:right="0"/>
              <w:jc w:val="center"/>
              <w:rPr>
                <w:rFonts w:hint="eastAsia" w:ascii="宋体" w:hAnsi="宋体" w:eastAsia="宋体" w:cs="宋体"/>
                <w:color w:val="auto"/>
                <w:sz w:val="24"/>
                <w:szCs w:val="24"/>
                <w:highlight w:val="none"/>
              </w:rPr>
            </w:pPr>
          </w:p>
          <w:p w14:paraId="62F3ACED">
            <w:pPr>
              <w:pStyle w:val="109"/>
              <w:keepNext w:val="0"/>
              <w:keepLines w:val="0"/>
              <w:suppressLineNumbers w:val="0"/>
              <w:adjustRightInd w:val="0"/>
              <w:snapToGrid w:val="0"/>
              <w:spacing w:before="0" w:beforeAutospacing="0" w:after="0" w:afterAutospacing="0" w:line="5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法定代表人《居民身份证》扫描件</w:t>
            </w:r>
          </w:p>
        </w:tc>
      </w:tr>
    </w:tbl>
    <w:p w14:paraId="5FBDBFBB">
      <w:pPr>
        <w:pStyle w:val="109"/>
        <w:adjustRightInd w:val="0"/>
        <w:snapToGrid w:val="0"/>
        <w:spacing w:line="500" w:lineRule="exact"/>
        <w:rPr>
          <w:rFonts w:hint="eastAsia" w:ascii="宋体" w:hAnsi="宋体" w:eastAsia="宋体" w:cs="宋体"/>
          <w:color w:val="auto"/>
          <w:sz w:val="24"/>
          <w:szCs w:val="24"/>
          <w:highlight w:val="none"/>
        </w:rPr>
      </w:pPr>
    </w:p>
    <w:p w14:paraId="0717CF87">
      <w:pPr>
        <w:pStyle w:val="109"/>
        <w:tabs>
          <w:tab w:val="left" w:pos="750"/>
        </w:tabs>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投标人名称（</w:t>
      </w:r>
      <w:r>
        <w:rPr>
          <w:rFonts w:hint="eastAsia" w:ascii="宋体" w:hAnsi="宋体" w:cs="宋体"/>
          <w:color w:val="auto"/>
          <w:sz w:val="24"/>
          <w:szCs w:val="24"/>
          <w:highlight w:val="none"/>
          <w:lang w:val="en-US" w:eastAsia="zh-CN"/>
        </w:rPr>
        <w:t>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04EFD68A">
      <w:pPr>
        <w:pStyle w:val="109"/>
        <w:tabs>
          <w:tab w:val="left" w:pos="750"/>
        </w:tabs>
        <w:adjustRightInd w:val="0"/>
        <w:snapToGrid w:val="0"/>
        <w:spacing w:line="500" w:lineRule="exact"/>
        <w:rPr>
          <w:rFonts w:hint="eastAsia" w:ascii="宋体" w:hAnsi="宋体" w:eastAsia="宋体" w:cs="宋体"/>
          <w:color w:val="auto"/>
          <w:sz w:val="24"/>
          <w:szCs w:val="24"/>
          <w:highlight w:val="none"/>
        </w:rPr>
      </w:pPr>
    </w:p>
    <w:p w14:paraId="39D7FEC3">
      <w:pPr>
        <w:pStyle w:val="109"/>
        <w:tabs>
          <w:tab w:val="left" w:pos="750"/>
        </w:tabs>
        <w:adjustRightInd w:val="0"/>
        <w:snapToGrid w:val="0"/>
        <w:spacing w:line="5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Style w:val="5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签字或盖章</w:t>
      </w: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u w:val="single"/>
        </w:rPr>
        <w:t xml:space="preserve">           </w:t>
      </w:r>
    </w:p>
    <w:p w14:paraId="1167FAC2">
      <w:pPr>
        <w:pStyle w:val="109"/>
        <w:tabs>
          <w:tab w:val="left" w:pos="750"/>
        </w:tabs>
        <w:adjustRightInd w:val="0"/>
        <w:snapToGrid w:val="0"/>
        <w:spacing w:line="500" w:lineRule="exact"/>
        <w:rPr>
          <w:rFonts w:hint="eastAsia" w:ascii="宋体" w:hAnsi="宋体" w:eastAsia="宋体" w:cs="宋体"/>
          <w:color w:val="auto"/>
          <w:sz w:val="24"/>
          <w:szCs w:val="24"/>
          <w:highlight w:val="none"/>
        </w:rPr>
      </w:pPr>
    </w:p>
    <w:p w14:paraId="74323179">
      <w:pPr>
        <w:pStyle w:val="109"/>
        <w:tabs>
          <w:tab w:val="left" w:pos="750"/>
        </w:tabs>
        <w:adjustRightInd w:val="0"/>
        <w:snapToGrid w:val="0"/>
        <w:spacing w:line="500" w:lineRule="exact"/>
        <w:ind w:firstLine="720" w:firstLineChars="300"/>
        <w:rPr>
          <w:rFonts w:hint="eastAsia" w:ascii="宋体" w:hAnsi="宋体" w:eastAsia="宋体" w:cs="宋体"/>
          <w:color w:val="auto"/>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bookmarkStart w:id="83" w:name="_Toc468535483"/>
    </w:p>
    <w:p w14:paraId="1DD352ED">
      <w:pPr>
        <w:pStyle w:val="108"/>
        <w:outlineLvl w:val="9"/>
        <w:rPr>
          <w:rFonts w:hint="eastAsia" w:ascii="宋体" w:hAnsi="宋体" w:eastAsia="宋体" w:cs="宋体"/>
          <w:b w:val="0"/>
          <w:color w:val="auto"/>
          <w:highlight w:val="none"/>
        </w:rPr>
      </w:pPr>
      <w:r>
        <w:rPr>
          <w:rFonts w:hint="eastAsia" w:ascii="宋体" w:hAnsi="宋体" w:eastAsia="宋体" w:cs="宋体"/>
          <w:b w:val="0"/>
          <w:color w:val="auto"/>
          <w:highlight w:val="none"/>
        </w:rPr>
        <w:t xml:space="preserve"> </w:t>
      </w:r>
      <w:bookmarkStart w:id="84" w:name="_Toc480368425"/>
      <w:bookmarkStart w:id="85" w:name="_Toc480371722"/>
      <w:bookmarkStart w:id="86" w:name="_Toc480368654"/>
      <w:bookmarkStart w:id="87" w:name="_Toc480368596"/>
    </w:p>
    <w:p w14:paraId="30400053">
      <w:pPr>
        <w:pStyle w:val="108"/>
        <w:outlineLvl w:val="9"/>
        <w:rPr>
          <w:rFonts w:hint="eastAsia" w:ascii="宋体" w:hAnsi="宋体" w:eastAsia="宋体" w:cs="宋体"/>
          <w:b/>
          <w:bCs/>
          <w:color w:val="auto"/>
          <w:sz w:val="24"/>
          <w:szCs w:val="24"/>
          <w:highlight w:val="none"/>
        </w:rPr>
      </w:pPr>
      <w:r>
        <w:rPr>
          <w:rFonts w:hint="eastAsia" w:ascii="宋体" w:hAnsi="宋体" w:eastAsia="宋体" w:cs="宋体"/>
          <w:b w:val="0"/>
          <w:color w:val="auto"/>
          <w:highlight w:val="none"/>
        </w:rPr>
        <w:br w:type="page"/>
      </w:r>
      <w:bookmarkStart w:id="88" w:name="_Toc256000027"/>
      <w:r>
        <w:rPr>
          <w:rFonts w:hint="eastAsia" w:ascii="宋体" w:hAnsi="宋体" w:eastAsia="宋体" w:cs="宋体"/>
          <w:b/>
          <w:bCs/>
          <w:color w:val="auto"/>
          <w:sz w:val="24"/>
          <w:szCs w:val="24"/>
          <w:highlight w:val="none"/>
        </w:rPr>
        <w:t>法定代表人授权书</w:t>
      </w:r>
      <w:bookmarkEnd w:id="83"/>
      <w:bookmarkEnd w:id="84"/>
      <w:bookmarkEnd w:id="85"/>
      <w:bookmarkEnd w:id="86"/>
      <w:bookmarkEnd w:id="87"/>
      <w:bookmarkEnd w:id="88"/>
    </w:p>
    <w:p w14:paraId="546D1A75">
      <w:pPr>
        <w:pStyle w:val="109"/>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（代理机构名称）</w:t>
      </w:r>
      <w:r>
        <w:rPr>
          <w:rFonts w:hint="eastAsia" w:ascii="宋体" w:hAnsi="宋体" w:eastAsia="宋体" w:cs="宋体"/>
          <w:color w:val="auto"/>
          <w:sz w:val="24"/>
          <w:szCs w:val="24"/>
          <w:highlight w:val="none"/>
        </w:rPr>
        <w:t>：</w:t>
      </w:r>
    </w:p>
    <w:p w14:paraId="475AF27C">
      <w:pPr>
        <w:pStyle w:val="109"/>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同志为我公司参加贵单位组织的编号为</w:t>
      </w:r>
      <w:r>
        <w:rPr>
          <w:rFonts w:hint="eastAsia" w:ascii="宋体" w:hAnsi="宋体" w:eastAsia="宋体" w:cs="宋体"/>
          <w:color w:val="auto"/>
          <w:sz w:val="24"/>
          <w:szCs w:val="24"/>
          <w:highlight w:val="none"/>
          <w:u w:val="single"/>
        </w:rPr>
        <w:t>（项目编号）</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 目 名 称）</w:t>
      </w:r>
      <w:r>
        <w:rPr>
          <w:rFonts w:hint="eastAsia" w:ascii="宋体" w:hAnsi="宋体" w:eastAsia="宋体" w:cs="宋体"/>
          <w:color w:val="auto"/>
          <w:sz w:val="24"/>
          <w:szCs w:val="24"/>
          <w:highlight w:val="none"/>
        </w:rPr>
        <w:t>采购活动的投标代表人，全权代表我公司处理在该项目采购活动中的一切事宜。代理期限从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日起至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日止。 </w:t>
      </w:r>
    </w:p>
    <w:p w14:paraId="33A637A9">
      <w:pPr>
        <w:pStyle w:val="109"/>
        <w:spacing w:line="500" w:lineRule="exact"/>
        <w:rPr>
          <w:rFonts w:hint="eastAsia" w:ascii="宋体" w:hAnsi="宋体" w:eastAsia="宋体" w:cs="宋体"/>
          <w:color w:val="auto"/>
          <w:sz w:val="24"/>
          <w:szCs w:val="24"/>
          <w:highlight w:val="none"/>
        </w:rPr>
      </w:pPr>
    </w:p>
    <w:p w14:paraId="7BB072CB">
      <w:pPr>
        <w:pStyle w:val="109"/>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cs="宋体"/>
          <w:color w:val="auto"/>
          <w:sz w:val="24"/>
          <w:szCs w:val="24"/>
          <w:highlight w:val="none"/>
          <w:lang w:val="en-US" w:eastAsia="zh-CN"/>
        </w:rPr>
        <w:t>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2D86DFFB">
      <w:pPr>
        <w:pStyle w:val="109"/>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Style w:val="5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签字和盖章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2C4FF84B">
      <w:pPr>
        <w:pStyle w:val="109"/>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签发日期：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3DFB07E">
      <w:pPr>
        <w:pStyle w:val="109"/>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w:t>
      </w:r>
    </w:p>
    <w:p w14:paraId="01BD0A54">
      <w:pPr>
        <w:pStyle w:val="109"/>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代理人工作单位：</w:t>
      </w:r>
      <w:r>
        <w:rPr>
          <w:rFonts w:hint="eastAsia" w:ascii="宋体" w:hAnsi="宋体" w:eastAsia="宋体" w:cs="宋体"/>
          <w:color w:val="auto"/>
          <w:sz w:val="24"/>
          <w:szCs w:val="24"/>
          <w:highlight w:val="none"/>
          <w:u w:val="single"/>
        </w:rPr>
        <w:t xml:space="preserve">                          </w:t>
      </w:r>
    </w:p>
    <w:p w14:paraId="2D4A61CA">
      <w:pPr>
        <w:pStyle w:val="109"/>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p>
    <w:p w14:paraId="5FAEE9DD">
      <w:pPr>
        <w:pStyle w:val="109"/>
        <w:adjustRightInd w:val="0"/>
        <w:snapToGrid w:val="0"/>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753F63C1">
      <w:pPr>
        <w:pStyle w:val="109"/>
        <w:adjustRightInd w:val="0"/>
        <w:snapToGrid w:val="0"/>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授权代理人（签字）：</w:t>
      </w:r>
      <w:r>
        <w:rPr>
          <w:rFonts w:hint="eastAsia" w:ascii="宋体" w:hAnsi="宋体" w:eastAsia="宋体" w:cs="宋体"/>
          <w:color w:val="auto"/>
          <w:sz w:val="24"/>
          <w:szCs w:val="24"/>
          <w:highlight w:val="none"/>
          <w:u w:val="single"/>
        </w:rPr>
        <w:t xml:space="preserve">                        </w:t>
      </w:r>
    </w:p>
    <w:tbl>
      <w:tblPr>
        <w:tblStyle w:val="38"/>
        <w:tblW w:w="7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500"/>
      </w:tblGrid>
      <w:tr w14:paraId="226F9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3" w:hRule="atLeast"/>
          <w:jc w:val="center"/>
        </w:trPr>
        <w:tc>
          <w:tcPr>
            <w:tcW w:w="7500" w:type="dxa"/>
            <w:tcBorders>
              <w:top w:val="single" w:color="000000" w:sz="4" w:space="0"/>
              <w:left w:val="single" w:color="000000" w:sz="4" w:space="0"/>
              <w:bottom w:val="single" w:color="000000" w:sz="4" w:space="0"/>
              <w:right w:val="single" w:color="000000" w:sz="4" w:space="0"/>
            </w:tcBorders>
            <w:noWrap w:val="0"/>
            <w:vAlign w:val="top"/>
          </w:tcPr>
          <w:p w14:paraId="14A12E6B">
            <w:pPr>
              <w:pStyle w:val="221"/>
              <w:keepNext w:val="0"/>
              <w:keepLines w:val="0"/>
              <w:pageBreakBefore w:val="0"/>
              <w:widowControl/>
              <w:suppressLineNumbers w:val="0"/>
              <w:kinsoku/>
              <w:wordWrap/>
              <w:overflowPunct/>
              <w:topLinePunct w:val="0"/>
              <w:bidi w:val="0"/>
              <w:snapToGrid w:val="0"/>
              <w:spacing w:before="0" w:beforeAutospacing="0" w:after="0" w:afterAutospacing="0" w:line="500" w:lineRule="exact"/>
              <w:ind w:left="0" w:right="0"/>
              <w:jc w:val="center"/>
              <w:textAlignment w:val="baseline"/>
              <w:rPr>
                <w:rStyle w:val="5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14:paraId="69570BBB">
            <w:pPr>
              <w:pStyle w:val="221"/>
              <w:keepNext w:val="0"/>
              <w:keepLines w:val="0"/>
              <w:pageBreakBefore w:val="0"/>
              <w:widowControl/>
              <w:suppressLineNumbers w:val="0"/>
              <w:kinsoku/>
              <w:wordWrap/>
              <w:overflowPunct/>
              <w:topLinePunct w:val="0"/>
              <w:bidi w:val="0"/>
              <w:snapToGrid w:val="0"/>
              <w:spacing w:before="0" w:beforeAutospacing="0" w:after="0" w:afterAutospacing="0" w:line="500" w:lineRule="exact"/>
              <w:ind w:left="0" w:right="0"/>
              <w:jc w:val="center"/>
              <w:textAlignment w:val="baseline"/>
              <w:rPr>
                <w:rStyle w:val="5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14:paraId="2A528A58">
            <w:pPr>
              <w:pStyle w:val="221"/>
              <w:keepNext w:val="0"/>
              <w:keepLines w:val="0"/>
              <w:pageBreakBefore w:val="0"/>
              <w:widowControl/>
              <w:suppressLineNumbers w:val="0"/>
              <w:kinsoku/>
              <w:wordWrap/>
              <w:overflowPunct/>
              <w:topLinePunct w:val="0"/>
              <w:bidi w:val="0"/>
              <w:snapToGrid w:val="0"/>
              <w:spacing w:before="0" w:beforeAutospacing="0" w:after="0" w:afterAutospacing="0" w:line="500" w:lineRule="exact"/>
              <w:ind w:left="0" w:right="0"/>
              <w:jc w:val="center"/>
              <w:textAlignment w:val="baseline"/>
              <w:rPr>
                <w:rStyle w:val="5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5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法定代表人《居民身份证》正反面</w:t>
            </w:r>
          </w:p>
        </w:tc>
      </w:tr>
    </w:tbl>
    <w:p w14:paraId="17D5CF1A">
      <w:pPr>
        <w:pStyle w:val="221"/>
        <w:pageBreakBefore w:val="0"/>
        <w:kinsoku/>
        <w:wordWrap/>
        <w:overflowPunct/>
        <w:topLinePunct w:val="0"/>
        <w:bidi w:val="0"/>
        <w:snapToGrid w:val="0"/>
        <w:spacing w:before="0" w:beforeAutospacing="0" w:after="0" w:afterAutospacing="0" w:line="500" w:lineRule="exact"/>
        <w:ind w:left="-88" w:leftChars="-42" w:firstLine="600" w:firstLineChars="250"/>
        <w:jc w:val="both"/>
        <w:textAlignment w:val="baseline"/>
        <w:rPr>
          <w:rStyle w:val="53"/>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lang w:val="en-US" w:eastAsia="zh-CN" w:bidi="ar-SA"/>
        </w:rPr>
      </w:pPr>
    </w:p>
    <w:tbl>
      <w:tblPr>
        <w:tblStyle w:val="38"/>
        <w:tblW w:w="7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500"/>
      </w:tblGrid>
      <w:tr w14:paraId="56DFD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2" w:hRule="atLeast"/>
          <w:jc w:val="center"/>
        </w:trPr>
        <w:tc>
          <w:tcPr>
            <w:tcW w:w="7500" w:type="dxa"/>
            <w:tcBorders>
              <w:top w:val="single" w:color="000000" w:sz="4" w:space="0"/>
              <w:left w:val="single" w:color="000000" w:sz="4" w:space="0"/>
              <w:bottom w:val="single" w:color="000000" w:sz="4" w:space="0"/>
              <w:right w:val="single" w:color="000000" w:sz="4" w:space="0"/>
            </w:tcBorders>
            <w:noWrap w:val="0"/>
            <w:vAlign w:val="center"/>
          </w:tcPr>
          <w:p w14:paraId="27A489D3">
            <w:pPr>
              <w:pStyle w:val="221"/>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jc w:val="center"/>
              <w:textAlignment w:val="baseline"/>
              <w:rPr>
                <w:rStyle w:val="5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5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被授权人《居民身份证》正反面</w:t>
            </w:r>
          </w:p>
        </w:tc>
      </w:tr>
    </w:tbl>
    <w:p w14:paraId="7C3A51AE">
      <w:pPr>
        <w:pStyle w:val="170"/>
        <w:jc w:val="center"/>
        <w:outlineLvl w:val="2"/>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89" w:name="_Toc256000028"/>
      <w:r>
        <w:rPr>
          <w:rFonts w:hint="eastAsia" w:ascii="宋体" w:hAnsi="宋体" w:eastAsia="宋体" w:cs="宋体"/>
          <w:color w:val="auto"/>
          <w:highlight w:val="none"/>
        </w:rPr>
        <w:t>投标保证金</w:t>
      </w:r>
      <w:bookmarkEnd w:id="89"/>
    </w:p>
    <w:p w14:paraId="7FF3E220">
      <w:pPr>
        <w:pStyle w:val="17"/>
        <w:spacing w:line="314" w:lineRule="auto"/>
        <w:ind w:right="516"/>
        <w:rPr>
          <w:rFonts w:hint="eastAsia" w:ascii="宋体" w:hAnsi="宋体" w:eastAsia="宋体" w:cs="宋体"/>
          <w:b/>
          <w:color w:val="auto"/>
          <w:highlight w:val="none"/>
        </w:rPr>
      </w:pPr>
    </w:p>
    <w:p w14:paraId="595BC2BB">
      <w:pPr>
        <w:pStyle w:val="227"/>
        <w:spacing w:line="360" w:lineRule="auto"/>
        <w:rPr>
          <w:rFonts w:hint="eastAsia" w:ascii="宋体" w:hAnsi="宋体" w:eastAsia="宋体" w:cs="宋体"/>
          <w:bCs w:val="0"/>
          <w:color w:val="auto"/>
          <w:sz w:val="24"/>
          <w:szCs w:val="24"/>
          <w:highlight w:val="none"/>
        </w:rPr>
      </w:pPr>
    </w:p>
    <w:p w14:paraId="005988DB">
      <w:pPr>
        <w:keepNext w:val="0"/>
        <w:keepLines w:val="0"/>
        <w:widowControl/>
        <w:suppressLineNumbers w:val="0"/>
        <w:shd w:val="clear" w:color="auto" w:fill="FFFFFF"/>
        <w:spacing w:before="100" w:beforeAutospacing="1" w:after="100" w:afterAutospacing="1" w:line="435" w:lineRule="atLeast"/>
        <w:ind w:right="0"/>
        <w:jc w:val="center"/>
        <w:rPr>
          <w:rFonts w:hint="eastAsia" w:ascii="宋体" w:hAnsi="宋体" w:eastAsia="宋体" w:cs="宋体"/>
          <w:color w:val="auto"/>
          <w:sz w:val="28"/>
          <w:szCs w:val="28"/>
          <w:highlight w:val="none"/>
        </w:rPr>
      </w:pPr>
      <w:r>
        <w:rPr>
          <w:rFonts w:hint="eastAsia" w:ascii="宋体" w:hAnsi="宋体" w:eastAsia="宋体" w:cs="宋体"/>
          <w:color w:val="auto"/>
          <w:highlight w:val="none"/>
        </w:rPr>
        <w:br w:type="page"/>
      </w:r>
      <w:bookmarkStart w:id="90" w:name="_Toc256000032"/>
      <w:bookmarkStart w:id="91" w:name="_Toc468535489"/>
      <w:bookmarkStart w:id="92" w:name="_Toc480368660"/>
      <w:bookmarkStart w:id="93" w:name="_Toc480368602"/>
      <w:bookmarkStart w:id="94" w:name="_Toc480368431"/>
      <w:bookmarkStart w:id="95" w:name="_Toc480371728"/>
      <w:r>
        <w:rPr>
          <w:rFonts w:hint="eastAsia" w:ascii="宋体" w:hAnsi="宋体" w:eastAsia="宋体" w:cs="宋体"/>
          <w:b/>
          <w:bCs/>
          <w:color w:val="auto"/>
          <w:sz w:val="28"/>
          <w:szCs w:val="28"/>
          <w:highlight w:val="none"/>
          <w:lang w:eastAsia="zh-CN"/>
        </w:rPr>
        <w:t>供应商</w:t>
      </w:r>
      <w:r>
        <w:rPr>
          <w:rFonts w:hint="eastAsia" w:ascii="宋体" w:hAnsi="宋体" w:eastAsia="宋体" w:cs="宋体"/>
          <w:b/>
          <w:bCs/>
          <w:color w:val="auto"/>
          <w:sz w:val="28"/>
          <w:szCs w:val="28"/>
          <w:highlight w:val="none"/>
        </w:rPr>
        <w:t>综合情况一览表</w:t>
      </w:r>
    </w:p>
    <w:p w14:paraId="361BA88A">
      <w:pPr>
        <w:pStyle w:val="17"/>
        <w:spacing w:before="6"/>
        <w:rPr>
          <w:rFonts w:hint="eastAsia" w:ascii="宋体" w:hAnsi="宋体" w:eastAsia="宋体" w:cs="宋体"/>
          <w:b/>
          <w:color w:val="auto"/>
          <w:sz w:val="28"/>
          <w:szCs w:val="28"/>
          <w:highlight w:val="none"/>
        </w:rPr>
      </w:pPr>
    </w:p>
    <w:tbl>
      <w:tblPr>
        <w:tblStyle w:val="38"/>
        <w:tblW w:w="881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85"/>
        <w:gridCol w:w="1072"/>
        <w:gridCol w:w="1802"/>
        <w:gridCol w:w="809"/>
        <w:gridCol w:w="441"/>
        <w:gridCol w:w="728"/>
        <w:gridCol w:w="194"/>
        <w:gridCol w:w="343"/>
        <w:gridCol w:w="722"/>
        <w:gridCol w:w="720"/>
      </w:tblGrid>
      <w:tr w14:paraId="572B625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8" w:hRule="atLeast"/>
          <w:jc w:val="center"/>
        </w:trPr>
        <w:tc>
          <w:tcPr>
            <w:tcW w:w="1985" w:type="dxa"/>
            <w:tcBorders>
              <w:bottom w:val="single" w:color="000000" w:sz="6" w:space="0"/>
              <w:right w:val="single" w:color="000000" w:sz="6" w:space="0"/>
            </w:tcBorders>
            <w:noWrap w:val="0"/>
            <w:vAlign w:val="top"/>
          </w:tcPr>
          <w:p w14:paraId="747B6CF6">
            <w:pPr>
              <w:pStyle w:val="192"/>
              <w:keepNext w:val="0"/>
              <w:keepLines w:val="0"/>
              <w:suppressLineNumbers w:val="0"/>
              <w:spacing w:before="153" w:beforeAutospacing="0" w:after="0" w:afterAutospacing="0"/>
              <w:ind w:left="107"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供应商名称</w:t>
            </w:r>
          </w:p>
        </w:tc>
        <w:tc>
          <w:tcPr>
            <w:tcW w:w="6831" w:type="dxa"/>
            <w:gridSpan w:val="9"/>
            <w:tcBorders>
              <w:left w:val="single" w:color="000000" w:sz="6" w:space="0"/>
              <w:bottom w:val="single" w:color="000000" w:sz="6" w:space="0"/>
            </w:tcBorders>
            <w:noWrap w:val="0"/>
            <w:vAlign w:val="top"/>
          </w:tcPr>
          <w:p w14:paraId="2988EB06">
            <w:pPr>
              <w:pStyle w:val="192"/>
              <w:keepNext w:val="0"/>
              <w:keepLines w:val="0"/>
              <w:suppressLineNumbers w:val="0"/>
              <w:spacing w:before="153" w:beforeAutospacing="0" w:after="0" w:afterAutospacing="0"/>
              <w:ind w:left="115" w:right="0"/>
              <w:rPr>
                <w:rFonts w:hint="eastAsia" w:ascii="宋体" w:hAnsi="宋体" w:eastAsia="宋体" w:cs="宋体"/>
                <w:color w:val="auto"/>
                <w:sz w:val="21"/>
                <w:szCs w:val="21"/>
                <w:highlight w:val="none"/>
              </w:rPr>
            </w:pPr>
          </w:p>
        </w:tc>
      </w:tr>
      <w:tr w14:paraId="3317323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42" w:hRule="atLeast"/>
          <w:jc w:val="center"/>
        </w:trPr>
        <w:tc>
          <w:tcPr>
            <w:tcW w:w="1985" w:type="dxa"/>
            <w:tcBorders>
              <w:top w:val="single" w:color="000000" w:sz="6" w:space="0"/>
              <w:bottom w:val="single" w:color="000000" w:sz="6" w:space="0"/>
              <w:right w:val="single" w:color="000000" w:sz="6" w:space="0"/>
            </w:tcBorders>
            <w:noWrap w:val="0"/>
            <w:vAlign w:val="top"/>
          </w:tcPr>
          <w:p w14:paraId="2B36864A">
            <w:pPr>
              <w:pStyle w:val="192"/>
              <w:keepNext w:val="0"/>
              <w:keepLines w:val="0"/>
              <w:suppressLineNumbers w:val="0"/>
              <w:spacing w:before="148" w:beforeAutospacing="0" w:after="0" w:afterAutospacing="0"/>
              <w:ind w:left="107" w:right="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统一信用代码号</w:t>
            </w:r>
          </w:p>
        </w:tc>
        <w:tc>
          <w:tcPr>
            <w:tcW w:w="3683" w:type="dxa"/>
            <w:gridSpan w:val="3"/>
            <w:tcBorders>
              <w:top w:val="single" w:color="000000" w:sz="6" w:space="0"/>
              <w:left w:val="single" w:color="000000" w:sz="6" w:space="0"/>
              <w:bottom w:val="single" w:color="000000" w:sz="6" w:space="0"/>
              <w:right w:val="single" w:color="000000" w:sz="6" w:space="0"/>
            </w:tcBorders>
            <w:noWrap w:val="0"/>
            <w:vAlign w:val="top"/>
          </w:tcPr>
          <w:p w14:paraId="7DE474E1">
            <w:pPr>
              <w:pStyle w:val="192"/>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363" w:type="dxa"/>
            <w:gridSpan w:val="3"/>
            <w:tcBorders>
              <w:top w:val="single" w:color="000000" w:sz="6" w:space="0"/>
              <w:left w:val="single" w:color="000000" w:sz="6" w:space="0"/>
              <w:bottom w:val="single" w:color="000000" w:sz="6" w:space="0"/>
              <w:right w:val="single" w:color="000000" w:sz="6" w:space="0"/>
            </w:tcBorders>
            <w:noWrap w:val="0"/>
            <w:vAlign w:val="top"/>
          </w:tcPr>
          <w:p w14:paraId="5180DBE3">
            <w:pPr>
              <w:pStyle w:val="192"/>
              <w:keepNext w:val="0"/>
              <w:keepLines w:val="0"/>
              <w:suppressLineNumbers w:val="0"/>
              <w:spacing w:before="148" w:beforeAutospacing="0" w:after="0" w:afterAutospacing="0"/>
              <w:ind w:left="119" w:right="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注册资</w:t>
            </w:r>
            <w:r>
              <w:rPr>
                <w:rFonts w:hint="eastAsia" w:ascii="宋体" w:hAnsi="宋体" w:eastAsia="宋体" w:cs="宋体"/>
                <w:color w:val="auto"/>
                <w:sz w:val="21"/>
                <w:szCs w:val="21"/>
                <w:highlight w:val="none"/>
                <w:lang w:val="en-US" w:eastAsia="zh-CN"/>
              </w:rPr>
              <w:t>本</w:t>
            </w:r>
          </w:p>
        </w:tc>
        <w:tc>
          <w:tcPr>
            <w:tcW w:w="1785" w:type="dxa"/>
            <w:gridSpan w:val="3"/>
            <w:tcBorders>
              <w:top w:val="single" w:color="000000" w:sz="6" w:space="0"/>
              <w:left w:val="single" w:color="000000" w:sz="6" w:space="0"/>
              <w:bottom w:val="single" w:color="000000" w:sz="6" w:space="0"/>
            </w:tcBorders>
            <w:noWrap w:val="0"/>
            <w:vAlign w:val="top"/>
          </w:tcPr>
          <w:p w14:paraId="14B78FA7">
            <w:pPr>
              <w:pStyle w:val="192"/>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14:paraId="63D3748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noWrap w:val="0"/>
            <w:vAlign w:val="top"/>
          </w:tcPr>
          <w:p w14:paraId="332F65DB">
            <w:pPr>
              <w:pStyle w:val="192"/>
              <w:keepNext w:val="0"/>
              <w:keepLines w:val="0"/>
              <w:suppressLineNumbers w:val="0"/>
              <w:spacing w:before="148" w:beforeAutospacing="0" w:after="0" w:afterAutospacing="0"/>
              <w:ind w:left="107"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注册地址</w:t>
            </w:r>
          </w:p>
        </w:tc>
        <w:tc>
          <w:tcPr>
            <w:tcW w:w="3683" w:type="dxa"/>
            <w:gridSpan w:val="3"/>
            <w:tcBorders>
              <w:top w:val="single" w:color="000000" w:sz="6" w:space="0"/>
              <w:left w:val="single" w:color="000000" w:sz="6" w:space="0"/>
              <w:bottom w:val="single" w:color="000000" w:sz="6" w:space="0"/>
              <w:right w:val="single" w:color="000000" w:sz="6" w:space="0"/>
            </w:tcBorders>
            <w:noWrap w:val="0"/>
            <w:vAlign w:val="top"/>
          </w:tcPr>
          <w:p w14:paraId="61A52D3D">
            <w:pPr>
              <w:pStyle w:val="192"/>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363" w:type="dxa"/>
            <w:gridSpan w:val="3"/>
            <w:tcBorders>
              <w:top w:val="single" w:color="000000" w:sz="6" w:space="0"/>
              <w:left w:val="single" w:color="000000" w:sz="6" w:space="0"/>
              <w:bottom w:val="single" w:color="000000" w:sz="6" w:space="0"/>
              <w:right w:val="single" w:color="000000" w:sz="6" w:space="0"/>
            </w:tcBorders>
            <w:noWrap w:val="0"/>
            <w:vAlign w:val="top"/>
          </w:tcPr>
          <w:p w14:paraId="6E76AD4C">
            <w:pPr>
              <w:pStyle w:val="192"/>
              <w:keepNext w:val="0"/>
              <w:keepLines w:val="0"/>
              <w:suppressLineNumbers w:val="0"/>
              <w:spacing w:before="148" w:beforeAutospacing="0" w:after="0" w:afterAutospacing="0"/>
              <w:ind w:left="119"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1785" w:type="dxa"/>
            <w:gridSpan w:val="3"/>
            <w:tcBorders>
              <w:top w:val="single" w:color="000000" w:sz="6" w:space="0"/>
              <w:left w:val="single" w:color="000000" w:sz="6" w:space="0"/>
              <w:bottom w:val="single" w:color="000000" w:sz="6" w:space="0"/>
            </w:tcBorders>
            <w:noWrap w:val="0"/>
            <w:vAlign w:val="top"/>
          </w:tcPr>
          <w:p w14:paraId="28F20FF9">
            <w:pPr>
              <w:pStyle w:val="192"/>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14:paraId="447250D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vMerge w:val="restart"/>
            <w:tcBorders>
              <w:top w:val="single" w:color="000000" w:sz="6" w:space="0"/>
              <w:bottom w:val="single" w:color="000000" w:sz="6" w:space="0"/>
              <w:right w:val="single" w:color="000000" w:sz="6" w:space="0"/>
            </w:tcBorders>
            <w:noWrap w:val="0"/>
            <w:vAlign w:val="top"/>
          </w:tcPr>
          <w:p w14:paraId="57EE383E">
            <w:pPr>
              <w:pStyle w:val="192"/>
              <w:keepNext w:val="0"/>
              <w:keepLines w:val="0"/>
              <w:suppressLineNumbers w:val="0"/>
              <w:spacing w:before="10" w:beforeAutospacing="0" w:after="0" w:afterAutospacing="0"/>
              <w:ind w:left="0" w:right="0"/>
              <w:rPr>
                <w:rFonts w:hint="eastAsia" w:ascii="宋体" w:hAnsi="宋体" w:eastAsia="宋体" w:cs="宋体"/>
                <w:b/>
                <w:color w:val="auto"/>
                <w:sz w:val="21"/>
                <w:szCs w:val="21"/>
                <w:highlight w:val="none"/>
              </w:rPr>
            </w:pPr>
          </w:p>
          <w:p w14:paraId="19EBA630">
            <w:pPr>
              <w:pStyle w:val="192"/>
              <w:keepNext w:val="0"/>
              <w:keepLines w:val="0"/>
              <w:suppressLineNumbers w:val="0"/>
              <w:spacing w:before="0" w:beforeAutospacing="0" w:after="0" w:afterAutospacing="0"/>
              <w:ind w:left="107"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w:t>
            </w:r>
          </w:p>
        </w:tc>
        <w:tc>
          <w:tcPr>
            <w:tcW w:w="1072" w:type="dxa"/>
            <w:tcBorders>
              <w:top w:val="single" w:color="000000" w:sz="6" w:space="0"/>
              <w:left w:val="single" w:color="000000" w:sz="6" w:space="0"/>
              <w:bottom w:val="single" w:color="000000" w:sz="6" w:space="0"/>
              <w:right w:val="single" w:color="000000" w:sz="6" w:space="0"/>
            </w:tcBorders>
            <w:noWrap w:val="0"/>
            <w:vAlign w:val="top"/>
          </w:tcPr>
          <w:p w14:paraId="05F6FDF2">
            <w:pPr>
              <w:pStyle w:val="192"/>
              <w:keepNext w:val="0"/>
              <w:keepLines w:val="0"/>
              <w:suppressLineNumbers w:val="0"/>
              <w:spacing w:before="143" w:beforeAutospacing="0" w:after="0" w:afterAutospacing="0"/>
              <w:ind w:left="115"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tc>
        <w:tc>
          <w:tcPr>
            <w:tcW w:w="2611" w:type="dxa"/>
            <w:gridSpan w:val="2"/>
            <w:tcBorders>
              <w:top w:val="single" w:color="000000" w:sz="6" w:space="0"/>
              <w:left w:val="single" w:color="000000" w:sz="6" w:space="0"/>
              <w:bottom w:val="single" w:color="000000" w:sz="6" w:space="0"/>
              <w:right w:val="single" w:color="000000" w:sz="6" w:space="0"/>
            </w:tcBorders>
            <w:noWrap w:val="0"/>
            <w:vAlign w:val="top"/>
          </w:tcPr>
          <w:p w14:paraId="0D301092">
            <w:pPr>
              <w:pStyle w:val="192"/>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363" w:type="dxa"/>
            <w:gridSpan w:val="3"/>
            <w:tcBorders>
              <w:top w:val="single" w:color="000000" w:sz="6" w:space="0"/>
              <w:left w:val="single" w:color="000000" w:sz="6" w:space="0"/>
              <w:bottom w:val="single" w:color="000000" w:sz="6" w:space="0"/>
              <w:right w:val="single" w:color="000000" w:sz="6" w:space="0"/>
            </w:tcBorders>
            <w:noWrap w:val="0"/>
            <w:vAlign w:val="top"/>
          </w:tcPr>
          <w:p w14:paraId="7CC6FC7E">
            <w:pPr>
              <w:pStyle w:val="192"/>
              <w:keepNext w:val="0"/>
              <w:keepLines w:val="0"/>
              <w:suppressLineNumbers w:val="0"/>
              <w:spacing w:before="143" w:beforeAutospacing="0" w:after="0" w:afterAutospacing="0"/>
              <w:ind w:left="119"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1785" w:type="dxa"/>
            <w:gridSpan w:val="3"/>
            <w:tcBorders>
              <w:top w:val="single" w:color="000000" w:sz="6" w:space="0"/>
              <w:left w:val="single" w:color="000000" w:sz="6" w:space="0"/>
              <w:bottom w:val="single" w:color="000000" w:sz="6" w:space="0"/>
            </w:tcBorders>
            <w:noWrap w:val="0"/>
            <w:vAlign w:val="top"/>
          </w:tcPr>
          <w:p w14:paraId="12DD6759">
            <w:pPr>
              <w:pStyle w:val="192"/>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14:paraId="1DFC151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1985" w:type="dxa"/>
            <w:vMerge w:val="continue"/>
            <w:tcBorders>
              <w:top w:val="nil"/>
              <w:bottom w:val="single" w:color="000000" w:sz="6" w:space="0"/>
              <w:right w:val="single" w:color="000000" w:sz="6" w:space="0"/>
            </w:tcBorders>
            <w:noWrap w:val="0"/>
            <w:vAlign w:val="top"/>
          </w:tcPr>
          <w:p w14:paraId="0EC1664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072" w:type="dxa"/>
            <w:tcBorders>
              <w:top w:val="single" w:color="000000" w:sz="6" w:space="0"/>
              <w:left w:val="single" w:color="000000" w:sz="6" w:space="0"/>
              <w:bottom w:val="single" w:color="000000" w:sz="6" w:space="0"/>
              <w:right w:val="single" w:color="000000" w:sz="6" w:space="0"/>
            </w:tcBorders>
            <w:noWrap w:val="0"/>
            <w:vAlign w:val="top"/>
          </w:tcPr>
          <w:p w14:paraId="1232C804">
            <w:pPr>
              <w:pStyle w:val="192"/>
              <w:keepNext w:val="0"/>
              <w:keepLines w:val="0"/>
              <w:suppressLineNumbers w:val="0"/>
              <w:spacing w:before="151" w:beforeAutospacing="0" w:after="0" w:afterAutospacing="0"/>
              <w:ind w:left="115"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c>
          <w:tcPr>
            <w:tcW w:w="2611" w:type="dxa"/>
            <w:gridSpan w:val="2"/>
            <w:tcBorders>
              <w:top w:val="single" w:color="000000" w:sz="6" w:space="0"/>
              <w:left w:val="single" w:color="000000" w:sz="6" w:space="0"/>
              <w:bottom w:val="single" w:color="000000" w:sz="6" w:space="0"/>
              <w:right w:val="single" w:color="000000" w:sz="6" w:space="0"/>
            </w:tcBorders>
            <w:noWrap w:val="0"/>
            <w:vAlign w:val="top"/>
          </w:tcPr>
          <w:p w14:paraId="571D6E61">
            <w:pPr>
              <w:pStyle w:val="192"/>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363" w:type="dxa"/>
            <w:gridSpan w:val="3"/>
            <w:tcBorders>
              <w:top w:val="single" w:color="000000" w:sz="6" w:space="0"/>
              <w:left w:val="single" w:color="000000" w:sz="6" w:space="0"/>
              <w:bottom w:val="single" w:color="000000" w:sz="6" w:space="0"/>
              <w:right w:val="single" w:color="000000" w:sz="6" w:space="0"/>
            </w:tcBorders>
            <w:noWrap w:val="0"/>
            <w:vAlign w:val="top"/>
          </w:tcPr>
          <w:p w14:paraId="6C07A2BE">
            <w:pPr>
              <w:pStyle w:val="192"/>
              <w:keepNext w:val="0"/>
              <w:keepLines w:val="0"/>
              <w:suppressLineNumbers w:val="0"/>
              <w:spacing w:before="151" w:beforeAutospacing="0" w:after="0" w:afterAutospacing="0"/>
              <w:ind w:left="119"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邮箱</w:t>
            </w:r>
          </w:p>
        </w:tc>
        <w:tc>
          <w:tcPr>
            <w:tcW w:w="1785" w:type="dxa"/>
            <w:gridSpan w:val="3"/>
            <w:tcBorders>
              <w:top w:val="single" w:color="000000" w:sz="6" w:space="0"/>
              <w:left w:val="single" w:color="000000" w:sz="6" w:space="0"/>
              <w:bottom w:val="single" w:color="000000" w:sz="6" w:space="0"/>
            </w:tcBorders>
            <w:noWrap w:val="0"/>
            <w:vAlign w:val="top"/>
          </w:tcPr>
          <w:p w14:paraId="510128D0">
            <w:pPr>
              <w:pStyle w:val="192"/>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14:paraId="315B3DA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noWrap w:val="0"/>
            <w:vAlign w:val="top"/>
          </w:tcPr>
          <w:p w14:paraId="24FF0A2A">
            <w:pPr>
              <w:pStyle w:val="192"/>
              <w:keepNext w:val="0"/>
              <w:keepLines w:val="0"/>
              <w:suppressLineNumbers w:val="0"/>
              <w:spacing w:before="151" w:beforeAutospacing="0" w:after="0" w:afterAutospacing="0"/>
              <w:ind w:left="107" w:right="-44"/>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隶属情况</w:t>
            </w:r>
            <w:r>
              <w:rPr>
                <w:rFonts w:hint="eastAsia" w:ascii="宋体" w:hAnsi="宋体" w:eastAsia="宋体" w:cs="宋体"/>
                <w:color w:val="auto"/>
                <w:sz w:val="21"/>
                <w:szCs w:val="21"/>
                <w:highlight w:val="none"/>
              </w:rPr>
              <w:t>（如有）</w:t>
            </w:r>
          </w:p>
        </w:tc>
        <w:tc>
          <w:tcPr>
            <w:tcW w:w="6831" w:type="dxa"/>
            <w:gridSpan w:val="9"/>
            <w:tcBorders>
              <w:top w:val="single" w:color="000000" w:sz="6" w:space="0"/>
              <w:left w:val="single" w:color="000000" w:sz="6" w:space="0"/>
              <w:bottom w:val="single" w:color="000000" w:sz="6" w:space="0"/>
            </w:tcBorders>
            <w:noWrap w:val="0"/>
            <w:vAlign w:val="top"/>
          </w:tcPr>
          <w:p w14:paraId="78C9E3E1">
            <w:pPr>
              <w:pStyle w:val="192"/>
              <w:keepNext w:val="0"/>
              <w:keepLines w:val="0"/>
              <w:suppressLineNumbers w:val="0"/>
              <w:spacing w:before="151" w:beforeAutospacing="0" w:after="0" w:afterAutospacing="0"/>
              <w:ind w:left="115"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阐明隶属及组织机构情况</w:t>
            </w:r>
          </w:p>
        </w:tc>
      </w:tr>
      <w:tr w14:paraId="64C3851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noWrap w:val="0"/>
            <w:vAlign w:val="top"/>
          </w:tcPr>
          <w:p w14:paraId="76F0AAAF">
            <w:pPr>
              <w:pStyle w:val="192"/>
              <w:keepNext w:val="0"/>
              <w:keepLines w:val="0"/>
              <w:suppressLineNumbers w:val="0"/>
              <w:spacing w:before="151" w:beforeAutospacing="0" w:after="0" w:afterAutospacing="0"/>
              <w:ind w:left="107" w:right="-44"/>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控股情况</w:t>
            </w:r>
            <w:r>
              <w:rPr>
                <w:rFonts w:hint="eastAsia" w:ascii="宋体" w:hAnsi="宋体" w:eastAsia="宋体" w:cs="宋体"/>
                <w:color w:val="auto"/>
                <w:sz w:val="21"/>
                <w:szCs w:val="21"/>
                <w:highlight w:val="none"/>
              </w:rPr>
              <w:t>（如有）</w:t>
            </w:r>
          </w:p>
        </w:tc>
        <w:tc>
          <w:tcPr>
            <w:tcW w:w="6831" w:type="dxa"/>
            <w:gridSpan w:val="9"/>
            <w:tcBorders>
              <w:top w:val="single" w:color="000000" w:sz="6" w:space="0"/>
              <w:left w:val="single" w:color="000000" w:sz="6" w:space="0"/>
              <w:bottom w:val="single" w:color="000000" w:sz="6" w:space="0"/>
            </w:tcBorders>
            <w:noWrap w:val="0"/>
            <w:vAlign w:val="top"/>
          </w:tcPr>
          <w:p w14:paraId="2D4F640F">
            <w:pPr>
              <w:pStyle w:val="192"/>
              <w:keepNext w:val="0"/>
              <w:keepLines w:val="0"/>
              <w:suppressLineNumbers w:val="0"/>
              <w:spacing w:before="151" w:beforeAutospacing="0" w:after="0" w:afterAutospacing="0"/>
              <w:ind w:left="115"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阐明控股和被控股情况</w:t>
            </w:r>
          </w:p>
        </w:tc>
      </w:tr>
      <w:tr w14:paraId="31092BB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4" w:hRule="atLeast"/>
          <w:jc w:val="center"/>
        </w:trPr>
        <w:tc>
          <w:tcPr>
            <w:tcW w:w="1985" w:type="dxa"/>
            <w:tcBorders>
              <w:top w:val="single" w:color="000000" w:sz="6" w:space="0"/>
              <w:bottom w:val="single" w:color="000000" w:sz="6" w:space="0"/>
              <w:right w:val="single" w:color="000000" w:sz="6" w:space="0"/>
            </w:tcBorders>
            <w:noWrap w:val="0"/>
            <w:vAlign w:val="top"/>
          </w:tcPr>
          <w:p w14:paraId="7D948A9D">
            <w:pPr>
              <w:pStyle w:val="192"/>
              <w:keepNext w:val="0"/>
              <w:keepLines w:val="0"/>
              <w:suppressLineNumbers w:val="0"/>
              <w:spacing w:before="141" w:beforeAutospacing="0" w:after="0" w:afterAutospacing="0"/>
              <w:ind w:left="107"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组织结构</w:t>
            </w:r>
          </w:p>
        </w:tc>
        <w:tc>
          <w:tcPr>
            <w:tcW w:w="6831" w:type="dxa"/>
            <w:gridSpan w:val="9"/>
            <w:tcBorders>
              <w:top w:val="single" w:color="000000" w:sz="6" w:space="0"/>
              <w:left w:val="single" w:color="000000" w:sz="6" w:space="0"/>
              <w:bottom w:val="single" w:color="000000" w:sz="6" w:space="0"/>
            </w:tcBorders>
            <w:noWrap w:val="0"/>
            <w:vAlign w:val="top"/>
          </w:tcPr>
          <w:p w14:paraId="44C0EEA1">
            <w:pPr>
              <w:pStyle w:val="192"/>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14:paraId="1134D99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703" w:hRule="atLeast"/>
          <w:jc w:val="center"/>
        </w:trPr>
        <w:tc>
          <w:tcPr>
            <w:tcW w:w="1985" w:type="dxa"/>
            <w:tcBorders>
              <w:top w:val="single" w:color="000000" w:sz="6" w:space="0"/>
              <w:bottom w:val="single" w:color="000000" w:sz="6" w:space="0"/>
              <w:right w:val="single" w:color="000000" w:sz="6" w:space="0"/>
            </w:tcBorders>
            <w:noWrap w:val="0"/>
            <w:vAlign w:val="top"/>
          </w:tcPr>
          <w:p w14:paraId="666F27AD">
            <w:pPr>
              <w:pStyle w:val="192"/>
              <w:keepNext w:val="0"/>
              <w:keepLines w:val="0"/>
              <w:suppressLineNumbers w:val="0"/>
              <w:spacing w:before="155" w:beforeAutospacing="0" w:after="0" w:afterAutospacing="0"/>
              <w:ind w:left="107"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简介</w:t>
            </w:r>
          </w:p>
        </w:tc>
        <w:tc>
          <w:tcPr>
            <w:tcW w:w="6831" w:type="dxa"/>
            <w:gridSpan w:val="9"/>
            <w:tcBorders>
              <w:top w:val="single" w:color="000000" w:sz="6" w:space="0"/>
              <w:left w:val="single" w:color="000000" w:sz="6" w:space="0"/>
              <w:bottom w:val="single" w:color="000000" w:sz="6" w:space="0"/>
            </w:tcBorders>
            <w:noWrap w:val="0"/>
            <w:vAlign w:val="top"/>
          </w:tcPr>
          <w:p w14:paraId="51B8D012">
            <w:pPr>
              <w:pStyle w:val="192"/>
              <w:keepNext w:val="0"/>
              <w:keepLines w:val="0"/>
              <w:suppressLineNumbers w:val="0"/>
              <w:spacing w:before="0" w:beforeAutospacing="0" w:after="0" w:afterAutospacing="0" w:line="307" w:lineRule="exact"/>
              <w:ind w:left="115" w:right="-58"/>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包括但不限于：企业经营范围、发展历程、经营业绩、获奖情况、</w:t>
            </w:r>
            <w:r>
              <w:rPr>
                <w:rFonts w:hint="eastAsia" w:ascii="宋体" w:hAnsi="宋体" w:eastAsia="宋体" w:cs="宋体"/>
                <w:color w:val="auto"/>
                <w:sz w:val="21"/>
                <w:szCs w:val="21"/>
                <w:highlight w:val="none"/>
              </w:rPr>
              <w:t>财务状况、人力资源等。（可另附页）</w:t>
            </w:r>
          </w:p>
        </w:tc>
      </w:tr>
      <w:tr w14:paraId="42EA437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tcBorders>
              <w:top w:val="single" w:color="000000" w:sz="6" w:space="0"/>
              <w:bottom w:val="single" w:color="000000" w:sz="6" w:space="0"/>
              <w:right w:val="single" w:color="000000" w:sz="6" w:space="0"/>
            </w:tcBorders>
            <w:noWrap w:val="0"/>
            <w:vAlign w:val="top"/>
          </w:tcPr>
          <w:p w14:paraId="6745D243">
            <w:pPr>
              <w:pStyle w:val="192"/>
              <w:keepNext w:val="0"/>
              <w:keepLines w:val="0"/>
              <w:suppressLineNumbers w:val="0"/>
              <w:spacing w:before="144" w:beforeAutospacing="0" w:after="0" w:afterAutospacing="0"/>
              <w:ind w:left="107"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1072" w:type="dxa"/>
            <w:tcBorders>
              <w:top w:val="single" w:color="000000" w:sz="6" w:space="0"/>
              <w:left w:val="single" w:color="000000" w:sz="6" w:space="0"/>
              <w:bottom w:val="single" w:color="000000" w:sz="6" w:space="0"/>
              <w:right w:val="single" w:color="000000" w:sz="6" w:space="0"/>
            </w:tcBorders>
            <w:noWrap w:val="0"/>
            <w:vAlign w:val="top"/>
          </w:tcPr>
          <w:p w14:paraId="4D788779">
            <w:pPr>
              <w:pStyle w:val="192"/>
              <w:keepNext w:val="0"/>
              <w:keepLines w:val="0"/>
              <w:suppressLineNumbers w:val="0"/>
              <w:spacing w:before="144" w:beforeAutospacing="0" w:after="0" w:afterAutospacing="0"/>
              <w:ind w:left="115"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802" w:type="dxa"/>
            <w:tcBorders>
              <w:top w:val="single" w:color="000000" w:sz="6" w:space="0"/>
              <w:left w:val="single" w:color="000000" w:sz="6" w:space="0"/>
              <w:bottom w:val="single" w:color="000000" w:sz="6" w:space="0"/>
              <w:right w:val="single" w:color="000000" w:sz="6" w:space="0"/>
            </w:tcBorders>
            <w:noWrap w:val="0"/>
            <w:vAlign w:val="top"/>
          </w:tcPr>
          <w:p w14:paraId="53DA2E73">
            <w:pPr>
              <w:pStyle w:val="192"/>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250" w:type="dxa"/>
            <w:gridSpan w:val="2"/>
            <w:tcBorders>
              <w:top w:val="single" w:color="000000" w:sz="6" w:space="0"/>
              <w:left w:val="single" w:color="000000" w:sz="6" w:space="0"/>
              <w:bottom w:val="single" w:color="000000" w:sz="6" w:space="0"/>
              <w:right w:val="single" w:color="000000" w:sz="6" w:space="0"/>
            </w:tcBorders>
            <w:noWrap w:val="0"/>
            <w:vAlign w:val="top"/>
          </w:tcPr>
          <w:p w14:paraId="271FBCAD">
            <w:pPr>
              <w:pStyle w:val="192"/>
              <w:keepNext w:val="0"/>
              <w:keepLines w:val="0"/>
              <w:suppressLineNumbers w:val="0"/>
              <w:spacing w:before="144" w:beforeAutospacing="0" w:after="0" w:afterAutospacing="0"/>
              <w:ind w:left="116"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技术职称</w:t>
            </w:r>
          </w:p>
        </w:tc>
        <w:tc>
          <w:tcPr>
            <w:tcW w:w="1265" w:type="dxa"/>
            <w:gridSpan w:val="3"/>
            <w:tcBorders>
              <w:top w:val="single" w:color="000000" w:sz="6" w:space="0"/>
              <w:left w:val="single" w:color="000000" w:sz="6" w:space="0"/>
              <w:bottom w:val="single" w:color="000000" w:sz="6" w:space="0"/>
              <w:right w:val="single" w:color="000000" w:sz="6" w:space="0"/>
            </w:tcBorders>
            <w:noWrap w:val="0"/>
            <w:vAlign w:val="top"/>
          </w:tcPr>
          <w:p w14:paraId="1F48010A">
            <w:pPr>
              <w:pStyle w:val="192"/>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722" w:type="dxa"/>
            <w:tcBorders>
              <w:top w:val="single" w:color="000000" w:sz="6" w:space="0"/>
              <w:left w:val="single" w:color="000000" w:sz="6" w:space="0"/>
              <w:bottom w:val="single" w:color="000000" w:sz="6" w:space="0"/>
              <w:right w:val="single" w:color="000000" w:sz="6" w:space="0"/>
            </w:tcBorders>
            <w:noWrap w:val="0"/>
            <w:vAlign w:val="top"/>
          </w:tcPr>
          <w:p w14:paraId="4595A517">
            <w:pPr>
              <w:pStyle w:val="192"/>
              <w:keepNext w:val="0"/>
              <w:keepLines w:val="0"/>
              <w:suppressLineNumbers w:val="0"/>
              <w:spacing w:before="144" w:beforeAutospacing="0" w:after="0" w:afterAutospacing="0"/>
              <w:ind w:left="0" w:right="104"/>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720" w:type="dxa"/>
            <w:tcBorders>
              <w:top w:val="single" w:color="000000" w:sz="6" w:space="0"/>
              <w:left w:val="single" w:color="000000" w:sz="6" w:space="0"/>
              <w:bottom w:val="single" w:color="000000" w:sz="6" w:space="0"/>
            </w:tcBorders>
            <w:noWrap w:val="0"/>
            <w:vAlign w:val="top"/>
          </w:tcPr>
          <w:p w14:paraId="7F322DD0">
            <w:pPr>
              <w:pStyle w:val="192"/>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14:paraId="561CF0A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jc w:val="center"/>
        </w:trPr>
        <w:tc>
          <w:tcPr>
            <w:tcW w:w="1985" w:type="dxa"/>
            <w:tcBorders>
              <w:top w:val="single" w:color="000000" w:sz="6" w:space="0"/>
              <w:bottom w:val="single" w:color="000000" w:sz="6" w:space="0"/>
              <w:right w:val="single" w:color="000000" w:sz="6" w:space="0"/>
            </w:tcBorders>
            <w:noWrap w:val="0"/>
            <w:vAlign w:val="top"/>
          </w:tcPr>
          <w:p w14:paraId="0C1506B2">
            <w:pPr>
              <w:pStyle w:val="192"/>
              <w:keepNext w:val="0"/>
              <w:keepLines w:val="0"/>
              <w:suppressLineNumbers w:val="0"/>
              <w:spacing w:before="158" w:beforeAutospacing="0" w:after="0" w:afterAutospacing="0"/>
              <w:ind w:left="107"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负责人</w:t>
            </w:r>
          </w:p>
        </w:tc>
        <w:tc>
          <w:tcPr>
            <w:tcW w:w="1072" w:type="dxa"/>
            <w:tcBorders>
              <w:top w:val="single" w:color="000000" w:sz="6" w:space="0"/>
              <w:left w:val="single" w:color="000000" w:sz="6" w:space="0"/>
              <w:bottom w:val="single" w:color="000000" w:sz="6" w:space="0"/>
              <w:right w:val="single" w:color="000000" w:sz="6" w:space="0"/>
            </w:tcBorders>
            <w:noWrap w:val="0"/>
            <w:vAlign w:val="top"/>
          </w:tcPr>
          <w:p w14:paraId="0AEA4FE4">
            <w:pPr>
              <w:pStyle w:val="192"/>
              <w:keepNext w:val="0"/>
              <w:keepLines w:val="0"/>
              <w:suppressLineNumbers w:val="0"/>
              <w:spacing w:before="158" w:beforeAutospacing="0" w:after="0" w:afterAutospacing="0"/>
              <w:ind w:left="115"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802" w:type="dxa"/>
            <w:tcBorders>
              <w:top w:val="single" w:color="000000" w:sz="6" w:space="0"/>
              <w:left w:val="single" w:color="000000" w:sz="6" w:space="0"/>
              <w:bottom w:val="single" w:color="000000" w:sz="6" w:space="0"/>
              <w:right w:val="single" w:color="000000" w:sz="6" w:space="0"/>
            </w:tcBorders>
            <w:noWrap w:val="0"/>
            <w:vAlign w:val="top"/>
          </w:tcPr>
          <w:p w14:paraId="6E91DD97">
            <w:pPr>
              <w:pStyle w:val="192"/>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250" w:type="dxa"/>
            <w:gridSpan w:val="2"/>
            <w:tcBorders>
              <w:top w:val="single" w:color="000000" w:sz="6" w:space="0"/>
              <w:left w:val="single" w:color="000000" w:sz="6" w:space="0"/>
              <w:bottom w:val="single" w:color="000000" w:sz="6" w:space="0"/>
              <w:right w:val="single" w:color="000000" w:sz="6" w:space="0"/>
            </w:tcBorders>
            <w:noWrap w:val="0"/>
            <w:vAlign w:val="top"/>
          </w:tcPr>
          <w:p w14:paraId="32284BC1">
            <w:pPr>
              <w:pStyle w:val="192"/>
              <w:keepNext w:val="0"/>
              <w:keepLines w:val="0"/>
              <w:suppressLineNumbers w:val="0"/>
              <w:spacing w:before="158" w:beforeAutospacing="0" w:after="0" w:afterAutospacing="0"/>
              <w:ind w:left="116"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技术职称</w:t>
            </w:r>
          </w:p>
        </w:tc>
        <w:tc>
          <w:tcPr>
            <w:tcW w:w="1265" w:type="dxa"/>
            <w:gridSpan w:val="3"/>
            <w:tcBorders>
              <w:top w:val="single" w:color="000000" w:sz="6" w:space="0"/>
              <w:left w:val="single" w:color="000000" w:sz="6" w:space="0"/>
              <w:bottom w:val="single" w:color="000000" w:sz="6" w:space="0"/>
              <w:right w:val="single" w:color="000000" w:sz="6" w:space="0"/>
            </w:tcBorders>
            <w:noWrap w:val="0"/>
            <w:vAlign w:val="top"/>
          </w:tcPr>
          <w:p w14:paraId="65077E40">
            <w:pPr>
              <w:pStyle w:val="192"/>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722" w:type="dxa"/>
            <w:tcBorders>
              <w:top w:val="single" w:color="000000" w:sz="6" w:space="0"/>
              <w:left w:val="single" w:color="000000" w:sz="6" w:space="0"/>
              <w:bottom w:val="single" w:color="000000" w:sz="6" w:space="0"/>
              <w:right w:val="single" w:color="000000" w:sz="6" w:space="0"/>
            </w:tcBorders>
            <w:noWrap w:val="0"/>
            <w:vAlign w:val="top"/>
          </w:tcPr>
          <w:p w14:paraId="28B2EB51">
            <w:pPr>
              <w:pStyle w:val="192"/>
              <w:keepNext w:val="0"/>
              <w:keepLines w:val="0"/>
              <w:suppressLineNumbers w:val="0"/>
              <w:spacing w:before="158" w:beforeAutospacing="0" w:after="0" w:afterAutospacing="0"/>
              <w:ind w:left="0" w:right="104"/>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720" w:type="dxa"/>
            <w:tcBorders>
              <w:top w:val="single" w:color="000000" w:sz="6" w:space="0"/>
              <w:left w:val="single" w:color="000000" w:sz="6" w:space="0"/>
              <w:bottom w:val="single" w:color="000000" w:sz="6" w:space="0"/>
            </w:tcBorders>
            <w:noWrap w:val="0"/>
            <w:vAlign w:val="top"/>
          </w:tcPr>
          <w:p w14:paraId="2A1AD648">
            <w:pPr>
              <w:pStyle w:val="192"/>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14:paraId="030148C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noWrap w:val="0"/>
            <w:vAlign w:val="top"/>
          </w:tcPr>
          <w:p w14:paraId="6F1FFFD3">
            <w:pPr>
              <w:pStyle w:val="192"/>
              <w:keepNext w:val="0"/>
              <w:keepLines w:val="0"/>
              <w:suppressLineNumbers w:val="0"/>
              <w:spacing w:before="151" w:beforeAutospacing="0" w:after="0" w:afterAutospacing="0"/>
              <w:ind w:left="107"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成立时间</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top"/>
          </w:tcPr>
          <w:p w14:paraId="6A1C9902">
            <w:pPr>
              <w:pStyle w:val="192"/>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3957" w:type="dxa"/>
            <w:gridSpan w:val="7"/>
            <w:tcBorders>
              <w:top w:val="single" w:color="000000" w:sz="6" w:space="0"/>
              <w:left w:val="single" w:color="000000" w:sz="6" w:space="0"/>
              <w:bottom w:val="single" w:color="000000" w:sz="6" w:space="0"/>
            </w:tcBorders>
            <w:noWrap w:val="0"/>
            <w:vAlign w:val="top"/>
          </w:tcPr>
          <w:p w14:paraId="5C603CA9">
            <w:pPr>
              <w:pStyle w:val="192"/>
              <w:keepNext w:val="0"/>
              <w:keepLines w:val="0"/>
              <w:suppressLineNumbers w:val="0"/>
              <w:spacing w:before="151" w:beforeAutospacing="0" w:after="0" w:afterAutospacing="0"/>
              <w:ind w:left="116"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员工总人数：</w:t>
            </w:r>
          </w:p>
        </w:tc>
      </w:tr>
      <w:tr w14:paraId="3BACB9C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noWrap w:val="0"/>
            <w:vAlign w:val="top"/>
          </w:tcPr>
          <w:p w14:paraId="234FAE6B">
            <w:pPr>
              <w:pStyle w:val="192"/>
              <w:keepNext w:val="0"/>
              <w:keepLines w:val="0"/>
              <w:suppressLineNumbers w:val="0"/>
              <w:spacing w:before="158" w:beforeAutospacing="0" w:after="0" w:afterAutospacing="0"/>
              <w:ind w:left="107"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6831" w:type="dxa"/>
            <w:gridSpan w:val="9"/>
            <w:tcBorders>
              <w:top w:val="single" w:color="000000" w:sz="6" w:space="0"/>
              <w:left w:val="single" w:color="000000" w:sz="6" w:space="0"/>
              <w:bottom w:val="single" w:color="000000" w:sz="6" w:space="0"/>
            </w:tcBorders>
            <w:noWrap w:val="0"/>
            <w:vAlign w:val="top"/>
          </w:tcPr>
          <w:p w14:paraId="3DAED95E">
            <w:pPr>
              <w:pStyle w:val="192"/>
              <w:keepNext w:val="0"/>
              <w:keepLines w:val="0"/>
              <w:suppressLineNumbers w:val="0"/>
              <w:spacing w:before="158" w:beforeAutospacing="0" w:after="0" w:afterAutospacing="0"/>
              <w:ind w:left="107" w:right="0"/>
              <w:rPr>
                <w:rFonts w:hint="eastAsia" w:ascii="宋体" w:hAnsi="宋体" w:eastAsia="宋体" w:cs="宋体"/>
                <w:color w:val="auto"/>
                <w:sz w:val="21"/>
                <w:szCs w:val="21"/>
                <w:highlight w:val="none"/>
              </w:rPr>
            </w:pPr>
          </w:p>
        </w:tc>
      </w:tr>
      <w:tr w14:paraId="5BB58F5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1985" w:type="dxa"/>
            <w:tcBorders>
              <w:top w:val="single" w:color="000000" w:sz="6" w:space="0"/>
              <w:bottom w:val="single" w:color="000000" w:sz="6" w:space="0"/>
              <w:right w:val="single" w:color="000000" w:sz="6" w:space="0"/>
            </w:tcBorders>
            <w:noWrap w:val="0"/>
            <w:vAlign w:val="top"/>
          </w:tcPr>
          <w:p w14:paraId="032EE437">
            <w:pPr>
              <w:pStyle w:val="192"/>
              <w:keepNext w:val="0"/>
              <w:keepLines w:val="0"/>
              <w:suppressLineNumbers w:val="0"/>
              <w:spacing w:before="158" w:beforeAutospacing="0" w:after="0" w:afterAutospacing="0"/>
              <w:ind w:left="107"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top"/>
          </w:tcPr>
          <w:p w14:paraId="0181E729">
            <w:pPr>
              <w:pStyle w:val="192"/>
              <w:keepNext w:val="0"/>
              <w:keepLines w:val="0"/>
              <w:suppressLineNumbers w:val="0"/>
              <w:spacing w:before="158" w:beforeAutospacing="0" w:after="0" w:afterAutospacing="0"/>
              <w:ind w:left="107" w:right="0"/>
              <w:rPr>
                <w:rFonts w:hint="eastAsia" w:ascii="宋体" w:hAnsi="宋体" w:eastAsia="宋体" w:cs="宋体"/>
                <w:color w:val="auto"/>
                <w:sz w:val="21"/>
                <w:szCs w:val="21"/>
                <w:highlight w:val="none"/>
              </w:rPr>
            </w:pPr>
          </w:p>
        </w:tc>
        <w:tc>
          <w:tcPr>
            <w:tcW w:w="1978" w:type="dxa"/>
            <w:gridSpan w:val="3"/>
            <w:tcBorders>
              <w:top w:val="single" w:color="000000" w:sz="6" w:space="0"/>
              <w:left w:val="single" w:color="000000" w:sz="6" w:space="0"/>
              <w:bottom w:val="single" w:color="000000" w:sz="6" w:space="0"/>
            </w:tcBorders>
            <w:noWrap w:val="0"/>
            <w:vAlign w:val="top"/>
          </w:tcPr>
          <w:p w14:paraId="268FD1A7">
            <w:pPr>
              <w:pStyle w:val="192"/>
              <w:keepNext w:val="0"/>
              <w:keepLines w:val="0"/>
              <w:suppressLineNumbers w:val="0"/>
              <w:spacing w:before="158" w:beforeAutospacing="0" w:after="0" w:afterAutospacing="0"/>
              <w:ind w:left="107"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银行行号</w:t>
            </w:r>
          </w:p>
        </w:tc>
        <w:tc>
          <w:tcPr>
            <w:tcW w:w="1979" w:type="dxa"/>
            <w:gridSpan w:val="4"/>
            <w:tcBorders>
              <w:top w:val="single" w:color="000000" w:sz="6" w:space="0"/>
              <w:left w:val="single" w:color="000000" w:sz="6" w:space="0"/>
              <w:bottom w:val="single" w:color="000000" w:sz="6" w:space="0"/>
            </w:tcBorders>
            <w:noWrap w:val="0"/>
            <w:vAlign w:val="top"/>
          </w:tcPr>
          <w:p w14:paraId="5FD6DA29">
            <w:pPr>
              <w:pStyle w:val="192"/>
              <w:keepNext w:val="0"/>
              <w:keepLines w:val="0"/>
              <w:suppressLineNumbers w:val="0"/>
              <w:spacing w:before="158" w:beforeAutospacing="0" w:after="0" w:afterAutospacing="0"/>
              <w:ind w:left="107" w:right="0"/>
              <w:rPr>
                <w:rFonts w:hint="eastAsia" w:ascii="宋体" w:hAnsi="宋体" w:eastAsia="宋体" w:cs="宋体"/>
                <w:color w:val="auto"/>
                <w:sz w:val="21"/>
                <w:szCs w:val="21"/>
                <w:highlight w:val="none"/>
              </w:rPr>
            </w:pPr>
          </w:p>
        </w:tc>
      </w:tr>
      <w:tr w14:paraId="510BAF5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985" w:type="dxa"/>
            <w:tcBorders>
              <w:top w:val="single" w:color="000000" w:sz="6" w:space="0"/>
              <w:right w:val="single" w:color="000000" w:sz="6" w:space="0"/>
            </w:tcBorders>
            <w:noWrap w:val="0"/>
            <w:vAlign w:val="top"/>
          </w:tcPr>
          <w:p w14:paraId="4880BD12">
            <w:pPr>
              <w:pStyle w:val="192"/>
              <w:keepNext w:val="0"/>
              <w:keepLines w:val="0"/>
              <w:suppressLineNumbers w:val="0"/>
              <w:spacing w:before="158" w:beforeAutospacing="0" w:after="0" w:afterAutospacing="0"/>
              <w:ind w:left="107"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经营范围备注</w:t>
            </w:r>
          </w:p>
        </w:tc>
        <w:tc>
          <w:tcPr>
            <w:tcW w:w="6831" w:type="dxa"/>
            <w:gridSpan w:val="9"/>
            <w:tcBorders>
              <w:top w:val="single" w:color="000000" w:sz="6" w:space="0"/>
              <w:left w:val="single" w:color="000000" w:sz="6" w:space="0"/>
            </w:tcBorders>
            <w:noWrap w:val="0"/>
            <w:vAlign w:val="top"/>
          </w:tcPr>
          <w:p w14:paraId="40560624">
            <w:pPr>
              <w:pStyle w:val="192"/>
              <w:keepNext w:val="0"/>
              <w:keepLines w:val="0"/>
              <w:suppressLineNumbers w:val="0"/>
              <w:spacing w:before="158" w:beforeAutospacing="0" w:after="0" w:afterAutospacing="0"/>
              <w:ind w:left="107" w:right="0"/>
              <w:rPr>
                <w:rFonts w:hint="eastAsia" w:ascii="宋体" w:hAnsi="宋体" w:eastAsia="宋体" w:cs="宋体"/>
                <w:color w:val="auto"/>
                <w:sz w:val="21"/>
                <w:szCs w:val="21"/>
                <w:highlight w:val="none"/>
              </w:rPr>
            </w:pPr>
          </w:p>
        </w:tc>
      </w:tr>
    </w:tbl>
    <w:p w14:paraId="28B156B9">
      <w:pPr>
        <w:pStyle w:val="17"/>
        <w:spacing w:before="4"/>
        <w:rPr>
          <w:rFonts w:hint="eastAsia" w:ascii="宋体" w:hAnsi="宋体" w:eastAsia="宋体" w:cs="宋体"/>
          <w:b/>
          <w:color w:val="auto"/>
          <w:sz w:val="21"/>
          <w:szCs w:val="21"/>
          <w:highlight w:val="none"/>
        </w:rPr>
      </w:pPr>
    </w:p>
    <w:p w14:paraId="5DA924CF">
      <w:pPr>
        <w:rPr>
          <w:rFonts w:hint="eastAsia" w:ascii="宋体" w:hAnsi="宋体" w:eastAsia="宋体" w:cs="宋体"/>
          <w:b w:val="0"/>
          <w:color w:val="auto"/>
          <w:sz w:val="24"/>
          <w:szCs w:val="24"/>
          <w:highlight w:val="none"/>
        </w:rPr>
      </w:pPr>
    </w:p>
    <w:p w14:paraId="0ABF5495">
      <w:pPr>
        <w:pStyle w:val="91"/>
        <w:jc w:val="center"/>
        <w:outlineLvl w:val="9"/>
        <w:rPr>
          <w:rFonts w:hint="eastAsia" w:ascii="宋体" w:hAnsi="宋体" w:eastAsia="宋体" w:cs="宋体"/>
          <w:b/>
          <w:bCs/>
          <w:color w:val="auto"/>
          <w:sz w:val="24"/>
          <w:szCs w:val="24"/>
          <w:highlight w:val="none"/>
        </w:rPr>
      </w:pPr>
    </w:p>
    <w:p w14:paraId="0E020A70">
      <w:pPr>
        <w:pStyle w:val="91"/>
        <w:jc w:val="center"/>
        <w:outlineLvl w:val="9"/>
        <w:rPr>
          <w:rFonts w:hint="eastAsia" w:ascii="宋体" w:hAnsi="宋体" w:eastAsia="宋体" w:cs="宋体"/>
          <w:b/>
          <w:bCs/>
          <w:color w:val="auto"/>
          <w:sz w:val="24"/>
          <w:szCs w:val="24"/>
          <w:highlight w:val="none"/>
        </w:rPr>
      </w:pPr>
    </w:p>
    <w:p w14:paraId="68642A12">
      <w:pPr>
        <w:pStyle w:val="91"/>
        <w:jc w:val="center"/>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类似项目业绩表</w:t>
      </w:r>
      <w:bookmarkEnd w:id="90"/>
      <w:bookmarkEnd w:id="91"/>
      <w:bookmarkEnd w:id="92"/>
      <w:bookmarkEnd w:id="93"/>
      <w:bookmarkEnd w:id="94"/>
      <w:bookmarkEnd w:id="95"/>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200"/>
      </w:tblGrid>
      <w:tr w14:paraId="6D4DA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908" w:type="dxa"/>
            <w:noWrap w:val="0"/>
            <w:vAlign w:val="center"/>
          </w:tcPr>
          <w:p w14:paraId="4C1B5BC8">
            <w:pPr>
              <w:pStyle w:val="92"/>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200" w:type="dxa"/>
            <w:noWrap w:val="0"/>
            <w:vAlign w:val="top"/>
          </w:tcPr>
          <w:p w14:paraId="65E6D877">
            <w:pPr>
              <w:pStyle w:val="92"/>
              <w:keepNext w:val="0"/>
              <w:keepLines w:val="0"/>
              <w:suppressLineNumbers w:val="0"/>
              <w:tabs>
                <w:tab w:val="left" w:pos="2265"/>
              </w:tabs>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p>
        </w:tc>
      </w:tr>
      <w:tr w14:paraId="19FB6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908" w:type="dxa"/>
            <w:noWrap w:val="0"/>
            <w:vAlign w:val="center"/>
          </w:tcPr>
          <w:p w14:paraId="1BFA1D97">
            <w:pPr>
              <w:pStyle w:val="92"/>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项目内容</w:t>
            </w:r>
          </w:p>
        </w:tc>
        <w:tc>
          <w:tcPr>
            <w:tcW w:w="7200" w:type="dxa"/>
            <w:noWrap w:val="0"/>
            <w:vAlign w:val="top"/>
          </w:tcPr>
          <w:p w14:paraId="1CAB5540">
            <w:pPr>
              <w:pStyle w:val="92"/>
              <w:keepNext w:val="0"/>
              <w:keepLines w:val="0"/>
              <w:suppressLineNumbers w:val="0"/>
              <w:tabs>
                <w:tab w:val="left" w:pos="2265"/>
              </w:tabs>
              <w:spacing w:before="0" w:beforeAutospacing="0" w:after="0" w:afterAutospacing="0"/>
              <w:ind w:left="0" w:right="0"/>
              <w:rPr>
                <w:rFonts w:hint="eastAsia" w:ascii="宋体" w:hAnsi="宋体" w:eastAsia="宋体" w:cs="宋体"/>
                <w:color w:val="auto"/>
                <w:sz w:val="24"/>
                <w:szCs w:val="24"/>
                <w:highlight w:val="none"/>
              </w:rPr>
            </w:pPr>
          </w:p>
        </w:tc>
      </w:tr>
      <w:tr w14:paraId="6A527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noWrap w:val="0"/>
            <w:vAlign w:val="center"/>
          </w:tcPr>
          <w:p w14:paraId="7C47CC72">
            <w:pPr>
              <w:pStyle w:val="92"/>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项目委托单位</w:t>
            </w:r>
          </w:p>
        </w:tc>
        <w:tc>
          <w:tcPr>
            <w:tcW w:w="7200" w:type="dxa"/>
            <w:noWrap w:val="0"/>
            <w:vAlign w:val="top"/>
          </w:tcPr>
          <w:p w14:paraId="2FF93379">
            <w:pPr>
              <w:pStyle w:val="92"/>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26D9F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noWrap w:val="0"/>
            <w:vAlign w:val="center"/>
          </w:tcPr>
          <w:p w14:paraId="27956999">
            <w:pPr>
              <w:pStyle w:val="92"/>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项目单位联系人姓名及联系方式</w:t>
            </w:r>
          </w:p>
        </w:tc>
        <w:tc>
          <w:tcPr>
            <w:tcW w:w="7200" w:type="dxa"/>
            <w:noWrap w:val="0"/>
            <w:vAlign w:val="top"/>
          </w:tcPr>
          <w:p w14:paraId="297951C2">
            <w:pPr>
              <w:pStyle w:val="92"/>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10A2B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908" w:type="dxa"/>
            <w:noWrap w:val="0"/>
            <w:vAlign w:val="center"/>
          </w:tcPr>
          <w:p w14:paraId="4BD0A272">
            <w:pPr>
              <w:pStyle w:val="92"/>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w:t>
            </w:r>
          </w:p>
        </w:tc>
        <w:tc>
          <w:tcPr>
            <w:tcW w:w="7200" w:type="dxa"/>
            <w:noWrap w:val="0"/>
            <w:vAlign w:val="top"/>
          </w:tcPr>
          <w:p w14:paraId="65FD5900">
            <w:pPr>
              <w:pStyle w:val="92"/>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459BA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908" w:type="dxa"/>
            <w:noWrap w:val="0"/>
            <w:vAlign w:val="center"/>
          </w:tcPr>
          <w:p w14:paraId="7E4698AE">
            <w:pPr>
              <w:pStyle w:val="92"/>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p w14:paraId="15EDE2BF">
            <w:pPr>
              <w:pStyle w:val="92"/>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7200" w:type="dxa"/>
            <w:noWrap w:val="0"/>
            <w:vAlign w:val="top"/>
          </w:tcPr>
          <w:p w14:paraId="4A0487C0">
            <w:pPr>
              <w:pStyle w:val="92"/>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4A28D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908" w:type="dxa"/>
            <w:noWrap w:val="0"/>
            <w:vAlign w:val="center"/>
          </w:tcPr>
          <w:p w14:paraId="1708BD40">
            <w:pPr>
              <w:pStyle w:val="92"/>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合同签订</w:t>
            </w:r>
            <w:r>
              <w:rPr>
                <w:rFonts w:hint="eastAsia" w:ascii="宋体" w:hAnsi="宋体" w:eastAsia="宋体" w:cs="宋体"/>
                <w:color w:val="auto"/>
                <w:sz w:val="24"/>
                <w:szCs w:val="24"/>
                <w:highlight w:val="none"/>
              </w:rPr>
              <w:t>时间</w:t>
            </w:r>
          </w:p>
        </w:tc>
        <w:tc>
          <w:tcPr>
            <w:tcW w:w="7200" w:type="dxa"/>
            <w:noWrap w:val="0"/>
            <w:vAlign w:val="top"/>
          </w:tcPr>
          <w:p w14:paraId="72EECE88">
            <w:pPr>
              <w:pStyle w:val="92"/>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5FBD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1908" w:type="dxa"/>
            <w:noWrap w:val="0"/>
            <w:vAlign w:val="center"/>
          </w:tcPr>
          <w:p w14:paraId="477F532D">
            <w:pPr>
              <w:pStyle w:val="192"/>
              <w:keepNext w:val="0"/>
              <w:keepLines w:val="0"/>
              <w:suppressLineNumbers w:val="0"/>
              <w:autoSpaceDE w:val="0"/>
              <w:autoSpaceDN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完成情况</w:t>
            </w:r>
          </w:p>
        </w:tc>
        <w:tc>
          <w:tcPr>
            <w:tcW w:w="7200" w:type="dxa"/>
            <w:noWrap w:val="0"/>
            <w:vAlign w:val="top"/>
          </w:tcPr>
          <w:p w14:paraId="1EA41BE2">
            <w:pPr>
              <w:pStyle w:val="92"/>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r>
    </w:tbl>
    <w:p w14:paraId="1FF6B49E">
      <w:pPr>
        <w:pStyle w:val="92"/>
        <w:autoSpaceDE w:val="0"/>
        <w:autoSpaceDN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说明：1．每个合同须单独附表，并附上相关证明材料，否则专家在评审时将不予采信</w:t>
      </w:r>
      <w:r>
        <w:rPr>
          <w:rFonts w:hint="eastAsia" w:ascii="宋体" w:hAnsi="宋体" w:cs="宋体"/>
          <w:color w:val="auto"/>
          <w:sz w:val="24"/>
          <w:szCs w:val="24"/>
          <w:highlight w:val="none"/>
          <w:lang w:eastAsia="zh-CN"/>
        </w:rPr>
        <w:t>。</w:t>
      </w:r>
    </w:p>
    <w:p w14:paraId="0926954D">
      <w:pPr>
        <w:pStyle w:val="92"/>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2.未按要求提供或提供不全不得分。</w:t>
      </w:r>
    </w:p>
    <w:p w14:paraId="57CBB0D7">
      <w:pPr>
        <w:pStyle w:val="92"/>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3.如经评标委员会认定所提供业绩合同残缺不全、模糊难辨或未提供的不得分。</w:t>
      </w:r>
    </w:p>
    <w:p w14:paraId="307F97D7">
      <w:pPr>
        <w:pStyle w:val="92"/>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4.供应商提供虚假合同的，按虚假投标处理。</w:t>
      </w:r>
    </w:p>
    <w:p w14:paraId="5E2BEB36">
      <w:pPr>
        <w:pStyle w:val="109"/>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cs="宋体"/>
          <w:color w:val="auto"/>
          <w:sz w:val="24"/>
          <w:szCs w:val="24"/>
          <w:highlight w:val="none"/>
          <w:lang w:val="en-US" w:eastAsia="zh-CN"/>
        </w:rPr>
        <w:t>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262F87F4">
      <w:pPr>
        <w:pStyle w:val="109"/>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Style w:val="5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签字和盖章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29017F0">
      <w:pPr>
        <w:pStyle w:val="92"/>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14:paraId="27D61EF6">
      <w:pPr>
        <w:pStyle w:val="16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highlight w:val="none"/>
        </w:rPr>
        <w:br w:type="page"/>
      </w:r>
    </w:p>
    <w:p w14:paraId="6915248F">
      <w:pPr>
        <w:pStyle w:val="166"/>
        <w:jc w:val="center"/>
        <w:outlineLvl w:val="2"/>
        <w:rPr>
          <w:rFonts w:hint="eastAsia" w:ascii="宋体" w:hAnsi="宋体" w:eastAsia="宋体" w:cs="宋体"/>
          <w:color w:val="auto"/>
          <w:highlight w:val="none"/>
        </w:rPr>
      </w:pPr>
      <w:bookmarkStart w:id="96" w:name="_Toc256000034"/>
      <w:r>
        <w:rPr>
          <w:rFonts w:hint="eastAsia" w:ascii="宋体" w:hAnsi="宋体" w:eastAsia="宋体" w:cs="宋体"/>
          <w:color w:val="auto"/>
          <w:highlight w:val="none"/>
        </w:rPr>
        <w:t>不参与围标串标承诺书</w:t>
      </w:r>
      <w:bookmarkEnd w:id="96"/>
    </w:p>
    <w:p w14:paraId="69E8DBD6">
      <w:pPr>
        <w:pStyle w:val="161"/>
        <w:spacing w:line="640" w:lineRule="exact"/>
        <w:ind w:firstLine="480" w:firstLineChars="200"/>
        <w:rPr>
          <w:rFonts w:hint="eastAsia" w:ascii="宋体" w:hAnsi="宋体" w:eastAsia="宋体" w:cs="宋体"/>
          <w:color w:val="auto"/>
          <w:sz w:val="24"/>
          <w:highlight w:val="none"/>
        </w:rPr>
      </w:pPr>
    </w:p>
    <w:p w14:paraId="19D856B0">
      <w:pPr>
        <w:pStyle w:val="161"/>
        <w:spacing w:line="6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本人作为</w:t>
      </w:r>
      <w:r>
        <w:rPr>
          <w:rFonts w:hint="eastAsia" w:ascii="宋体" w:hAnsi="宋体" w:eastAsia="宋体" w:cs="宋体"/>
          <w:color w:val="auto"/>
          <w:sz w:val="24"/>
          <w:highlight w:val="none"/>
          <w:u w:val="single"/>
        </w:rPr>
        <w:t xml:space="preserve">（单位名称）                    </w:t>
      </w:r>
      <w:r>
        <w:rPr>
          <w:rFonts w:hint="eastAsia" w:ascii="宋体" w:hAnsi="宋体" w:eastAsia="宋体" w:cs="宋体"/>
          <w:color w:val="auto"/>
          <w:sz w:val="24"/>
          <w:highlight w:val="none"/>
        </w:rPr>
        <w:t>的法人，清楚知晓我公司本项目投标活动，对以下事项作出承诺：</w:t>
      </w:r>
    </w:p>
    <w:p w14:paraId="595DD62D">
      <w:pPr>
        <w:pStyle w:val="161"/>
        <w:spacing w:line="6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一、我单位遵循公开、公平、公正、诚实守信的原则，依法依规参与本项目竞标。</w:t>
      </w:r>
    </w:p>
    <w:p w14:paraId="56A0F763">
      <w:pPr>
        <w:pStyle w:val="161"/>
        <w:spacing w:line="6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二、我单位在本项目招标投标活动中，未参与围标串标。</w:t>
      </w:r>
    </w:p>
    <w:p w14:paraId="0917779D">
      <w:pPr>
        <w:pStyle w:val="161"/>
        <w:spacing w:line="64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三、我单位如被查实在本项目招标投标活动中存在围标串标的，递交投标文件行为作为实施串通投标违法行为的关键环节，本人承担直接责任人员法律责任，接受相应行政处罚和失信惩戒。</w:t>
      </w:r>
    </w:p>
    <w:p w14:paraId="22790DFC">
      <w:pPr>
        <w:pStyle w:val="109"/>
        <w:spacing w:line="500" w:lineRule="exact"/>
        <w:rPr>
          <w:rFonts w:hint="eastAsia" w:ascii="宋体" w:hAnsi="宋体" w:eastAsia="宋体" w:cs="宋体"/>
          <w:color w:val="auto"/>
          <w:sz w:val="24"/>
          <w:szCs w:val="24"/>
          <w:highlight w:val="none"/>
        </w:rPr>
      </w:pPr>
    </w:p>
    <w:p w14:paraId="1E3FB4B0">
      <w:pPr>
        <w:pStyle w:val="109"/>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cs="宋体"/>
          <w:color w:val="auto"/>
          <w:sz w:val="24"/>
          <w:szCs w:val="24"/>
          <w:highlight w:val="none"/>
          <w:lang w:val="en-US" w:eastAsia="zh-CN"/>
        </w:rPr>
        <w:t>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54A24F20">
      <w:pPr>
        <w:pStyle w:val="109"/>
        <w:spacing w:line="500" w:lineRule="exact"/>
        <w:rPr>
          <w:rFonts w:hint="eastAsia" w:ascii="宋体" w:hAnsi="宋体" w:eastAsia="宋体" w:cs="宋体"/>
          <w:color w:val="auto"/>
          <w:sz w:val="24"/>
          <w:szCs w:val="24"/>
          <w:highlight w:val="none"/>
        </w:rPr>
      </w:pPr>
    </w:p>
    <w:p w14:paraId="0DAD6ABB">
      <w:pPr>
        <w:pStyle w:val="109"/>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Style w:val="5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签字和盖章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368D74F2">
      <w:pPr>
        <w:pStyle w:val="161"/>
        <w:spacing w:line="6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4DE40D5">
      <w:pPr>
        <w:pStyle w:val="161"/>
        <w:spacing w:line="640" w:lineRule="exact"/>
        <w:ind w:firstLine="4320" w:firstLineChars="18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年   月   日</w:t>
      </w:r>
    </w:p>
    <w:p w14:paraId="5E843969">
      <w:pPr>
        <w:pStyle w:val="137"/>
        <w:outlineLvl w:val="1"/>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CFD275F">
      <w:pPr>
        <w:pStyle w:val="185"/>
        <w:jc w:val="center"/>
        <w:outlineLvl w:val="2"/>
        <w:rPr>
          <w:rFonts w:hint="eastAsia" w:ascii="宋体" w:hAnsi="宋体" w:eastAsia="宋体" w:cs="宋体"/>
          <w:color w:val="auto"/>
          <w:highlight w:val="none"/>
        </w:rPr>
      </w:pPr>
      <w:bookmarkStart w:id="97" w:name="_Toc256000036"/>
      <w:r>
        <w:rPr>
          <w:rFonts w:hint="eastAsia" w:ascii="宋体" w:hAnsi="宋体" w:eastAsia="宋体" w:cs="宋体"/>
          <w:color w:val="auto"/>
          <w:highlight w:val="none"/>
        </w:rPr>
        <w:t>投标函</w:t>
      </w:r>
      <w:bookmarkEnd w:id="97"/>
    </w:p>
    <w:p w14:paraId="4185EB3D">
      <w:pPr>
        <w:pStyle w:val="88"/>
        <w:widowControl/>
        <w:spacing w:line="360" w:lineRule="auto"/>
        <w:ind w:left="0" w:leftChars="0"/>
        <w:rPr>
          <w:rFonts w:hint="eastAsia" w:ascii="宋体" w:hAnsi="宋体" w:eastAsia="宋体" w:cs="宋体"/>
          <w:color w:val="auto"/>
          <w:sz w:val="24"/>
          <w:highlight w:val="none"/>
        </w:rPr>
      </w:pPr>
    </w:p>
    <w:p w14:paraId="2DBFB92A">
      <w:pPr>
        <w:pStyle w:val="88"/>
        <w:widowControl/>
        <w:spacing w:line="360" w:lineRule="auto"/>
        <w:ind w:left="0" w:leftChars="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6DAD1B4">
      <w:pPr>
        <w:pStyle w:val="88"/>
        <w:widowControl/>
        <w:spacing w:line="360" w:lineRule="auto"/>
        <w:ind w:left="0" w:leftChars="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(投标人名称)授权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(投标人授权代理人姓名)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(职务、职称)为我方代表，参加贵方组织的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(项目名称、项目编号)招标的有关活动，并对此项目进行投标</w:t>
      </w:r>
      <w:r>
        <w:rPr>
          <w:rFonts w:hint="eastAsia" w:ascii="宋体" w:hAnsi="宋体" w:cs="宋体"/>
          <w:color w:val="auto"/>
          <w:sz w:val="24"/>
          <w:highlight w:val="none"/>
          <w:lang w:eastAsia="zh-CN"/>
        </w:rPr>
        <w:t>，</w:t>
      </w:r>
      <w:r>
        <w:rPr>
          <w:rFonts w:hint="eastAsia" w:ascii="宋体" w:hAnsi="宋体" w:eastAsia="宋体" w:cs="宋体"/>
          <w:bCs w:val="0"/>
          <w:color w:val="auto"/>
          <w:sz w:val="24"/>
          <w:szCs w:val="24"/>
          <w:highlight w:val="none"/>
        </w:rPr>
        <w:t>以</w:t>
      </w:r>
      <w:r>
        <w:rPr>
          <w:rFonts w:hint="eastAsia" w:ascii="宋体" w:hAnsi="宋体" w:eastAsia="宋体" w:cs="宋体"/>
          <w:bCs w:val="0"/>
          <w:color w:val="auto"/>
          <w:sz w:val="24"/>
          <w:szCs w:val="24"/>
          <w:highlight w:val="none"/>
          <w:u w:val="single"/>
        </w:rPr>
        <w:t xml:space="preserve">  </w:t>
      </w:r>
      <w:r>
        <w:rPr>
          <w:rFonts w:hint="eastAsia" w:ascii="宋体" w:hAnsi="宋体" w:cs="宋体"/>
          <w:bCs w:val="0"/>
          <w:color w:val="auto"/>
          <w:sz w:val="24"/>
          <w:szCs w:val="24"/>
          <w:highlight w:val="none"/>
          <w:u w:val="single"/>
          <w:lang w:val="en-US" w:eastAsia="zh-CN"/>
        </w:rPr>
        <w:t xml:space="preserve">  </w:t>
      </w:r>
      <w:r>
        <w:rPr>
          <w:rFonts w:hint="eastAsia" w:ascii="宋体" w:hAnsi="宋体" w:eastAsia="宋体" w:cs="宋体"/>
          <w:bCs w:val="0"/>
          <w:color w:val="auto"/>
          <w:sz w:val="24"/>
          <w:szCs w:val="24"/>
          <w:highlight w:val="none"/>
          <w:u w:val="single"/>
        </w:rPr>
        <w:t xml:space="preserve"> </w:t>
      </w:r>
      <w:r>
        <w:rPr>
          <w:rFonts w:hint="eastAsia" w:ascii="宋体" w:hAnsi="宋体" w:cs="宋体"/>
          <w:bCs w:val="0"/>
          <w:color w:val="auto"/>
          <w:sz w:val="24"/>
          <w:szCs w:val="24"/>
          <w:highlight w:val="none"/>
          <w:u w:val="single"/>
          <w:lang w:val="en-US" w:eastAsia="zh-CN"/>
        </w:rPr>
        <w:t xml:space="preserve">  </w:t>
      </w:r>
      <w:r>
        <w:rPr>
          <w:rFonts w:hint="eastAsia" w:ascii="宋体" w:hAnsi="宋体" w:eastAsia="宋体" w:cs="宋体"/>
          <w:bCs w:val="0"/>
          <w:color w:val="auto"/>
          <w:sz w:val="24"/>
          <w:szCs w:val="24"/>
          <w:highlight w:val="none"/>
          <w:u w:val="single"/>
        </w:rPr>
        <w:t xml:space="preserve"> </w:t>
      </w:r>
      <w:r>
        <w:rPr>
          <w:rFonts w:hint="eastAsia" w:ascii="宋体" w:hAnsi="宋体" w:eastAsia="宋体" w:cs="宋体"/>
          <w:bCs w:val="0"/>
          <w:color w:val="auto"/>
          <w:sz w:val="24"/>
          <w:szCs w:val="24"/>
          <w:highlight w:val="none"/>
        </w:rPr>
        <w:t>形式出具的金额为人民币</w:t>
      </w:r>
      <w:r>
        <w:rPr>
          <w:rFonts w:hint="eastAsia" w:ascii="宋体" w:hAnsi="宋体" w:eastAsia="宋体" w:cs="宋体"/>
          <w:bCs w:val="0"/>
          <w:color w:val="auto"/>
          <w:sz w:val="24"/>
          <w:szCs w:val="24"/>
          <w:highlight w:val="none"/>
          <w:u w:val="single"/>
        </w:rPr>
        <w:t xml:space="preserve">  </w:t>
      </w:r>
      <w:r>
        <w:rPr>
          <w:rFonts w:hint="eastAsia" w:ascii="宋体" w:hAnsi="宋体" w:cs="宋体"/>
          <w:bCs w:val="0"/>
          <w:color w:val="auto"/>
          <w:sz w:val="24"/>
          <w:szCs w:val="24"/>
          <w:highlight w:val="none"/>
          <w:u w:val="single"/>
          <w:lang w:val="en-US" w:eastAsia="zh-CN"/>
        </w:rPr>
        <w:t xml:space="preserve">   </w:t>
      </w:r>
      <w:r>
        <w:rPr>
          <w:rFonts w:hint="eastAsia" w:ascii="宋体" w:hAnsi="宋体" w:eastAsia="宋体" w:cs="宋体"/>
          <w:bCs w:val="0"/>
          <w:color w:val="auto"/>
          <w:sz w:val="24"/>
          <w:szCs w:val="24"/>
          <w:highlight w:val="none"/>
          <w:u w:val="single"/>
        </w:rPr>
        <w:t xml:space="preserve"> </w:t>
      </w:r>
      <w:r>
        <w:rPr>
          <w:rFonts w:hint="eastAsia" w:ascii="宋体" w:hAnsi="宋体" w:eastAsia="宋体" w:cs="宋体"/>
          <w:bCs w:val="0"/>
          <w:color w:val="auto"/>
          <w:sz w:val="24"/>
          <w:szCs w:val="24"/>
          <w:highlight w:val="none"/>
        </w:rPr>
        <w:t>元的</w:t>
      </w:r>
      <w:r>
        <w:rPr>
          <w:rFonts w:hint="eastAsia" w:ascii="宋体" w:hAnsi="宋体" w:cs="宋体"/>
          <w:bCs w:val="0"/>
          <w:color w:val="auto"/>
          <w:sz w:val="24"/>
          <w:szCs w:val="24"/>
          <w:highlight w:val="none"/>
          <w:lang w:val="en-US" w:eastAsia="zh-CN"/>
        </w:rPr>
        <w:t>投标</w:t>
      </w:r>
      <w:r>
        <w:rPr>
          <w:rFonts w:hint="eastAsia" w:ascii="宋体" w:hAnsi="宋体" w:eastAsia="宋体" w:cs="宋体"/>
          <w:bCs w:val="0"/>
          <w:color w:val="auto"/>
          <w:sz w:val="24"/>
          <w:szCs w:val="24"/>
          <w:highlight w:val="none"/>
        </w:rPr>
        <w:t>保证金</w:t>
      </w:r>
      <w:r>
        <w:rPr>
          <w:rFonts w:hint="eastAsia" w:ascii="宋体" w:hAnsi="宋体" w:eastAsia="宋体" w:cs="宋体"/>
          <w:color w:val="auto"/>
          <w:sz w:val="24"/>
          <w:highlight w:val="none"/>
        </w:rPr>
        <w:t>。为此：</w:t>
      </w:r>
    </w:p>
    <w:p w14:paraId="4BE667D6">
      <w:pPr>
        <w:pStyle w:val="88"/>
        <w:widowControl/>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1、我方同意在本项目招标文件中规定的投标有效期内遵守本投标文件中的承诺且在此期限期满之前均具有约束力。</w:t>
      </w:r>
    </w:p>
    <w:p w14:paraId="2F2A6FA7">
      <w:pPr>
        <w:pStyle w:val="88"/>
        <w:widowControl/>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2、我方承诺已经具备《中华人民共和国政府采购法》中规定的参加政府采购活动的供应商应当具备的条件：</w:t>
      </w:r>
    </w:p>
    <w:p w14:paraId="0C0C2CF0">
      <w:pPr>
        <w:pStyle w:val="88"/>
        <w:widowControl/>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29EACA87">
      <w:pPr>
        <w:pStyle w:val="88"/>
        <w:widowControl/>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14:paraId="44FF3692">
      <w:pPr>
        <w:pStyle w:val="88"/>
        <w:widowControl/>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14:paraId="0B9666E1">
      <w:pPr>
        <w:pStyle w:val="88"/>
        <w:widowControl/>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14:paraId="1576929B">
      <w:pPr>
        <w:pStyle w:val="88"/>
        <w:widowControl/>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5）参加此项采购活动前三年内，在经营活动中没有重大违法记录；</w:t>
      </w:r>
    </w:p>
    <w:p w14:paraId="772287FF">
      <w:pPr>
        <w:pStyle w:val="8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6）法律、行政法规规定的其他条件。</w:t>
      </w:r>
    </w:p>
    <w:p w14:paraId="7C6E38B6">
      <w:pPr>
        <w:pStyle w:val="88"/>
        <w:widowControl/>
        <w:spacing w:line="360" w:lineRule="auto"/>
        <w:ind w:left="0"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3、提供投标人须知规定的全部投标文件，包括在</w:t>
      </w:r>
      <w:r>
        <w:rPr>
          <w:rFonts w:hint="eastAsia" w:ascii="宋体" w:hAnsi="宋体" w:eastAsia="宋体" w:cs="宋体"/>
          <w:color w:val="auto"/>
          <w:sz w:val="24"/>
          <w:highlight w:val="none"/>
          <w:lang w:eastAsia="zh-CN"/>
        </w:rPr>
        <w:t>新疆政府采购网</w:t>
      </w:r>
      <w:r>
        <w:rPr>
          <w:rFonts w:hint="eastAsia" w:ascii="宋体" w:hAnsi="宋体" w:eastAsia="宋体" w:cs="宋体"/>
          <w:color w:val="auto"/>
          <w:sz w:val="24"/>
          <w:highlight w:val="none"/>
        </w:rPr>
        <w:t>平台上传加密电子投标文件一份</w:t>
      </w:r>
      <w:r>
        <w:rPr>
          <w:rFonts w:hint="eastAsia" w:ascii="宋体" w:hAnsi="宋体" w:eastAsia="宋体" w:cs="宋体"/>
          <w:color w:val="auto"/>
          <w:sz w:val="24"/>
          <w:highlight w:val="none"/>
          <w:lang w:eastAsia="zh-CN"/>
        </w:rPr>
        <w:t>。</w:t>
      </w:r>
    </w:p>
    <w:p w14:paraId="1DA43D88">
      <w:pPr>
        <w:pStyle w:val="88"/>
        <w:widowControl/>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4、按招标文件要求提供和交付的货物及相关服务的投标报价详见开标一览表。</w:t>
      </w:r>
    </w:p>
    <w:p w14:paraId="1DE799D3">
      <w:pPr>
        <w:pStyle w:val="88"/>
        <w:widowControl/>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5、保证忠实地执行双方所签订的合同，并承担合同规定的责任和义务。</w:t>
      </w:r>
    </w:p>
    <w:p w14:paraId="508B8A25">
      <w:pPr>
        <w:pStyle w:val="88"/>
        <w:widowControl/>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6、我方承诺完全满足和响应招标文件中的各项技术和服务要求，若有偏差，已在投标文件偏离表中予以明确特别说明。</w:t>
      </w:r>
    </w:p>
    <w:p w14:paraId="2F67BC76">
      <w:pPr>
        <w:pStyle w:val="88"/>
        <w:widowControl/>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7、我方承诺：完全理解投标报价若超过项目预算时，投标将被拒绝。</w:t>
      </w:r>
    </w:p>
    <w:p w14:paraId="18C59D07">
      <w:pPr>
        <w:pStyle w:val="88"/>
        <w:widowControl/>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8、我方承诺：与在本项目中设计编制技术规格的机构及其附属机构无任何直接隶属关系和利益关联。</w:t>
      </w:r>
    </w:p>
    <w:p w14:paraId="5B5D2B5C">
      <w:pPr>
        <w:pStyle w:val="88"/>
        <w:widowControl/>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9、如果在开标后规定的投标有效期内撤回投标，我方的投标保证金可被贵方没收。</w:t>
      </w:r>
    </w:p>
    <w:p w14:paraId="6099AA3C">
      <w:pPr>
        <w:pStyle w:val="88"/>
        <w:widowControl/>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10、我方完全理解贵方不一定接受最低价的投标或收到的任何投标。</w:t>
      </w:r>
    </w:p>
    <w:p w14:paraId="2B2C988C">
      <w:pPr>
        <w:pStyle w:val="88"/>
        <w:widowControl/>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11、我方承诺：投标文件所提供的一切资料及</w:t>
      </w:r>
      <w:r>
        <w:rPr>
          <w:rFonts w:hint="eastAsia" w:ascii="宋体" w:hAnsi="宋体" w:eastAsia="宋体" w:cs="宋体"/>
          <w:color w:val="auto"/>
          <w:sz w:val="24"/>
          <w:highlight w:val="none"/>
          <w:lang w:eastAsia="zh-CN"/>
        </w:rPr>
        <w:t>新疆政府采购网</w:t>
      </w:r>
      <w:r>
        <w:rPr>
          <w:rFonts w:hint="eastAsia" w:ascii="宋体" w:hAnsi="宋体" w:eastAsia="宋体" w:cs="宋体"/>
          <w:color w:val="auto"/>
          <w:sz w:val="24"/>
          <w:highlight w:val="none"/>
        </w:rPr>
        <w:t>平台申报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55E76393">
      <w:pPr>
        <w:pStyle w:val="88"/>
        <w:widowControl/>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12、我方已详细审核全部投标文件，包括投标文件修改书（如有的话）、参考资料及有关附件，确认无误。</w:t>
      </w:r>
    </w:p>
    <w:p w14:paraId="0FFDD9A5">
      <w:pPr>
        <w:pStyle w:val="88"/>
        <w:widowControl/>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13、我方承诺：采购人若需追加采购本项目招标文件所列货物及相关服务的，在不改变合同其他实质性条款的前提下，按相同或更优惠的折扣率保证供货。</w:t>
      </w:r>
    </w:p>
    <w:p w14:paraId="4425B453">
      <w:pPr>
        <w:pStyle w:val="88"/>
        <w:widowControl/>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14、我方承诺：如所报货物属国家强制认证产品的，均已通过认证且在有效期内，否则，由此产生的一切法律责任由我方承担。</w:t>
      </w:r>
    </w:p>
    <w:p w14:paraId="5DF31CCD">
      <w:pPr>
        <w:pStyle w:val="88"/>
        <w:widowControl/>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15、我方承诺：接受招标文件中的全部条款且无任何异议，保证遵守招标文件的规定。</w:t>
      </w:r>
    </w:p>
    <w:p w14:paraId="226F8A90">
      <w:pPr>
        <w:pStyle w:val="88"/>
        <w:widowControl/>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D61FF3E">
      <w:pPr>
        <w:pStyle w:val="88"/>
        <w:widowControl/>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1）提供虚假材料谋取中标、成交的；</w:t>
      </w:r>
    </w:p>
    <w:p w14:paraId="49D2686A">
      <w:pPr>
        <w:pStyle w:val="88"/>
        <w:widowControl/>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2）采取不正当手段诋毁、排挤其他供应商的；</w:t>
      </w:r>
    </w:p>
    <w:p w14:paraId="2FBC6E3E">
      <w:pPr>
        <w:pStyle w:val="88"/>
        <w:widowControl/>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3）与采购人、其他供应商或者采购代理机构工作人员恶意串通的；</w:t>
      </w:r>
    </w:p>
    <w:p w14:paraId="444858B0">
      <w:pPr>
        <w:pStyle w:val="88"/>
        <w:widowControl/>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4）向采购人、采购代理机构工作人员行贿或者提供其他不正当利益的；</w:t>
      </w:r>
    </w:p>
    <w:p w14:paraId="0BB53BBB">
      <w:pPr>
        <w:pStyle w:val="88"/>
        <w:widowControl/>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5）在采购过程中与采购人进行协商谈判的；</w:t>
      </w:r>
    </w:p>
    <w:p w14:paraId="06DF1678">
      <w:pPr>
        <w:pStyle w:val="88"/>
        <w:widowControl/>
        <w:spacing w:line="360" w:lineRule="auto"/>
        <w:ind w:left="0" w:leftChars="0"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6）拒绝有关部门监督检查或提供虚假情况的。</w:t>
      </w:r>
    </w:p>
    <w:p w14:paraId="2253716F">
      <w:pPr>
        <w:pStyle w:val="88"/>
        <w:widowControl/>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与本投标有关的一切往来通讯请寄：</w:t>
      </w:r>
    </w:p>
    <w:p w14:paraId="2B0A21EA">
      <w:pPr>
        <w:pStyle w:val="88"/>
        <w:widowControl/>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地址：____________________________________________________</w:t>
      </w:r>
    </w:p>
    <w:p w14:paraId="6A80A164">
      <w:pPr>
        <w:pStyle w:val="88"/>
        <w:widowControl/>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邮编：____________　</w:t>
      </w:r>
    </w:p>
    <w:p w14:paraId="2FB4D47C">
      <w:pPr>
        <w:pStyle w:val="88"/>
        <w:widowControl/>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电话：____________　</w:t>
      </w:r>
    </w:p>
    <w:p w14:paraId="27DD949F">
      <w:pPr>
        <w:pStyle w:val="88"/>
        <w:widowControl/>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投标人法定代表人或授权代理人联系电话：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60A7292">
      <w:pPr>
        <w:pStyle w:val="88"/>
        <w:widowControl/>
        <w:spacing w:line="360" w:lineRule="auto"/>
        <w:ind w:left="101" w:leftChars="48" w:firstLine="360" w:firstLineChars="15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法定代表人</w:t>
      </w:r>
      <w:r>
        <w:rPr>
          <w:rFonts w:hint="eastAsia" w:asciiTheme="minorEastAsia" w:hAnsiTheme="minorEastAsia" w:eastAsiaTheme="minorEastAsia" w:cstheme="minorEastAsia"/>
          <w:b w:val="0"/>
          <w:bCs/>
          <w:color w:val="auto"/>
          <w:spacing w:val="0"/>
          <w:position w:val="0"/>
          <w:sz w:val="24"/>
          <w:highlight w:val="none"/>
        </w:rPr>
        <w:t>（签字或盖章）</w:t>
      </w:r>
      <w:r>
        <w:rPr>
          <w:rFonts w:hint="eastAsia" w:ascii="宋体" w:hAnsi="宋体" w:eastAsia="宋体" w:cs="宋体"/>
          <w:b w:val="0"/>
          <w:bCs/>
          <w:color w:val="auto"/>
          <w:sz w:val="24"/>
          <w:highlight w:val="none"/>
        </w:rPr>
        <w:t>：</w:t>
      </w:r>
    </w:p>
    <w:p w14:paraId="1A4F0A45">
      <w:pPr>
        <w:pStyle w:val="88"/>
        <w:widowControl/>
        <w:spacing w:line="360" w:lineRule="auto"/>
        <w:ind w:left="0" w:leftChars="0"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投标人</w:t>
      </w:r>
      <w:r>
        <w:rPr>
          <w:rFonts w:hint="eastAsia" w:asciiTheme="minorEastAsia" w:hAnsiTheme="minorEastAsia" w:eastAsiaTheme="minorEastAsia" w:cstheme="minorEastAsia"/>
          <w:b w:val="0"/>
          <w:bCs/>
          <w:color w:val="auto"/>
          <w:spacing w:val="0"/>
          <w:position w:val="0"/>
          <w:sz w:val="24"/>
          <w:highlight w:val="none"/>
        </w:rPr>
        <w:t>（盖章）</w:t>
      </w:r>
      <w:r>
        <w:rPr>
          <w:rFonts w:hint="eastAsia" w:ascii="宋体" w:hAnsi="宋体" w:eastAsia="宋体" w:cs="宋体"/>
          <w:b w:val="0"/>
          <w:bCs/>
          <w:color w:val="auto"/>
          <w:sz w:val="24"/>
          <w:highlight w:val="none"/>
        </w:rPr>
        <w:t>：</w:t>
      </w:r>
    </w:p>
    <w:p w14:paraId="57BBD7AA">
      <w:pPr>
        <w:pStyle w:val="88"/>
        <w:widowControl/>
        <w:spacing w:line="360" w:lineRule="auto"/>
        <w:ind w:left="0" w:leftChars="0"/>
        <w:rPr>
          <w:rFonts w:hint="eastAsia" w:ascii="宋体" w:hAnsi="宋体" w:eastAsia="宋体" w:cs="宋体"/>
          <w:b w:val="0"/>
          <w:bCs w:val="0"/>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日　期：</w:t>
      </w:r>
    </w:p>
    <w:p w14:paraId="48A46B8C">
      <w:pPr>
        <w:pStyle w:val="88"/>
        <w:widowControl/>
        <w:spacing w:line="360" w:lineRule="auto"/>
        <w:ind w:left="0" w:leftChars="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说明：除可填报项目外，对本投标函的任何修改将被视为非实质性响应投标，从而导致该投标被拒绝。</w:t>
      </w:r>
    </w:p>
    <w:p w14:paraId="3D18A559">
      <w:pPr>
        <w:pStyle w:val="159"/>
        <w:jc w:val="center"/>
        <w:outlineLvl w:val="2"/>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98" w:name="_Toc256000037"/>
      <w:r>
        <w:rPr>
          <w:rFonts w:hint="eastAsia" w:ascii="宋体" w:hAnsi="宋体" w:eastAsia="宋体" w:cs="宋体"/>
          <w:color w:val="auto"/>
          <w:highlight w:val="none"/>
        </w:rPr>
        <w:t>开标一览表</w:t>
      </w:r>
      <w:bookmarkEnd w:id="98"/>
    </w:p>
    <w:p w14:paraId="26935C3A">
      <w:pPr>
        <w:pStyle w:val="159"/>
        <w:jc w:val="center"/>
        <w:outlineLvl w:val="2"/>
        <w:rPr>
          <w:rFonts w:hint="eastAsia" w:ascii="宋体" w:hAnsi="宋体" w:eastAsia="宋体" w:cs="宋体"/>
          <w:color w:val="auto"/>
          <w:highlight w:val="none"/>
        </w:rPr>
      </w:pPr>
    </w:p>
    <w:tbl>
      <w:tblPr>
        <w:tblStyle w:val="3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770"/>
      </w:tblGrid>
      <w:tr w14:paraId="5FF97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bottom w:val="single" w:color="auto" w:sz="4" w:space="0"/>
            </w:tcBorders>
            <w:noWrap w:val="0"/>
            <w:vAlign w:val="center"/>
          </w:tcPr>
          <w:p w14:paraId="4C4B6543">
            <w:pPr>
              <w:pStyle w:val="85"/>
              <w:keepNext w:val="0"/>
              <w:keepLines w:val="0"/>
              <w:suppressLineNumbers w:val="0"/>
              <w:tabs>
                <w:tab w:val="left" w:pos="1337"/>
              </w:tabs>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bCs/>
                <w:color w:val="auto"/>
                <w:sz w:val="24"/>
                <w:highlight w:val="none"/>
                <w:lang w:eastAsia="zh-CN"/>
              </w:rPr>
              <w:t>项目</w:t>
            </w:r>
            <w:r>
              <w:rPr>
                <w:rFonts w:hint="eastAsia" w:ascii="宋体" w:hAnsi="宋体" w:eastAsia="宋体" w:cs="宋体"/>
                <w:bCs/>
                <w:color w:val="auto"/>
                <w:sz w:val="24"/>
                <w:highlight w:val="none"/>
              </w:rPr>
              <w:t>名称</w:t>
            </w:r>
          </w:p>
        </w:tc>
        <w:tc>
          <w:tcPr>
            <w:tcW w:w="6770" w:type="dxa"/>
            <w:tcBorders>
              <w:bottom w:val="single" w:color="auto" w:sz="4" w:space="0"/>
            </w:tcBorders>
            <w:noWrap w:val="0"/>
            <w:vAlign w:val="center"/>
          </w:tcPr>
          <w:p w14:paraId="712AC48B">
            <w:pPr>
              <w:pStyle w:val="85"/>
              <w:keepNext w:val="0"/>
              <w:keepLines w:val="0"/>
              <w:suppressLineNumbers w:val="0"/>
              <w:tabs>
                <w:tab w:val="left" w:pos="1337"/>
              </w:tabs>
              <w:spacing w:before="0" w:beforeAutospacing="0" w:after="0" w:afterAutospacing="0" w:line="360" w:lineRule="auto"/>
              <w:ind w:left="0" w:right="0"/>
              <w:rPr>
                <w:rFonts w:hint="eastAsia" w:ascii="宋体" w:hAnsi="宋体" w:eastAsia="宋体" w:cs="宋体"/>
                <w:bCs/>
                <w:color w:val="auto"/>
                <w:sz w:val="24"/>
                <w:highlight w:val="none"/>
              </w:rPr>
            </w:pPr>
          </w:p>
        </w:tc>
      </w:tr>
      <w:tr w14:paraId="76045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410" w:type="dxa"/>
            <w:noWrap w:val="0"/>
            <w:vAlign w:val="center"/>
          </w:tcPr>
          <w:p w14:paraId="6475033D">
            <w:pPr>
              <w:pStyle w:val="85"/>
              <w:keepNext w:val="0"/>
              <w:keepLines w:val="0"/>
              <w:suppressLineNumbers w:val="0"/>
              <w:tabs>
                <w:tab w:val="left" w:pos="1337"/>
              </w:tabs>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bCs/>
                <w:color w:val="auto"/>
                <w:sz w:val="24"/>
                <w:highlight w:val="none"/>
              </w:rPr>
              <w:t>投 标 总 价</w:t>
            </w:r>
          </w:p>
        </w:tc>
        <w:tc>
          <w:tcPr>
            <w:tcW w:w="6770" w:type="dxa"/>
            <w:noWrap w:val="0"/>
            <w:vAlign w:val="top"/>
          </w:tcPr>
          <w:p w14:paraId="49401CD8">
            <w:pPr>
              <w:pStyle w:val="85"/>
              <w:keepNext w:val="0"/>
              <w:keepLines w:val="0"/>
              <w:suppressLineNumbers w:val="0"/>
              <w:tabs>
                <w:tab w:val="left" w:pos="1337"/>
              </w:tabs>
              <w:spacing w:before="0" w:beforeAutospacing="0" w:after="0" w:afterAutospacing="0" w:line="360" w:lineRule="auto"/>
              <w:ind w:left="0" w:right="0"/>
              <w:rPr>
                <w:rFonts w:hint="eastAsia" w:ascii="宋体" w:hAnsi="宋体" w:eastAsia="宋体" w:cs="宋体"/>
                <w:bCs/>
                <w:color w:val="auto"/>
                <w:sz w:val="24"/>
                <w:highlight w:val="none"/>
              </w:rPr>
            </w:pPr>
          </w:p>
          <w:p w14:paraId="12D1672C">
            <w:pPr>
              <w:pStyle w:val="85"/>
              <w:keepNext w:val="0"/>
              <w:keepLines w:val="0"/>
              <w:suppressLineNumbers w:val="0"/>
              <w:tabs>
                <w:tab w:val="left" w:pos="1337"/>
              </w:tabs>
              <w:spacing w:before="0" w:beforeAutospacing="0" w:after="0" w:afterAutospacing="0" w:line="360" w:lineRule="auto"/>
              <w:ind w:left="0" w:right="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小写：</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元</w:t>
            </w:r>
          </w:p>
          <w:p w14:paraId="722F16E9">
            <w:pPr>
              <w:pStyle w:val="85"/>
              <w:keepNext w:val="0"/>
              <w:keepLines w:val="0"/>
              <w:suppressLineNumbers w:val="0"/>
              <w:tabs>
                <w:tab w:val="left" w:pos="1337"/>
              </w:tabs>
              <w:spacing w:before="0" w:beforeAutospacing="0" w:after="0" w:afterAutospacing="0" w:line="360" w:lineRule="auto"/>
              <w:ind w:left="0" w:right="0"/>
              <w:rPr>
                <w:rFonts w:hint="eastAsia" w:ascii="宋体" w:hAnsi="宋体" w:eastAsia="宋体" w:cs="宋体"/>
                <w:bCs/>
                <w:color w:val="auto"/>
                <w:sz w:val="24"/>
                <w:highlight w:val="none"/>
              </w:rPr>
            </w:pPr>
          </w:p>
          <w:p w14:paraId="02A0BA45">
            <w:pPr>
              <w:pStyle w:val="85"/>
              <w:keepNext w:val="0"/>
              <w:keepLines w:val="0"/>
              <w:suppressLineNumbers w:val="0"/>
              <w:tabs>
                <w:tab w:val="left" w:pos="1337"/>
              </w:tabs>
              <w:spacing w:before="0" w:beforeAutospacing="0" w:after="0" w:afterAutospacing="0" w:line="360" w:lineRule="auto"/>
              <w:ind w:left="0" w:right="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大写：</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元</w:t>
            </w:r>
          </w:p>
          <w:p w14:paraId="364246F4">
            <w:pPr>
              <w:pStyle w:val="85"/>
              <w:keepNext w:val="0"/>
              <w:keepLines w:val="0"/>
              <w:suppressLineNumbers w:val="0"/>
              <w:tabs>
                <w:tab w:val="left" w:pos="1337"/>
              </w:tabs>
              <w:spacing w:before="0" w:beforeAutospacing="0" w:after="0" w:afterAutospacing="0" w:line="360" w:lineRule="auto"/>
              <w:ind w:left="0" w:right="0"/>
              <w:rPr>
                <w:rFonts w:hint="eastAsia" w:ascii="宋体" w:hAnsi="宋体" w:eastAsia="宋体" w:cs="宋体"/>
                <w:color w:val="auto"/>
                <w:sz w:val="24"/>
                <w:highlight w:val="none"/>
              </w:rPr>
            </w:pPr>
          </w:p>
        </w:tc>
      </w:tr>
      <w:tr w14:paraId="6EA5E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noWrap w:val="0"/>
            <w:vAlign w:val="top"/>
          </w:tcPr>
          <w:p w14:paraId="5ABC0B03">
            <w:pPr>
              <w:pStyle w:val="85"/>
              <w:keepNext w:val="0"/>
              <w:keepLines w:val="0"/>
              <w:suppressLineNumbers w:val="0"/>
              <w:tabs>
                <w:tab w:val="left" w:pos="1337"/>
              </w:tabs>
              <w:spacing w:before="0" w:beforeAutospacing="0" w:after="0" w:afterAutospacing="0" w:line="360" w:lineRule="auto"/>
              <w:ind w:left="0" w:right="0"/>
              <w:jc w:val="center"/>
              <w:rPr>
                <w:rFonts w:hint="default" w:ascii="宋体" w:hAnsi="宋体" w:eastAsia="宋体" w:cs="宋体"/>
                <w:color w:val="auto"/>
                <w:sz w:val="24"/>
                <w:highlight w:val="none"/>
                <w:lang w:val="en-US" w:eastAsia="zh-CN"/>
              </w:rPr>
            </w:pPr>
            <w:r>
              <w:rPr>
                <w:rFonts w:hint="eastAsia" w:ascii="宋体" w:hAnsi="宋体" w:cs="宋体"/>
                <w:bCs/>
                <w:color w:val="auto"/>
                <w:sz w:val="24"/>
                <w:highlight w:val="none"/>
                <w:lang w:val="en-US" w:eastAsia="zh-CN"/>
              </w:rPr>
              <w:t>服务周期</w:t>
            </w:r>
          </w:p>
        </w:tc>
        <w:tc>
          <w:tcPr>
            <w:tcW w:w="6770" w:type="dxa"/>
            <w:noWrap w:val="0"/>
            <w:vAlign w:val="top"/>
          </w:tcPr>
          <w:p w14:paraId="351773E8">
            <w:pPr>
              <w:pStyle w:val="85"/>
              <w:keepNext w:val="0"/>
              <w:keepLines w:val="0"/>
              <w:suppressLineNumbers w:val="0"/>
              <w:tabs>
                <w:tab w:val="left" w:pos="1337"/>
              </w:tabs>
              <w:spacing w:before="0" w:beforeAutospacing="0" w:after="0" w:afterAutospacing="0" w:line="360" w:lineRule="auto"/>
              <w:ind w:left="0" w:right="0"/>
              <w:rPr>
                <w:rFonts w:hint="eastAsia" w:ascii="宋体" w:hAnsi="宋体" w:eastAsia="宋体" w:cs="宋体"/>
                <w:color w:val="auto"/>
                <w:sz w:val="24"/>
                <w:highlight w:val="none"/>
              </w:rPr>
            </w:pPr>
          </w:p>
        </w:tc>
      </w:tr>
      <w:tr w14:paraId="0A18C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180" w:type="dxa"/>
            <w:gridSpan w:val="2"/>
            <w:noWrap w:val="0"/>
            <w:vAlign w:val="top"/>
          </w:tcPr>
          <w:p w14:paraId="48FC0A24">
            <w:pPr>
              <w:pStyle w:val="85"/>
              <w:keepNext w:val="0"/>
              <w:keepLines w:val="0"/>
              <w:suppressLineNumbers w:val="0"/>
              <w:tabs>
                <w:tab w:val="left" w:pos="1337"/>
              </w:tabs>
              <w:spacing w:before="0" w:beforeAutospacing="0" w:after="0" w:afterAutospacing="0" w:line="360" w:lineRule="auto"/>
              <w:ind w:left="0" w:right="0"/>
              <w:rPr>
                <w:rFonts w:hint="eastAsia" w:ascii="宋体" w:hAnsi="宋体" w:eastAsia="宋体" w:cs="宋体"/>
                <w:color w:val="auto"/>
                <w:sz w:val="24"/>
                <w:highlight w:val="none"/>
              </w:rPr>
            </w:pPr>
            <w:r>
              <w:rPr>
                <w:rFonts w:hint="eastAsia" w:ascii="宋体" w:hAnsi="宋体" w:eastAsia="宋体" w:cs="宋体"/>
                <w:bCs/>
                <w:color w:val="auto"/>
                <w:sz w:val="24"/>
                <w:highlight w:val="none"/>
              </w:rPr>
              <w:t>备注：</w:t>
            </w:r>
            <w:r>
              <w:rPr>
                <w:rFonts w:hint="eastAsia" w:ascii="宋体" w:hAnsi="宋体" w:eastAsia="宋体" w:cs="宋体"/>
                <w:color w:val="auto"/>
                <w:highlight w:val="none"/>
              </w:rPr>
              <w:t xml:space="preserve"> </w:t>
            </w:r>
          </w:p>
        </w:tc>
      </w:tr>
    </w:tbl>
    <w:p w14:paraId="41B815F8">
      <w:pPr>
        <w:pStyle w:val="222"/>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兹声明：以上投标报价在投标有效期内一直有效。</w:t>
      </w:r>
    </w:p>
    <w:p w14:paraId="2D3F0F75">
      <w:pPr>
        <w:pStyle w:val="88"/>
        <w:pageBreakBefore w:val="0"/>
        <w:widowControl/>
        <w:kinsoku/>
        <w:overflowPunct/>
        <w:topLinePunct w:val="0"/>
        <w:bidi w:val="0"/>
        <w:spacing w:line="360" w:lineRule="auto"/>
        <w:ind w:left="0" w:leftChars="0" w:firstLine="0" w:firstLineChars="0"/>
        <w:rPr>
          <w:rFonts w:hint="eastAsia" w:asciiTheme="minorEastAsia" w:hAnsiTheme="minorEastAsia" w:eastAsiaTheme="minorEastAsia" w:cstheme="minorEastAsia"/>
          <w:color w:val="auto"/>
          <w:spacing w:val="0"/>
          <w:position w:val="0"/>
          <w:sz w:val="24"/>
          <w:szCs w:val="24"/>
          <w:highlight w:val="none"/>
          <w:lang w:val="en-US" w:eastAsia="zh-CN" w:bidi="ar-SA"/>
        </w:rPr>
      </w:pPr>
      <w:r>
        <w:rPr>
          <w:rFonts w:hint="eastAsia" w:asciiTheme="minorEastAsia" w:hAnsiTheme="minorEastAsia" w:eastAsiaTheme="minorEastAsia" w:cstheme="minorEastAsia"/>
          <w:color w:val="auto"/>
          <w:spacing w:val="0"/>
          <w:position w:val="0"/>
          <w:sz w:val="24"/>
          <w:szCs w:val="24"/>
          <w:highlight w:val="none"/>
          <w:lang w:val="en-US" w:eastAsia="zh-CN" w:bidi="ar-SA"/>
        </w:rPr>
        <w:t xml:space="preserve">供应商名称（盖章）：                                          </w:t>
      </w:r>
    </w:p>
    <w:p w14:paraId="1F9F470F">
      <w:pPr>
        <w:pStyle w:val="223"/>
        <w:keepNext w:val="0"/>
        <w:keepLines w:val="0"/>
        <w:pageBreakBefore w:val="0"/>
        <w:kinsoku/>
        <w:overflowPunct/>
        <w:topLinePunct w:val="0"/>
        <w:bidi w:val="0"/>
        <w:adjustRightInd/>
        <w:spacing w:before="0" w:line="360" w:lineRule="auto"/>
        <w:textAlignment w:val="auto"/>
        <w:outlineLvl w:val="9"/>
        <w:rPr>
          <w:rFonts w:hint="eastAsia" w:asciiTheme="minorEastAsia" w:hAnsiTheme="minorEastAsia" w:eastAsiaTheme="minorEastAsia" w:cstheme="minorEastAsia"/>
          <w:b w:val="0"/>
          <w:bCs w:val="0"/>
          <w:color w:val="auto"/>
          <w:spacing w:val="0"/>
          <w:position w:val="0"/>
          <w:sz w:val="24"/>
          <w:szCs w:val="24"/>
          <w:highlight w:val="none"/>
          <w:lang w:val="en-US" w:eastAsia="zh-CN" w:bidi="ar-SA"/>
        </w:rPr>
      </w:pPr>
      <w:bookmarkStart w:id="99" w:name="_Toc7194"/>
      <w:r>
        <w:rPr>
          <w:rFonts w:hint="eastAsia" w:asciiTheme="minorEastAsia" w:hAnsiTheme="minorEastAsia" w:eastAsiaTheme="minorEastAsia" w:cstheme="minorEastAsia"/>
          <w:b w:val="0"/>
          <w:bCs w:val="0"/>
          <w:color w:val="auto"/>
          <w:spacing w:val="0"/>
          <w:position w:val="0"/>
          <w:sz w:val="24"/>
          <w:szCs w:val="24"/>
          <w:highlight w:val="none"/>
          <w:lang w:val="en-US" w:eastAsia="zh-CN" w:bidi="ar-SA"/>
        </w:rPr>
        <w:t>法定代表人或被授权代理人（签字或盖章）：</w:t>
      </w:r>
      <w:bookmarkEnd w:id="99"/>
      <w:r>
        <w:rPr>
          <w:rFonts w:hint="eastAsia" w:asciiTheme="minorEastAsia" w:hAnsiTheme="minorEastAsia" w:eastAsiaTheme="minorEastAsia" w:cstheme="minorEastAsia"/>
          <w:b w:val="0"/>
          <w:bCs w:val="0"/>
          <w:color w:val="auto"/>
          <w:spacing w:val="0"/>
          <w:position w:val="0"/>
          <w:sz w:val="24"/>
          <w:szCs w:val="24"/>
          <w:highlight w:val="none"/>
          <w:lang w:val="en-US" w:eastAsia="zh-CN" w:bidi="ar-SA"/>
        </w:rPr>
        <w:t xml:space="preserve">                    </w:t>
      </w:r>
    </w:p>
    <w:p w14:paraId="0BBD4C25">
      <w:pPr>
        <w:pStyle w:val="223"/>
        <w:keepNext w:val="0"/>
        <w:keepLines w:val="0"/>
        <w:pageBreakBefore w:val="0"/>
        <w:kinsoku/>
        <w:overflowPunct/>
        <w:topLinePunct w:val="0"/>
        <w:bidi w:val="0"/>
        <w:adjustRightInd/>
        <w:spacing w:before="0" w:line="360" w:lineRule="auto"/>
        <w:textAlignment w:val="auto"/>
        <w:outlineLvl w:val="9"/>
        <w:rPr>
          <w:rFonts w:hint="eastAsia" w:asciiTheme="minorEastAsia" w:hAnsiTheme="minorEastAsia" w:eastAsiaTheme="minorEastAsia" w:cstheme="minorEastAsia"/>
          <w:b w:val="0"/>
          <w:bCs w:val="0"/>
          <w:color w:val="auto"/>
          <w:spacing w:val="0"/>
          <w:position w:val="0"/>
          <w:sz w:val="24"/>
          <w:szCs w:val="24"/>
          <w:highlight w:val="none"/>
          <w:lang w:val="en-US" w:eastAsia="zh-CN" w:bidi="ar-SA"/>
        </w:rPr>
      </w:pPr>
      <w:bookmarkStart w:id="100" w:name="_Toc16506"/>
      <w:bookmarkStart w:id="101" w:name="_Toc18171"/>
      <w:r>
        <w:rPr>
          <w:rFonts w:hint="eastAsia" w:asciiTheme="minorEastAsia" w:hAnsiTheme="minorEastAsia" w:eastAsiaTheme="minorEastAsia" w:cstheme="minorEastAsia"/>
          <w:b w:val="0"/>
          <w:bCs w:val="0"/>
          <w:color w:val="auto"/>
          <w:spacing w:val="0"/>
          <w:position w:val="0"/>
          <w:sz w:val="24"/>
          <w:szCs w:val="24"/>
          <w:highlight w:val="none"/>
          <w:lang w:val="en-US" w:eastAsia="zh-CN" w:bidi="ar-SA"/>
        </w:rPr>
        <w:t>日期： 年 月 日</w:t>
      </w:r>
      <w:bookmarkEnd w:id="100"/>
      <w:bookmarkEnd w:id="101"/>
    </w:p>
    <w:p w14:paraId="7339C428">
      <w:pPr>
        <w:autoSpaceDE w:val="0"/>
        <w:autoSpaceDN w:val="0"/>
        <w:adjustRightInd w:val="0"/>
        <w:spacing w:line="360" w:lineRule="auto"/>
        <w:jc w:val="left"/>
        <w:rPr>
          <w:rFonts w:hint="eastAsia" w:asciiTheme="minorEastAsia" w:hAnsiTheme="minorEastAsia" w:eastAsiaTheme="minorEastAsia" w:cstheme="minorEastAsia"/>
          <w:color w:val="auto"/>
          <w:spacing w:val="0"/>
          <w:position w:val="0"/>
          <w:sz w:val="24"/>
          <w:szCs w:val="24"/>
          <w:highlight w:val="none"/>
          <w:lang w:val="en-US" w:eastAsia="zh-CN" w:bidi="ar-SA"/>
        </w:rPr>
      </w:pPr>
      <w:bookmarkStart w:id="102" w:name="_Toc9899"/>
      <w:bookmarkStart w:id="103" w:name="_Toc27557"/>
      <w:r>
        <w:rPr>
          <w:rFonts w:hint="eastAsia" w:asciiTheme="minorEastAsia" w:hAnsiTheme="minorEastAsia" w:eastAsiaTheme="minorEastAsia" w:cstheme="minorEastAsia"/>
          <w:color w:val="auto"/>
          <w:spacing w:val="0"/>
          <w:position w:val="0"/>
          <w:sz w:val="24"/>
          <w:szCs w:val="24"/>
          <w:highlight w:val="none"/>
          <w:lang w:val="en-US" w:eastAsia="zh-CN" w:bidi="ar-SA"/>
        </w:rPr>
        <w:t>注：</w:t>
      </w:r>
      <w:bookmarkEnd w:id="102"/>
      <w:bookmarkEnd w:id="103"/>
      <w:r>
        <w:rPr>
          <w:rFonts w:hint="eastAsia" w:asciiTheme="minorEastAsia" w:hAnsiTheme="minorEastAsia" w:eastAsiaTheme="minorEastAsia" w:cstheme="minorEastAsia"/>
          <w:color w:val="auto"/>
          <w:spacing w:val="0"/>
          <w:position w:val="0"/>
          <w:sz w:val="24"/>
          <w:szCs w:val="24"/>
          <w:highlight w:val="none"/>
          <w:lang w:val="en-US" w:eastAsia="zh-CN" w:bidi="ar-SA"/>
        </w:rPr>
        <w:t xml:space="preserve">1.表中大小写不一致时，以大写为准。     </w:t>
      </w:r>
    </w:p>
    <w:p w14:paraId="664FC472">
      <w:pPr>
        <w:autoSpaceDE w:val="0"/>
        <w:autoSpaceDN w:val="0"/>
        <w:adjustRightInd w:val="0"/>
        <w:spacing w:line="360" w:lineRule="auto"/>
        <w:jc w:val="left"/>
        <w:rPr>
          <w:rFonts w:hint="eastAsia" w:asciiTheme="minorEastAsia" w:hAnsiTheme="minorEastAsia" w:eastAsiaTheme="minorEastAsia" w:cstheme="minorEastAsia"/>
          <w:color w:val="auto"/>
          <w:spacing w:val="0"/>
          <w:position w:val="0"/>
          <w:sz w:val="24"/>
          <w:szCs w:val="24"/>
          <w:highlight w:val="none"/>
          <w:lang w:val="en-US" w:eastAsia="zh-CN" w:bidi="ar-SA"/>
        </w:rPr>
      </w:pPr>
      <w:r>
        <w:rPr>
          <w:rFonts w:hint="eastAsia" w:asciiTheme="minorEastAsia" w:hAnsiTheme="minorEastAsia" w:eastAsiaTheme="minorEastAsia" w:cstheme="minorEastAsia"/>
          <w:color w:val="auto"/>
          <w:spacing w:val="0"/>
          <w:position w:val="0"/>
          <w:sz w:val="24"/>
          <w:szCs w:val="24"/>
          <w:highlight w:val="none"/>
          <w:lang w:val="en-US" w:eastAsia="zh-CN" w:bidi="ar-SA"/>
        </w:rPr>
        <w:t xml:space="preserve">    2.投标总价为综合报价，包含完成本项目所需的全部费用及税费，招标人不承担后期所产生的其它任何费用。</w:t>
      </w:r>
    </w:p>
    <w:p w14:paraId="34269410">
      <w:pPr>
        <w:pStyle w:val="85"/>
        <w:spacing w:line="360" w:lineRule="auto"/>
        <w:ind w:firstLine="480" w:firstLineChars="200"/>
        <w:rPr>
          <w:rFonts w:hint="eastAsia" w:asciiTheme="minorEastAsia" w:hAnsiTheme="minorEastAsia" w:eastAsiaTheme="minorEastAsia" w:cstheme="minorEastAsia"/>
          <w:color w:val="auto"/>
          <w:spacing w:val="0"/>
          <w:position w:val="0"/>
          <w:sz w:val="24"/>
          <w:szCs w:val="24"/>
          <w:highlight w:val="none"/>
          <w:lang w:val="en-US" w:eastAsia="zh-CN" w:bidi="ar-SA"/>
        </w:rPr>
      </w:pPr>
      <w:r>
        <w:rPr>
          <w:rFonts w:hint="eastAsia" w:asciiTheme="minorEastAsia" w:hAnsiTheme="minorEastAsia" w:eastAsiaTheme="minorEastAsia" w:cstheme="minorEastAsia"/>
          <w:color w:val="auto"/>
          <w:spacing w:val="0"/>
          <w:position w:val="0"/>
          <w:sz w:val="24"/>
          <w:szCs w:val="24"/>
          <w:highlight w:val="none"/>
          <w:lang w:val="en-US" w:eastAsia="zh-CN" w:bidi="ar-SA"/>
        </w:rPr>
        <w:t>3.本表格式不得更改，供应商只能按要求填报，否则将被视为无效投标。</w:t>
      </w:r>
    </w:p>
    <w:p w14:paraId="31910489">
      <w:pPr>
        <w:pStyle w:val="85"/>
        <w:spacing w:line="360" w:lineRule="auto"/>
        <w:rPr>
          <w:rFonts w:hint="eastAsia" w:ascii="宋体" w:hAnsi="宋体" w:eastAsia="宋体" w:cs="宋体"/>
          <w:color w:val="auto"/>
          <w:sz w:val="24"/>
          <w:highlight w:val="none"/>
        </w:rPr>
      </w:pPr>
    </w:p>
    <w:p w14:paraId="265D20AD">
      <w:pPr>
        <w:pStyle w:val="85"/>
        <w:spacing w:line="360" w:lineRule="auto"/>
        <w:rPr>
          <w:rFonts w:hint="eastAsia" w:ascii="宋体" w:hAnsi="宋体" w:eastAsia="宋体" w:cs="宋体"/>
          <w:color w:val="auto"/>
          <w:sz w:val="24"/>
          <w:highlight w:val="none"/>
        </w:rPr>
      </w:pPr>
    </w:p>
    <w:p w14:paraId="7846A94C">
      <w:pPr>
        <w:pStyle w:val="152"/>
        <w:jc w:val="center"/>
        <w:outlineLvl w:val="2"/>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分项报价明细表</w:t>
      </w:r>
    </w:p>
    <w:p w14:paraId="082FFD9F">
      <w:pPr>
        <w:pStyle w:val="78"/>
        <w:spacing w:line="360" w:lineRule="auto"/>
        <w:ind w:left="0" w:leftChars="0" w:firstLine="0" w:firstLineChars="0"/>
        <w:rPr>
          <w:rFonts w:hint="eastAsia" w:ascii="宋体" w:hAnsi="宋体" w:eastAsia="宋体" w:cs="宋体"/>
          <w:color w:val="auto"/>
          <w:highlight w:val="none"/>
        </w:rPr>
      </w:pPr>
      <w:r>
        <w:rPr>
          <w:rFonts w:hint="eastAsia" w:hAnsi="宋体" w:eastAsia="宋体" w:cs="宋体"/>
          <w:color w:val="auto"/>
          <w:sz w:val="24"/>
          <w:highlight w:val="none"/>
          <w:lang w:eastAsia="zh-CN"/>
        </w:rPr>
        <w:t>项目名称</w:t>
      </w:r>
      <w:r>
        <w:rPr>
          <w:rFonts w:hint="eastAsia" w:ascii="宋体" w:hAnsi="宋体" w:eastAsia="宋体" w:cs="宋体"/>
          <w:color w:val="auto"/>
          <w:sz w:val="24"/>
          <w:highlight w:val="none"/>
        </w:rPr>
        <w:t xml:space="preserve">:                       </w:t>
      </w:r>
      <w:r>
        <w:rPr>
          <w:rFonts w:hint="eastAsia" w:hAnsi="宋体" w:eastAsia="宋体" w:cs="宋体"/>
          <w:color w:val="auto"/>
          <w:sz w:val="24"/>
          <w:highlight w:val="none"/>
          <w:lang w:eastAsia="zh-CN"/>
        </w:rPr>
        <w:t>招标编号</w:t>
      </w:r>
      <w:r>
        <w:rPr>
          <w:rFonts w:hint="eastAsia" w:ascii="宋体" w:hAnsi="宋体" w:eastAsia="宋体" w:cs="宋体"/>
          <w:color w:val="auto"/>
          <w:sz w:val="24"/>
          <w:highlight w:val="none"/>
        </w:rPr>
        <w:t xml:space="preserve">: </w:t>
      </w:r>
      <w:r>
        <w:rPr>
          <w:rFonts w:hint="eastAsia" w:ascii="宋体" w:hAnsi="宋体" w:eastAsia="宋体" w:cs="宋体"/>
          <w:color w:val="auto"/>
          <w:highlight w:val="none"/>
        </w:rPr>
        <w:t xml:space="preserve">                    </w:t>
      </w:r>
    </w:p>
    <w:tbl>
      <w:tblPr>
        <w:tblStyle w:val="3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420"/>
        <w:gridCol w:w="1966"/>
        <w:gridCol w:w="1426"/>
        <w:gridCol w:w="1058"/>
        <w:gridCol w:w="1058"/>
        <w:gridCol w:w="1988"/>
        <w:gridCol w:w="1358"/>
      </w:tblGrid>
      <w:tr w14:paraId="3053F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344" w:type="pct"/>
            <w:vAlign w:val="center"/>
          </w:tcPr>
          <w:p w14:paraId="3277AFB3">
            <w:pPr>
              <w:pStyle w:val="21"/>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198" w:type="pct"/>
            <w:gridSpan w:val="2"/>
            <w:vAlign w:val="center"/>
          </w:tcPr>
          <w:p w14:paraId="0CC67D2F">
            <w:pPr>
              <w:pStyle w:val="21"/>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4"/>
                <w:highlight w:val="none"/>
                <w:lang w:val="en-US" w:eastAsia="zh-CN"/>
              </w:rPr>
            </w:pPr>
            <w:r>
              <w:rPr>
                <w:rFonts w:hint="eastAsia" w:hAnsi="宋体" w:eastAsia="宋体" w:cs="宋体"/>
                <w:color w:val="auto"/>
                <w:sz w:val="24"/>
                <w:highlight w:val="none"/>
                <w:lang w:val="en-US" w:eastAsia="zh-CN"/>
              </w:rPr>
              <w:t>服务内容</w:t>
            </w:r>
          </w:p>
        </w:tc>
        <w:tc>
          <w:tcPr>
            <w:tcW w:w="716" w:type="pct"/>
            <w:vAlign w:val="center"/>
          </w:tcPr>
          <w:p w14:paraId="644BFAE6">
            <w:pPr>
              <w:pStyle w:val="21"/>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4"/>
                <w:highlight w:val="none"/>
                <w:lang w:val="en-US" w:eastAsia="zh-CN"/>
              </w:rPr>
            </w:pPr>
            <w:r>
              <w:rPr>
                <w:rFonts w:hint="eastAsia" w:hAnsi="宋体" w:eastAsia="宋体" w:cs="宋体"/>
                <w:color w:val="auto"/>
                <w:sz w:val="24"/>
                <w:highlight w:val="none"/>
                <w:lang w:val="en-US" w:eastAsia="zh-CN"/>
              </w:rPr>
              <w:t>技术要求</w:t>
            </w:r>
          </w:p>
        </w:tc>
        <w:tc>
          <w:tcPr>
            <w:tcW w:w="531" w:type="pct"/>
            <w:vAlign w:val="center"/>
          </w:tcPr>
          <w:p w14:paraId="069A232E">
            <w:pPr>
              <w:pStyle w:val="21"/>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531" w:type="pct"/>
            <w:vAlign w:val="center"/>
          </w:tcPr>
          <w:p w14:paraId="58AB2335">
            <w:pPr>
              <w:pStyle w:val="21"/>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998" w:type="pct"/>
            <w:vAlign w:val="center"/>
          </w:tcPr>
          <w:p w14:paraId="0D09EEDD">
            <w:pPr>
              <w:pStyle w:val="21"/>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合价</w:t>
            </w:r>
          </w:p>
        </w:tc>
        <w:tc>
          <w:tcPr>
            <w:tcW w:w="679" w:type="pct"/>
            <w:vAlign w:val="center"/>
          </w:tcPr>
          <w:p w14:paraId="32AED0FA">
            <w:pPr>
              <w:pStyle w:val="21"/>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00E60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344" w:type="pct"/>
            <w:vAlign w:val="center"/>
          </w:tcPr>
          <w:p w14:paraId="7D1A6919">
            <w:pPr>
              <w:pStyle w:val="21"/>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198" w:type="pct"/>
            <w:gridSpan w:val="2"/>
            <w:vAlign w:val="center"/>
          </w:tcPr>
          <w:p w14:paraId="7516AAD5">
            <w:pPr>
              <w:pStyle w:val="21"/>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highlight w:val="none"/>
              </w:rPr>
            </w:pPr>
          </w:p>
        </w:tc>
        <w:tc>
          <w:tcPr>
            <w:tcW w:w="716" w:type="pct"/>
            <w:vAlign w:val="center"/>
          </w:tcPr>
          <w:p w14:paraId="76AF4726">
            <w:pPr>
              <w:pStyle w:val="21"/>
              <w:keepNext w:val="0"/>
              <w:keepLines w:val="0"/>
              <w:suppressLineNumbers w:val="0"/>
              <w:adjustRightInd w:val="0"/>
              <w:snapToGrid w:val="0"/>
              <w:spacing w:before="0" w:beforeAutospacing="0" w:after="0" w:afterAutospacing="0"/>
              <w:ind w:left="0" w:right="0" w:hanging="540"/>
              <w:jc w:val="center"/>
              <w:rPr>
                <w:rFonts w:hint="eastAsia" w:ascii="宋体" w:hAnsi="宋体" w:eastAsia="宋体" w:cs="宋体"/>
                <w:color w:val="auto"/>
                <w:sz w:val="24"/>
                <w:highlight w:val="none"/>
              </w:rPr>
            </w:pPr>
          </w:p>
        </w:tc>
        <w:tc>
          <w:tcPr>
            <w:tcW w:w="531" w:type="pct"/>
            <w:vAlign w:val="center"/>
          </w:tcPr>
          <w:p w14:paraId="1F3B405A">
            <w:pPr>
              <w:pStyle w:val="21"/>
              <w:keepNext w:val="0"/>
              <w:keepLines w:val="0"/>
              <w:suppressLineNumbers w:val="0"/>
              <w:adjustRightInd w:val="0"/>
              <w:snapToGrid w:val="0"/>
              <w:spacing w:before="0" w:beforeAutospacing="0" w:after="0" w:afterAutospacing="0"/>
              <w:ind w:left="0" w:right="0" w:hanging="540"/>
              <w:jc w:val="center"/>
              <w:rPr>
                <w:rFonts w:hint="eastAsia" w:ascii="宋体" w:hAnsi="宋体" w:eastAsia="宋体" w:cs="宋体"/>
                <w:color w:val="auto"/>
                <w:sz w:val="24"/>
                <w:highlight w:val="none"/>
              </w:rPr>
            </w:pPr>
          </w:p>
        </w:tc>
        <w:tc>
          <w:tcPr>
            <w:tcW w:w="531" w:type="pct"/>
            <w:vAlign w:val="center"/>
          </w:tcPr>
          <w:p w14:paraId="79DBD150">
            <w:pPr>
              <w:pStyle w:val="21"/>
              <w:keepNext w:val="0"/>
              <w:keepLines w:val="0"/>
              <w:suppressLineNumbers w:val="0"/>
              <w:adjustRightInd w:val="0"/>
              <w:snapToGrid w:val="0"/>
              <w:spacing w:before="0" w:beforeAutospacing="0" w:after="0" w:afterAutospacing="0"/>
              <w:ind w:left="0" w:right="0" w:hanging="540"/>
              <w:jc w:val="center"/>
              <w:rPr>
                <w:rFonts w:hint="eastAsia" w:ascii="宋体" w:hAnsi="宋体" w:eastAsia="宋体" w:cs="宋体"/>
                <w:color w:val="auto"/>
                <w:sz w:val="24"/>
                <w:highlight w:val="none"/>
              </w:rPr>
            </w:pPr>
          </w:p>
        </w:tc>
        <w:tc>
          <w:tcPr>
            <w:tcW w:w="998" w:type="pct"/>
            <w:vAlign w:val="center"/>
          </w:tcPr>
          <w:p w14:paraId="21BCD347">
            <w:pPr>
              <w:pStyle w:val="21"/>
              <w:keepNext w:val="0"/>
              <w:keepLines w:val="0"/>
              <w:suppressLineNumbers w:val="0"/>
              <w:adjustRightInd w:val="0"/>
              <w:snapToGrid w:val="0"/>
              <w:spacing w:before="0" w:beforeAutospacing="0" w:after="0" w:afterAutospacing="0"/>
              <w:ind w:left="0" w:right="0" w:hanging="540"/>
              <w:jc w:val="center"/>
              <w:rPr>
                <w:rFonts w:hint="eastAsia" w:ascii="宋体" w:hAnsi="宋体" w:eastAsia="宋体" w:cs="宋体"/>
                <w:color w:val="auto"/>
                <w:sz w:val="24"/>
                <w:highlight w:val="none"/>
              </w:rPr>
            </w:pPr>
          </w:p>
        </w:tc>
        <w:tc>
          <w:tcPr>
            <w:tcW w:w="679" w:type="pct"/>
            <w:vAlign w:val="center"/>
          </w:tcPr>
          <w:p w14:paraId="15863110">
            <w:pPr>
              <w:pStyle w:val="21"/>
              <w:keepNext w:val="0"/>
              <w:keepLines w:val="0"/>
              <w:suppressLineNumbers w:val="0"/>
              <w:adjustRightInd w:val="0"/>
              <w:snapToGrid w:val="0"/>
              <w:spacing w:before="0" w:beforeAutospacing="0" w:after="0" w:afterAutospacing="0"/>
              <w:ind w:left="0" w:right="0" w:hanging="540"/>
              <w:jc w:val="center"/>
              <w:rPr>
                <w:rFonts w:hint="eastAsia" w:ascii="宋体" w:hAnsi="宋体" w:eastAsia="宋体" w:cs="宋体"/>
                <w:color w:val="auto"/>
                <w:sz w:val="24"/>
                <w:highlight w:val="none"/>
              </w:rPr>
            </w:pPr>
          </w:p>
        </w:tc>
      </w:tr>
      <w:tr w14:paraId="0DF96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344" w:type="pct"/>
            <w:vAlign w:val="center"/>
          </w:tcPr>
          <w:p w14:paraId="6A6DDAE8">
            <w:pPr>
              <w:pStyle w:val="21"/>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198" w:type="pct"/>
            <w:gridSpan w:val="2"/>
            <w:vAlign w:val="center"/>
          </w:tcPr>
          <w:p w14:paraId="2400BC05">
            <w:pPr>
              <w:pStyle w:val="21"/>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highlight w:val="none"/>
              </w:rPr>
            </w:pPr>
          </w:p>
        </w:tc>
        <w:tc>
          <w:tcPr>
            <w:tcW w:w="716" w:type="pct"/>
            <w:vAlign w:val="center"/>
          </w:tcPr>
          <w:p w14:paraId="7872D083">
            <w:pPr>
              <w:pStyle w:val="21"/>
              <w:keepNext w:val="0"/>
              <w:keepLines w:val="0"/>
              <w:suppressLineNumbers w:val="0"/>
              <w:adjustRightInd w:val="0"/>
              <w:snapToGrid w:val="0"/>
              <w:spacing w:before="0" w:beforeAutospacing="0" w:after="0" w:afterAutospacing="0"/>
              <w:ind w:left="0" w:right="0" w:hanging="540"/>
              <w:jc w:val="center"/>
              <w:rPr>
                <w:rFonts w:hint="eastAsia" w:ascii="宋体" w:hAnsi="宋体" w:eastAsia="宋体" w:cs="宋体"/>
                <w:color w:val="auto"/>
                <w:sz w:val="24"/>
                <w:highlight w:val="none"/>
              </w:rPr>
            </w:pPr>
          </w:p>
        </w:tc>
        <w:tc>
          <w:tcPr>
            <w:tcW w:w="531" w:type="pct"/>
            <w:vAlign w:val="center"/>
          </w:tcPr>
          <w:p w14:paraId="083DE8D0">
            <w:pPr>
              <w:pStyle w:val="21"/>
              <w:keepNext w:val="0"/>
              <w:keepLines w:val="0"/>
              <w:suppressLineNumbers w:val="0"/>
              <w:adjustRightInd w:val="0"/>
              <w:snapToGrid w:val="0"/>
              <w:spacing w:before="0" w:beforeAutospacing="0" w:after="0" w:afterAutospacing="0"/>
              <w:ind w:left="0" w:right="0" w:hanging="540"/>
              <w:jc w:val="center"/>
              <w:rPr>
                <w:rFonts w:hint="eastAsia" w:ascii="宋体" w:hAnsi="宋体" w:eastAsia="宋体" w:cs="宋体"/>
                <w:color w:val="auto"/>
                <w:sz w:val="24"/>
                <w:highlight w:val="none"/>
              </w:rPr>
            </w:pPr>
          </w:p>
        </w:tc>
        <w:tc>
          <w:tcPr>
            <w:tcW w:w="531" w:type="pct"/>
            <w:vAlign w:val="center"/>
          </w:tcPr>
          <w:p w14:paraId="2B2F8BBD">
            <w:pPr>
              <w:pStyle w:val="21"/>
              <w:keepNext w:val="0"/>
              <w:keepLines w:val="0"/>
              <w:suppressLineNumbers w:val="0"/>
              <w:adjustRightInd w:val="0"/>
              <w:snapToGrid w:val="0"/>
              <w:spacing w:before="0" w:beforeAutospacing="0" w:after="0" w:afterAutospacing="0"/>
              <w:ind w:left="0" w:right="0" w:hanging="540"/>
              <w:jc w:val="center"/>
              <w:rPr>
                <w:rFonts w:hint="eastAsia" w:ascii="宋体" w:hAnsi="宋体" w:eastAsia="宋体" w:cs="宋体"/>
                <w:color w:val="auto"/>
                <w:sz w:val="24"/>
                <w:highlight w:val="none"/>
              </w:rPr>
            </w:pPr>
          </w:p>
        </w:tc>
        <w:tc>
          <w:tcPr>
            <w:tcW w:w="998" w:type="pct"/>
            <w:vAlign w:val="center"/>
          </w:tcPr>
          <w:p w14:paraId="692DF671">
            <w:pPr>
              <w:pStyle w:val="21"/>
              <w:keepNext w:val="0"/>
              <w:keepLines w:val="0"/>
              <w:suppressLineNumbers w:val="0"/>
              <w:adjustRightInd w:val="0"/>
              <w:snapToGrid w:val="0"/>
              <w:spacing w:before="0" w:beforeAutospacing="0" w:after="0" w:afterAutospacing="0"/>
              <w:ind w:left="0" w:right="0" w:hanging="540"/>
              <w:jc w:val="center"/>
              <w:rPr>
                <w:rFonts w:hint="eastAsia" w:ascii="宋体" w:hAnsi="宋体" w:eastAsia="宋体" w:cs="宋体"/>
                <w:color w:val="auto"/>
                <w:sz w:val="24"/>
                <w:highlight w:val="none"/>
              </w:rPr>
            </w:pPr>
          </w:p>
        </w:tc>
        <w:tc>
          <w:tcPr>
            <w:tcW w:w="679" w:type="pct"/>
            <w:vAlign w:val="center"/>
          </w:tcPr>
          <w:p w14:paraId="4945B62C">
            <w:pPr>
              <w:pStyle w:val="21"/>
              <w:keepNext w:val="0"/>
              <w:keepLines w:val="0"/>
              <w:suppressLineNumbers w:val="0"/>
              <w:adjustRightInd w:val="0"/>
              <w:snapToGrid w:val="0"/>
              <w:spacing w:before="0" w:beforeAutospacing="0" w:after="0" w:afterAutospacing="0"/>
              <w:ind w:left="0" w:right="0" w:hanging="540"/>
              <w:jc w:val="center"/>
              <w:rPr>
                <w:rFonts w:hint="eastAsia" w:ascii="宋体" w:hAnsi="宋体" w:eastAsia="宋体" w:cs="宋体"/>
                <w:color w:val="auto"/>
                <w:sz w:val="24"/>
                <w:highlight w:val="none"/>
              </w:rPr>
            </w:pPr>
          </w:p>
        </w:tc>
      </w:tr>
      <w:tr w14:paraId="59003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344" w:type="pct"/>
            <w:vAlign w:val="center"/>
          </w:tcPr>
          <w:p w14:paraId="6D23A084">
            <w:pPr>
              <w:pStyle w:val="21"/>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198" w:type="pct"/>
            <w:gridSpan w:val="2"/>
            <w:vAlign w:val="center"/>
          </w:tcPr>
          <w:p w14:paraId="449320C1">
            <w:pPr>
              <w:pStyle w:val="21"/>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highlight w:val="none"/>
              </w:rPr>
            </w:pPr>
          </w:p>
        </w:tc>
        <w:tc>
          <w:tcPr>
            <w:tcW w:w="716" w:type="pct"/>
            <w:vAlign w:val="center"/>
          </w:tcPr>
          <w:p w14:paraId="79E01974">
            <w:pPr>
              <w:pStyle w:val="21"/>
              <w:keepNext w:val="0"/>
              <w:keepLines w:val="0"/>
              <w:suppressLineNumbers w:val="0"/>
              <w:adjustRightInd w:val="0"/>
              <w:snapToGrid w:val="0"/>
              <w:spacing w:before="0" w:beforeAutospacing="0" w:after="0" w:afterAutospacing="0"/>
              <w:ind w:left="0" w:right="0" w:hanging="540"/>
              <w:jc w:val="center"/>
              <w:rPr>
                <w:rFonts w:hint="eastAsia" w:ascii="宋体" w:hAnsi="宋体" w:eastAsia="宋体" w:cs="宋体"/>
                <w:color w:val="auto"/>
                <w:sz w:val="24"/>
                <w:highlight w:val="none"/>
              </w:rPr>
            </w:pPr>
          </w:p>
        </w:tc>
        <w:tc>
          <w:tcPr>
            <w:tcW w:w="531" w:type="pct"/>
            <w:vAlign w:val="center"/>
          </w:tcPr>
          <w:p w14:paraId="58A81048">
            <w:pPr>
              <w:pStyle w:val="21"/>
              <w:keepNext w:val="0"/>
              <w:keepLines w:val="0"/>
              <w:suppressLineNumbers w:val="0"/>
              <w:adjustRightInd w:val="0"/>
              <w:snapToGrid w:val="0"/>
              <w:spacing w:before="0" w:beforeAutospacing="0" w:after="0" w:afterAutospacing="0"/>
              <w:ind w:left="0" w:right="0" w:hanging="540"/>
              <w:jc w:val="center"/>
              <w:rPr>
                <w:rFonts w:hint="eastAsia" w:ascii="宋体" w:hAnsi="宋体" w:eastAsia="宋体" w:cs="宋体"/>
                <w:color w:val="auto"/>
                <w:sz w:val="24"/>
                <w:highlight w:val="none"/>
              </w:rPr>
            </w:pPr>
          </w:p>
        </w:tc>
        <w:tc>
          <w:tcPr>
            <w:tcW w:w="531" w:type="pct"/>
            <w:vAlign w:val="center"/>
          </w:tcPr>
          <w:p w14:paraId="4933034D">
            <w:pPr>
              <w:pStyle w:val="21"/>
              <w:keepNext w:val="0"/>
              <w:keepLines w:val="0"/>
              <w:suppressLineNumbers w:val="0"/>
              <w:adjustRightInd w:val="0"/>
              <w:snapToGrid w:val="0"/>
              <w:spacing w:before="0" w:beforeAutospacing="0" w:after="0" w:afterAutospacing="0"/>
              <w:ind w:left="0" w:right="0" w:hanging="540"/>
              <w:jc w:val="center"/>
              <w:rPr>
                <w:rFonts w:hint="eastAsia" w:ascii="宋体" w:hAnsi="宋体" w:eastAsia="宋体" w:cs="宋体"/>
                <w:color w:val="auto"/>
                <w:sz w:val="24"/>
                <w:highlight w:val="none"/>
              </w:rPr>
            </w:pPr>
          </w:p>
        </w:tc>
        <w:tc>
          <w:tcPr>
            <w:tcW w:w="998" w:type="pct"/>
            <w:vAlign w:val="center"/>
          </w:tcPr>
          <w:p w14:paraId="6EFAA662">
            <w:pPr>
              <w:pStyle w:val="21"/>
              <w:keepNext w:val="0"/>
              <w:keepLines w:val="0"/>
              <w:suppressLineNumbers w:val="0"/>
              <w:adjustRightInd w:val="0"/>
              <w:snapToGrid w:val="0"/>
              <w:spacing w:before="0" w:beforeAutospacing="0" w:after="0" w:afterAutospacing="0"/>
              <w:ind w:left="0" w:right="0" w:hanging="540"/>
              <w:jc w:val="center"/>
              <w:rPr>
                <w:rFonts w:hint="eastAsia" w:ascii="宋体" w:hAnsi="宋体" w:eastAsia="宋体" w:cs="宋体"/>
                <w:color w:val="auto"/>
                <w:sz w:val="24"/>
                <w:highlight w:val="none"/>
              </w:rPr>
            </w:pPr>
          </w:p>
        </w:tc>
        <w:tc>
          <w:tcPr>
            <w:tcW w:w="679" w:type="pct"/>
            <w:vAlign w:val="center"/>
          </w:tcPr>
          <w:p w14:paraId="303AE1F0">
            <w:pPr>
              <w:pStyle w:val="21"/>
              <w:keepNext w:val="0"/>
              <w:keepLines w:val="0"/>
              <w:suppressLineNumbers w:val="0"/>
              <w:adjustRightInd w:val="0"/>
              <w:snapToGrid w:val="0"/>
              <w:spacing w:before="0" w:beforeAutospacing="0" w:after="0" w:afterAutospacing="0"/>
              <w:ind w:left="0" w:right="0" w:hanging="540"/>
              <w:jc w:val="center"/>
              <w:rPr>
                <w:rFonts w:hint="eastAsia" w:ascii="宋体" w:hAnsi="宋体" w:eastAsia="宋体" w:cs="宋体"/>
                <w:color w:val="auto"/>
                <w:sz w:val="24"/>
                <w:highlight w:val="none"/>
              </w:rPr>
            </w:pPr>
          </w:p>
        </w:tc>
      </w:tr>
      <w:tr w14:paraId="4DDEA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555" w:type="pct"/>
            <w:gridSpan w:val="2"/>
            <w:vAlign w:val="center"/>
          </w:tcPr>
          <w:p w14:paraId="5B79F3D7">
            <w:pPr>
              <w:pStyle w:val="21"/>
              <w:keepNext w:val="0"/>
              <w:keepLines w:val="0"/>
              <w:suppressLineNumbers w:val="0"/>
              <w:adjustRightInd w:val="0"/>
              <w:snapToGrid w:val="0"/>
              <w:spacing w:before="0" w:beforeAutospacing="0" w:after="0" w:afterAutospacing="0"/>
              <w:ind w:left="0" w:right="0" w:firstLine="219"/>
              <w:jc w:val="left"/>
              <w:rPr>
                <w:rFonts w:hint="eastAsia" w:ascii="宋体" w:hAnsi="宋体" w:eastAsia="宋体" w:cs="宋体"/>
                <w:color w:val="auto"/>
                <w:sz w:val="24"/>
                <w:highlight w:val="none"/>
              </w:rPr>
            </w:pPr>
          </w:p>
        </w:tc>
        <w:tc>
          <w:tcPr>
            <w:tcW w:w="4444" w:type="pct"/>
            <w:gridSpan w:val="6"/>
            <w:vAlign w:val="center"/>
          </w:tcPr>
          <w:p w14:paraId="181568CB">
            <w:pPr>
              <w:pStyle w:val="21"/>
              <w:keepNext w:val="0"/>
              <w:keepLines w:val="0"/>
              <w:suppressLineNumbers w:val="0"/>
              <w:adjustRightInd w:val="0"/>
              <w:snapToGrid w:val="0"/>
              <w:spacing w:before="0" w:beforeAutospacing="0" w:after="0" w:afterAutospacing="0"/>
              <w:ind w:left="0" w:right="0" w:firstLine="219"/>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总价：</w:t>
            </w:r>
          </w:p>
        </w:tc>
      </w:tr>
    </w:tbl>
    <w:p w14:paraId="7E5FD130">
      <w:pPr>
        <w:pStyle w:val="88"/>
        <w:pageBreakBefore w:val="0"/>
        <w:widowControl/>
        <w:kinsoku/>
        <w:overflowPunct/>
        <w:topLinePunct w:val="0"/>
        <w:bidi w:val="0"/>
        <w:spacing w:line="360" w:lineRule="auto"/>
        <w:ind w:left="0" w:leftChars="0" w:firstLine="0" w:firstLineChars="0"/>
        <w:rPr>
          <w:rFonts w:hint="eastAsia" w:ascii="宋体" w:hAnsi="宋体" w:eastAsia="宋体" w:cs="宋体"/>
          <w:b w:val="0"/>
          <w:bCs/>
          <w:color w:val="auto"/>
          <w:spacing w:val="0"/>
          <w:position w:val="0"/>
          <w:sz w:val="24"/>
          <w:szCs w:val="24"/>
          <w:highlight w:val="none"/>
          <w:lang w:eastAsia="zh-CN"/>
        </w:rPr>
      </w:pPr>
    </w:p>
    <w:p w14:paraId="5A9CC09A">
      <w:pPr>
        <w:pStyle w:val="88"/>
        <w:pageBreakBefore w:val="0"/>
        <w:widowControl/>
        <w:kinsoku/>
        <w:overflowPunct/>
        <w:topLinePunct w:val="0"/>
        <w:bidi w:val="0"/>
        <w:spacing w:line="360" w:lineRule="auto"/>
        <w:ind w:left="0" w:leftChars="0" w:firstLine="0" w:firstLineChars="0"/>
        <w:rPr>
          <w:rFonts w:hint="eastAsia" w:ascii="宋体" w:hAnsi="宋体" w:eastAsia="宋体" w:cs="宋体"/>
          <w:b w:val="0"/>
          <w:bCs/>
          <w:color w:val="auto"/>
          <w:spacing w:val="0"/>
          <w:position w:val="0"/>
          <w:sz w:val="24"/>
          <w:szCs w:val="24"/>
          <w:highlight w:val="none"/>
          <w:lang w:eastAsia="zh-CN"/>
        </w:rPr>
      </w:pPr>
    </w:p>
    <w:p w14:paraId="2130399F">
      <w:pPr>
        <w:pStyle w:val="88"/>
        <w:pageBreakBefore w:val="0"/>
        <w:widowControl/>
        <w:kinsoku/>
        <w:overflowPunct/>
        <w:topLinePunct w:val="0"/>
        <w:bidi w:val="0"/>
        <w:spacing w:line="360" w:lineRule="auto"/>
        <w:ind w:left="0" w:leftChars="0" w:firstLine="0" w:firstLineChars="0"/>
        <w:rPr>
          <w:rFonts w:hint="eastAsia" w:asciiTheme="minorEastAsia" w:hAnsiTheme="minorEastAsia" w:eastAsiaTheme="minorEastAsia" w:cstheme="minorEastAsia"/>
          <w:b w:val="0"/>
          <w:bCs/>
          <w:color w:val="auto"/>
          <w:spacing w:val="0"/>
          <w:position w:val="0"/>
          <w:sz w:val="24"/>
          <w:highlight w:val="none"/>
        </w:rPr>
      </w:pPr>
      <w:r>
        <w:rPr>
          <w:rFonts w:hint="eastAsia" w:ascii="宋体" w:hAnsi="宋体" w:eastAsia="宋体" w:cs="宋体"/>
          <w:b w:val="0"/>
          <w:bCs/>
          <w:color w:val="auto"/>
          <w:spacing w:val="0"/>
          <w:position w:val="0"/>
          <w:sz w:val="24"/>
          <w:szCs w:val="24"/>
          <w:highlight w:val="none"/>
          <w:lang w:eastAsia="zh-CN"/>
        </w:rPr>
        <w:t>供应商</w:t>
      </w:r>
      <w:r>
        <w:rPr>
          <w:rFonts w:hint="eastAsia" w:ascii="宋体" w:hAnsi="宋体" w:eastAsia="宋体" w:cs="宋体"/>
          <w:b w:val="0"/>
          <w:bCs/>
          <w:color w:val="auto"/>
          <w:spacing w:val="0"/>
          <w:position w:val="0"/>
          <w:sz w:val="24"/>
          <w:szCs w:val="24"/>
          <w:highlight w:val="none"/>
        </w:rPr>
        <w:t xml:space="preserve">名称（盖章）：   </w:t>
      </w:r>
      <w:r>
        <w:rPr>
          <w:rFonts w:hint="eastAsia" w:ascii="宋体" w:hAnsi="宋体" w:eastAsia="宋体" w:cs="宋体"/>
          <w:b w:val="0"/>
          <w:bCs/>
          <w:color w:val="auto"/>
          <w:spacing w:val="0"/>
          <w:position w:val="0"/>
          <w:sz w:val="24"/>
          <w:szCs w:val="24"/>
          <w:highlight w:val="none"/>
          <w:u w:val="single"/>
        </w:rPr>
        <w:t xml:space="preserve">                   </w:t>
      </w:r>
      <w:r>
        <w:rPr>
          <w:rFonts w:hint="eastAsia" w:ascii="宋体" w:hAnsi="宋体" w:eastAsia="宋体" w:cs="宋体"/>
          <w:b w:val="0"/>
          <w:bCs/>
          <w:color w:val="auto"/>
          <w:spacing w:val="0"/>
          <w:position w:val="0"/>
          <w:sz w:val="24"/>
          <w:szCs w:val="24"/>
          <w:highlight w:val="none"/>
        </w:rPr>
        <w:t xml:space="preserve">                    </w:t>
      </w:r>
    </w:p>
    <w:p w14:paraId="3625A43C">
      <w:pPr>
        <w:pStyle w:val="82"/>
        <w:pageBreakBefore w:val="0"/>
        <w:kinsoku/>
        <w:overflowPunct/>
        <w:topLinePunct w:val="0"/>
        <w:bidi w:val="0"/>
        <w:spacing w:line="360" w:lineRule="auto"/>
        <w:rPr>
          <w:rFonts w:hint="eastAsia" w:asciiTheme="minorEastAsia" w:hAnsiTheme="minorEastAsia" w:eastAsiaTheme="minorEastAsia" w:cstheme="minorEastAsia"/>
          <w:b w:val="0"/>
          <w:bCs/>
          <w:color w:val="auto"/>
          <w:spacing w:val="0"/>
          <w:position w:val="0"/>
          <w:sz w:val="24"/>
          <w:highlight w:val="none"/>
        </w:rPr>
      </w:pPr>
      <w:r>
        <w:rPr>
          <w:rFonts w:hint="eastAsia" w:asciiTheme="minorEastAsia" w:hAnsiTheme="minorEastAsia" w:eastAsiaTheme="minorEastAsia" w:cstheme="minorEastAsia"/>
          <w:b w:val="0"/>
          <w:bCs/>
          <w:color w:val="auto"/>
          <w:spacing w:val="0"/>
          <w:position w:val="0"/>
          <w:sz w:val="24"/>
          <w:highlight w:val="none"/>
        </w:rPr>
        <w:t>法定代表人</w:t>
      </w:r>
      <w:r>
        <w:rPr>
          <w:rFonts w:hint="eastAsia" w:asciiTheme="minorEastAsia" w:hAnsiTheme="minorEastAsia" w:eastAsiaTheme="minorEastAsia" w:cstheme="minorEastAsia"/>
          <w:b w:val="0"/>
          <w:bCs/>
          <w:color w:val="auto"/>
          <w:spacing w:val="0"/>
          <w:position w:val="0"/>
          <w:sz w:val="24"/>
          <w:highlight w:val="none"/>
          <w:lang w:eastAsia="zh-CN"/>
        </w:rPr>
        <w:t>或被授权代理人</w:t>
      </w:r>
      <w:r>
        <w:rPr>
          <w:rFonts w:hint="eastAsia" w:asciiTheme="minorEastAsia" w:hAnsiTheme="minorEastAsia" w:eastAsiaTheme="minorEastAsia" w:cstheme="minorEastAsia"/>
          <w:b w:val="0"/>
          <w:bCs/>
          <w:color w:val="auto"/>
          <w:spacing w:val="0"/>
          <w:position w:val="0"/>
          <w:sz w:val="24"/>
          <w:highlight w:val="none"/>
        </w:rPr>
        <w:t xml:space="preserve">（签字或盖章）： </w:t>
      </w:r>
      <w:r>
        <w:rPr>
          <w:rFonts w:hint="eastAsia" w:asciiTheme="minorEastAsia" w:hAnsiTheme="minorEastAsia" w:eastAsiaTheme="minorEastAsia" w:cstheme="minorEastAsia"/>
          <w:b w:val="0"/>
          <w:bCs/>
          <w:color w:val="auto"/>
          <w:spacing w:val="0"/>
          <w:position w:val="0"/>
          <w:sz w:val="24"/>
          <w:highlight w:val="none"/>
          <w:u w:val="single"/>
        </w:rPr>
        <w:t xml:space="preserve">                   </w:t>
      </w:r>
    </w:p>
    <w:p w14:paraId="55D834DC">
      <w:pPr>
        <w:pStyle w:val="82"/>
        <w:pageBreakBefore w:val="0"/>
        <w:kinsoku/>
        <w:overflowPunct/>
        <w:topLinePunct w:val="0"/>
        <w:bidi w:val="0"/>
        <w:spacing w:line="360" w:lineRule="auto"/>
        <w:ind w:right="480"/>
        <w:rPr>
          <w:rFonts w:hint="eastAsia" w:asciiTheme="minorEastAsia" w:hAnsiTheme="minorEastAsia" w:eastAsiaTheme="minorEastAsia" w:cstheme="minorEastAsia"/>
          <w:b w:val="0"/>
          <w:bCs/>
          <w:color w:val="auto"/>
          <w:spacing w:val="0"/>
          <w:position w:val="0"/>
          <w:sz w:val="24"/>
          <w:highlight w:val="none"/>
        </w:rPr>
      </w:pPr>
      <w:r>
        <w:rPr>
          <w:rFonts w:hint="eastAsia" w:asciiTheme="minorEastAsia" w:hAnsiTheme="minorEastAsia" w:eastAsiaTheme="minorEastAsia" w:cstheme="minorEastAsia"/>
          <w:b w:val="0"/>
          <w:bCs w:val="0"/>
          <w:color w:val="auto"/>
          <w:spacing w:val="0"/>
          <w:position w:val="0"/>
          <w:sz w:val="24"/>
          <w:szCs w:val="24"/>
          <w:highlight w:val="none"/>
          <w:lang w:val="en-US" w:eastAsia="zh-CN" w:bidi="ar-SA"/>
        </w:rPr>
        <w:t>日期： 年 月 日</w:t>
      </w:r>
    </w:p>
    <w:p w14:paraId="0E345ABF">
      <w:pPr>
        <w:pStyle w:val="79"/>
        <w:spacing w:line="360" w:lineRule="auto"/>
        <w:ind w:right="480" w:firstLine="6360" w:firstLineChars="265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                                       </w:t>
      </w:r>
    </w:p>
    <w:p w14:paraId="3EB43C9D">
      <w:pPr>
        <w:pStyle w:val="79"/>
        <w:spacing w:line="360" w:lineRule="auto"/>
        <w:ind w:right="480"/>
        <w:rPr>
          <w:rFonts w:hint="eastAsia" w:ascii="宋体" w:hAnsi="宋体" w:eastAsia="宋体" w:cs="宋体"/>
          <w:color w:val="auto"/>
          <w:szCs w:val="21"/>
          <w:highlight w:val="none"/>
        </w:rPr>
      </w:pPr>
    </w:p>
    <w:p w14:paraId="3D1069D4">
      <w:pPr>
        <w:pStyle w:val="133"/>
        <w:jc w:val="center"/>
        <w:outlineLvl w:val="2"/>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lang w:eastAsia="zh-CN"/>
        </w:rPr>
        <w:t>商务条款偏离说明表</w:t>
      </w:r>
    </w:p>
    <w:p w14:paraId="1F0CB3C3">
      <w:pPr>
        <w:pStyle w:val="185"/>
        <w:pageBreakBefore w:val="0"/>
        <w:kinsoku/>
        <w:overflowPunct/>
        <w:topLinePunct w:val="0"/>
        <w:bidi w:val="0"/>
        <w:outlineLvl w:val="2"/>
        <w:rPr>
          <w:rFonts w:hint="eastAsia" w:asciiTheme="minorEastAsia" w:hAnsiTheme="minorEastAsia" w:eastAsiaTheme="minorEastAsia" w:cstheme="minorEastAsia"/>
          <w:color w:val="auto"/>
          <w:spacing w:val="0"/>
          <w:position w:val="0"/>
          <w:sz w:val="24"/>
          <w:szCs w:val="21"/>
          <w:highlight w:val="none"/>
          <w:lang w:val="en-US" w:eastAsia="zh-CN"/>
        </w:rPr>
      </w:pPr>
    </w:p>
    <w:p w14:paraId="4D17DCF0">
      <w:pPr>
        <w:pStyle w:val="121"/>
        <w:pageBreakBefore w:val="0"/>
        <w:kinsoku/>
        <w:overflowPunct/>
        <w:topLinePunct w:val="0"/>
        <w:bidi w:val="0"/>
        <w:rPr>
          <w:rFonts w:hint="eastAsia" w:asciiTheme="minorEastAsia" w:hAnsiTheme="minorEastAsia" w:eastAsiaTheme="minorEastAsia" w:cstheme="minorEastAsia"/>
          <w:color w:val="auto"/>
          <w:spacing w:val="0"/>
          <w:position w:val="0"/>
          <w:sz w:val="24"/>
          <w:szCs w:val="32"/>
          <w:highlight w:val="none"/>
          <w:lang w:eastAsia="zh-CN"/>
        </w:rPr>
      </w:pPr>
      <w:r>
        <w:rPr>
          <w:rFonts w:hint="eastAsia" w:hAnsi="宋体" w:eastAsia="宋体" w:cs="宋体"/>
          <w:color w:val="auto"/>
          <w:sz w:val="24"/>
          <w:highlight w:val="none"/>
          <w:lang w:eastAsia="zh-CN"/>
        </w:rPr>
        <w:t>项目名称</w:t>
      </w:r>
      <w:r>
        <w:rPr>
          <w:rFonts w:hint="eastAsia" w:ascii="宋体" w:hAnsi="宋体" w:eastAsia="宋体" w:cs="宋体"/>
          <w:color w:val="auto"/>
          <w:sz w:val="24"/>
          <w:highlight w:val="none"/>
        </w:rPr>
        <w:t xml:space="preserve">:                       </w:t>
      </w:r>
      <w:r>
        <w:rPr>
          <w:rFonts w:hint="eastAsia" w:hAnsi="宋体" w:eastAsia="宋体" w:cs="宋体"/>
          <w:color w:val="auto"/>
          <w:sz w:val="24"/>
          <w:highlight w:val="none"/>
          <w:lang w:eastAsia="zh-CN"/>
        </w:rPr>
        <w:t>招标编号</w:t>
      </w:r>
      <w:r>
        <w:rPr>
          <w:rFonts w:hint="eastAsia" w:ascii="宋体" w:hAnsi="宋体" w:eastAsia="宋体" w:cs="宋体"/>
          <w:color w:val="auto"/>
          <w:sz w:val="24"/>
          <w:highlight w:val="none"/>
        </w:rPr>
        <w:t xml:space="preserve">:   </w:t>
      </w:r>
    </w:p>
    <w:tbl>
      <w:tblPr>
        <w:tblStyle w:val="3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14:paraId="3E4B2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noWrap w:val="0"/>
            <w:vAlign w:val="center"/>
          </w:tcPr>
          <w:p w14:paraId="6597206D">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序号</w:t>
            </w:r>
          </w:p>
        </w:tc>
        <w:tc>
          <w:tcPr>
            <w:tcW w:w="1602" w:type="dxa"/>
            <w:noWrap w:val="0"/>
            <w:vAlign w:val="center"/>
          </w:tcPr>
          <w:p w14:paraId="165E21F4">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lang w:eastAsia="zh-CN"/>
              </w:rPr>
              <w:t>招标</w:t>
            </w:r>
            <w:r>
              <w:rPr>
                <w:rFonts w:hint="eastAsia" w:asciiTheme="minorEastAsia" w:hAnsiTheme="minorEastAsia" w:eastAsiaTheme="minorEastAsia" w:cstheme="minorEastAsia"/>
                <w:color w:val="auto"/>
                <w:spacing w:val="0"/>
                <w:position w:val="0"/>
                <w:sz w:val="24"/>
                <w:szCs w:val="24"/>
                <w:highlight w:val="none"/>
              </w:rPr>
              <w:t>文件</w:t>
            </w:r>
          </w:p>
          <w:p w14:paraId="751075BD">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条目号</w:t>
            </w:r>
          </w:p>
        </w:tc>
        <w:tc>
          <w:tcPr>
            <w:tcW w:w="2458" w:type="dxa"/>
            <w:noWrap w:val="0"/>
            <w:vAlign w:val="center"/>
          </w:tcPr>
          <w:p w14:paraId="3D05F2AA">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lang w:eastAsia="zh-CN"/>
              </w:rPr>
              <w:t>招标文件</w:t>
            </w:r>
            <w:r>
              <w:rPr>
                <w:rFonts w:hint="eastAsia" w:asciiTheme="minorEastAsia" w:hAnsiTheme="minorEastAsia" w:eastAsiaTheme="minorEastAsia" w:cstheme="minorEastAsia"/>
                <w:color w:val="auto"/>
                <w:spacing w:val="0"/>
                <w:position w:val="0"/>
                <w:sz w:val="24"/>
                <w:szCs w:val="24"/>
                <w:highlight w:val="none"/>
              </w:rPr>
              <w:t>的商务条款</w:t>
            </w:r>
          </w:p>
        </w:tc>
        <w:tc>
          <w:tcPr>
            <w:tcW w:w="2885" w:type="dxa"/>
            <w:noWrap w:val="0"/>
            <w:vAlign w:val="center"/>
          </w:tcPr>
          <w:p w14:paraId="3F161DC5">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lang w:eastAsia="zh-CN"/>
              </w:rPr>
              <w:t>投标</w:t>
            </w:r>
            <w:r>
              <w:rPr>
                <w:rFonts w:hint="eastAsia" w:asciiTheme="minorEastAsia" w:hAnsiTheme="minorEastAsia" w:eastAsiaTheme="minorEastAsia" w:cstheme="minorEastAsia"/>
                <w:color w:val="auto"/>
                <w:spacing w:val="0"/>
                <w:position w:val="0"/>
                <w:sz w:val="24"/>
                <w:szCs w:val="24"/>
                <w:highlight w:val="none"/>
              </w:rPr>
              <w:t>文件的商务条款</w:t>
            </w:r>
          </w:p>
        </w:tc>
        <w:tc>
          <w:tcPr>
            <w:tcW w:w="2018" w:type="dxa"/>
            <w:noWrap w:val="0"/>
            <w:vAlign w:val="center"/>
          </w:tcPr>
          <w:p w14:paraId="4433E8FB">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lang w:val="en-US" w:eastAsia="zh-CN"/>
              </w:rPr>
              <w:t>偏离</w:t>
            </w:r>
            <w:r>
              <w:rPr>
                <w:rFonts w:hint="eastAsia" w:asciiTheme="minorEastAsia" w:hAnsiTheme="minorEastAsia" w:eastAsiaTheme="minorEastAsia" w:cstheme="minorEastAsia"/>
                <w:color w:val="auto"/>
                <w:spacing w:val="0"/>
                <w:position w:val="0"/>
                <w:sz w:val="24"/>
                <w:szCs w:val="24"/>
                <w:highlight w:val="none"/>
              </w:rPr>
              <w:t>说明</w:t>
            </w:r>
          </w:p>
        </w:tc>
      </w:tr>
      <w:tr w14:paraId="56A26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6089ABB4">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w:t>
            </w:r>
          </w:p>
        </w:tc>
        <w:tc>
          <w:tcPr>
            <w:tcW w:w="1602" w:type="dxa"/>
            <w:noWrap w:val="0"/>
            <w:vAlign w:val="center"/>
          </w:tcPr>
          <w:p w14:paraId="7BEF4D74">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c>
          <w:tcPr>
            <w:tcW w:w="2458" w:type="dxa"/>
            <w:noWrap w:val="0"/>
            <w:vAlign w:val="center"/>
          </w:tcPr>
          <w:p w14:paraId="6A157A20">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c>
          <w:tcPr>
            <w:tcW w:w="2885" w:type="dxa"/>
            <w:noWrap w:val="0"/>
            <w:vAlign w:val="center"/>
          </w:tcPr>
          <w:p w14:paraId="01A6828F">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c>
          <w:tcPr>
            <w:tcW w:w="2018" w:type="dxa"/>
            <w:noWrap w:val="0"/>
            <w:vAlign w:val="center"/>
          </w:tcPr>
          <w:p w14:paraId="4CD5644B">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r>
      <w:tr w14:paraId="73E4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91" w:type="dxa"/>
            <w:noWrap w:val="0"/>
            <w:vAlign w:val="center"/>
          </w:tcPr>
          <w:p w14:paraId="115C1F82">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w:t>
            </w:r>
          </w:p>
        </w:tc>
        <w:tc>
          <w:tcPr>
            <w:tcW w:w="1602" w:type="dxa"/>
            <w:noWrap w:val="0"/>
            <w:vAlign w:val="center"/>
          </w:tcPr>
          <w:p w14:paraId="2EE3D7B4">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c>
          <w:tcPr>
            <w:tcW w:w="2458" w:type="dxa"/>
            <w:noWrap w:val="0"/>
            <w:vAlign w:val="center"/>
          </w:tcPr>
          <w:p w14:paraId="328C5EDF">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c>
          <w:tcPr>
            <w:tcW w:w="2885" w:type="dxa"/>
            <w:noWrap w:val="0"/>
            <w:vAlign w:val="center"/>
          </w:tcPr>
          <w:p w14:paraId="6A4B4A9C">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c>
          <w:tcPr>
            <w:tcW w:w="2018" w:type="dxa"/>
            <w:noWrap w:val="0"/>
            <w:vAlign w:val="center"/>
          </w:tcPr>
          <w:p w14:paraId="1BA4B383">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r>
      <w:tr w14:paraId="78B63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23E0CEAD">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3</w:t>
            </w:r>
          </w:p>
        </w:tc>
        <w:tc>
          <w:tcPr>
            <w:tcW w:w="1602" w:type="dxa"/>
            <w:noWrap w:val="0"/>
            <w:vAlign w:val="center"/>
          </w:tcPr>
          <w:p w14:paraId="735EA5D4">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c>
          <w:tcPr>
            <w:tcW w:w="2458" w:type="dxa"/>
            <w:noWrap w:val="0"/>
            <w:vAlign w:val="center"/>
          </w:tcPr>
          <w:p w14:paraId="756FAC7F">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c>
          <w:tcPr>
            <w:tcW w:w="2885" w:type="dxa"/>
            <w:noWrap w:val="0"/>
            <w:vAlign w:val="center"/>
          </w:tcPr>
          <w:p w14:paraId="30647825">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c>
          <w:tcPr>
            <w:tcW w:w="2018" w:type="dxa"/>
            <w:noWrap w:val="0"/>
            <w:vAlign w:val="center"/>
          </w:tcPr>
          <w:p w14:paraId="62B7C081">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r>
      <w:tr w14:paraId="2F16D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1D59117C">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4</w:t>
            </w:r>
          </w:p>
        </w:tc>
        <w:tc>
          <w:tcPr>
            <w:tcW w:w="1602" w:type="dxa"/>
            <w:noWrap w:val="0"/>
            <w:vAlign w:val="center"/>
          </w:tcPr>
          <w:p w14:paraId="04B08212">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c>
          <w:tcPr>
            <w:tcW w:w="2458" w:type="dxa"/>
            <w:noWrap w:val="0"/>
            <w:vAlign w:val="center"/>
          </w:tcPr>
          <w:p w14:paraId="685106EB">
            <w:pPr>
              <w:pStyle w:val="224"/>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kern w:val="2"/>
                <w:position w:val="0"/>
                <w:sz w:val="24"/>
                <w:szCs w:val="24"/>
                <w:highlight w:val="none"/>
              </w:rPr>
            </w:pPr>
          </w:p>
        </w:tc>
        <w:tc>
          <w:tcPr>
            <w:tcW w:w="2885" w:type="dxa"/>
            <w:noWrap w:val="0"/>
            <w:vAlign w:val="center"/>
          </w:tcPr>
          <w:p w14:paraId="33387740">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c>
          <w:tcPr>
            <w:tcW w:w="2018" w:type="dxa"/>
            <w:noWrap w:val="0"/>
            <w:vAlign w:val="center"/>
          </w:tcPr>
          <w:p w14:paraId="733B02AF">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r>
      <w:tr w14:paraId="38DA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16105454">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5</w:t>
            </w:r>
          </w:p>
        </w:tc>
        <w:tc>
          <w:tcPr>
            <w:tcW w:w="1602" w:type="dxa"/>
            <w:noWrap w:val="0"/>
            <w:vAlign w:val="center"/>
          </w:tcPr>
          <w:p w14:paraId="38ACBEEC">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c>
          <w:tcPr>
            <w:tcW w:w="2458" w:type="dxa"/>
            <w:noWrap w:val="0"/>
            <w:vAlign w:val="center"/>
          </w:tcPr>
          <w:p w14:paraId="43028882">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c>
          <w:tcPr>
            <w:tcW w:w="2885" w:type="dxa"/>
            <w:noWrap w:val="0"/>
            <w:vAlign w:val="center"/>
          </w:tcPr>
          <w:p w14:paraId="1BA635F8">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c>
          <w:tcPr>
            <w:tcW w:w="2018" w:type="dxa"/>
            <w:noWrap w:val="0"/>
            <w:vAlign w:val="center"/>
          </w:tcPr>
          <w:p w14:paraId="3C5CCD9B">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r>
      <w:tr w14:paraId="013E5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370432EE">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6</w:t>
            </w:r>
          </w:p>
        </w:tc>
        <w:tc>
          <w:tcPr>
            <w:tcW w:w="1602" w:type="dxa"/>
            <w:noWrap w:val="0"/>
            <w:vAlign w:val="center"/>
          </w:tcPr>
          <w:p w14:paraId="52EB31A8">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c>
          <w:tcPr>
            <w:tcW w:w="2458" w:type="dxa"/>
            <w:noWrap w:val="0"/>
            <w:vAlign w:val="center"/>
          </w:tcPr>
          <w:p w14:paraId="31E22C8F">
            <w:pPr>
              <w:keepNext w:val="0"/>
              <w:keepLines w:val="0"/>
              <w:pageBreakBefore w:val="0"/>
              <w:suppressLineNumbers w:val="0"/>
              <w:kinsoku/>
              <w:overflowPunct/>
              <w:topLinePunct w:val="0"/>
              <w:bidi w:val="0"/>
              <w:snapToGrid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c>
          <w:tcPr>
            <w:tcW w:w="2885" w:type="dxa"/>
            <w:noWrap w:val="0"/>
            <w:vAlign w:val="center"/>
          </w:tcPr>
          <w:p w14:paraId="0A5B847F">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c>
          <w:tcPr>
            <w:tcW w:w="2018" w:type="dxa"/>
            <w:noWrap w:val="0"/>
            <w:vAlign w:val="center"/>
          </w:tcPr>
          <w:p w14:paraId="76D9FBAF">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r>
      <w:tr w14:paraId="084A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43601EDF">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7</w:t>
            </w:r>
          </w:p>
        </w:tc>
        <w:tc>
          <w:tcPr>
            <w:tcW w:w="1602" w:type="dxa"/>
            <w:noWrap w:val="0"/>
            <w:vAlign w:val="center"/>
          </w:tcPr>
          <w:p w14:paraId="153E8D2F">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c>
          <w:tcPr>
            <w:tcW w:w="2458" w:type="dxa"/>
            <w:noWrap w:val="0"/>
            <w:vAlign w:val="center"/>
          </w:tcPr>
          <w:p w14:paraId="0D43B824">
            <w:pPr>
              <w:keepNext w:val="0"/>
              <w:keepLines w:val="0"/>
              <w:pageBreakBefore w:val="0"/>
              <w:suppressLineNumbers w:val="0"/>
              <w:kinsoku/>
              <w:overflowPunct/>
              <w:topLinePunct w:val="0"/>
              <w:bidi w:val="0"/>
              <w:snapToGrid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c>
          <w:tcPr>
            <w:tcW w:w="2885" w:type="dxa"/>
            <w:noWrap w:val="0"/>
            <w:vAlign w:val="center"/>
          </w:tcPr>
          <w:p w14:paraId="72458AD7">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c>
          <w:tcPr>
            <w:tcW w:w="2018" w:type="dxa"/>
            <w:noWrap w:val="0"/>
            <w:vAlign w:val="center"/>
          </w:tcPr>
          <w:p w14:paraId="282E21CB">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r>
      <w:tr w14:paraId="4E3A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0ADF16BC">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8</w:t>
            </w:r>
          </w:p>
        </w:tc>
        <w:tc>
          <w:tcPr>
            <w:tcW w:w="1602" w:type="dxa"/>
            <w:noWrap w:val="0"/>
            <w:vAlign w:val="center"/>
          </w:tcPr>
          <w:p w14:paraId="0C30B340">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c>
          <w:tcPr>
            <w:tcW w:w="2458" w:type="dxa"/>
            <w:noWrap w:val="0"/>
            <w:vAlign w:val="center"/>
          </w:tcPr>
          <w:p w14:paraId="449002FA">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c>
          <w:tcPr>
            <w:tcW w:w="2885" w:type="dxa"/>
            <w:noWrap w:val="0"/>
            <w:vAlign w:val="center"/>
          </w:tcPr>
          <w:p w14:paraId="1A8192BB">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c>
          <w:tcPr>
            <w:tcW w:w="2018" w:type="dxa"/>
            <w:noWrap w:val="0"/>
            <w:vAlign w:val="center"/>
          </w:tcPr>
          <w:p w14:paraId="65B3E842">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r>
      <w:tr w14:paraId="77D0F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2C40E98F">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9</w:t>
            </w:r>
          </w:p>
        </w:tc>
        <w:tc>
          <w:tcPr>
            <w:tcW w:w="1602" w:type="dxa"/>
            <w:noWrap w:val="0"/>
            <w:vAlign w:val="center"/>
          </w:tcPr>
          <w:p w14:paraId="1BBAF6FD">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c>
          <w:tcPr>
            <w:tcW w:w="2458" w:type="dxa"/>
            <w:noWrap w:val="0"/>
            <w:vAlign w:val="center"/>
          </w:tcPr>
          <w:p w14:paraId="39F0DE86">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c>
          <w:tcPr>
            <w:tcW w:w="2885" w:type="dxa"/>
            <w:noWrap w:val="0"/>
            <w:vAlign w:val="center"/>
          </w:tcPr>
          <w:p w14:paraId="316E34B9">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c>
          <w:tcPr>
            <w:tcW w:w="2018" w:type="dxa"/>
            <w:noWrap w:val="0"/>
            <w:vAlign w:val="center"/>
          </w:tcPr>
          <w:p w14:paraId="349097D1">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r>
      <w:tr w14:paraId="6FC78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6129B513">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w:t>
            </w:r>
          </w:p>
        </w:tc>
        <w:tc>
          <w:tcPr>
            <w:tcW w:w="1602" w:type="dxa"/>
            <w:noWrap w:val="0"/>
            <w:vAlign w:val="center"/>
          </w:tcPr>
          <w:p w14:paraId="4410DE73">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c>
          <w:tcPr>
            <w:tcW w:w="2458" w:type="dxa"/>
            <w:noWrap w:val="0"/>
            <w:vAlign w:val="center"/>
          </w:tcPr>
          <w:p w14:paraId="2779A099">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c>
          <w:tcPr>
            <w:tcW w:w="2885" w:type="dxa"/>
            <w:noWrap w:val="0"/>
            <w:vAlign w:val="center"/>
          </w:tcPr>
          <w:p w14:paraId="2EA574B3">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c>
          <w:tcPr>
            <w:tcW w:w="2018" w:type="dxa"/>
            <w:noWrap w:val="0"/>
            <w:vAlign w:val="center"/>
          </w:tcPr>
          <w:p w14:paraId="4C879C80">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r>
    </w:tbl>
    <w:p w14:paraId="0A87A5AB">
      <w:pPr>
        <w:pStyle w:val="88"/>
        <w:pageBreakBefore w:val="0"/>
        <w:widowControl/>
        <w:kinsoku/>
        <w:overflowPunct/>
        <w:topLinePunct w:val="0"/>
        <w:bidi w:val="0"/>
        <w:spacing w:line="360" w:lineRule="auto"/>
        <w:ind w:left="0" w:leftChars="0" w:firstLine="0" w:firstLineChars="0"/>
        <w:rPr>
          <w:rFonts w:hint="eastAsia" w:asciiTheme="minorEastAsia" w:hAnsiTheme="minorEastAsia" w:eastAsiaTheme="minorEastAsia" w:cstheme="minorEastAsia"/>
          <w:b w:val="0"/>
          <w:bCs/>
          <w:color w:val="auto"/>
          <w:spacing w:val="0"/>
          <w:position w:val="0"/>
          <w:sz w:val="24"/>
          <w:highlight w:val="none"/>
          <w:lang w:eastAsia="zh-CN"/>
        </w:rPr>
      </w:pPr>
      <w:r>
        <w:rPr>
          <w:rFonts w:hint="eastAsia" w:asciiTheme="minorEastAsia" w:hAnsiTheme="minorEastAsia" w:eastAsiaTheme="minorEastAsia" w:cstheme="minorEastAsia"/>
          <w:b w:val="0"/>
          <w:bCs/>
          <w:color w:val="auto"/>
          <w:spacing w:val="0"/>
          <w:position w:val="0"/>
          <w:sz w:val="24"/>
          <w:highlight w:val="none"/>
          <w:lang w:eastAsia="zh-CN"/>
        </w:rPr>
        <w:t>注：</w:t>
      </w:r>
      <w:r>
        <w:rPr>
          <w:rFonts w:hint="eastAsia" w:asciiTheme="minorEastAsia" w:hAnsiTheme="minorEastAsia" w:eastAsiaTheme="minorEastAsia" w:cstheme="minorEastAsia"/>
          <w:color w:val="auto"/>
          <w:spacing w:val="0"/>
          <w:position w:val="0"/>
          <w:sz w:val="24"/>
          <w:szCs w:val="24"/>
          <w:highlight w:val="none"/>
          <w:lang w:eastAsia="zh-CN"/>
        </w:rPr>
        <w:t>招标文件</w:t>
      </w:r>
      <w:r>
        <w:rPr>
          <w:rFonts w:hint="eastAsia" w:asciiTheme="minorEastAsia" w:hAnsiTheme="minorEastAsia" w:eastAsiaTheme="minorEastAsia" w:cstheme="minorEastAsia"/>
          <w:color w:val="auto"/>
          <w:spacing w:val="0"/>
          <w:position w:val="0"/>
          <w:sz w:val="24"/>
          <w:szCs w:val="24"/>
          <w:highlight w:val="none"/>
        </w:rPr>
        <w:t>的商务条款</w:t>
      </w:r>
      <w:r>
        <w:rPr>
          <w:rFonts w:hint="eastAsia" w:asciiTheme="minorEastAsia" w:hAnsiTheme="minorEastAsia" w:eastAsiaTheme="minorEastAsia" w:cstheme="minorEastAsia"/>
          <w:b w:val="0"/>
          <w:bCs/>
          <w:color w:val="auto"/>
          <w:spacing w:val="0"/>
          <w:position w:val="0"/>
          <w:sz w:val="24"/>
          <w:highlight w:val="none"/>
          <w:lang w:eastAsia="zh-CN"/>
        </w:rPr>
        <w:t>须在该表中逐一列明，并在“</w:t>
      </w:r>
      <w:r>
        <w:rPr>
          <w:rFonts w:hint="eastAsia" w:asciiTheme="minorEastAsia" w:hAnsiTheme="minorEastAsia" w:eastAsiaTheme="minorEastAsia" w:cstheme="minorEastAsia"/>
          <w:color w:val="auto"/>
          <w:spacing w:val="0"/>
          <w:position w:val="0"/>
          <w:sz w:val="24"/>
          <w:szCs w:val="24"/>
          <w:highlight w:val="none"/>
          <w:lang w:eastAsia="zh-CN"/>
        </w:rPr>
        <w:t>招标文件</w:t>
      </w:r>
      <w:r>
        <w:rPr>
          <w:rFonts w:hint="eastAsia" w:asciiTheme="minorEastAsia" w:hAnsiTheme="minorEastAsia" w:eastAsiaTheme="minorEastAsia" w:cstheme="minorEastAsia"/>
          <w:color w:val="auto"/>
          <w:spacing w:val="0"/>
          <w:position w:val="0"/>
          <w:sz w:val="24"/>
          <w:szCs w:val="24"/>
          <w:highlight w:val="none"/>
        </w:rPr>
        <w:t>的商务条款</w:t>
      </w:r>
      <w:r>
        <w:rPr>
          <w:rFonts w:hint="eastAsia" w:asciiTheme="minorEastAsia" w:hAnsiTheme="minorEastAsia" w:eastAsiaTheme="minorEastAsia" w:cstheme="minorEastAsia"/>
          <w:b w:val="0"/>
          <w:bCs/>
          <w:color w:val="auto"/>
          <w:spacing w:val="0"/>
          <w:position w:val="0"/>
          <w:sz w:val="24"/>
          <w:highlight w:val="none"/>
          <w:lang w:eastAsia="zh-CN"/>
        </w:rPr>
        <w:t>”栏填写具体应答内容，在“偏离说明”中说明偏离具体情形。若无偏离请在“</w:t>
      </w:r>
      <w:r>
        <w:rPr>
          <w:rFonts w:hint="eastAsia" w:asciiTheme="minorEastAsia" w:hAnsiTheme="minorEastAsia" w:eastAsiaTheme="minorEastAsia" w:cstheme="minorEastAsia"/>
          <w:color w:val="auto"/>
          <w:spacing w:val="0"/>
          <w:position w:val="0"/>
          <w:sz w:val="24"/>
          <w:szCs w:val="24"/>
          <w:highlight w:val="none"/>
          <w:lang w:eastAsia="zh-CN"/>
        </w:rPr>
        <w:t>投标</w:t>
      </w:r>
      <w:r>
        <w:rPr>
          <w:rFonts w:hint="eastAsia" w:asciiTheme="minorEastAsia" w:hAnsiTheme="minorEastAsia" w:eastAsiaTheme="minorEastAsia" w:cstheme="minorEastAsia"/>
          <w:color w:val="auto"/>
          <w:spacing w:val="0"/>
          <w:position w:val="0"/>
          <w:sz w:val="24"/>
          <w:szCs w:val="24"/>
          <w:highlight w:val="none"/>
        </w:rPr>
        <w:t>文件的商务条款</w:t>
      </w:r>
      <w:r>
        <w:rPr>
          <w:rFonts w:hint="eastAsia" w:asciiTheme="minorEastAsia" w:hAnsiTheme="minorEastAsia" w:eastAsiaTheme="minorEastAsia" w:cstheme="minorEastAsia"/>
          <w:b w:val="0"/>
          <w:bCs/>
          <w:color w:val="auto"/>
          <w:spacing w:val="0"/>
          <w:position w:val="0"/>
          <w:sz w:val="24"/>
          <w:highlight w:val="none"/>
          <w:lang w:eastAsia="zh-CN"/>
        </w:rPr>
        <w:t>”中填写“无偏离”。</w:t>
      </w:r>
    </w:p>
    <w:p w14:paraId="4714A597">
      <w:pPr>
        <w:pStyle w:val="89"/>
        <w:rPr>
          <w:rFonts w:hint="eastAsia"/>
          <w:color w:val="auto"/>
          <w:highlight w:val="none"/>
          <w:lang w:eastAsia="zh-CN"/>
        </w:rPr>
      </w:pPr>
    </w:p>
    <w:p w14:paraId="24682024">
      <w:pPr>
        <w:pStyle w:val="88"/>
        <w:pageBreakBefore w:val="0"/>
        <w:widowControl/>
        <w:kinsoku/>
        <w:overflowPunct/>
        <w:topLinePunct w:val="0"/>
        <w:bidi w:val="0"/>
        <w:spacing w:line="360" w:lineRule="auto"/>
        <w:ind w:left="0" w:leftChars="0" w:firstLine="0" w:firstLineChars="0"/>
        <w:rPr>
          <w:rFonts w:hint="eastAsia" w:asciiTheme="minorEastAsia" w:hAnsiTheme="minorEastAsia" w:eastAsiaTheme="minorEastAsia" w:cstheme="minorEastAsia"/>
          <w:b w:val="0"/>
          <w:bCs/>
          <w:color w:val="auto"/>
          <w:spacing w:val="0"/>
          <w:position w:val="0"/>
          <w:sz w:val="24"/>
          <w:highlight w:val="none"/>
        </w:rPr>
      </w:pPr>
      <w:r>
        <w:rPr>
          <w:rFonts w:hint="eastAsia" w:asciiTheme="minorEastAsia" w:hAnsiTheme="minorEastAsia" w:eastAsiaTheme="minorEastAsia" w:cstheme="minorEastAsia"/>
          <w:b w:val="0"/>
          <w:bCs/>
          <w:color w:val="auto"/>
          <w:spacing w:val="0"/>
          <w:position w:val="0"/>
          <w:sz w:val="24"/>
          <w:highlight w:val="none"/>
          <w:lang w:eastAsia="zh-CN"/>
        </w:rPr>
        <w:t>供应商</w:t>
      </w:r>
      <w:r>
        <w:rPr>
          <w:rFonts w:hint="eastAsia" w:asciiTheme="minorEastAsia" w:hAnsiTheme="minorEastAsia" w:eastAsiaTheme="minorEastAsia" w:cstheme="minorEastAsia"/>
          <w:b w:val="0"/>
          <w:bCs/>
          <w:color w:val="auto"/>
          <w:spacing w:val="0"/>
          <w:position w:val="0"/>
          <w:sz w:val="24"/>
          <w:highlight w:val="none"/>
        </w:rPr>
        <w:t xml:space="preserve">名称（盖章）：   </w:t>
      </w:r>
      <w:r>
        <w:rPr>
          <w:rFonts w:hint="eastAsia" w:asciiTheme="minorEastAsia" w:hAnsiTheme="minorEastAsia" w:eastAsiaTheme="minorEastAsia" w:cstheme="minorEastAsia"/>
          <w:b w:val="0"/>
          <w:bCs/>
          <w:color w:val="auto"/>
          <w:spacing w:val="0"/>
          <w:position w:val="0"/>
          <w:sz w:val="24"/>
          <w:highlight w:val="none"/>
          <w:u w:val="single"/>
        </w:rPr>
        <w:t xml:space="preserve">                   </w:t>
      </w:r>
      <w:r>
        <w:rPr>
          <w:rFonts w:hint="eastAsia" w:asciiTheme="minorEastAsia" w:hAnsiTheme="minorEastAsia" w:eastAsiaTheme="minorEastAsia" w:cstheme="minorEastAsia"/>
          <w:b w:val="0"/>
          <w:bCs/>
          <w:color w:val="auto"/>
          <w:spacing w:val="0"/>
          <w:position w:val="0"/>
          <w:sz w:val="24"/>
          <w:highlight w:val="none"/>
        </w:rPr>
        <w:t xml:space="preserve">                    </w:t>
      </w:r>
    </w:p>
    <w:p w14:paraId="1EB6697B">
      <w:pPr>
        <w:pStyle w:val="82"/>
        <w:pageBreakBefore w:val="0"/>
        <w:kinsoku/>
        <w:overflowPunct/>
        <w:topLinePunct w:val="0"/>
        <w:bidi w:val="0"/>
        <w:spacing w:line="360" w:lineRule="auto"/>
        <w:rPr>
          <w:rFonts w:hint="eastAsia" w:asciiTheme="minorEastAsia" w:hAnsiTheme="minorEastAsia" w:eastAsiaTheme="minorEastAsia" w:cstheme="minorEastAsia"/>
          <w:b w:val="0"/>
          <w:bCs/>
          <w:color w:val="auto"/>
          <w:spacing w:val="0"/>
          <w:position w:val="0"/>
          <w:sz w:val="24"/>
          <w:highlight w:val="none"/>
        </w:rPr>
      </w:pPr>
      <w:r>
        <w:rPr>
          <w:rFonts w:hint="eastAsia" w:asciiTheme="minorEastAsia" w:hAnsiTheme="minorEastAsia" w:eastAsiaTheme="minorEastAsia" w:cstheme="minorEastAsia"/>
          <w:b w:val="0"/>
          <w:bCs/>
          <w:color w:val="auto"/>
          <w:spacing w:val="0"/>
          <w:position w:val="0"/>
          <w:sz w:val="24"/>
          <w:highlight w:val="none"/>
        </w:rPr>
        <w:t>法定代表人</w:t>
      </w:r>
      <w:r>
        <w:rPr>
          <w:rFonts w:hint="eastAsia" w:asciiTheme="minorEastAsia" w:hAnsiTheme="minorEastAsia" w:eastAsiaTheme="minorEastAsia" w:cstheme="minorEastAsia"/>
          <w:b w:val="0"/>
          <w:bCs/>
          <w:color w:val="auto"/>
          <w:spacing w:val="0"/>
          <w:position w:val="0"/>
          <w:sz w:val="24"/>
          <w:highlight w:val="none"/>
          <w:lang w:eastAsia="zh-CN"/>
        </w:rPr>
        <w:t>或被授权代理人</w:t>
      </w:r>
      <w:r>
        <w:rPr>
          <w:rFonts w:hint="eastAsia" w:asciiTheme="minorEastAsia" w:hAnsiTheme="minorEastAsia" w:eastAsiaTheme="minorEastAsia" w:cstheme="minorEastAsia"/>
          <w:b w:val="0"/>
          <w:bCs/>
          <w:color w:val="auto"/>
          <w:spacing w:val="0"/>
          <w:position w:val="0"/>
          <w:sz w:val="24"/>
          <w:highlight w:val="none"/>
        </w:rPr>
        <w:t xml:space="preserve">（签字或盖章）： </w:t>
      </w:r>
      <w:r>
        <w:rPr>
          <w:rFonts w:hint="eastAsia" w:asciiTheme="minorEastAsia" w:hAnsiTheme="minorEastAsia" w:eastAsiaTheme="minorEastAsia" w:cstheme="minorEastAsia"/>
          <w:b w:val="0"/>
          <w:bCs/>
          <w:color w:val="auto"/>
          <w:spacing w:val="0"/>
          <w:position w:val="0"/>
          <w:sz w:val="24"/>
          <w:highlight w:val="none"/>
          <w:u w:val="single"/>
        </w:rPr>
        <w:t xml:space="preserve">                   </w:t>
      </w:r>
    </w:p>
    <w:p w14:paraId="430EA3CC">
      <w:pPr>
        <w:pStyle w:val="183"/>
        <w:jc w:val="center"/>
        <w:outlineLvl w:val="2"/>
        <w:rPr>
          <w:rFonts w:hint="eastAsia" w:ascii="宋体" w:hAnsi="宋体" w:eastAsia="宋体" w:cs="宋体"/>
          <w:color w:val="auto"/>
          <w:highlight w:val="none"/>
        </w:rPr>
      </w:pPr>
      <w:r>
        <w:rPr>
          <w:rFonts w:hint="eastAsia" w:asciiTheme="minorEastAsia" w:hAnsiTheme="minorEastAsia" w:eastAsiaTheme="minorEastAsia" w:cstheme="minorEastAsia"/>
          <w:b w:val="0"/>
          <w:bCs w:val="0"/>
          <w:color w:val="auto"/>
          <w:spacing w:val="0"/>
          <w:position w:val="0"/>
          <w:sz w:val="24"/>
          <w:szCs w:val="24"/>
          <w:highlight w:val="none"/>
          <w:lang w:val="en-US" w:eastAsia="zh-CN" w:bidi="ar-SA"/>
        </w:rPr>
        <w:t>日期： 年 月 日</w:t>
      </w:r>
      <w:r>
        <w:rPr>
          <w:rFonts w:hint="eastAsia" w:ascii="宋体" w:hAnsi="宋体" w:eastAsia="宋体" w:cs="宋体"/>
          <w:color w:val="auto"/>
          <w:highlight w:val="none"/>
        </w:rPr>
        <w:br w:type="page"/>
      </w:r>
      <w:r>
        <w:rPr>
          <w:rFonts w:hint="eastAsia" w:ascii="宋体" w:hAnsi="宋体" w:eastAsia="宋体" w:cs="宋体"/>
          <w:color w:val="auto"/>
          <w:highlight w:val="none"/>
        </w:rPr>
        <w:t>技术</w:t>
      </w:r>
      <w:r>
        <w:rPr>
          <w:rFonts w:hint="eastAsia" w:ascii="宋体" w:hAnsi="宋体" w:eastAsia="宋体" w:cs="宋体"/>
          <w:color w:val="auto"/>
          <w:highlight w:val="none"/>
          <w:lang w:val="en-US" w:eastAsia="zh-CN"/>
        </w:rPr>
        <w:t>参数</w:t>
      </w:r>
      <w:r>
        <w:rPr>
          <w:rFonts w:hint="eastAsia" w:ascii="宋体" w:hAnsi="宋体" w:eastAsia="宋体" w:cs="宋体"/>
          <w:color w:val="auto"/>
          <w:highlight w:val="none"/>
        </w:rPr>
        <w:t>偏离表</w:t>
      </w:r>
    </w:p>
    <w:p w14:paraId="31A9EC3B">
      <w:pPr>
        <w:pStyle w:val="147"/>
        <w:pageBreakBefore w:val="0"/>
        <w:tabs>
          <w:tab w:val="left" w:pos="5580"/>
        </w:tabs>
        <w:kinsoku/>
        <w:overflowPunct/>
        <w:topLinePunct w:val="0"/>
        <w:bidi w:val="0"/>
        <w:spacing w:line="360" w:lineRule="auto"/>
        <w:jc w:val="left"/>
        <w:rPr>
          <w:rFonts w:hint="eastAsia" w:asciiTheme="minorEastAsia" w:hAnsiTheme="minorEastAsia" w:eastAsiaTheme="minorEastAsia" w:cstheme="minorEastAsia"/>
          <w:b/>
          <w:color w:val="auto"/>
          <w:spacing w:val="0"/>
          <w:position w:val="0"/>
          <w:sz w:val="24"/>
          <w:szCs w:val="24"/>
          <w:highlight w:val="none"/>
        </w:rPr>
      </w:pPr>
    </w:p>
    <w:p w14:paraId="4F524A15">
      <w:pPr>
        <w:pStyle w:val="94"/>
        <w:pageBreakBefore w:val="0"/>
        <w:kinsoku/>
        <w:overflowPunct/>
        <w:topLinePunct w:val="0"/>
        <w:bidi w:val="0"/>
        <w:spacing w:line="360" w:lineRule="auto"/>
        <w:ind w:left="0" w:leftChars="0"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hAnsi="宋体" w:eastAsia="宋体" w:cs="宋体"/>
          <w:color w:val="auto"/>
          <w:sz w:val="24"/>
          <w:highlight w:val="none"/>
          <w:lang w:eastAsia="zh-CN"/>
        </w:rPr>
        <w:t>项目名称</w:t>
      </w:r>
      <w:r>
        <w:rPr>
          <w:rFonts w:hint="eastAsia" w:ascii="宋体" w:hAnsi="宋体" w:eastAsia="宋体" w:cs="宋体"/>
          <w:color w:val="auto"/>
          <w:sz w:val="24"/>
          <w:highlight w:val="none"/>
        </w:rPr>
        <w:t xml:space="preserve">:                       </w:t>
      </w:r>
      <w:r>
        <w:rPr>
          <w:rFonts w:hint="eastAsia" w:hAnsi="宋体" w:eastAsia="宋体" w:cs="宋体"/>
          <w:color w:val="auto"/>
          <w:sz w:val="24"/>
          <w:highlight w:val="none"/>
          <w:lang w:eastAsia="zh-CN"/>
        </w:rPr>
        <w:t>招标编号</w:t>
      </w:r>
      <w:r>
        <w:rPr>
          <w:rFonts w:hint="eastAsia" w:ascii="宋体" w:hAnsi="宋体" w:eastAsia="宋体" w:cs="宋体"/>
          <w:color w:val="auto"/>
          <w:sz w:val="24"/>
          <w:highlight w:val="none"/>
        </w:rPr>
        <w:t xml:space="preserve">: </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1407"/>
        <w:gridCol w:w="2044"/>
        <w:gridCol w:w="1791"/>
        <w:gridCol w:w="2010"/>
      </w:tblGrid>
      <w:tr w14:paraId="44EAA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642" w:type="dxa"/>
            <w:noWrap w:val="0"/>
            <w:vAlign w:val="center"/>
          </w:tcPr>
          <w:p w14:paraId="4F2EA6ED">
            <w:pPr>
              <w:pStyle w:val="21"/>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407" w:type="dxa"/>
            <w:noWrap w:val="0"/>
            <w:vAlign w:val="center"/>
          </w:tcPr>
          <w:p w14:paraId="3A93D0D2">
            <w:pPr>
              <w:pStyle w:val="21"/>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hAnsi="宋体" w:eastAsia="宋体" w:cs="宋体"/>
                <w:color w:val="auto"/>
                <w:szCs w:val="21"/>
                <w:highlight w:val="none"/>
                <w:lang w:val="en-US" w:eastAsia="zh-CN"/>
              </w:rPr>
              <w:t>服务项目技术参数</w:t>
            </w:r>
          </w:p>
        </w:tc>
        <w:tc>
          <w:tcPr>
            <w:tcW w:w="2044" w:type="dxa"/>
            <w:noWrap w:val="0"/>
            <w:vAlign w:val="center"/>
          </w:tcPr>
          <w:p w14:paraId="57FE6C3F">
            <w:pPr>
              <w:pStyle w:val="21"/>
              <w:keepNext w:val="0"/>
              <w:keepLines w:val="0"/>
              <w:suppressLineNumbers w:val="0"/>
              <w:snapToGrid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hAnsi="宋体" w:eastAsia="宋体" w:cs="宋体"/>
                <w:color w:val="auto"/>
                <w:szCs w:val="21"/>
                <w:highlight w:val="none"/>
                <w:lang w:val="en-US" w:eastAsia="zh-CN"/>
              </w:rPr>
              <w:t>招标</w:t>
            </w:r>
            <w:r>
              <w:rPr>
                <w:rFonts w:hint="eastAsia" w:hAnsi="宋体" w:eastAsia="宋体" w:cs="宋体"/>
                <w:color w:val="auto"/>
                <w:szCs w:val="21"/>
                <w:highlight w:val="none"/>
                <w:lang w:eastAsia="zh-CN"/>
              </w:rPr>
              <w:t>文件</w:t>
            </w:r>
            <w:r>
              <w:rPr>
                <w:rFonts w:hint="eastAsia" w:ascii="宋体" w:hAnsi="宋体" w:eastAsia="宋体" w:cs="宋体"/>
                <w:color w:val="auto"/>
                <w:szCs w:val="21"/>
                <w:highlight w:val="none"/>
              </w:rPr>
              <w:t>条款号及招标</w:t>
            </w:r>
            <w:r>
              <w:rPr>
                <w:rFonts w:hint="eastAsia" w:hAnsi="宋体" w:eastAsia="宋体" w:cs="宋体"/>
                <w:color w:val="auto"/>
                <w:szCs w:val="21"/>
                <w:highlight w:val="none"/>
                <w:lang w:val="en-US" w:eastAsia="zh-CN"/>
              </w:rPr>
              <w:t>技术参数</w:t>
            </w:r>
          </w:p>
        </w:tc>
        <w:tc>
          <w:tcPr>
            <w:tcW w:w="1791" w:type="dxa"/>
            <w:noWrap w:val="0"/>
            <w:vAlign w:val="center"/>
          </w:tcPr>
          <w:p w14:paraId="6D2C7EA1">
            <w:pPr>
              <w:pStyle w:val="21"/>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hAnsi="宋体" w:eastAsia="宋体" w:cs="宋体"/>
                <w:color w:val="auto"/>
                <w:szCs w:val="21"/>
                <w:highlight w:val="none"/>
                <w:lang w:val="en-US" w:eastAsia="zh-CN"/>
              </w:rPr>
              <w:t>投标技术参数</w:t>
            </w:r>
          </w:p>
        </w:tc>
        <w:tc>
          <w:tcPr>
            <w:tcW w:w="2010" w:type="dxa"/>
            <w:noWrap w:val="0"/>
            <w:vAlign w:val="center"/>
          </w:tcPr>
          <w:p w14:paraId="4345D45F">
            <w:pPr>
              <w:pStyle w:val="21"/>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316A8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642" w:type="dxa"/>
            <w:noWrap w:val="0"/>
            <w:vAlign w:val="top"/>
          </w:tcPr>
          <w:p w14:paraId="4D1C620C">
            <w:pPr>
              <w:pStyle w:val="21"/>
              <w:keepNext w:val="0"/>
              <w:keepLines w:val="0"/>
              <w:suppressLineNumbers w:val="0"/>
              <w:spacing w:before="0" w:beforeAutospacing="0" w:after="0" w:afterAutospacing="0"/>
              <w:ind w:left="1080" w:leftChars="257" w:right="0" w:hanging="540"/>
              <w:rPr>
                <w:rFonts w:hint="eastAsia" w:ascii="宋体" w:hAnsi="宋体" w:eastAsia="宋体" w:cs="宋体"/>
                <w:color w:val="auto"/>
                <w:szCs w:val="21"/>
                <w:highlight w:val="none"/>
              </w:rPr>
            </w:pPr>
          </w:p>
        </w:tc>
        <w:tc>
          <w:tcPr>
            <w:tcW w:w="1407" w:type="dxa"/>
            <w:noWrap w:val="0"/>
            <w:vAlign w:val="top"/>
          </w:tcPr>
          <w:p w14:paraId="14F1F123">
            <w:pPr>
              <w:pStyle w:val="21"/>
              <w:keepNext w:val="0"/>
              <w:keepLines w:val="0"/>
              <w:suppressLineNumbers w:val="0"/>
              <w:spacing w:before="0" w:beforeAutospacing="0" w:after="0" w:afterAutospacing="0"/>
              <w:ind w:left="1080" w:leftChars="257" w:right="0" w:hanging="540"/>
              <w:rPr>
                <w:rFonts w:hint="eastAsia" w:ascii="宋体" w:hAnsi="宋体" w:eastAsia="宋体" w:cs="宋体"/>
                <w:color w:val="auto"/>
                <w:szCs w:val="21"/>
                <w:highlight w:val="none"/>
              </w:rPr>
            </w:pPr>
          </w:p>
        </w:tc>
        <w:tc>
          <w:tcPr>
            <w:tcW w:w="2044" w:type="dxa"/>
            <w:noWrap w:val="0"/>
            <w:vAlign w:val="top"/>
          </w:tcPr>
          <w:p w14:paraId="7AA06AF9">
            <w:pPr>
              <w:pStyle w:val="21"/>
              <w:keepNext w:val="0"/>
              <w:keepLines w:val="0"/>
              <w:suppressLineNumbers w:val="0"/>
              <w:spacing w:before="0" w:beforeAutospacing="0" w:after="0" w:afterAutospacing="0"/>
              <w:ind w:left="1080" w:leftChars="257" w:right="0" w:hanging="540"/>
              <w:rPr>
                <w:rFonts w:hint="eastAsia" w:ascii="宋体" w:hAnsi="宋体" w:eastAsia="宋体" w:cs="宋体"/>
                <w:color w:val="auto"/>
                <w:szCs w:val="21"/>
                <w:highlight w:val="none"/>
              </w:rPr>
            </w:pPr>
          </w:p>
        </w:tc>
        <w:tc>
          <w:tcPr>
            <w:tcW w:w="1791" w:type="dxa"/>
            <w:noWrap w:val="0"/>
            <w:vAlign w:val="top"/>
          </w:tcPr>
          <w:p w14:paraId="02C24A8B">
            <w:pPr>
              <w:pStyle w:val="21"/>
              <w:keepNext w:val="0"/>
              <w:keepLines w:val="0"/>
              <w:suppressLineNumbers w:val="0"/>
              <w:spacing w:before="0" w:beforeAutospacing="0" w:after="0" w:afterAutospacing="0"/>
              <w:ind w:left="1080" w:leftChars="257" w:right="0" w:hanging="540"/>
              <w:rPr>
                <w:rFonts w:hint="eastAsia" w:ascii="宋体" w:hAnsi="宋体" w:eastAsia="宋体" w:cs="宋体"/>
                <w:color w:val="auto"/>
                <w:szCs w:val="21"/>
                <w:highlight w:val="none"/>
              </w:rPr>
            </w:pPr>
          </w:p>
        </w:tc>
        <w:tc>
          <w:tcPr>
            <w:tcW w:w="2010" w:type="dxa"/>
            <w:noWrap w:val="0"/>
            <w:vAlign w:val="top"/>
          </w:tcPr>
          <w:p w14:paraId="4C4A1D97">
            <w:pPr>
              <w:pStyle w:val="21"/>
              <w:keepNext w:val="0"/>
              <w:keepLines w:val="0"/>
              <w:suppressLineNumbers w:val="0"/>
              <w:spacing w:before="0" w:beforeAutospacing="0" w:after="0" w:afterAutospacing="0"/>
              <w:ind w:left="1080" w:leftChars="257" w:right="0" w:hanging="540"/>
              <w:rPr>
                <w:rFonts w:hint="eastAsia" w:ascii="宋体" w:hAnsi="宋体" w:eastAsia="宋体" w:cs="宋体"/>
                <w:color w:val="auto"/>
                <w:szCs w:val="21"/>
                <w:highlight w:val="none"/>
              </w:rPr>
            </w:pPr>
          </w:p>
        </w:tc>
      </w:tr>
      <w:tr w14:paraId="0E548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642" w:type="dxa"/>
            <w:noWrap w:val="0"/>
            <w:vAlign w:val="top"/>
          </w:tcPr>
          <w:p w14:paraId="3FA594EB">
            <w:pPr>
              <w:pStyle w:val="21"/>
              <w:keepNext w:val="0"/>
              <w:keepLines w:val="0"/>
              <w:suppressLineNumbers w:val="0"/>
              <w:spacing w:before="0" w:beforeAutospacing="0" w:after="0" w:afterAutospacing="0"/>
              <w:ind w:left="1080" w:leftChars="257" w:right="0" w:hanging="540"/>
              <w:rPr>
                <w:rFonts w:hint="eastAsia" w:ascii="宋体" w:hAnsi="宋体" w:eastAsia="宋体" w:cs="宋体"/>
                <w:color w:val="auto"/>
                <w:szCs w:val="21"/>
                <w:highlight w:val="none"/>
              </w:rPr>
            </w:pPr>
          </w:p>
        </w:tc>
        <w:tc>
          <w:tcPr>
            <w:tcW w:w="1407" w:type="dxa"/>
            <w:noWrap w:val="0"/>
            <w:vAlign w:val="top"/>
          </w:tcPr>
          <w:p w14:paraId="6FF7505A">
            <w:pPr>
              <w:pStyle w:val="21"/>
              <w:keepNext w:val="0"/>
              <w:keepLines w:val="0"/>
              <w:suppressLineNumbers w:val="0"/>
              <w:spacing w:before="0" w:beforeAutospacing="0" w:after="0" w:afterAutospacing="0"/>
              <w:ind w:left="1080" w:leftChars="257" w:right="0" w:hanging="540"/>
              <w:rPr>
                <w:rFonts w:hint="eastAsia" w:ascii="宋体" w:hAnsi="宋体" w:eastAsia="宋体" w:cs="宋体"/>
                <w:color w:val="auto"/>
                <w:szCs w:val="21"/>
                <w:highlight w:val="none"/>
              </w:rPr>
            </w:pPr>
          </w:p>
        </w:tc>
        <w:tc>
          <w:tcPr>
            <w:tcW w:w="2044" w:type="dxa"/>
            <w:noWrap w:val="0"/>
            <w:vAlign w:val="top"/>
          </w:tcPr>
          <w:p w14:paraId="4FBD315E">
            <w:pPr>
              <w:pStyle w:val="21"/>
              <w:keepNext w:val="0"/>
              <w:keepLines w:val="0"/>
              <w:suppressLineNumbers w:val="0"/>
              <w:spacing w:before="0" w:beforeAutospacing="0" w:after="0" w:afterAutospacing="0"/>
              <w:ind w:left="1080" w:leftChars="257" w:right="0" w:hanging="540"/>
              <w:rPr>
                <w:rFonts w:hint="eastAsia" w:ascii="宋体" w:hAnsi="宋体" w:eastAsia="宋体" w:cs="宋体"/>
                <w:color w:val="auto"/>
                <w:szCs w:val="21"/>
                <w:highlight w:val="none"/>
              </w:rPr>
            </w:pPr>
          </w:p>
        </w:tc>
        <w:tc>
          <w:tcPr>
            <w:tcW w:w="1791" w:type="dxa"/>
            <w:noWrap w:val="0"/>
            <w:vAlign w:val="top"/>
          </w:tcPr>
          <w:p w14:paraId="32CFF0BC">
            <w:pPr>
              <w:pStyle w:val="21"/>
              <w:keepNext w:val="0"/>
              <w:keepLines w:val="0"/>
              <w:suppressLineNumbers w:val="0"/>
              <w:spacing w:before="0" w:beforeAutospacing="0" w:after="0" w:afterAutospacing="0"/>
              <w:ind w:left="1080" w:leftChars="257" w:right="0" w:hanging="540"/>
              <w:rPr>
                <w:rFonts w:hint="eastAsia" w:ascii="宋体" w:hAnsi="宋体" w:eastAsia="宋体" w:cs="宋体"/>
                <w:color w:val="auto"/>
                <w:szCs w:val="21"/>
                <w:highlight w:val="none"/>
              </w:rPr>
            </w:pPr>
          </w:p>
        </w:tc>
        <w:tc>
          <w:tcPr>
            <w:tcW w:w="2010" w:type="dxa"/>
            <w:noWrap w:val="0"/>
            <w:vAlign w:val="top"/>
          </w:tcPr>
          <w:p w14:paraId="4C6B5DB7">
            <w:pPr>
              <w:pStyle w:val="21"/>
              <w:keepNext w:val="0"/>
              <w:keepLines w:val="0"/>
              <w:suppressLineNumbers w:val="0"/>
              <w:spacing w:before="0" w:beforeAutospacing="0" w:after="0" w:afterAutospacing="0"/>
              <w:ind w:left="1080" w:leftChars="257" w:right="0" w:hanging="540"/>
              <w:rPr>
                <w:rFonts w:hint="eastAsia" w:ascii="宋体" w:hAnsi="宋体" w:eastAsia="宋体" w:cs="宋体"/>
                <w:color w:val="auto"/>
                <w:szCs w:val="21"/>
                <w:highlight w:val="none"/>
              </w:rPr>
            </w:pPr>
          </w:p>
        </w:tc>
      </w:tr>
      <w:tr w14:paraId="4D0CD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642" w:type="dxa"/>
            <w:noWrap w:val="0"/>
            <w:vAlign w:val="top"/>
          </w:tcPr>
          <w:p w14:paraId="1D0C8DD3">
            <w:pPr>
              <w:pStyle w:val="21"/>
              <w:keepNext w:val="0"/>
              <w:keepLines w:val="0"/>
              <w:suppressLineNumbers w:val="0"/>
              <w:spacing w:before="0" w:beforeAutospacing="0" w:after="0" w:afterAutospacing="0"/>
              <w:ind w:left="1080" w:leftChars="257" w:right="0" w:hanging="540"/>
              <w:rPr>
                <w:rFonts w:hint="eastAsia" w:ascii="宋体" w:hAnsi="宋体" w:eastAsia="宋体" w:cs="宋体"/>
                <w:color w:val="auto"/>
                <w:szCs w:val="21"/>
                <w:highlight w:val="none"/>
              </w:rPr>
            </w:pPr>
          </w:p>
        </w:tc>
        <w:tc>
          <w:tcPr>
            <w:tcW w:w="1407" w:type="dxa"/>
            <w:noWrap w:val="0"/>
            <w:vAlign w:val="top"/>
          </w:tcPr>
          <w:p w14:paraId="6385EDF1">
            <w:pPr>
              <w:pStyle w:val="21"/>
              <w:keepNext w:val="0"/>
              <w:keepLines w:val="0"/>
              <w:suppressLineNumbers w:val="0"/>
              <w:spacing w:before="0" w:beforeAutospacing="0" w:after="0" w:afterAutospacing="0"/>
              <w:ind w:left="1080" w:leftChars="257" w:right="0" w:hanging="540"/>
              <w:rPr>
                <w:rFonts w:hint="eastAsia" w:ascii="宋体" w:hAnsi="宋体" w:eastAsia="宋体" w:cs="宋体"/>
                <w:color w:val="auto"/>
                <w:szCs w:val="21"/>
                <w:highlight w:val="none"/>
              </w:rPr>
            </w:pPr>
          </w:p>
        </w:tc>
        <w:tc>
          <w:tcPr>
            <w:tcW w:w="2044" w:type="dxa"/>
            <w:noWrap w:val="0"/>
            <w:vAlign w:val="top"/>
          </w:tcPr>
          <w:p w14:paraId="719C9772">
            <w:pPr>
              <w:pStyle w:val="21"/>
              <w:keepNext w:val="0"/>
              <w:keepLines w:val="0"/>
              <w:suppressLineNumbers w:val="0"/>
              <w:spacing w:before="0" w:beforeAutospacing="0" w:after="0" w:afterAutospacing="0"/>
              <w:ind w:left="1080" w:leftChars="257" w:right="0" w:hanging="540"/>
              <w:rPr>
                <w:rFonts w:hint="eastAsia" w:ascii="宋体" w:hAnsi="宋体" w:eastAsia="宋体" w:cs="宋体"/>
                <w:color w:val="auto"/>
                <w:szCs w:val="21"/>
                <w:highlight w:val="none"/>
              </w:rPr>
            </w:pPr>
          </w:p>
        </w:tc>
        <w:tc>
          <w:tcPr>
            <w:tcW w:w="1791" w:type="dxa"/>
            <w:noWrap w:val="0"/>
            <w:vAlign w:val="top"/>
          </w:tcPr>
          <w:p w14:paraId="306A8424">
            <w:pPr>
              <w:pStyle w:val="21"/>
              <w:keepNext w:val="0"/>
              <w:keepLines w:val="0"/>
              <w:suppressLineNumbers w:val="0"/>
              <w:spacing w:before="0" w:beforeAutospacing="0" w:after="0" w:afterAutospacing="0"/>
              <w:ind w:left="1080" w:leftChars="257" w:right="0" w:hanging="540"/>
              <w:rPr>
                <w:rFonts w:hint="eastAsia" w:ascii="宋体" w:hAnsi="宋体" w:eastAsia="宋体" w:cs="宋体"/>
                <w:color w:val="auto"/>
                <w:szCs w:val="21"/>
                <w:highlight w:val="none"/>
              </w:rPr>
            </w:pPr>
          </w:p>
        </w:tc>
        <w:tc>
          <w:tcPr>
            <w:tcW w:w="2010" w:type="dxa"/>
            <w:noWrap w:val="0"/>
            <w:vAlign w:val="top"/>
          </w:tcPr>
          <w:p w14:paraId="3212CF98">
            <w:pPr>
              <w:pStyle w:val="21"/>
              <w:keepNext w:val="0"/>
              <w:keepLines w:val="0"/>
              <w:suppressLineNumbers w:val="0"/>
              <w:spacing w:before="0" w:beforeAutospacing="0" w:after="0" w:afterAutospacing="0"/>
              <w:ind w:left="1080" w:leftChars="257" w:right="0" w:hanging="540"/>
              <w:rPr>
                <w:rFonts w:hint="eastAsia" w:ascii="宋体" w:hAnsi="宋体" w:eastAsia="宋体" w:cs="宋体"/>
                <w:color w:val="auto"/>
                <w:szCs w:val="21"/>
                <w:highlight w:val="none"/>
              </w:rPr>
            </w:pPr>
          </w:p>
        </w:tc>
      </w:tr>
      <w:tr w14:paraId="418DE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642" w:type="dxa"/>
            <w:noWrap w:val="0"/>
            <w:vAlign w:val="top"/>
          </w:tcPr>
          <w:p w14:paraId="545AB9A9">
            <w:pPr>
              <w:pStyle w:val="21"/>
              <w:keepNext w:val="0"/>
              <w:keepLines w:val="0"/>
              <w:suppressLineNumbers w:val="0"/>
              <w:spacing w:before="0" w:beforeAutospacing="0" w:after="0" w:afterAutospacing="0"/>
              <w:ind w:left="1080" w:leftChars="257" w:right="0" w:hanging="540"/>
              <w:rPr>
                <w:rFonts w:hint="eastAsia" w:ascii="宋体" w:hAnsi="宋体" w:eastAsia="宋体" w:cs="宋体"/>
                <w:color w:val="auto"/>
                <w:szCs w:val="21"/>
                <w:highlight w:val="none"/>
              </w:rPr>
            </w:pPr>
          </w:p>
        </w:tc>
        <w:tc>
          <w:tcPr>
            <w:tcW w:w="1407" w:type="dxa"/>
            <w:noWrap w:val="0"/>
            <w:vAlign w:val="top"/>
          </w:tcPr>
          <w:p w14:paraId="231D9366">
            <w:pPr>
              <w:pStyle w:val="21"/>
              <w:keepNext w:val="0"/>
              <w:keepLines w:val="0"/>
              <w:suppressLineNumbers w:val="0"/>
              <w:spacing w:before="0" w:beforeAutospacing="0" w:after="0" w:afterAutospacing="0"/>
              <w:ind w:left="1080" w:leftChars="257" w:right="0" w:hanging="540"/>
              <w:rPr>
                <w:rFonts w:hint="eastAsia" w:ascii="宋体" w:hAnsi="宋体" w:eastAsia="宋体" w:cs="宋体"/>
                <w:color w:val="auto"/>
                <w:szCs w:val="21"/>
                <w:highlight w:val="none"/>
              </w:rPr>
            </w:pPr>
          </w:p>
        </w:tc>
        <w:tc>
          <w:tcPr>
            <w:tcW w:w="2044" w:type="dxa"/>
            <w:noWrap w:val="0"/>
            <w:vAlign w:val="top"/>
          </w:tcPr>
          <w:p w14:paraId="2C77CBA9">
            <w:pPr>
              <w:pStyle w:val="21"/>
              <w:keepNext w:val="0"/>
              <w:keepLines w:val="0"/>
              <w:suppressLineNumbers w:val="0"/>
              <w:spacing w:before="0" w:beforeAutospacing="0" w:after="0" w:afterAutospacing="0"/>
              <w:ind w:left="1080" w:leftChars="257" w:right="0" w:hanging="540"/>
              <w:rPr>
                <w:rFonts w:hint="eastAsia" w:ascii="宋体" w:hAnsi="宋体" w:eastAsia="宋体" w:cs="宋体"/>
                <w:color w:val="auto"/>
                <w:szCs w:val="21"/>
                <w:highlight w:val="none"/>
              </w:rPr>
            </w:pPr>
          </w:p>
        </w:tc>
        <w:tc>
          <w:tcPr>
            <w:tcW w:w="1791" w:type="dxa"/>
            <w:noWrap w:val="0"/>
            <w:vAlign w:val="top"/>
          </w:tcPr>
          <w:p w14:paraId="73E03E8F">
            <w:pPr>
              <w:pStyle w:val="21"/>
              <w:keepNext w:val="0"/>
              <w:keepLines w:val="0"/>
              <w:suppressLineNumbers w:val="0"/>
              <w:spacing w:before="0" w:beforeAutospacing="0" w:after="0" w:afterAutospacing="0"/>
              <w:ind w:left="1080" w:leftChars="257" w:right="0" w:hanging="540"/>
              <w:rPr>
                <w:rFonts w:hint="eastAsia" w:ascii="宋体" w:hAnsi="宋体" w:eastAsia="宋体" w:cs="宋体"/>
                <w:color w:val="auto"/>
                <w:szCs w:val="21"/>
                <w:highlight w:val="none"/>
              </w:rPr>
            </w:pPr>
          </w:p>
        </w:tc>
        <w:tc>
          <w:tcPr>
            <w:tcW w:w="2010" w:type="dxa"/>
            <w:noWrap w:val="0"/>
            <w:vAlign w:val="top"/>
          </w:tcPr>
          <w:p w14:paraId="2837CB72">
            <w:pPr>
              <w:pStyle w:val="21"/>
              <w:keepNext w:val="0"/>
              <w:keepLines w:val="0"/>
              <w:suppressLineNumbers w:val="0"/>
              <w:spacing w:before="0" w:beforeAutospacing="0" w:after="0" w:afterAutospacing="0"/>
              <w:ind w:left="1080" w:leftChars="257" w:right="0" w:hanging="540"/>
              <w:rPr>
                <w:rFonts w:hint="eastAsia" w:ascii="宋体" w:hAnsi="宋体" w:eastAsia="宋体" w:cs="宋体"/>
                <w:color w:val="auto"/>
                <w:szCs w:val="21"/>
                <w:highlight w:val="none"/>
              </w:rPr>
            </w:pPr>
          </w:p>
        </w:tc>
      </w:tr>
      <w:tr w14:paraId="49A71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642" w:type="dxa"/>
            <w:noWrap w:val="0"/>
            <w:vAlign w:val="top"/>
          </w:tcPr>
          <w:p w14:paraId="764123A0">
            <w:pPr>
              <w:pStyle w:val="21"/>
              <w:keepNext w:val="0"/>
              <w:keepLines w:val="0"/>
              <w:suppressLineNumbers w:val="0"/>
              <w:spacing w:before="0" w:beforeAutospacing="0" w:after="0" w:afterAutospacing="0"/>
              <w:ind w:left="1080" w:leftChars="257" w:right="0" w:hanging="540"/>
              <w:rPr>
                <w:rFonts w:hint="eastAsia" w:ascii="宋体" w:hAnsi="宋体" w:eastAsia="宋体" w:cs="宋体"/>
                <w:color w:val="auto"/>
                <w:szCs w:val="21"/>
                <w:highlight w:val="none"/>
              </w:rPr>
            </w:pPr>
          </w:p>
        </w:tc>
        <w:tc>
          <w:tcPr>
            <w:tcW w:w="1407" w:type="dxa"/>
            <w:noWrap w:val="0"/>
            <w:vAlign w:val="top"/>
          </w:tcPr>
          <w:p w14:paraId="0C536A30">
            <w:pPr>
              <w:pStyle w:val="21"/>
              <w:keepNext w:val="0"/>
              <w:keepLines w:val="0"/>
              <w:suppressLineNumbers w:val="0"/>
              <w:spacing w:before="0" w:beforeAutospacing="0" w:after="0" w:afterAutospacing="0"/>
              <w:ind w:left="1080" w:leftChars="257" w:right="0" w:hanging="540"/>
              <w:rPr>
                <w:rFonts w:hint="eastAsia" w:ascii="宋体" w:hAnsi="宋体" w:eastAsia="宋体" w:cs="宋体"/>
                <w:color w:val="auto"/>
                <w:szCs w:val="21"/>
                <w:highlight w:val="none"/>
              </w:rPr>
            </w:pPr>
          </w:p>
        </w:tc>
        <w:tc>
          <w:tcPr>
            <w:tcW w:w="2044" w:type="dxa"/>
            <w:noWrap w:val="0"/>
            <w:vAlign w:val="top"/>
          </w:tcPr>
          <w:p w14:paraId="4243C46F">
            <w:pPr>
              <w:pStyle w:val="21"/>
              <w:keepNext w:val="0"/>
              <w:keepLines w:val="0"/>
              <w:suppressLineNumbers w:val="0"/>
              <w:spacing w:before="0" w:beforeAutospacing="0" w:after="0" w:afterAutospacing="0"/>
              <w:ind w:left="1080" w:leftChars="257" w:right="0" w:hanging="540"/>
              <w:rPr>
                <w:rFonts w:hint="eastAsia" w:ascii="宋体" w:hAnsi="宋体" w:eastAsia="宋体" w:cs="宋体"/>
                <w:color w:val="auto"/>
                <w:szCs w:val="21"/>
                <w:highlight w:val="none"/>
              </w:rPr>
            </w:pPr>
          </w:p>
        </w:tc>
        <w:tc>
          <w:tcPr>
            <w:tcW w:w="1791" w:type="dxa"/>
            <w:noWrap w:val="0"/>
            <w:vAlign w:val="top"/>
          </w:tcPr>
          <w:p w14:paraId="41B728E5">
            <w:pPr>
              <w:pStyle w:val="21"/>
              <w:keepNext w:val="0"/>
              <w:keepLines w:val="0"/>
              <w:suppressLineNumbers w:val="0"/>
              <w:spacing w:before="0" w:beforeAutospacing="0" w:after="0" w:afterAutospacing="0"/>
              <w:ind w:left="1080" w:leftChars="257" w:right="0" w:hanging="540"/>
              <w:rPr>
                <w:rFonts w:hint="eastAsia" w:ascii="宋体" w:hAnsi="宋体" w:eastAsia="宋体" w:cs="宋体"/>
                <w:color w:val="auto"/>
                <w:szCs w:val="21"/>
                <w:highlight w:val="none"/>
              </w:rPr>
            </w:pPr>
          </w:p>
        </w:tc>
        <w:tc>
          <w:tcPr>
            <w:tcW w:w="2010" w:type="dxa"/>
            <w:noWrap w:val="0"/>
            <w:vAlign w:val="top"/>
          </w:tcPr>
          <w:p w14:paraId="0947B1AB">
            <w:pPr>
              <w:pStyle w:val="21"/>
              <w:keepNext w:val="0"/>
              <w:keepLines w:val="0"/>
              <w:suppressLineNumbers w:val="0"/>
              <w:spacing w:before="0" w:beforeAutospacing="0" w:after="0" w:afterAutospacing="0"/>
              <w:ind w:left="1080" w:leftChars="257" w:right="0" w:hanging="540"/>
              <w:rPr>
                <w:rFonts w:hint="eastAsia" w:ascii="宋体" w:hAnsi="宋体" w:eastAsia="宋体" w:cs="宋体"/>
                <w:color w:val="auto"/>
                <w:szCs w:val="21"/>
                <w:highlight w:val="none"/>
              </w:rPr>
            </w:pPr>
          </w:p>
        </w:tc>
      </w:tr>
      <w:tr w14:paraId="43477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642" w:type="dxa"/>
            <w:noWrap w:val="0"/>
            <w:vAlign w:val="top"/>
          </w:tcPr>
          <w:p w14:paraId="486E2933">
            <w:pPr>
              <w:pStyle w:val="21"/>
              <w:keepNext w:val="0"/>
              <w:keepLines w:val="0"/>
              <w:suppressLineNumbers w:val="0"/>
              <w:spacing w:before="0" w:beforeAutospacing="0" w:after="0" w:afterAutospacing="0"/>
              <w:ind w:left="1080" w:leftChars="257" w:right="0" w:hanging="540"/>
              <w:rPr>
                <w:rFonts w:hint="eastAsia" w:ascii="宋体" w:hAnsi="宋体" w:eastAsia="宋体" w:cs="宋体"/>
                <w:color w:val="auto"/>
                <w:szCs w:val="21"/>
                <w:highlight w:val="none"/>
              </w:rPr>
            </w:pPr>
          </w:p>
        </w:tc>
        <w:tc>
          <w:tcPr>
            <w:tcW w:w="1407" w:type="dxa"/>
            <w:noWrap w:val="0"/>
            <w:vAlign w:val="top"/>
          </w:tcPr>
          <w:p w14:paraId="0F803923">
            <w:pPr>
              <w:pStyle w:val="21"/>
              <w:keepNext w:val="0"/>
              <w:keepLines w:val="0"/>
              <w:suppressLineNumbers w:val="0"/>
              <w:spacing w:before="0" w:beforeAutospacing="0" w:after="0" w:afterAutospacing="0"/>
              <w:ind w:left="1080" w:leftChars="257" w:right="0" w:hanging="540"/>
              <w:rPr>
                <w:rFonts w:hint="eastAsia" w:ascii="宋体" w:hAnsi="宋体" w:eastAsia="宋体" w:cs="宋体"/>
                <w:color w:val="auto"/>
                <w:szCs w:val="21"/>
                <w:highlight w:val="none"/>
              </w:rPr>
            </w:pPr>
          </w:p>
        </w:tc>
        <w:tc>
          <w:tcPr>
            <w:tcW w:w="2044" w:type="dxa"/>
            <w:noWrap w:val="0"/>
            <w:vAlign w:val="top"/>
          </w:tcPr>
          <w:p w14:paraId="163882DF">
            <w:pPr>
              <w:pStyle w:val="21"/>
              <w:keepNext w:val="0"/>
              <w:keepLines w:val="0"/>
              <w:suppressLineNumbers w:val="0"/>
              <w:spacing w:before="0" w:beforeAutospacing="0" w:after="0" w:afterAutospacing="0"/>
              <w:ind w:left="1080" w:leftChars="257" w:right="0" w:hanging="540"/>
              <w:rPr>
                <w:rFonts w:hint="eastAsia" w:ascii="宋体" w:hAnsi="宋体" w:eastAsia="宋体" w:cs="宋体"/>
                <w:color w:val="auto"/>
                <w:szCs w:val="21"/>
                <w:highlight w:val="none"/>
              </w:rPr>
            </w:pPr>
          </w:p>
        </w:tc>
        <w:tc>
          <w:tcPr>
            <w:tcW w:w="1791" w:type="dxa"/>
            <w:noWrap w:val="0"/>
            <w:vAlign w:val="top"/>
          </w:tcPr>
          <w:p w14:paraId="5F54265A">
            <w:pPr>
              <w:pStyle w:val="21"/>
              <w:keepNext w:val="0"/>
              <w:keepLines w:val="0"/>
              <w:suppressLineNumbers w:val="0"/>
              <w:spacing w:before="0" w:beforeAutospacing="0" w:after="0" w:afterAutospacing="0"/>
              <w:ind w:left="1080" w:leftChars="257" w:right="0" w:hanging="540"/>
              <w:rPr>
                <w:rFonts w:hint="eastAsia" w:ascii="宋体" w:hAnsi="宋体" w:eastAsia="宋体" w:cs="宋体"/>
                <w:color w:val="auto"/>
                <w:szCs w:val="21"/>
                <w:highlight w:val="none"/>
              </w:rPr>
            </w:pPr>
          </w:p>
        </w:tc>
        <w:tc>
          <w:tcPr>
            <w:tcW w:w="2010" w:type="dxa"/>
            <w:noWrap w:val="0"/>
            <w:vAlign w:val="top"/>
          </w:tcPr>
          <w:p w14:paraId="4367CB8A">
            <w:pPr>
              <w:pStyle w:val="21"/>
              <w:keepNext w:val="0"/>
              <w:keepLines w:val="0"/>
              <w:suppressLineNumbers w:val="0"/>
              <w:spacing w:before="0" w:beforeAutospacing="0" w:after="0" w:afterAutospacing="0"/>
              <w:ind w:left="1080" w:leftChars="257" w:right="0" w:hanging="540"/>
              <w:rPr>
                <w:rFonts w:hint="eastAsia" w:ascii="宋体" w:hAnsi="宋体" w:eastAsia="宋体" w:cs="宋体"/>
                <w:color w:val="auto"/>
                <w:szCs w:val="21"/>
                <w:highlight w:val="none"/>
              </w:rPr>
            </w:pPr>
          </w:p>
        </w:tc>
      </w:tr>
      <w:tr w14:paraId="2A82A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642" w:type="dxa"/>
            <w:noWrap w:val="0"/>
            <w:vAlign w:val="top"/>
          </w:tcPr>
          <w:p w14:paraId="55B0B1B1">
            <w:pPr>
              <w:pStyle w:val="21"/>
              <w:keepNext w:val="0"/>
              <w:keepLines w:val="0"/>
              <w:suppressLineNumbers w:val="0"/>
              <w:spacing w:before="0" w:beforeAutospacing="0" w:after="0" w:afterAutospacing="0"/>
              <w:ind w:left="1080" w:leftChars="257" w:right="0" w:hanging="540"/>
              <w:rPr>
                <w:rFonts w:hint="eastAsia" w:ascii="宋体" w:hAnsi="宋体" w:eastAsia="宋体" w:cs="宋体"/>
                <w:color w:val="auto"/>
                <w:szCs w:val="21"/>
                <w:highlight w:val="none"/>
              </w:rPr>
            </w:pPr>
          </w:p>
        </w:tc>
        <w:tc>
          <w:tcPr>
            <w:tcW w:w="1407" w:type="dxa"/>
            <w:noWrap w:val="0"/>
            <w:vAlign w:val="top"/>
          </w:tcPr>
          <w:p w14:paraId="24EB8599">
            <w:pPr>
              <w:pStyle w:val="21"/>
              <w:keepNext w:val="0"/>
              <w:keepLines w:val="0"/>
              <w:suppressLineNumbers w:val="0"/>
              <w:spacing w:before="0" w:beforeAutospacing="0" w:after="0" w:afterAutospacing="0"/>
              <w:ind w:left="1080" w:leftChars="257" w:right="0" w:hanging="540"/>
              <w:rPr>
                <w:rFonts w:hint="eastAsia" w:ascii="宋体" w:hAnsi="宋体" w:eastAsia="宋体" w:cs="宋体"/>
                <w:color w:val="auto"/>
                <w:szCs w:val="21"/>
                <w:highlight w:val="none"/>
              </w:rPr>
            </w:pPr>
          </w:p>
        </w:tc>
        <w:tc>
          <w:tcPr>
            <w:tcW w:w="2044" w:type="dxa"/>
            <w:noWrap w:val="0"/>
            <w:vAlign w:val="top"/>
          </w:tcPr>
          <w:p w14:paraId="57D8ABA3">
            <w:pPr>
              <w:pStyle w:val="21"/>
              <w:keepNext w:val="0"/>
              <w:keepLines w:val="0"/>
              <w:suppressLineNumbers w:val="0"/>
              <w:spacing w:before="0" w:beforeAutospacing="0" w:after="0" w:afterAutospacing="0"/>
              <w:ind w:left="1080" w:leftChars="257" w:right="0" w:hanging="540"/>
              <w:rPr>
                <w:rFonts w:hint="eastAsia" w:ascii="宋体" w:hAnsi="宋体" w:eastAsia="宋体" w:cs="宋体"/>
                <w:color w:val="auto"/>
                <w:szCs w:val="21"/>
                <w:highlight w:val="none"/>
              </w:rPr>
            </w:pPr>
          </w:p>
        </w:tc>
        <w:tc>
          <w:tcPr>
            <w:tcW w:w="1791" w:type="dxa"/>
            <w:noWrap w:val="0"/>
            <w:vAlign w:val="top"/>
          </w:tcPr>
          <w:p w14:paraId="4E842726">
            <w:pPr>
              <w:pStyle w:val="21"/>
              <w:keepNext w:val="0"/>
              <w:keepLines w:val="0"/>
              <w:suppressLineNumbers w:val="0"/>
              <w:spacing w:before="0" w:beforeAutospacing="0" w:after="0" w:afterAutospacing="0"/>
              <w:ind w:left="1080" w:leftChars="257" w:right="0" w:hanging="540"/>
              <w:rPr>
                <w:rFonts w:hint="eastAsia" w:ascii="宋体" w:hAnsi="宋体" w:eastAsia="宋体" w:cs="宋体"/>
                <w:color w:val="auto"/>
                <w:szCs w:val="21"/>
                <w:highlight w:val="none"/>
              </w:rPr>
            </w:pPr>
          </w:p>
        </w:tc>
        <w:tc>
          <w:tcPr>
            <w:tcW w:w="2010" w:type="dxa"/>
            <w:noWrap w:val="0"/>
            <w:vAlign w:val="top"/>
          </w:tcPr>
          <w:p w14:paraId="5277B9A0">
            <w:pPr>
              <w:pStyle w:val="21"/>
              <w:keepNext w:val="0"/>
              <w:keepLines w:val="0"/>
              <w:suppressLineNumbers w:val="0"/>
              <w:spacing w:before="0" w:beforeAutospacing="0" w:after="0" w:afterAutospacing="0"/>
              <w:ind w:left="1080" w:leftChars="257" w:right="0" w:hanging="540"/>
              <w:rPr>
                <w:rFonts w:hint="eastAsia" w:ascii="宋体" w:hAnsi="宋体" w:eastAsia="宋体" w:cs="宋体"/>
                <w:color w:val="auto"/>
                <w:szCs w:val="21"/>
                <w:highlight w:val="none"/>
              </w:rPr>
            </w:pPr>
          </w:p>
        </w:tc>
      </w:tr>
    </w:tbl>
    <w:p w14:paraId="448AB51A">
      <w:pPr>
        <w:pStyle w:val="88"/>
        <w:pageBreakBefore w:val="0"/>
        <w:widowControl/>
        <w:kinsoku/>
        <w:overflowPunct/>
        <w:topLinePunct w:val="0"/>
        <w:bidi w:val="0"/>
        <w:spacing w:line="360" w:lineRule="auto"/>
        <w:ind w:left="0" w:leftChars="0" w:firstLine="0" w:firstLineChars="0"/>
        <w:rPr>
          <w:rFonts w:hint="eastAsia" w:asciiTheme="minorEastAsia" w:hAnsiTheme="minorEastAsia" w:eastAsiaTheme="minorEastAsia" w:cstheme="minorEastAsia"/>
          <w:b w:val="0"/>
          <w:bCs/>
          <w:color w:val="auto"/>
          <w:spacing w:val="0"/>
          <w:position w:val="0"/>
          <w:sz w:val="24"/>
          <w:highlight w:val="none"/>
          <w:lang w:eastAsia="zh-CN"/>
        </w:rPr>
      </w:pPr>
      <w:r>
        <w:rPr>
          <w:rFonts w:hint="eastAsia" w:asciiTheme="minorEastAsia" w:hAnsiTheme="minorEastAsia" w:eastAsiaTheme="minorEastAsia" w:cstheme="minorEastAsia"/>
          <w:b w:val="0"/>
          <w:bCs/>
          <w:color w:val="auto"/>
          <w:spacing w:val="0"/>
          <w:position w:val="0"/>
          <w:sz w:val="24"/>
          <w:highlight w:val="none"/>
          <w:lang w:eastAsia="zh-CN"/>
        </w:rPr>
        <w:t>注：服务项目技术参数须在该表中逐一列明，并在“招标文件条款号及招标技术参数”栏填写具体应答内容， 在“偏离说明”中说明偏离具体情形。若无偏离请在“投标技术参数”中填写“无偏离”。</w:t>
      </w:r>
    </w:p>
    <w:p w14:paraId="0B1BDDFC">
      <w:pPr>
        <w:pStyle w:val="88"/>
        <w:pageBreakBefore w:val="0"/>
        <w:widowControl/>
        <w:kinsoku/>
        <w:overflowPunct/>
        <w:topLinePunct w:val="0"/>
        <w:bidi w:val="0"/>
        <w:spacing w:line="360" w:lineRule="auto"/>
        <w:ind w:left="0" w:leftChars="0" w:firstLine="0" w:firstLineChars="0"/>
        <w:rPr>
          <w:rFonts w:hint="eastAsia" w:asciiTheme="minorEastAsia" w:hAnsiTheme="minorEastAsia" w:eastAsiaTheme="minorEastAsia" w:cstheme="minorEastAsia"/>
          <w:b w:val="0"/>
          <w:bCs/>
          <w:color w:val="auto"/>
          <w:spacing w:val="0"/>
          <w:position w:val="0"/>
          <w:sz w:val="24"/>
          <w:highlight w:val="none"/>
        </w:rPr>
      </w:pPr>
      <w:r>
        <w:rPr>
          <w:rFonts w:hint="eastAsia" w:asciiTheme="minorEastAsia" w:hAnsiTheme="minorEastAsia" w:eastAsiaTheme="minorEastAsia" w:cstheme="minorEastAsia"/>
          <w:b w:val="0"/>
          <w:bCs/>
          <w:color w:val="auto"/>
          <w:spacing w:val="0"/>
          <w:position w:val="0"/>
          <w:sz w:val="24"/>
          <w:highlight w:val="none"/>
          <w:lang w:eastAsia="zh-CN"/>
        </w:rPr>
        <w:t>供应商</w:t>
      </w:r>
      <w:r>
        <w:rPr>
          <w:rFonts w:hint="eastAsia" w:asciiTheme="minorEastAsia" w:hAnsiTheme="minorEastAsia" w:eastAsiaTheme="minorEastAsia" w:cstheme="minorEastAsia"/>
          <w:b w:val="0"/>
          <w:bCs/>
          <w:color w:val="auto"/>
          <w:spacing w:val="0"/>
          <w:position w:val="0"/>
          <w:sz w:val="24"/>
          <w:highlight w:val="none"/>
        </w:rPr>
        <w:t xml:space="preserve">名称（盖章）：   </w:t>
      </w:r>
      <w:r>
        <w:rPr>
          <w:rFonts w:hint="eastAsia" w:asciiTheme="minorEastAsia" w:hAnsiTheme="minorEastAsia" w:eastAsiaTheme="minorEastAsia" w:cstheme="minorEastAsia"/>
          <w:b w:val="0"/>
          <w:bCs/>
          <w:color w:val="auto"/>
          <w:spacing w:val="0"/>
          <w:position w:val="0"/>
          <w:sz w:val="24"/>
          <w:highlight w:val="none"/>
          <w:u w:val="single"/>
        </w:rPr>
        <w:t xml:space="preserve">                   </w:t>
      </w:r>
      <w:r>
        <w:rPr>
          <w:rFonts w:hint="eastAsia" w:asciiTheme="minorEastAsia" w:hAnsiTheme="minorEastAsia" w:eastAsiaTheme="minorEastAsia" w:cstheme="minorEastAsia"/>
          <w:b w:val="0"/>
          <w:bCs/>
          <w:color w:val="auto"/>
          <w:spacing w:val="0"/>
          <w:position w:val="0"/>
          <w:sz w:val="24"/>
          <w:highlight w:val="none"/>
        </w:rPr>
        <w:t xml:space="preserve">                    </w:t>
      </w:r>
    </w:p>
    <w:p w14:paraId="18746EA4">
      <w:pPr>
        <w:pStyle w:val="82"/>
        <w:pageBreakBefore w:val="0"/>
        <w:kinsoku/>
        <w:overflowPunct/>
        <w:topLinePunct w:val="0"/>
        <w:bidi w:val="0"/>
        <w:spacing w:line="360" w:lineRule="auto"/>
        <w:rPr>
          <w:rFonts w:hint="eastAsia" w:asciiTheme="minorEastAsia" w:hAnsiTheme="minorEastAsia" w:eastAsiaTheme="minorEastAsia" w:cstheme="minorEastAsia"/>
          <w:b w:val="0"/>
          <w:bCs/>
          <w:color w:val="auto"/>
          <w:spacing w:val="0"/>
          <w:position w:val="0"/>
          <w:highlight w:val="none"/>
        </w:rPr>
      </w:pPr>
      <w:r>
        <w:rPr>
          <w:rFonts w:hint="eastAsia" w:asciiTheme="minorEastAsia" w:hAnsiTheme="minorEastAsia" w:eastAsiaTheme="minorEastAsia" w:cstheme="minorEastAsia"/>
          <w:b w:val="0"/>
          <w:bCs/>
          <w:color w:val="auto"/>
          <w:spacing w:val="0"/>
          <w:position w:val="0"/>
          <w:sz w:val="24"/>
          <w:highlight w:val="none"/>
        </w:rPr>
        <w:t>法定代表人</w:t>
      </w:r>
      <w:r>
        <w:rPr>
          <w:rFonts w:hint="eastAsia" w:asciiTheme="minorEastAsia" w:hAnsiTheme="minorEastAsia" w:eastAsiaTheme="minorEastAsia" w:cstheme="minorEastAsia"/>
          <w:b w:val="0"/>
          <w:bCs/>
          <w:color w:val="auto"/>
          <w:spacing w:val="0"/>
          <w:position w:val="0"/>
          <w:sz w:val="24"/>
          <w:highlight w:val="none"/>
          <w:lang w:eastAsia="zh-CN"/>
        </w:rPr>
        <w:t>或被授权代理人</w:t>
      </w:r>
      <w:r>
        <w:rPr>
          <w:rFonts w:hint="eastAsia" w:asciiTheme="minorEastAsia" w:hAnsiTheme="minorEastAsia" w:eastAsiaTheme="minorEastAsia" w:cstheme="minorEastAsia"/>
          <w:b w:val="0"/>
          <w:bCs/>
          <w:color w:val="auto"/>
          <w:spacing w:val="0"/>
          <w:position w:val="0"/>
          <w:sz w:val="24"/>
          <w:highlight w:val="none"/>
        </w:rPr>
        <w:t xml:space="preserve">（签字或盖章）： </w:t>
      </w:r>
      <w:r>
        <w:rPr>
          <w:rFonts w:hint="eastAsia" w:asciiTheme="minorEastAsia" w:hAnsiTheme="minorEastAsia" w:eastAsiaTheme="minorEastAsia" w:cstheme="minorEastAsia"/>
          <w:b w:val="0"/>
          <w:bCs/>
          <w:color w:val="auto"/>
          <w:spacing w:val="0"/>
          <w:position w:val="0"/>
          <w:sz w:val="24"/>
          <w:highlight w:val="none"/>
          <w:u w:val="single"/>
        </w:rPr>
        <w:t xml:space="preserve">                   </w:t>
      </w:r>
    </w:p>
    <w:p w14:paraId="7F3FBFCA">
      <w:pPr>
        <w:pStyle w:val="147"/>
        <w:pageBreakBefore w:val="0"/>
        <w:kinsoku/>
        <w:overflowPunct/>
        <w:topLinePunct w:val="0"/>
        <w:bidi w:val="0"/>
        <w:spacing w:line="360" w:lineRule="auto"/>
        <w:ind w:left="2"/>
        <w:jc w:val="both"/>
        <w:rPr>
          <w:rFonts w:hint="eastAsia" w:asciiTheme="minorEastAsia" w:hAnsiTheme="minorEastAsia" w:eastAsiaTheme="minorEastAsia" w:cstheme="minorEastAsia"/>
          <w:color w:val="auto"/>
          <w:spacing w:val="0"/>
          <w:position w:val="0"/>
          <w:highlight w:val="none"/>
          <w:lang w:val="en-US" w:eastAsia="zh-CN"/>
        </w:rPr>
      </w:pPr>
      <w:r>
        <w:rPr>
          <w:rFonts w:hint="eastAsia" w:asciiTheme="minorEastAsia" w:hAnsiTheme="minorEastAsia" w:eastAsiaTheme="minorEastAsia" w:cstheme="minorEastAsia"/>
          <w:b w:val="0"/>
          <w:bCs w:val="0"/>
          <w:color w:val="auto"/>
          <w:spacing w:val="0"/>
          <w:position w:val="0"/>
          <w:sz w:val="24"/>
          <w:szCs w:val="24"/>
          <w:highlight w:val="none"/>
          <w:lang w:val="en-US" w:eastAsia="zh-CN" w:bidi="ar-SA"/>
        </w:rPr>
        <w:t>日期： 年 月 日</w:t>
      </w:r>
    </w:p>
    <w:p w14:paraId="33744EA7">
      <w:pPr>
        <w:pStyle w:val="147"/>
        <w:pageBreakBefore w:val="0"/>
        <w:kinsoku/>
        <w:overflowPunct/>
        <w:topLinePunct w:val="0"/>
        <w:bidi w:val="0"/>
        <w:spacing w:line="360" w:lineRule="auto"/>
        <w:ind w:left="2"/>
        <w:rPr>
          <w:rFonts w:hint="eastAsia" w:asciiTheme="minorEastAsia" w:hAnsiTheme="minorEastAsia" w:eastAsiaTheme="minorEastAsia" w:cstheme="minorEastAsia"/>
          <w:color w:val="auto"/>
          <w:spacing w:val="0"/>
          <w:position w:val="0"/>
          <w:highlight w:val="none"/>
          <w:lang w:val="en-US" w:eastAsia="zh-CN"/>
        </w:rPr>
      </w:pPr>
    </w:p>
    <w:p w14:paraId="5784172F">
      <w:pPr>
        <w:rPr>
          <w:rFonts w:hint="eastAsia" w:asciiTheme="minorEastAsia" w:hAnsiTheme="minorEastAsia" w:eastAsiaTheme="minorEastAsia" w:cstheme="minorEastAsia"/>
          <w:color w:val="auto"/>
          <w:spacing w:val="0"/>
          <w:position w:val="0"/>
          <w:highlight w:val="none"/>
        </w:rPr>
      </w:pPr>
      <w:r>
        <w:rPr>
          <w:rFonts w:hint="eastAsia" w:ascii="宋体" w:hAnsi="宋体" w:eastAsia="宋体" w:cs="宋体"/>
          <w:color w:val="auto"/>
          <w:highlight w:val="none"/>
        </w:rPr>
        <w:br w:type="page"/>
      </w:r>
      <w:bookmarkStart w:id="104" w:name="_Toc256000041"/>
    </w:p>
    <w:p w14:paraId="2FACC597">
      <w:pPr>
        <w:pageBreakBefore w:val="0"/>
        <w:kinsoku/>
        <w:overflowPunct/>
        <w:topLinePunct w:val="0"/>
        <w:bidi w:val="0"/>
        <w:spacing w:line="440" w:lineRule="exact"/>
        <w:jc w:val="center"/>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项目负责人简历表</w:t>
      </w:r>
    </w:p>
    <w:tbl>
      <w:tblPr>
        <w:tblStyle w:val="38"/>
        <w:tblW w:w="9854" w:type="dxa"/>
        <w:jc w:val="center"/>
        <w:tblLayout w:type="fixed"/>
        <w:tblCellMar>
          <w:top w:w="0" w:type="dxa"/>
          <w:left w:w="108" w:type="dxa"/>
          <w:bottom w:w="0" w:type="dxa"/>
          <w:right w:w="108" w:type="dxa"/>
        </w:tblCellMar>
      </w:tblPr>
      <w:tblGrid>
        <w:gridCol w:w="1285"/>
        <w:gridCol w:w="2422"/>
        <w:gridCol w:w="1005"/>
        <w:gridCol w:w="1072"/>
        <w:gridCol w:w="1715"/>
        <w:gridCol w:w="2355"/>
      </w:tblGrid>
      <w:tr w14:paraId="2B49A783">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67088D87">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姓名</w:t>
            </w:r>
          </w:p>
        </w:tc>
        <w:tc>
          <w:tcPr>
            <w:tcW w:w="2422" w:type="dxa"/>
            <w:tcBorders>
              <w:top w:val="single" w:color="auto" w:sz="6" w:space="0"/>
              <w:left w:val="single" w:color="auto" w:sz="6" w:space="0"/>
              <w:bottom w:val="single" w:color="auto" w:sz="6" w:space="0"/>
              <w:right w:val="single" w:color="auto" w:sz="6" w:space="0"/>
            </w:tcBorders>
            <w:noWrap w:val="0"/>
            <w:vAlign w:val="center"/>
          </w:tcPr>
          <w:p w14:paraId="4D432B41">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center"/>
          </w:tcPr>
          <w:p w14:paraId="68CD645D">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年龄</w:t>
            </w:r>
          </w:p>
        </w:tc>
        <w:tc>
          <w:tcPr>
            <w:tcW w:w="1072" w:type="dxa"/>
            <w:tcBorders>
              <w:top w:val="single" w:color="auto" w:sz="6" w:space="0"/>
              <w:left w:val="single" w:color="auto" w:sz="6" w:space="0"/>
              <w:bottom w:val="single" w:color="auto" w:sz="6" w:space="0"/>
              <w:right w:val="single" w:color="auto" w:sz="6" w:space="0"/>
            </w:tcBorders>
            <w:noWrap w:val="0"/>
            <w:vAlign w:val="center"/>
          </w:tcPr>
          <w:p w14:paraId="071E0FB9">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14:paraId="50EC57A2">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center"/>
          </w:tcPr>
          <w:p w14:paraId="31C8FA84">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r>
      <w:tr w14:paraId="7BB6FCBA">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51CD2E4F">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center"/>
          </w:tcPr>
          <w:p w14:paraId="6495D772">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14:paraId="1933F54C">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专业</w:t>
            </w:r>
          </w:p>
        </w:tc>
        <w:tc>
          <w:tcPr>
            <w:tcW w:w="2355" w:type="dxa"/>
            <w:tcBorders>
              <w:top w:val="single" w:color="auto" w:sz="6" w:space="0"/>
              <w:left w:val="single" w:color="auto" w:sz="6" w:space="0"/>
              <w:bottom w:val="single" w:color="auto" w:sz="6" w:space="0"/>
              <w:right w:val="single" w:color="auto" w:sz="6" w:space="0"/>
            </w:tcBorders>
            <w:noWrap w:val="0"/>
            <w:vAlign w:val="center"/>
          </w:tcPr>
          <w:p w14:paraId="58ECC23D">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r>
      <w:tr w14:paraId="687208D4">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7CADFC2D">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学位</w:t>
            </w:r>
          </w:p>
        </w:tc>
        <w:tc>
          <w:tcPr>
            <w:tcW w:w="2422" w:type="dxa"/>
            <w:tcBorders>
              <w:top w:val="single" w:color="auto" w:sz="6" w:space="0"/>
              <w:left w:val="single" w:color="auto" w:sz="6" w:space="0"/>
              <w:bottom w:val="single" w:color="auto" w:sz="6" w:space="0"/>
              <w:right w:val="single" w:color="auto" w:sz="6" w:space="0"/>
            </w:tcBorders>
            <w:noWrap w:val="0"/>
            <w:vAlign w:val="center"/>
          </w:tcPr>
          <w:p w14:paraId="592ECF48">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center"/>
          </w:tcPr>
          <w:p w14:paraId="2AE50A80">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职称</w:t>
            </w:r>
          </w:p>
        </w:tc>
        <w:tc>
          <w:tcPr>
            <w:tcW w:w="1072" w:type="dxa"/>
            <w:tcBorders>
              <w:top w:val="single" w:color="auto" w:sz="6" w:space="0"/>
              <w:left w:val="single" w:color="auto" w:sz="6" w:space="0"/>
              <w:bottom w:val="single" w:color="auto" w:sz="6" w:space="0"/>
              <w:right w:val="single" w:color="auto" w:sz="6" w:space="0"/>
            </w:tcBorders>
            <w:noWrap w:val="0"/>
            <w:vAlign w:val="center"/>
          </w:tcPr>
          <w:p w14:paraId="6B304AFD">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14:paraId="1841FB40">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职务</w:t>
            </w:r>
          </w:p>
        </w:tc>
        <w:tc>
          <w:tcPr>
            <w:tcW w:w="2355" w:type="dxa"/>
            <w:tcBorders>
              <w:top w:val="single" w:color="auto" w:sz="6" w:space="0"/>
              <w:left w:val="single" w:color="auto" w:sz="6" w:space="0"/>
              <w:bottom w:val="single" w:color="auto" w:sz="6" w:space="0"/>
              <w:right w:val="single" w:color="auto" w:sz="6" w:space="0"/>
            </w:tcBorders>
            <w:noWrap w:val="0"/>
            <w:vAlign w:val="center"/>
          </w:tcPr>
          <w:p w14:paraId="1C504366">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r>
      <w:tr w14:paraId="24B7C1E7">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2FCD63A7">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center"/>
          </w:tcPr>
          <w:p w14:paraId="0CA6DF74">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14:paraId="2EBD1930">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服务时间</w:t>
            </w:r>
          </w:p>
        </w:tc>
        <w:tc>
          <w:tcPr>
            <w:tcW w:w="2355" w:type="dxa"/>
            <w:tcBorders>
              <w:top w:val="single" w:color="auto" w:sz="6" w:space="0"/>
              <w:left w:val="single" w:color="auto" w:sz="6" w:space="0"/>
              <w:bottom w:val="single" w:color="auto" w:sz="6" w:space="0"/>
              <w:right w:val="single" w:color="auto" w:sz="6" w:space="0"/>
            </w:tcBorders>
            <w:noWrap w:val="0"/>
            <w:vAlign w:val="center"/>
          </w:tcPr>
          <w:p w14:paraId="3C93D214">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r>
      <w:tr w14:paraId="0A241116">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6D1CE603">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p w14:paraId="0FBF6AA3">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主要经历</w:t>
            </w:r>
          </w:p>
          <w:p w14:paraId="399F1971">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c>
          <w:tcPr>
            <w:tcW w:w="8569" w:type="dxa"/>
            <w:gridSpan w:val="5"/>
            <w:tcBorders>
              <w:top w:val="single" w:color="auto" w:sz="6" w:space="0"/>
              <w:left w:val="single" w:color="auto" w:sz="6" w:space="0"/>
              <w:bottom w:val="single" w:color="auto" w:sz="6" w:space="0"/>
              <w:right w:val="single" w:color="auto" w:sz="6" w:space="0"/>
            </w:tcBorders>
            <w:noWrap w:val="0"/>
            <w:vAlign w:val="center"/>
          </w:tcPr>
          <w:p w14:paraId="2D3C6C4B">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p w14:paraId="4433CD6B">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r>
      <w:tr w14:paraId="6FA45FDE">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1D0BF785">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14:paraId="495BE1EC">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14:paraId="280860A6">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center"/>
          </w:tcPr>
          <w:p w14:paraId="02312E61">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备注</w:t>
            </w:r>
          </w:p>
        </w:tc>
      </w:tr>
      <w:tr w14:paraId="242789DA">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72226B07">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14:paraId="181E77C5">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14:paraId="72E709D6">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14:paraId="36EED0EE">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r>
      <w:tr w14:paraId="57A1D443">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096575F9">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14:paraId="0BDEF0CD">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14:paraId="3620EDC1">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14:paraId="7442C5C4">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r>
      <w:tr w14:paraId="1FAE164B">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695C1CA8">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14:paraId="30E2B995">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14:paraId="16819EB1">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14:paraId="7D79D9DB">
            <w:pPr>
              <w:keepNext w:val="0"/>
              <w:keepLines w:val="0"/>
              <w:pageBreakBefore w:val="0"/>
              <w:suppressLineNumbers w:val="0"/>
              <w:kinsoku/>
              <w:overflowPunct/>
              <w:topLinePunct w:val="0"/>
              <w:bidi w:val="0"/>
              <w:spacing w:before="0" w:beforeAutospacing="0" w:after="0" w:afterAutospacing="0" w:line="440" w:lineRule="exact"/>
              <w:ind w:left="0" w:right="0"/>
              <w:jc w:val="center"/>
              <w:rPr>
                <w:rFonts w:hint="eastAsia" w:asciiTheme="minorEastAsia" w:hAnsiTheme="minorEastAsia" w:eastAsiaTheme="minorEastAsia" w:cstheme="minorEastAsia"/>
                <w:color w:val="auto"/>
                <w:spacing w:val="0"/>
                <w:position w:val="0"/>
                <w:sz w:val="24"/>
                <w:szCs w:val="24"/>
                <w:highlight w:val="none"/>
              </w:rPr>
            </w:pPr>
          </w:p>
        </w:tc>
      </w:tr>
    </w:tbl>
    <w:p w14:paraId="513CD919">
      <w:pPr>
        <w:pageBreakBefore w:val="0"/>
        <w:kinsoku/>
        <w:overflowPunct/>
        <w:topLinePunct w:val="0"/>
        <w:bidi w:val="0"/>
        <w:spacing w:line="440" w:lineRule="exact"/>
        <w:jc w:val="left"/>
        <w:rPr>
          <w:rFonts w:hint="eastAsia" w:asciiTheme="minorEastAsia" w:hAnsiTheme="minorEastAsia" w:eastAsiaTheme="minorEastAsia" w:cstheme="minorEastAsia"/>
          <w:color w:val="auto"/>
          <w:spacing w:val="0"/>
          <w:position w:val="0"/>
          <w:sz w:val="24"/>
          <w:szCs w:val="24"/>
          <w:highlight w:val="none"/>
          <w:u w:val="single"/>
        </w:rPr>
      </w:pPr>
      <w:r>
        <w:rPr>
          <w:rFonts w:hint="eastAsia" w:asciiTheme="minorEastAsia" w:hAnsiTheme="minorEastAsia" w:eastAsiaTheme="minorEastAsia" w:cstheme="minorEastAsia"/>
          <w:color w:val="auto"/>
          <w:spacing w:val="0"/>
          <w:position w:val="0"/>
          <w:sz w:val="24"/>
          <w:szCs w:val="24"/>
          <w:highlight w:val="none"/>
        </w:rPr>
        <w:t>供应商名称（</w:t>
      </w:r>
      <w:r>
        <w:rPr>
          <w:rFonts w:hint="eastAsia" w:asciiTheme="minorEastAsia" w:hAnsiTheme="minorEastAsia" w:eastAsiaTheme="minorEastAsia" w:cstheme="minorEastAsia"/>
          <w:b w:val="0"/>
          <w:bCs/>
          <w:color w:val="auto"/>
          <w:spacing w:val="0"/>
          <w:position w:val="0"/>
          <w:sz w:val="24"/>
          <w:highlight w:val="none"/>
        </w:rPr>
        <w:t>盖章</w:t>
      </w:r>
      <w:r>
        <w:rPr>
          <w:rFonts w:hint="eastAsia" w:asciiTheme="minorEastAsia" w:hAnsiTheme="minorEastAsia" w:eastAsiaTheme="minorEastAsia" w:cstheme="minorEastAsia"/>
          <w:color w:val="auto"/>
          <w:spacing w:val="0"/>
          <w:position w:val="0"/>
          <w:sz w:val="24"/>
          <w:szCs w:val="24"/>
          <w:highlight w:val="none"/>
        </w:rPr>
        <w:t>）：</w:t>
      </w:r>
      <w:r>
        <w:rPr>
          <w:rFonts w:hint="eastAsia" w:asciiTheme="minorEastAsia" w:hAnsiTheme="minorEastAsia" w:eastAsiaTheme="minorEastAsia" w:cstheme="minorEastAsia"/>
          <w:color w:val="auto"/>
          <w:spacing w:val="0"/>
          <w:position w:val="0"/>
          <w:sz w:val="24"/>
          <w:szCs w:val="24"/>
          <w:highlight w:val="none"/>
          <w:u w:val="single"/>
        </w:rPr>
        <w:t xml:space="preserve">　　　　　         </w:t>
      </w:r>
    </w:p>
    <w:p w14:paraId="33E9D8BF">
      <w:pPr>
        <w:pageBreakBefore w:val="0"/>
        <w:kinsoku/>
        <w:overflowPunct/>
        <w:topLinePunct w:val="0"/>
        <w:bidi w:val="0"/>
        <w:spacing w:line="440" w:lineRule="exact"/>
        <w:rPr>
          <w:rFonts w:hint="eastAsia" w:asciiTheme="minorEastAsia" w:hAnsiTheme="minorEastAsia" w:eastAsiaTheme="minorEastAsia" w:cstheme="minorEastAsia"/>
          <w:color w:val="auto"/>
          <w:spacing w:val="0"/>
          <w:position w:val="0"/>
          <w:sz w:val="24"/>
          <w:szCs w:val="24"/>
          <w:highlight w:val="none"/>
        </w:rPr>
      </w:pPr>
      <w:r>
        <w:rPr>
          <w:rStyle w:val="5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法定代表人（签字和盖章）：</w:t>
      </w:r>
      <w:r>
        <w:rPr>
          <w:rStyle w:val="53"/>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14:paraId="60225314">
      <w:pPr>
        <w:pageBreakBefore w:val="0"/>
        <w:kinsoku/>
        <w:overflowPunct/>
        <w:topLinePunct w:val="0"/>
        <w:bidi w:val="0"/>
        <w:spacing w:line="440" w:lineRule="exac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日期：</w:t>
      </w:r>
      <w:r>
        <w:rPr>
          <w:rFonts w:hint="eastAsia" w:asciiTheme="minorEastAsia" w:hAnsiTheme="minorEastAsia" w:eastAsiaTheme="minorEastAsia" w:cstheme="minorEastAsia"/>
          <w:b w:val="0"/>
          <w:bCs w:val="0"/>
          <w:color w:val="auto"/>
          <w:spacing w:val="0"/>
          <w:position w:val="0"/>
          <w:sz w:val="24"/>
          <w:szCs w:val="24"/>
          <w:highlight w:val="none"/>
          <w:lang w:val="en-US" w:eastAsia="zh-CN" w:bidi="ar-SA"/>
        </w:rPr>
        <w:t>年 月 日</w:t>
      </w:r>
      <w:r>
        <w:rPr>
          <w:rFonts w:hint="eastAsia" w:asciiTheme="minorEastAsia" w:hAnsiTheme="minorEastAsia" w:eastAsiaTheme="minorEastAsia" w:cstheme="minorEastAsia"/>
          <w:color w:val="auto"/>
          <w:spacing w:val="0"/>
          <w:position w:val="0"/>
          <w:sz w:val="24"/>
          <w:szCs w:val="24"/>
          <w:highlight w:val="none"/>
        </w:rPr>
        <w:t>　</w:t>
      </w:r>
    </w:p>
    <w:p w14:paraId="6AECA4D0">
      <w:pPr>
        <w:rPr>
          <w:rFonts w:hint="eastAsia" w:asciiTheme="minorEastAsia" w:hAnsiTheme="minorEastAsia" w:eastAsiaTheme="minorEastAsia" w:cstheme="minorEastAsia"/>
          <w:b/>
          <w:bCs/>
          <w:color w:val="auto"/>
          <w:spacing w:val="0"/>
          <w:position w:val="0"/>
          <w:sz w:val="24"/>
          <w:szCs w:val="24"/>
          <w:highlight w:val="none"/>
        </w:rPr>
      </w:pPr>
      <w:r>
        <w:rPr>
          <w:rFonts w:hint="eastAsia" w:ascii="宋体" w:hAnsi="宋体" w:eastAsia="宋体" w:cs="宋体"/>
          <w:color w:val="auto"/>
          <w:spacing w:val="18"/>
          <w:sz w:val="24"/>
          <w:szCs w:val="24"/>
          <w:highlight w:val="none"/>
        </w:rPr>
        <w:t>注：</w:t>
      </w:r>
      <w:r>
        <w:rPr>
          <w:rFonts w:hint="eastAsia" w:ascii="宋体" w:hAnsi="宋体" w:eastAsia="宋体" w:cs="宋体"/>
          <w:color w:val="auto"/>
          <w:kern w:val="0"/>
          <w:sz w:val="24"/>
          <w:szCs w:val="24"/>
          <w:highlight w:val="none"/>
          <w:lang w:val="en-US" w:eastAsia="zh-CN"/>
        </w:rPr>
        <w:t>按照招标文件中《详细评审表》提供相关证明材料</w:t>
      </w:r>
      <w:r>
        <w:rPr>
          <w:rFonts w:hint="eastAsia" w:asciiTheme="minorEastAsia" w:hAnsiTheme="minorEastAsia" w:eastAsiaTheme="minorEastAsia" w:cstheme="minorEastAsia"/>
          <w:color w:val="auto"/>
          <w:spacing w:val="0"/>
          <w:position w:val="0"/>
          <w:sz w:val="24"/>
          <w:szCs w:val="24"/>
          <w:highlight w:val="none"/>
          <w:lang w:val="en-US" w:eastAsia="zh-CN"/>
        </w:rPr>
        <w:t>。</w:t>
      </w:r>
      <w:r>
        <w:rPr>
          <w:rFonts w:hint="eastAsia" w:asciiTheme="minorEastAsia" w:hAnsiTheme="minorEastAsia" w:eastAsiaTheme="minorEastAsia" w:cstheme="minorEastAsia"/>
          <w:b/>
          <w:bCs/>
          <w:color w:val="auto"/>
          <w:spacing w:val="0"/>
          <w:position w:val="0"/>
          <w:sz w:val="24"/>
          <w:szCs w:val="24"/>
          <w:highlight w:val="none"/>
        </w:rPr>
        <w:br w:type="page"/>
      </w:r>
    </w:p>
    <w:p w14:paraId="35F7E2D6">
      <w:pPr>
        <w:pageBreakBefore w:val="0"/>
        <w:kinsoku/>
        <w:overflowPunct/>
        <w:topLinePunct w:val="0"/>
        <w:autoSpaceDE w:val="0"/>
        <w:autoSpaceDN w:val="0"/>
        <w:bidi w:val="0"/>
        <w:adjustRightInd w:val="0"/>
        <w:spacing w:line="440" w:lineRule="exact"/>
        <w:jc w:val="center"/>
        <w:rPr>
          <w:rFonts w:hint="eastAsia" w:asciiTheme="minorEastAsia" w:hAnsiTheme="minorEastAsia" w:eastAsiaTheme="minorEastAsia" w:cstheme="minorEastAsia"/>
          <w:b/>
          <w:bCs/>
          <w:color w:val="auto"/>
          <w:spacing w:val="0"/>
          <w:position w:val="0"/>
          <w:sz w:val="24"/>
          <w:szCs w:val="24"/>
          <w:highlight w:val="none"/>
        </w:rPr>
      </w:pPr>
      <w:r>
        <w:rPr>
          <w:rFonts w:hint="eastAsia" w:asciiTheme="minorEastAsia" w:hAnsiTheme="minorEastAsia" w:eastAsiaTheme="minorEastAsia" w:cstheme="minorEastAsia"/>
          <w:b/>
          <w:bCs/>
          <w:color w:val="auto"/>
          <w:spacing w:val="0"/>
          <w:position w:val="0"/>
          <w:sz w:val="24"/>
          <w:szCs w:val="24"/>
          <w:highlight w:val="none"/>
        </w:rPr>
        <w:t>拟投入本项目的主要成员表</w:t>
      </w:r>
    </w:p>
    <w:tbl>
      <w:tblPr>
        <w:tblStyle w:val="3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064"/>
        <w:gridCol w:w="1064"/>
        <w:gridCol w:w="1186"/>
        <w:gridCol w:w="946"/>
        <w:gridCol w:w="1389"/>
        <w:gridCol w:w="976"/>
        <w:gridCol w:w="1112"/>
        <w:gridCol w:w="985"/>
      </w:tblGrid>
      <w:tr w14:paraId="4A972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621" w:type="pct"/>
            <w:vMerge w:val="restart"/>
            <w:noWrap w:val="0"/>
            <w:vAlign w:val="center"/>
          </w:tcPr>
          <w:p w14:paraId="0EECE21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类别</w:t>
            </w:r>
          </w:p>
        </w:tc>
        <w:tc>
          <w:tcPr>
            <w:tcW w:w="534" w:type="pct"/>
            <w:vMerge w:val="restart"/>
            <w:noWrap w:val="0"/>
            <w:vAlign w:val="center"/>
          </w:tcPr>
          <w:p w14:paraId="1A8FF51C">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534" w:type="pct"/>
            <w:vMerge w:val="restart"/>
            <w:noWrap w:val="0"/>
            <w:vAlign w:val="center"/>
          </w:tcPr>
          <w:p w14:paraId="6345EBC2">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595" w:type="pct"/>
            <w:vMerge w:val="restart"/>
            <w:noWrap w:val="0"/>
            <w:vAlign w:val="center"/>
          </w:tcPr>
          <w:p w14:paraId="4A839E9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职称或职务</w:t>
            </w:r>
          </w:p>
        </w:tc>
        <w:tc>
          <w:tcPr>
            <w:tcW w:w="475" w:type="pct"/>
            <w:vMerge w:val="restart"/>
            <w:noWrap w:val="0"/>
            <w:vAlign w:val="center"/>
          </w:tcPr>
          <w:p w14:paraId="00FD9A8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常住地</w:t>
            </w:r>
          </w:p>
        </w:tc>
        <w:tc>
          <w:tcPr>
            <w:tcW w:w="2239" w:type="pct"/>
            <w:gridSpan w:val="4"/>
            <w:noWrap w:val="0"/>
            <w:vAlign w:val="center"/>
          </w:tcPr>
          <w:p w14:paraId="3003B95E">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资格证明</w:t>
            </w:r>
          </w:p>
        </w:tc>
      </w:tr>
      <w:tr w14:paraId="68DCF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621" w:type="pct"/>
            <w:vMerge w:val="continue"/>
            <w:noWrap w:val="0"/>
            <w:vAlign w:val="center"/>
          </w:tcPr>
          <w:p w14:paraId="14AA16DF">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534" w:type="pct"/>
            <w:vMerge w:val="continue"/>
            <w:noWrap w:val="0"/>
            <w:vAlign w:val="center"/>
          </w:tcPr>
          <w:p w14:paraId="124F9D92">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534" w:type="pct"/>
            <w:vMerge w:val="continue"/>
            <w:noWrap w:val="0"/>
            <w:vAlign w:val="center"/>
          </w:tcPr>
          <w:p w14:paraId="1CEDBD62">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595" w:type="pct"/>
            <w:vMerge w:val="continue"/>
            <w:noWrap w:val="0"/>
            <w:vAlign w:val="center"/>
          </w:tcPr>
          <w:p w14:paraId="4D53CA1C">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475" w:type="pct"/>
            <w:vMerge w:val="continue"/>
            <w:noWrap w:val="0"/>
            <w:vAlign w:val="center"/>
          </w:tcPr>
          <w:p w14:paraId="2EDD9122">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697" w:type="pct"/>
            <w:noWrap w:val="0"/>
            <w:vAlign w:val="center"/>
          </w:tcPr>
          <w:p w14:paraId="67CE8655">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证书名称</w:t>
            </w:r>
          </w:p>
        </w:tc>
        <w:tc>
          <w:tcPr>
            <w:tcW w:w="490" w:type="pct"/>
            <w:noWrap w:val="0"/>
            <w:vAlign w:val="center"/>
          </w:tcPr>
          <w:p w14:paraId="14994D9F">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级别</w:t>
            </w:r>
          </w:p>
        </w:tc>
        <w:tc>
          <w:tcPr>
            <w:tcW w:w="558" w:type="pct"/>
            <w:noWrap w:val="0"/>
            <w:vAlign w:val="center"/>
          </w:tcPr>
          <w:p w14:paraId="3F34054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证号</w:t>
            </w:r>
          </w:p>
        </w:tc>
        <w:tc>
          <w:tcPr>
            <w:tcW w:w="493" w:type="pct"/>
            <w:noWrap w:val="0"/>
            <w:vAlign w:val="center"/>
          </w:tcPr>
          <w:p w14:paraId="74295BEF">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r>
      <w:tr w14:paraId="2558A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621" w:type="pct"/>
            <w:vMerge w:val="restart"/>
            <w:noWrap w:val="0"/>
            <w:vAlign w:val="top"/>
          </w:tcPr>
          <w:p w14:paraId="30ADEB01">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驻</w:t>
            </w:r>
          </w:p>
          <w:p w14:paraId="2AD6F123">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点</w:t>
            </w:r>
          </w:p>
          <w:p w14:paraId="1C436FD3">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w:t>
            </w:r>
          </w:p>
          <w:p w14:paraId="5C367AD8">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w:t>
            </w:r>
          </w:p>
        </w:tc>
        <w:tc>
          <w:tcPr>
            <w:tcW w:w="534" w:type="pct"/>
            <w:noWrap w:val="0"/>
            <w:vAlign w:val="top"/>
          </w:tcPr>
          <w:p w14:paraId="6D09EA38">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534" w:type="pct"/>
            <w:noWrap w:val="0"/>
            <w:vAlign w:val="top"/>
          </w:tcPr>
          <w:p w14:paraId="18C6B20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595" w:type="pct"/>
            <w:noWrap w:val="0"/>
            <w:vAlign w:val="top"/>
          </w:tcPr>
          <w:p w14:paraId="317BF642">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475" w:type="pct"/>
            <w:noWrap w:val="0"/>
            <w:vAlign w:val="top"/>
          </w:tcPr>
          <w:p w14:paraId="24BFF7C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697" w:type="pct"/>
            <w:noWrap w:val="0"/>
            <w:vAlign w:val="top"/>
          </w:tcPr>
          <w:p w14:paraId="214109AE">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490" w:type="pct"/>
            <w:noWrap w:val="0"/>
            <w:vAlign w:val="top"/>
          </w:tcPr>
          <w:p w14:paraId="5CDDC3F5">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558" w:type="pct"/>
            <w:noWrap w:val="0"/>
            <w:vAlign w:val="top"/>
          </w:tcPr>
          <w:p w14:paraId="4250337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493" w:type="pct"/>
            <w:noWrap w:val="0"/>
            <w:vAlign w:val="top"/>
          </w:tcPr>
          <w:p w14:paraId="1304B18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r>
      <w:tr w14:paraId="1B413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621" w:type="pct"/>
            <w:vMerge w:val="continue"/>
            <w:noWrap w:val="0"/>
            <w:vAlign w:val="top"/>
          </w:tcPr>
          <w:p w14:paraId="17BA3BB1">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534" w:type="pct"/>
            <w:noWrap w:val="0"/>
            <w:vAlign w:val="top"/>
          </w:tcPr>
          <w:p w14:paraId="632E77E2">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534" w:type="pct"/>
            <w:noWrap w:val="0"/>
            <w:vAlign w:val="top"/>
          </w:tcPr>
          <w:p w14:paraId="1819A885">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595" w:type="pct"/>
            <w:noWrap w:val="0"/>
            <w:vAlign w:val="top"/>
          </w:tcPr>
          <w:p w14:paraId="1EA9E2A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475" w:type="pct"/>
            <w:noWrap w:val="0"/>
            <w:vAlign w:val="top"/>
          </w:tcPr>
          <w:p w14:paraId="525A1B9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697" w:type="pct"/>
            <w:noWrap w:val="0"/>
            <w:vAlign w:val="top"/>
          </w:tcPr>
          <w:p w14:paraId="0361055E">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490" w:type="pct"/>
            <w:noWrap w:val="0"/>
            <w:vAlign w:val="top"/>
          </w:tcPr>
          <w:p w14:paraId="5557BB6F">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558" w:type="pct"/>
            <w:noWrap w:val="0"/>
            <w:vAlign w:val="top"/>
          </w:tcPr>
          <w:p w14:paraId="2246D07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493" w:type="pct"/>
            <w:noWrap w:val="0"/>
            <w:vAlign w:val="top"/>
          </w:tcPr>
          <w:p w14:paraId="3462ADC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r>
      <w:tr w14:paraId="7CBA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1" w:type="pct"/>
            <w:vMerge w:val="continue"/>
            <w:noWrap w:val="0"/>
            <w:vAlign w:val="top"/>
          </w:tcPr>
          <w:p w14:paraId="05F6476F">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534" w:type="pct"/>
            <w:noWrap w:val="0"/>
            <w:vAlign w:val="top"/>
          </w:tcPr>
          <w:p w14:paraId="0E7084FC">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534" w:type="pct"/>
            <w:noWrap w:val="0"/>
            <w:vAlign w:val="top"/>
          </w:tcPr>
          <w:p w14:paraId="3027626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595" w:type="pct"/>
            <w:noWrap w:val="0"/>
            <w:vAlign w:val="top"/>
          </w:tcPr>
          <w:p w14:paraId="5E89B97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475" w:type="pct"/>
            <w:noWrap w:val="0"/>
            <w:vAlign w:val="top"/>
          </w:tcPr>
          <w:p w14:paraId="53D04E2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697" w:type="pct"/>
            <w:noWrap w:val="0"/>
            <w:vAlign w:val="top"/>
          </w:tcPr>
          <w:p w14:paraId="5F9209DC">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490" w:type="pct"/>
            <w:noWrap w:val="0"/>
            <w:vAlign w:val="top"/>
          </w:tcPr>
          <w:p w14:paraId="34B3F271">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558" w:type="pct"/>
            <w:noWrap w:val="0"/>
            <w:vAlign w:val="top"/>
          </w:tcPr>
          <w:p w14:paraId="3DB79F3F">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493" w:type="pct"/>
            <w:noWrap w:val="0"/>
            <w:vAlign w:val="top"/>
          </w:tcPr>
          <w:p w14:paraId="1554E2F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r>
      <w:tr w14:paraId="48A64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621" w:type="pct"/>
            <w:vMerge w:val="restart"/>
            <w:noWrap w:val="0"/>
            <w:vAlign w:val="top"/>
          </w:tcPr>
          <w:p w14:paraId="0D9DDAFC">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管</w:t>
            </w:r>
          </w:p>
          <w:p w14:paraId="115C95DE">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理</w:t>
            </w:r>
          </w:p>
          <w:p w14:paraId="2F03756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w:t>
            </w:r>
          </w:p>
          <w:p w14:paraId="53EC3C82">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w:t>
            </w:r>
          </w:p>
        </w:tc>
        <w:tc>
          <w:tcPr>
            <w:tcW w:w="534" w:type="pct"/>
            <w:noWrap w:val="0"/>
            <w:vAlign w:val="top"/>
          </w:tcPr>
          <w:p w14:paraId="78B2ED2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534" w:type="pct"/>
            <w:noWrap w:val="0"/>
            <w:vAlign w:val="top"/>
          </w:tcPr>
          <w:p w14:paraId="5DD3289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595" w:type="pct"/>
            <w:noWrap w:val="0"/>
            <w:vAlign w:val="top"/>
          </w:tcPr>
          <w:p w14:paraId="53D8EED5">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475" w:type="pct"/>
            <w:noWrap w:val="0"/>
            <w:vAlign w:val="top"/>
          </w:tcPr>
          <w:p w14:paraId="03DFFFD1">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697" w:type="pct"/>
            <w:noWrap w:val="0"/>
            <w:vAlign w:val="top"/>
          </w:tcPr>
          <w:p w14:paraId="7609030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490" w:type="pct"/>
            <w:noWrap w:val="0"/>
            <w:vAlign w:val="top"/>
          </w:tcPr>
          <w:p w14:paraId="632D645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558" w:type="pct"/>
            <w:noWrap w:val="0"/>
            <w:vAlign w:val="top"/>
          </w:tcPr>
          <w:p w14:paraId="7B370C3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493" w:type="pct"/>
            <w:noWrap w:val="0"/>
            <w:vAlign w:val="top"/>
          </w:tcPr>
          <w:p w14:paraId="7B2C412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r>
      <w:tr w14:paraId="0A22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621" w:type="pct"/>
            <w:vMerge w:val="continue"/>
            <w:noWrap w:val="0"/>
            <w:vAlign w:val="top"/>
          </w:tcPr>
          <w:p w14:paraId="3CF5D3E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534" w:type="pct"/>
            <w:noWrap w:val="0"/>
            <w:vAlign w:val="top"/>
          </w:tcPr>
          <w:p w14:paraId="75BCDA1F">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534" w:type="pct"/>
            <w:noWrap w:val="0"/>
            <w:vAlign w:val="top"/>
          </w:tcPr>
          <w:p w14:paraId="123DFC0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595" w:type="pct"/>
            <w:noWrap w:val="0"/>
            <w:vAlign w:val="top"/>
          </w:tcPr>
          <w:p w14:paraId="0A870A78">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475" w:type="pct"/>
            <w:noWrap w:val="0"/>
            <w:vAlign w:val="top"/>
          </w:tcPr>
          <w:p w14:paraId="3F86A72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697" w:type="pct"/>
            <w:noWrap w:val="0"/>
            <w:vAlign w:val="top"/>
          </w:tcPr>
          <w:p w14:paraId="6958097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490" w:type="pct"/>
            <w:noWrap w:val="0"/>
            <w:vAlign w:val="top"/>
          </w:tcPr>
          <w:p w14:paraId="4694338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558" w:type="pct"/>
            <w:noWrap w:val="0"/>
            <w:vAlign w:val="top"/>
          </w:tcPr>
          <w:p w14:paraId="13A92A0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493" w:type="pct"/>
            <w:noWrap w:val="0"/>
            <w:vAlign w:val="top"/>
          </w:tcPr>
          <w:p w14:paraId="64C3847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r>
      <w:tr w14:paraId="7C066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621" w:type="pct"/>
            <w:vMerge w:val="continue"/>
            <w:noWrap w:val="0"/>
            <w:vAlign w:val="top"/>
          </w:tcPr>
          <w:p w14:paraId="169E121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534" w:type="pct"/>
            <w:noWrap w:val="0"/>
            <w:vAlign w:val="top"/>
          </w:tcPr>
          <w:p w14:paraId="76AD7873">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534" w:type="pct"/>
            <w:noWrap w:val="0"/>
            <w:vAlign w:val="top"/>
          </w:tcPr>
          <w:p w14:paraId="7EAD064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595" w:type="pct"/>
            <w:noWrap w:val="0"/>
            <w:vAlign w:val="top"/>
          </w:tcPr>
          <w:p w14:paraId="2273A57C">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475" w:type="pct"/>
            <w:noWrap w:val="0"/>
            <w:vAlign w:val="top"/>
          </w:tcPr>
          <w:p w14:paraId="7DE95BD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697" w:type="pct"/>
            <w:noWrap w:val="0"/>
            <w:vAlign w:val="top"/>
          </w:tcPr>
          <w:p w14:paraId="683FE57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490" w:type="pct"/>
            <w:noWrap w:val="0"/>
            <w:vAlign w:val="top"/>
          </w:tcPr>
          <w:p w14:paraId="36C2F3CF">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558" w:type="pct"/>
            <w:noWrap w:val="0"/>
            <w:vAlign w:val="top"/>
          </w:tcPr>
          <w:p w14:paraId="312FE02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493" w:type="pct"/>
            <w:noWrap w:val="0"/>
            <w:vAlign w:val="top"/>
          </w:tcPr>
          <w:p w14:paraId="1D487BF2">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r>
      <w:tr w14:paraId="10A03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621" w:type="pct"/>
            <w:vMerge w:val="restart"/>
            <w:noWrap w:val="0"/>
            <w:vAlign w:val="top"/>
          </w:tcPr>
          <w:p w14:paraId="3FB36BC3">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eastAsia="zh-CN"/>
              </w:rPr>
            </w:pPr>
          </w:p>
          <w:p w14:paraId="51DE371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w:t>
            </w:r>
          </w:p>
          <w:p w14:paraId="62D74A4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务</w:t>
            </w:r>
          </w:p>
          <w:p w14:paraId="31D808CC">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w:t>
            </w:r>
          </w:p>
          <w:p w14:paraId="2B435BB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w:t>
            </w:r>
          </w:p>
        </w:tc>
        <w:tc>
          <w:tcPr>
            <w:tcW w:w="534" w:type="pct"/>
            <w:noWrap w:val="0"/>
            <w:vAlign w:val="top"/>
          </w:tcPr>
          <w:p w14:paraId="34FAA4F2">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534" w:type="pct"/>
            <w:noWrap w:val="0"/>
            <w:vAlign w:val="top"/>
          </w:tcPr>
          <w:p w14:paraId="7E0FB775">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595" w:type="pct"/>
            <w:noWrap w:val="0"/>
            <w:vAlign w:val="top"/>
          </w:tcPr>
          <w:p w14:paraId="46AE43F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475" w:type="pct"/>
            <w:noWrap w:val="0"/>
            <w:vAlign w:val="top"/>
          </w:tcPr>
          <w:p w14:paraId="5F69C0A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697" w:type="pct"/>
            <w:noWrap w:val="0"/>
            <w:vAlign w:val="top"/>
          </w:tcPr>
          <w:p w14:paraId="7A416F2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490" w:type="pct"/>
            <w:noWrap w:val="0"/>
            <w:vAlign w:val="top"/>
          </w:tcPr>
          <w:p w14:paraId="7A54C53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558" w:type="pct"/>
            <w:noWrap w:val="0"/>
            <w:vAlign w:val="top"/>
          </w:tcPr>
          <w:p w14:paraId="28B60A15">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493" w:type="pct"/>
            <w:noWrap w:val="0"/>
            <w:vAlign w:val="top"/>
          </w:tcPr>
          <w:p w14:paraId="6D479CE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r>
      <w:tr w14:paraId="25D2E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621" w:type="pct"/>
            <w:vMerge w:val="continue"/>
            <w:noWrap w:val="0"/>
            <w:vAlign w:val="top"/>
          </w:tcPr>
          <w:p w14:paraId="4651AF38">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534" w:type="pct"/>
            <w:noWrap w:val="0"/>
            <w:vAlign w:val="top"/>
          </w:tcPr>
          <w:p w14:paraId="3FDA0C8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534" w:type="pct"/>
            <w:noWrap w:val="0"/>
            <w:vAlign w:val="top"/>
          </w:tcPr>
          <w:p w14:paraId="302DE18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595" w:type="pct"/>
            <w:noWrap w:val="0"/>
            <w:vAlign w:val="top"/>
          </w:tcPr>
          <w:p w14:paraId="6578C25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475" w:type="pct"/>
            <w:noWrap w:val="0"/>
            <w:vAlign w:val="top"/>
          </w:tcPr>
          <w:p w14:paraId="49C5E14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697" w:type="pct"/>
            <w:noWrap w:val="0"/>
            <w:vAlign w:val="top"/>
          </w:tcPr>
          <w:p w14:paraId="7DFA2B0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490" w:type="pct"/>
            <w:noWrap w:val="0"/>
            <w:vAlign w:val="top"/>
          </w:tcPr>
          <w:p w14:paraId="28BB85CE">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558" w:type="pct"/>
            <w:noWrap w:val="0"/>
            <w:vAlign w:val="top"/>
          </w:tcPr>
          <w:p w14:paraId="052640E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493" w:type="pct"/>
            <w:noWrap w:val="0"/>
            <w:vAlign w:val="top"/>
          </w:tcPr>
          <w:p w14:paraId="1024A16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r>
      <w:tr w14:paraId="6811A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621" w:type="pct"/>
            <w:vMerge w:val="continue"/>
            <w:noWrap w:val="0"/>
            <w:vAlign w:val="top"/>
          </w:tcPr>
          <w:p w14:paraId="55F9F6D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534" w:type="pct"/>
            <w:noWrap w:val="0"/>
            <w:vAlign w:val="top"/>
          </w:tcPr>
          <w:p w14:paraId="4E3B31F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534" w:type="pct"/>
            <w:noWrap w:val="0"/>
            <w:vAlign w:val="top"/>
          </w:tcPr>
          <w:p w14:paraId="7E9CF49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595" w:type="pct"/>
            <w:noWrap w:val="0"/>
            <w:vAlign w:val="top"/>
          </w:tcPr>
          <w:p w14:paraId="70190D2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475" w:type="pct"/>
            <w:noWrap w:val="0"/>
            <w:vAlign w:val="top"/>
          </w:tcPr>
          <w:p w14:paraId="35001B21">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697" w:type="pct"/>
            <w:noWrap w:val="0"/>
            <w:vAlign w:val="top"/>
          </w:tcPr>
          <w:p w14:paraId="2133CE9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490" w:type="pct"/>
            <w:noWrap w:val="0"/>
            <w:vAlign w:val="top"/>
          </w:tcPr>
          <w:p w14:paraId="0C7EDE4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558" w:type="pct"/>
            <w:noWrap w:val="0"/>
            <w:vAlign w:val="top"/>
          </w:tcPr>
          <w:p w14:paraId="61B9706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493" w:type="pct"/>
            <w:noWrap w:val="0"/>
            <w:vAlign w:val="top"/>
          </w:tcPr>
          <w:p w14:paraId="036F19B5">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r>
      <w:tr w14:paraId="5B8B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621" w:type="pct"/>
            <w:vMerge w:val="continue"/>
            <w:noWrap w:val="0"/>
            <w:vAlign w:val="top"/>
          </w:tcPr>
          <w:p w14:paraId="5DC0E9A3">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534" w:type="pct"/>
            <w:noWrap w:val="0"/>
            <w:vAlign w:val="top"/>
          </w:tcPr>
          <w:p w14:paraId="4764A205">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534" w:type="pct"/>
            <w:noWrap w:val="0"/>
            <w:vAlign w:val="top"/>
          </w:tcPr>
          <w:p w14:paraId="0626ABCA">
            <w:pPr>
              <w:keepNext w:val="0"/>
              <w:keepLines w:val="0"/>
              <w:suppressLineNumbers w:val="0"/>
              <w:spacing w:before="0" w:beforeAutospacing="0" w:after="0" w:afterAutospacing="0" w:line="400" w:lineRule="exact"/>
              <w:ind w:left="0" w:right="0"/>
              <w:jc w:val="center"/>
              <w:rPr>
                <w:rFonts w:hint="eastAsia" w:ascii="宋体" w:hAnsi="宋体" w:eastAsia="宋体" w:cs="宋体"/>
                <w:b/>
                <w:bCs/>
                <w:color w:val="auto"/>
                <w:sz w:val="24"/>
                <w:szCs w:val="24"/>
                <w:highlight w:val="none"/>
              </w:rPr>
            </w:pPr>
          </w:p>
        </w:tc>
        <w:tc>
          <w:tcPr>
            <w:tcW w:w="595" w:type="pct"/>
            <w:noWrap w:val="0"/>
            <w:vAlign w:val="top"/>
          </w:tcPr>
          <w:p w14:paraId="54FD7990">
            <w:pPr>
              <w:keepNext w:val="0"/>
              <w:keepLines w:val="0"/>
              <w:suppressLineNumbers w:val="0"/>
              <w:spacing w:before="0" w:beforeAutospacing="0" w:after="0" w:afterAutospacing="0" w:line="400" w:lineRule="exact"/>
              <w:ind w:left="0" w:right="0"/>
              <w:jc w:val="center"/>
              <w:rPr>
                <w:rFonts w:hint="eastAsia" w:ascii="宋体" w:hAnsi="宋体" w:eastAsia="宋体" w:cs="宋体"/>
                <w:b/>
                <w:bCs/>
                <w:color w:val="auto"/>
                <w:sz w:val="24"/>
                <w:szCs w:val="24"/>
                <w:highlight w:val="none"/>
              </w:rPr>
            </w:pPr>
          </w:p>
        </w:tc>
        <w:tc>
          <w:tcPr>
            <w:tcW w:w="475" w:type="pct"/>
            <w:noWrap w:val="0"/>
            <w:vAlign w:val="top"/>
          </w:tcPr>
          <w:p w14:paraId="31E36EA3">
            <w:pPr>
              <w:keepNext w:val="0"/>
              <w:keepLines w:val="0"/>
              <w:suppressLineNumbers w:val="0"/>
              <w:spacing w:before="0" w:beforeAutospacing="0" w:after="0" w:afterAutospacing="0" w:line="400" w:lineRule="exact"/>
              <w:ind w:left="0" w:right="0"/>
              <w:jc w:val="center"/>
              <w:rPr>
                <w:rFonts w:hint="eastAsia" w:ascii="宋体" w:hAnsi="宋体" w:eastAsia="宋体" w:cs="宋体"/>
                <w:b/>
                <w:bCs/>
                <w:color w:val="auto"/>
                <w:sz w:val="24"/>
                <w:szCs w:val="24"/>
                <w:highlight w:val="none"/>
              </w:rPr>
            </w:pPr>
          </w:p>
        </w:tc>
        <w:tc>
          <w:tcPr>
            <w:tcW w:w="697" w:type="pct"/>
            <w:noWrap w:val="0"/>
            <w:vAlign w:val="top"/>
          </w:tcPr>
          <w:p w14:paraId="3EF8CE86">
            <w:pPr>
              <w:keepNext w:val="0"/>
              <w:keepLines w:val="0"/>
              <w:suppressLineNumbers w:val="0"/>
              <w:spacing w:before="0" w:beforeAutospacing="0" w:after="0" w:afterAutospacing="0" w:line="400" w:lineRule="exact"/>
              <w:ind w:left="0" w:right="0"/>
              <w:jc w:val="center"/>
              <w:rPr>
                <w:rFonts w:hint="eastAsia" w:ascii="宋体" w:hAnsi="宋体" w:eastAsia="宋体" w:cs="宋体"/>
                <w:b/>
                <w:bCs/>
                <w:color w:val="auto"/>
                <w:sz w:val="24"/>
                <w:szCs w:val="24"/>
                <w:highlight w:val="none"/>
              </w:rPr>
            </w:pPr>
          </w:p>
        </w:tc>
        <w:tc>
          <w:tcPr>
            <w:tcW w:w="490" w:type="pct"/>
            <w:noWrap w:val="0"/>
            <w:vAlign w:val="top"/>
          </w:tcPr>
          <w:p w14:paraId="2461B39D">
            <w:pPr>
              <w:keepNext w:val="0"/>
              <w:keepLines w:val="0"/>
              <w:suppressLineNumbers w:val="0"/>
              <w:spacing w:before="0" w:beforeAutospacing="0" w:after="0" w:afterAutospacing="0" w:line="400" w:lineRule="exact"/>
              <w:ind w:left="0" w:right="0"/>
              <w:jc w:val="center"/>
              <w:rPr>
                <w:rFonts w:hint="eastAsia" w:ascii="宋体" w:hAnsi="宋体" w:eastAsia="宋体" w:cs="宋体"/>
                <w:b/>
                <w:bCs/>
                <w:color w:val="auto"/>
                <w:sz w:val="24"/>
                <w:szCs w:val="24"/>
                <w:highlight w:val="none"/>
              </w:rPr>
            </w:pPr>
          </w:p>
        </w:tc>
        <w:tc>
          <w:tcPr>
            <w:tcW w:w="558" w:type="pct"/>
            <w:noWrap w:val="0"/>
            <w:vAlign w:val="top"/>
          </w:tcPr>
          <w:p w14:paraId="18EEE118">
            <w:pPr>
              <w:keepNext w:val="0"/>
              <w:keepLines w:val="0"/>
              <w:suppressLineNumbers w:val="0"/>
              <w:spacing w:before="0" w:beforeAutospacing="0" w:after="0" w:afterAutospacing="0" w:line="400" w:lineRule="exact"/>
              <w:ind w:left="0" w:right="0"/>
              <w:jc w:val="center"/>
              <w:rPr>
                <w:rFonts w:hint="eastAsia" w:ascii="宋体" w:hAnsi="宋体" w:eastAsia="宋体" w:cs="宋体"/>
                <w:b/>
                <w:bCs/>
                <w:color w:val="auto"/>
                <w:sz w:val="24"/>
                <w:szCs w:val="24"/>
                <w:highlight w:val="none"/>
              </w:rPr>
            </w:pPr>
          </w:p>
        </w:tc>
        <w:tc>
          <w:tcPr>
            <w:tcW w:w="493" w:type="pct"/>
            <w:noWrap w:val="0"/>
            <w:vAlign w:val="top"/>
          </w:tcPr>
          <w:p w14:paraId="4E114E73">
            <w:pPr>
              <w:keepNext w:val="0"/>
              <w:keepLines w:val="0"/>
              <w:suppressLineNumbers w:val="0"/>
              <w:spacing w:before="0" w:beforeAutospacing="0" w:after="0" w:afterAutospacing="0" w:line="400" w:lineRule="exact"/>
              <w:ind w:left="0" w:right="0"/>
              <w:jc w:val="center"/>
              <w:rPr>
                <w:rFonts w:hint="eastAsia" w:ascii="宋体" w:hAnsi="宋体" w:eastAsia="宋体" w:cs="宋体"/>
                <w:b/>
                <w:bCs/>
                <w:color w:val="auto"/>
                <w:sz w:val="24"/>
                <w:szCs w:val="24"/>
                <w:highlight w:val="none"/>
              </w:rPr>
            </w:pPr>
          </w:p>
        </w:tc>
      </w:tr>
      <w:tr w14:paraId="4D768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621" w:type="pct"/>
            <w:vMerge w:val="continue"/>
            <w:noWrap w:val="0"/>
            <w:vAlign w:val="top"/>
          </w:tcPr>
          <w:p w14:paraId="2F33956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534" w:type="pct"/>
            <w:noWrap w:val="0"/>
            <w:vAlign w:val="top"/>
          </w:tcPr>
          <w:p w14:paraId="68C4B83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534" w:type="pct"/>
            <w:noWrap w:val="0"/>
            <w:vAlign w:val="top"/>
          </w:tcPr>
          <w:p w14:paraId="3A42B0F9">
            <w:pPr>
              <w:keepNext w:val="0"/>
              <w:keepLines w:val="0"/>
              <w:suppressLineNumbers w:val="0"/>
              <w:spacing w:before="0" w:beforeAutospacing="0" w:after="0" w:afterAutospacing="0" w:line="400" w:lineRule="exact"/>
              <w:ind w:left="0" w:right="0"/>
              <w:jc w:val="center"/>
              <w:rPr>
                <w:rFonts w:hint="eastAsia" w:ascii="宋体" w:hAnsi="宋体" w:eastAsia="宋体" w:cs="宋体"/>
                <w:b/>
                <w:bCs/>
                <w:color w:val="auto"/>
                <w:sz w:val="24"/>
                <w:szCs w:val="24"/>
                <w:highlight w:val="none"/>
              </w:rPr>
            </w:pPr>
          </w:p>
        </w:tc>
        <w:tc>
          <w:tcPr>
            <w:tcW w:w="595" w:type="pct"/>
            <w:noWrap w:val="0"/>
            <w:vAlign w:val="top"/>
          </w:tcPr>
          <w:p w14:paraId="5E5E53FD">
            <w:pPr>
              <w:keepNext w:val="0"/>
              <w:keepLines w:val="0"/>
              <w:suppressLineNumbers w:val="0"/>
              <w:spacing w:before="0" w:beforeAutospacing="0" w:after="0" w:afterAutospacing="0" w:line="400" w:lineRule="exact"/>
              <w:ind w:left="0" w:right="0"/>
              <w:jc w:val="center"/>
              <w:rPr>
                <w:rFonts w:hint="eastAsia" w:ascii="宋体" w:hAnsi="宋体" w:eastAsia="宋体" w:cs="宋体"/>
                <w:b/>
                <w:bCs/>
                <w:color w:val="auto"/>
                <w:sz w:val="24"/>
                <w:szCs w:val="24"/>
                <w:highlight w:val="none"/>
              </w:rPr>
            </w:pPr>
          </w:p>
        </w:tc>
        <w:tc>
          <w:tcPr>
            <w:tcW w:w="475" w:type="pct"/>
            <w:noWrap w:val="0"/>
            <w:vAlign w:val="top"/>
          </w:tcPr>
          <w:p w14:paraId="04CBA264">
            <w:pPr>
              <w:keepNext w:val="0"/>
              <w:keepLines w:val="0"/>
              <w:suppressLineNumbers w:val="0"/>
              <w:spacing w:before="0" w:beforeAutospacing="0" w:after="0" w:afterAutospacing="0" w:line="400" w:lineRule="exact"/>
              <w:ind w:left="0" w:right="0"/>
              <w:jc w:val="center"/>
              <w:rPr>
                <w:rFonts w:hint="eastAsia" w:ascii="宋体" w:hAnsi="宋体" w:eastAsia="宋体" w:cs="宋体"/>
                <w:b/>
                <w:bCs/>
                <w:color w:val="auto"/>
                <w:sz w:val="24"/>
                <w:szCs w:val="24"/>
                <w:highlight w:val="none"/>
              </w:rPr>
            </w:pPr>
          </w:p>
        </w:tc>
        <w:tc>
          <w:tcPr>
            <w:tcW w:w="697" w:type="pct"/>
            <w:noWrap w:val="0"/>
            <w:vAlign w:val="top"/>
          </w:tcPr>
          <w:p w14:paraId="1E96816B">
            <w:pPr>
              <w:keepNext w:val="0"/>
              <w:keepLines w:val="0"/>
              <w:suppressLineNumbers w:val="0"/>
              <w:spacing w:before="0" w:beforeAutospacing="0" w:after="0" w:afterAutospacing="0" w:line="400" w:lineRule="exact"/>
              <w:ind w:left="0" w:right="0"/>
              <w:jc w:val="center"/>
              <w:rPr>
                <w:rFonts w:hint="eastAsia" w:ascii="宋体" w:hAnsi="宋体" w:eastAsia="宋体" w:cs="宋体"/>
                <w:b/>
                <w:bCs/>
                <w:color w:val="auto"/>
                <w:sz w:val="24"/>
                <w:szCs w:val="24"/>
                <w:highlight w:val="none"/>
              </w:rPr>
            </w:pPr>
          </w:p>
        </w:tc>
        <w:tc>
          <w:tcPr>
            <w:tcW w:w="490" w:type="pct"/>
            <w:noWrap w:val="0"/>
            <w:vAlign w:val="top"/>
          </w:tcPr>
          <w:p w14:paraId="4E35363F">
            <w:pPr>
              <w:keepNext w:val="0"/>
              <w:keepLines w:val="0"/>
              <w:suppressLineNumbers w:val="0"/>
              <w:spacing w:before="0" w:beforeAutospacing="0" w:after="0" w:afterAutospacing="0" w:line="400" w:lineRule="exact"/>
              <w:ind w:left="0" w:right="0"/>
              <w:jc w:val="center"/>
              <w:rPr>
                <w:rFonts w:hint="eastAsia" w:ascii="宋体" w:hAnsi="宋体" w:eastAsia="宋体" w:cs="宋体"/>
                <w:b/>
                <w:bCs/>
                <w:color w:val="auto"/>
                <w:sz w:val="24"/>
                <w:szCs w:val="24"/>
                <w:highlight w:val="none"/>
              </w:rPr>
            </w:pPr>
          </w:p>
        </w:tc>
        <w:tc>
          <w:tcPr>
            <w:tcW w:w="558" w:type="pct"/>
            <w:noWrap w:val="0"/>
            <w:vAlign w:val="top"/>
          </w:tcPr>
          <w:p w14:paraId="423C491F">
            <w:pPr>
              <w:keepNext w:val="0"/>
              <w:keepLines w:val="0"/>
              <w:suppressLineNumbers w:val="0"/>
              <w:spacing w:before="0" w:beforeAutospacing="0" w:after="0" w:afterAutospacing="0" w:line="400" w:lineRule="exact"/>
              <w:ind w:left="0" w:right="0"/>
              <w:jc w:val="center"/>
              <w:rPr>
                <w:rFonts w:hint="eastAsia" w:ascii="宋体" w:hAnsi="宋体" w:eastAsia="宋体" w:cs="宋体"/>
                <w:b/>
                <w:bCs/>
                <w:color w:val="auto"/>
                <w:sz w:val="24"/>
                <w:szCs w:val="24"/>
                <w:highlight w:val="none"/>
              </w:rPr>
            </w:pPr>
          </w:p>
        </w:tc>
        <w:tc>
          <w:tcPr>
            <w:tcW w:w="493" w:type="pct"/>
            <w:noWrap w:val="0"/>
            <w:vAlign w:val="top"/>
          </w:tcPr>
          <w:p w14:paraId="5E70C4C1">
            <w:pPr>
              <w:keepNext w:val="0"/>
              <w:keepLines w:val="0"/>
              <w:suppressLineNumbers w:val="0"/>
              <w:spacing w:before="0" w:beforeAutospacing="0" w:after="0" w:afterAutospacing="0" w:line="400" w:lineRule="exact"/>
              <w:ind w:left="0" w:right="0"/>
              <w:jc w:val="center"/>
              <w:rPr>
                <w:rFonts w:hint="eastAsia" w:ascii="宋体" w:hAnsi="宋体" w:eastAsia="宋体" w:cs="宋体"/>
                <w:b/>
                <w:bCs/>
                <w:color w:val="auto"/>
                <w:sz w:val="24"/>
                <w:szCs w:val="24"/>
                <w:highlight w:val="none"/>
              </w:rPr>
            </w:pPr>
          </w:p>
        </w:tc>
      </w:tr>
      <w:tr w14:paraId="36BE8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621" w:type="pct"/>
            <w:vMerge w:val="continue"/>
            <w:noWrap w:val="0"/>
            <w:vAlign w:val="top"/>
          </w:tcPr>
          <w:p w14:paraId="785C930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534" w:type="pct"/>
            <w:noWrap w:val="0"/>
            <w:vAlign w:val="top"/>
          </w:tcPr>
          <w:p w14:paraId="550C149C">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534" w:type="pct"/>
            <w:noWrap w:val="0"/>
            <w:vAlign w:val="top"/>
          </w:tcPr>
          <w:p w14:paraId="2B4FDE3B">
            <w:pPr>
              <w:keepNext w:val="0"/>
              <w:keepLines w:val="0"/>
              <w:suppressLineNumbers w:val="0"/>
              <w:spacing w:before="0" w:beforeAutospacing="0" w:after="0" w:afterAutospacing="0" w:line="400" w:lineRule="exact"/>
              <w:ind w:left="0" w:right="0"/>
              <w:jc w:val="center"/>
              <w:rPr>
                <w:rFonts w:hint="eastAsia" w:ascii="宋体" w:hAnsi="宋体" w:eastAsia="宋体" w:cs="宋体"/>
                <w:b/>
                <w:bCs/>
                <w:color w:val="auto"/>
                <w:sz w:val="24"/>
                <w:szCs w:val="24"/>
                <w:highlight w:val="none"/>
              </w:rPr>
            </w:pPr>
          </w:p>
        </w:tc>
        <w:tc>
          <w:tcPr>
            <w:tcW w:w="595" w:type="pct"/>
            <w:noWrap w:val="0"/>
            <w:vAlign w:val="top"/>
          </w:tcPr>
          <w:p w14:paraId="08F1B2AD">
            <w:pPr>
              <w:keepNext w:val="0"/>
              <w:keepLines w:val="0"/>
              <w:suppressLineNumbers w:val="0"/>
              <w:spacing w:before="0" w:beforeAutospacing="0" w:after="0" w:afterAutospacing="0" w:line="400" w:lineRule="exact"/>
              <w:ind w:left="0" w:right="0"/>
              <w:jc w:val="center"/>
              <w:rPr>
                <w:rFonts w:hint="eastAsia" w:ascii="宋体" w:hAnsi="宋体" w:eastAsia="宋体" w:cs="宋体"/>
                <w:b/>
                <w:bCs/>
                <w:color w:val="auto"/>
                <w:sz w:val="24"/>
                <w:szCs w:val="24"/>
                <w:highlight w:val="none"/>
              </w:rPr>
            </w:pPr>
          </w:p>
        </w:tc>
        <w:tc>
          <w:tcPr>
            <w:tcW w:w="475" w:type="pct"/>
            <w:noWrap w:val="0"/>
            <w:vAlign w:val="top"/>
          </w:tcPr>
          <w:p w14:paraId="786D2FB7">
            <w:pPr>
              <w:keepNext w:val="0"/>
              <w:keepLines w:val="0"/>
              <w:suppressLineNumbers w:val="0"/>
              <w:spacing w:before="0" w:beforeAutospacing="0" w:after="0" w:afterAutospacing="0" w:line="400" w:lineRule="exact"/>
              <w:ind w:left="0" w:right="0"/>
              <w:jc w:val="center"/>
              <w:rPr>
                <w:rFonts w:hint="eastAsia" w:ascii="宋体" w:hAnsi="宋体" w:eastAsia="宋体" w:cs="宋体"/>
                <w:b/>
                <w:bCs/>
                <w:color w:val="auto"/>
                <w:sz w:val="24"/>
                <w:szCs w:val="24"/>
                <w:highlight w:val="none"/>
              </w:rPr>
            </w:pPr>
          </w:p>
        </w:tc>
        <w:tc>
          <w:tcPr>
            <w:tcW w:w="697" w:type="pct"/>
            <w:noWrap w:val="0"/>
            <w:vAlign w:val="top"/>
          </w:tcPr>
          <w:p w14:paraId="37548037">
            <w:pPr>
              <w:keepNext w:val="0"/>
              <w:keepLines w:val="0"/>
              <w:suppressLineNumbers w:val="0"/>
              <w:spacing w:before="0" w:beforeAutospacing="0" w:after="0" w:afterAutospacing="0" w:line="400" w:lineRule="exact"/>
              <w:ind w:left="0" w:right="0"/>
              <w:jc w:val="center"/>
              <w:rPr>
                <w:rFonts w:hint="eastAsia" w:ascii="宋体" w:hAnsi="宋体" w:eastAsia="宋体" w:cs="宋体"/>
                <w:b/>
                <w:bCs/>
                <w:color w:val="auto"/>
                <w:sz w:val="24"/>
                <w:szCs w:val="24"/>
                <w:highlight w:val="none"/>
              </w:rPr>
            </w:pPr>
          </w:p>
        </w:tc>
        <w:tc>
          <w:tcPr>
            <w:tcW w:w="490" w:type="pct"/>
            <w:noWrap w:val="0"/>
            <w:vAlign w:val="top"/>
          </w:tcPr>
          <w:p w14:paraId="478F6E2D">
            <w:pPr>
              <w:keepNext w:val="0"/>
              <w:keepLines w:val="0"/>
              <w:suppressLineNumbers w:val="0"/>
              <w:spacing w:before="0" w:beforeAutospacing="0" w:after="0" w:afterAutospacing="0" w:line="400" w:lineRule="exact"/>
              <w:ind w:left="0" w:right="0"/>
              <w:jc w:val="center"/>
              <w:rPr>
                <w:rFonts w:hint="eastAsia" w:ascii="宋体" w:hAnsi="宋体" w:eastAsia="宋体" w:cs="宋体"/>
                <w:b/>
                <w:bCs/>
                <w:color w:val="auto"/>
                <w:sz w:val="24"/>
                <w:szCs w:val="24"/>
                <w:highlight w:val="none"/>
              </w:rPr>
            </w:pPr>
          </w:p>
        </w:tc>
        <w:tc>
          <w:tcPr>
            <w:tcW w:w="558" w:type="pct"/>
            <w:noWrap w:val="0"/>
            <w:vAlign w:val="top"/>
          </w:tcPr>
          <w:p w14:paraId="4D4E9129">
            <w:pPr>
              <w:keepNext w:val="0"/>
              <w:keepLines w:val="0"/>
              <w:suppressLineNumbers w:val="0"/>
              <w:spacing w:before="0" w:beforeAutospacing="0" w:after="0" w:afterAutospacing="0" w:line="400" w:lineRule="exact"/>
              <w:ind w:left="0" w:right="0"/>
              <w:jc w:val="center"/>
              <w:rPr>
                <w:rFonts w:hint="eastAsia" w:ascii="宋体" w:hAnsi="宋体" w:eastAsia="宋体" w:cs="宋体"/>
                <w:b/>
                <w:bCs/>
                <w:color w:val="auto"/>
                <w:sz w:val="24"/>
                <w:szCs w:val="24"/>
                <w:highlight w:val="none"/>
              </w:rPr>
            </w:pPr>
          </w:p>
        </w:tc>
        <w:tc>
          <w:tcPr>
            <w:tcW w:w="493" w:type="pct"/>
            <w:noWrap w:val="0"/>
            <w:vAlign w:val="top"/>
          </w:tcPr>
          <w:p w14:paraId="3D24C787">
            <w:pPr>
              <w:keepNext w:val="0"/>
              <w:keepLines w:val="0"/>
              <w:suppressLineNumbers w:val="0"/>
              <w:spacing w:before="0" w:beforeAutospacing="0" w:after="0" w:afterAutospacing="0" w:line="400" w:lineRule="exact"/>
              <w:ind w:left="0" w:right="0"/>
              <w:jc w:val="center"/>
              <w:rPr>
                <w:rFonts w:hint="eastAsia" w:ascii="宋体" w:hAnsi="宋体" w:eastAsia="宋体" w:cs="宋体"/>
                <w:b/>
                <w:bCs/>
                <w:color w:val="auto"/>
                <w:sz w:val="24"/>
                <w:szCs w:val="24"/>
                <w:highlight w:val="none"/>
              </w:rPr>
            </w:pPr>
          </w:p>
        </w:tc>
      </w:tr>
    </w:tbl>
    <w:p w14:paraId="72FF7C6F">
      <w:pPr>
        <w:adjustRightInd w:val="0"/>
        <w:spacing w:line="400" w:lineRule="exact"/>
        <w:ind w:firstLine="240" w:firstLineChars="100"/>
        <w:jc w:val="left"/>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注：</w:t>
      </w:r>
    </w:p>
    <w:p w14:paraId="3652178A">
      <w:pPr>
        <w:spacing w:line="320" w:lineRule="exact"/>
        <w:ind w:firstLine="240" w:firstLineChars="10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1.未按要求提供或提供不全不得分。</w:t>
      </w:r>
    </w:p>
    <w:p w14:paraId="7F365B1A">
      <w:pPr>
        <w:adjustRightInd w:val="0"/>
        <w:spacing w:line="400" w:lineRule="exact"/>
        <w:ind w:firstLine="240" w:firstLineChars="100"/>
        <w:jc w:val="left"/>
        <w:rPr>
          <w:rFonts w:hint="eastAsia" w:ascii="宋体" w:hAnsi="宋体" w:cs="宋体"/>
          <w:bCs/>
          <w:color w:val="auto"/>
          <w:sz w:val="24"/>
          <w:highlight w:val="none"/>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rPr>
        <w:t>如经评标委员会认定所提供</w:t>
      </w:r>
      <w:r>
        <w:rPr>
          <w:rFonts w:hint="eastAsia" w:ascii="宋体" w:hAnsi="宋体" w:eastAsia="宋体" w:cs="宋体"/>
          <w:b w:val="0"/>
          <w:bCs/>
          <w:color w:val="auto"/>
          <w:sz w:val="24"/>
          <w:szCs w:val="24"/>
          <w:highlight w:val="none"/>
          <w:lang w:val="en-US" w:eastAsia="zh-CN"/>
        </w:rPr>
        <w:t>证件</w:t>
      </w:r>
      <w:r>
        <w:rPr>
          <w:rFonts w:hint="eastAsia" w:ascii="宋体" w:hAnsi="宋体" w:eastAsia="宋体" w:cs="宋体"/>
          <w:b w:val="0"/>
          <w:bCs/>
          <w:color w:val="auto"/>
          <w:sz w:val="24"/>
          <w:szCs w:val="24"/>
          <w:highlight w:val="none"/>
          <w:lang w:val="en-US"/>
        </w:rPr>
        <w:t>残缺不全、模糊难辨或未提供的不得分。</w:t>
      </w:r>
    </w:p>
    <w:p w14:paraId="324FB180">
      <w:pPr>
        <w:pageBreakBefore w:val="0"/>
        <w:kinsoku/>
        <w:overflowPunct/>
        <w:topLinePunct w:val="0"/>
        <w:bidi w:val="0"/>
        <w:spacing w:line="440" w:lineRule="exact"/>
        <w:jc w:val="left"/>
        <w:rPr>
          <w:rFonts w:hint="eastAsia" w:asciiTheme="minorEastAsia" w:hAnsiTheme="minorEastAsia" w:eastAsiaTheme="minorEastAsia" w:cstheme="minorEastAsia"/>
          <w:color w:val="auto"/>
          <w:spacing w:val="0"/>
          <w:position w:val="0"/>
          <w:sz w:val="24"/>
          <w:szCs w:val="24"/>
          <w:highlight w:val="none"/>
          <w:u w:val="single"/>
        </w:rPr>
      </w:pPr>
      <w:r>
        <w:rPr>
          <w:rFonts w:hint="eastAsia" w:asciiTheme="minorEastAsia" w:hAnsiTheme="minorEastAsia" w:eastAsiaTheme="minorEastAsia" w:cstheme="minorEastAsia"/>
          <w:color w:val="auto"/>
          <w:spacing w:val="0"/>
          <w:position w:val="0"/>
          <w:sz w:val="24"/>
          <w:szCs w:val="24"/>
          <w:highlight w:val="none"/>
        </w:rPr>
        <w:t>供应商名称（</w:t>
      </w:r>
      <w:r>
        <w:rPr>
          <w:rFonts w:hint="eastAsia" w:asciiTheme="minorEastAsia" w:hAnsiTheme="minorEastAsia" w:eastAsiaTheme="minorEastAsia" w:cstheme="minorEastAsia"/>
          <w:b w:val="0"/>
          <w:bCs/>
          <w:color w:val="auto"/>
          <w:spacing w:val="0"/>
          <w:position w:val="0"/>
          <w:sz w:val="24"/>
          <w:highlight w:val="none"/>
        </w:rPr>
        <w:t>盖章</w:t>
      </w:r>
      <w:r>
        <w:rPr>
          <w:rFonts w:hint="eastAsia" w:asciiTheme="minorEastAsia" w:hAnsiTheme="minorEastAsia" w:eastAsiaTheme="minorEastAsia" w:cstheme="minorEastAsia"/>
          <w:color w:val="auto"/>
          <w:spacing w:val="0"/>
          <w:position w:val="0"/>
          <w:sz w:val="24"/>
          <w:szCs w:val="24"/>
          <w:highlight w:val="none"/>
        </w:rPr>
        <w:t>）：</w:t>
      </w:r>
      <w:r>
        <w:rPr>
          <w:rFonts w:hint="eastAsia" w:asciiTheme="minorEastAsia" w:hAnsiTheme="minorEastAsia" w:eastAsiaTheme="minorEastAsia" w:cstheme="minorEastAsia"/>
          <w:color w:val="auto"/>
          <w:spacing w:val="0"/>
          <w:position w:val="0"/>
          <w:sz w:val="24"/>
          <w:szCs w:val="24"/>
          <w:highlight w:val="none"/>
          <w:u w:val="single"/>
        </w:rPr>
        <w:t xml:space="preserve">　　　　　         </w:t>
      </w:r>
    </w:p>
    <w:p w14:paraId="6C120C3C">
      <w:pPr>
        <w:pageBreakBefore w:val="0"/>
        <w:kinsoku/>
        <w:overflowPunct/>
        <w:topLinePunct w:val="0"/>
        <w:bidi w:val="0"/>
        <w:spacing w:line="440" w:lineRule="exact"/>
        <w:rPr>
          <w:rFonts w:hint="eastAsia" w:asciiTheme="minorEastAsia" w:hAnsiTheme="minorEastAsia" w:eastAsiaTheme="minorEastAsia" w:cstheme="minorEastAsia"/>
          <w:color w:val="auto"/>
          <w:spacing w:val="0"/>
          <w:position w:val="0"/>
          <w:sz w:val="24"/>
          <w:szCs w:val="24"/>
          <w:highlight w:val="none"/>
        </w:rPr>
      </w:pPr>
      <w:r>
        <w:rPr>
          <w:rStyle w:val="5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法定代表人（签字和盖章）：</w:t>
      </w:r>
      <w:r>
        <w:rPr>
          <w:rStyle w:val="53"/>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14:paraId="4D47198D">
      <w:pPr>
        <w:pageBreakBefore w:val="0"/>
        <w:kinsoku/>
        <w:overflowPunct/>
        <w:topLinePunct w:val="0"/>
        <w:bidi w:val="0"/>
        <w:spacing w:line="440" w:lineRule="exac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日期：</w:t>
      </w:r>
      <w:r>
        <w:rPr>
          <w:rFonts w:hint="eastAsia" w:asciiTheme="minorEastAsia" w:hAnsiTheme="minorEastAsia" w:eastAsiaTheme="minorEastAsia" w:cstheme="minorEastAsia"/>
          <w:b w:val="0"/>
          <w:bCs w:val="0"/>
          <w:color w:val="auto"/>
          <w:spacing w:val="0"/>
          <w:position w:val="0"/>
          <w:sz w:val="24"/>
          <w:szCs w:val="24"/>
          <w:highlight w:val="none"/>
          <w:lang w:val="en-US" w:eastAsia="zh-CN" w:bidi="ar-SA"/>
        </w:rPr>
        <w:t>年 月 日</w:t>
      </w:r>
      <w:r>
        <w:rPr>
          <w:rFonts w:hint="eastAsia" w:asciiTheme="minorEastAsia" w:hAnsiTheme="minorEastAsia" w:eastAsiaTheme="minorEastAsia" w:cstheme="minorEastAsia"/>
          <w:color w:val="auto"/>
          <w:spacing w:val="0"/>
          <w:position w:val="0"/>
          <w:sz w:val="24"/>
          <w:szCs w:val="24"/>
          <w:highlight w:val="none"/>
        </w:rPr>
        <w:t>　</w:t>
      </w:r>
    </w:p>
    <w:p w14:paraId="2EB0FF02">
      <w:pPr>
        <w:pStyle w:val="147"/>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r>
        <w:rPr>
          <w:rFonts w:hint="eastAsia" w:ascii="宋体" w:hAnsi="宋体" w:eastAsia="宋体" w:cs="宋体"/>
          <w:color w:val="auto"/>
          <w:spacing w:val="18"/>
          <w:sz w:val="24"/>
          <w:szCs w:val="24"/>
          <w:highlight w:val="none"/>
        </w:rPr>
        <w:t>注：</w:t>
      </w:r>
      <w:r>
        <w:rPr>
          <w:rFonts w:hint="eastAsia" w:ascii="宋体" w:hAnsi="宋体" w:eastAsia="宋体" w:cs="宋体"/>
          <w:color w:val="auto"/>
          <w:kern w:val="0"/>
          <w:sz w:val="24"/>
          <w:szCs w:val="24"/>
          <w:highlight w:val="none"/>
          <w:lang w:val="en-US" w:eastAsia="zh-CN"/>
        </w:rPr>
        <w:t>按照招标文件中《详细评审表》提供相关证明材料</w:t>
      </w:r>
      <w:r>
        <w:rPr>
          <w:rFonts w:hint="eastAsia" w:asciiTheme="minorEastAsia" w:hAnsiTheme="minorEastAsia" w:eastAsiaTheme="minorEastAsia" w:cstheme="minorEastAsia"/>
          <w:color w:val="auto"/>
          <w:spacing w:val="0"/>
          <w:position w:val="0"/>
          <w:sz w:val="24"/>
          <w:szCs w:val="24"/>
          <w:highlight w:val="none"/>
          <w:lang w:val="en-US" w:eastAsia="zh-CN"/>
        </w:rPr>
        <w:t>。</w:t>
      </w:r>
    </w:p>
    <w:p w14:paraId="0BC4DA60">
      <w:pPr>
        <w:pStyle w:val="147"/>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14:paraId="2FC00074">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14:paraId="788A875C">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14:paraId="49C8538C">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14:paraId="2B0F03AF">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14:paraId="37A909DB">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bookmarkEnd w:id="104"/>
    <w:p w14:paraId="205E4F28">
      <w:pPr>
        <w:widowControl/>
        <w:spacing w:line="56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中小企业声明函</w:t>
      </w:r>
    </w:p>
    <w:p w14:paraId="6405110C">
      <w:pPr>
        <w:widowControl/>
        <w:spacing w:line="560" w:lineRule="exact"/>
        <w:jc w:val="center"/>
        <w:rPr>
          <w:rFonts w:hint="eastAsia" w:ascii="宋体" w:hAnsi="宋体" w:eastAsia="宋体" w:cs="宋体"/>
          <w:b/>
          <w:color w:val="auto"/>
          <w:sz w:val="30"/>
          <w:szCs w:val="30"/>
          <w:highlight w:val="none"/>
        </w:rPr>
      </w:pPr>
      <w:r>
        <w:rPr>
          <w:rFonts w:hint="eastAsia" w:ascii="宋体" w:hAnsi="宋体" w:eastAsia="宋体" w:cs="宋体"/>
          <w:b/>
          <w:bCs/>
          <w:color w:val="auto"/>
          <w:sz w:val="32"/>
          <w:szCs w:val="32"/>
          <w:highlight w:val="none"/>
        </w:rPr>
        <w:t>（符合本声明函填写）</w:t>
      </w:r>
    </w:p>
    <w:p w14:paraId="19B74BCF">
      <w:pPr>
        <w:adjustRightInd w:val="0"/>
        <w:snapToGrid w:val="0"/>
        <w:spacing w:line="280" w:lineRule="exact"/>
        <w:ind w:firstLine="600" w:firstLineChars="250"/>
        <w:rPr>
          <w:rFonts w:hint="eastAsia" w:ascii="宋体" w:hAnsi="宋体" w:eastAsia="宋体" w:cs="宋体"/>
          <w:color w:val="auto"/>
          <w:sz w:val="24"/>
          <w:highlight w:val="none"/>
        </w:rPr>
      </w:pPr>
    </w:p>
    <w:p w14:paraId="556898C6">
      <w:pPr>
        <w:widowControl/>
        <w:adjustRightInd w:val="0"/>
        <w:snapToGrid w:val="0"/>
        <w:spacing w:line="360" w:lineRule="exact"/>
        <w:ind w:firstLine="504" w:firstLineChars="200"/>
        <w:rPr>
          <w:rFonts w:hint="eastAsia" w:ascii="宋体" w:hAnsi="宋体" w:eastAsia="宋体" w:cs="宋体"/>
          <w:color w:val="auto"/>
          <w:kern w:val="0"/>
          <w:sz w:val="24"/>
          <w:highlight w:val="none"/>
        </w:rPr>
      </w:pPr>
      <w:bookmarkStart w:id="105" w:name="_Hlk61509205"/>
      <w:r>
        <w:rPr>
          <w:rFonts w:hint="eastAsia" w:ascii="宋体" w:hAnsi="宋体" w:eastAsia="宋体" w:cs="宋体"/>
          <w:color w:val="auto"/>
          <w:spacing w:val="6"/>
          <w:kern w:val="0"/>
          <w:sz w:val="24"/>
          <w:highlight w:val="none"/>
        </w:rPr>
        <w:t>本公司（联合体）郑重声明，根据《政府采购促进中小企业发展管理办法》（财库〔2020〕46号）的规定，本公司（联合体）参加</w:t>
      </w:r>
      <w:r>
        <w:rPr>
          <w:rFonts w:hint="eastAsia" w:ascii="宋体" w:hAnsi="宋体" w:eastAsia="宋体" w:cs="宋体"/>
          <w:color w:val="auto"/>
          <w:spacing w:val="6"/>
          <w:kern w:val="0"/>
          <w:sz w:val="24"/>
          <w:highlight w:val="none"/>
          <w:u w:val="single"/>
        </w:rPr>
        <w:t>（单位名称）的（项目名称）</w:t>
      </w:r>
      <w:r>
        <w:rPr>
          <w:rFonts w:hint="eastAsia" w:ascii="宋体" w:hAnsi="宋体" w:eastAsia="宋体" w:cs="宋体"/>
          <w:color w:val="auto"/>
          <w:spacing w:val="6"/>
          <w:kern w:val="0"/>
          <w:sz w:val="24"/>
          <w:highlight w:val="none"/>
        </w:rPr>
        <w:t>的采购活动，</w:t>
      </w:r>
      <w:r>
        <w:rPr>
          <w:rFonts w:hint="eastAsia" w:ascii="宋体" w:hAnsi="宋体" w:eastAsia="宋体" w:cs="宋体"/>
          <w:color w:val="auto"/>
          <w:kern w:val="0"/>
          <w:sz w:val="24"/>
          <w:highlight w:val="none"/>
        </w:rPr>
        <w:t>工程的施工单位全部为符合政策要求的中小企业（或者：服务全部由符合政策要求的中小企业承接）。相关企业（含联合体中的中小企业、签订分包意向协议的中小企业）的具体情况如下：</w:t>
      </w:r>
    </w:p>
    <w:p w14:paraId="07820FA7">
      <w:pPr>
        <w:widowControl/>
        <w:adjustRightInd w:val="0"/>
        <w:snapToGrid w:val="0"/>
        <w:spacing w:line="3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rPr>
        <w:tab/>
      </w:r>
      <w:r>
        <w:rPr>
          <w:rFonts w:hint="eastAsia" w:ascii="宋体" w:hAnsi="宋体" w:eastAsia="宋体" w:cs="宋体"/>
          <w:color w:val="auto"/>
          <w:kern w:val="0"/>
          <w:sz w:val="24"/>
          <w:highlight w:val="none"/>
          <w:u w:val="single"/>
        </w:rPr>
        <w:t>(标的名称）</w:t>
      </w:r>
      <w:r>
        <w:rPr>
          <w:rFonts w:hint="eastAsia" w:ascii="宋体" w:hAnsi="宋体" w:eastAsia="宋体" w:cs="宋体"/>
          <w:color w:val="auto"/>
          <w:kern w:val="0"/>
          <w:sz w:val="24"/>
          <w:highlight w:val="none"/>
        </w:rPr>
        <w:t>，属于</w:t>
      </w:r>
      <w:r>
        <w:rPr>
          <w:rFonts w:hint="eastAsia" w:ascii="宋体" w:hAnsi="宋体" w:eastAsia="宋体" w:cs="宋体"/>
          <w:color w:val="auto"/>
          <w:kern w:val="0"/>
          <w:sz w:val="24"/>
          <w:highlight w:val="none"/>
          <w:u w:val="single"/>
        </w:rPr>
        <w:t>（采购文件中明确的所属行业）</w:t>
      </w:r>
      <w:r>
        <w:rPr>
          <w:rFonts w:hint="eastAsia" w:ascii="宋体" w:hAnsi="宋体" w:eastAsia="宋体" w:cs="宋体"/>
          <w:color w:val="auto"/>
          <w:kern w:val="0"/>
          <w:sz w:val="24"/>
          <w:highlight w:val="none"/>
        </w:rPr>
        <w:t xml:space="preserve"> 承建（承接）企业为</w:t>
      </w:r>
      <w:r>
        <w:rPr>
          <w:rFonts w:hint="eastAsia" w:ascii="宋体" w:hAnsi="宋体" w:eastAsia="宋体" w:cs="宋体"/>
          <w:color w:val="auto"/>
          <w:kern w:val="0"/>
          <w:sz w:val="24"/>
          <w:highlight w:val="none"/>
          <w:u w:val="single"/>
        </w:rPr>
        <w:t>（企业名称）</w:t>
      </w:r>
      <w:r>
        <w:rPr>
          <w:rFonts w:hint="eastAsia" w:ascii="宋体" w:hAnsi="宋体" w:eastAsia="宋体" w:cs="宋体"/>
          <w:color w:val="auto"/>
          <w:kern w:val="0"/>
          <w:sz w:val="24"/>
          <w:highlight w:val="none"/>
        </w:rPr>
        <w:t>，从业人员人，营业收入为万元， 资产总额为万元，属于企业</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企业（ </w:t>
      </w:r>
      <w:r>
        <w:rPr>
          <w:rFonts w:hint="eastAsia" w:ascii="宋体" w:hAnsi="宋体" w:eastAsia="宋体" w:cs="宋体"/>
          <w:color w:val="auto"/>
          <w:kern w:val="0"/>
          <w:sz w:val="24"/>
          <w:highlight w:val="none"/>
          <w:u w:val="single"/>
        </w:rPr>
        <w:t>中型企业</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小型企业</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微型企业</w:t>
      </w:r>
      <w:r>
        <w:rPr>
          <w:rFonts w:hint="eastAsia" w:ascii="宋体" w:hAnsi="宋体" w:eastAsia="宋体" w:cs="宋体"/>
          <w:color w:val="auto"/>
          <w:kern w:val="0"/>
          <w:sz w:val="24"/>
          <w:highlight w:val="none"/>
        </w:rPr>
        <w:t>),</w:t>
      </w:r>
    </w:p>
    <w:p w14:paraId="35260FCD">
      <w:pPr>
        <w:widowControl/>
        <w:adjustRightInd w:val="0"/>
        <w:snapToGrid w:val="0"/>
        <w:spacing w:line="3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rPr>
        <w:tab/>
      </w:r>
      <w:r>
        <w:rPr>
          <w:rFonts w:hint="eastAsia" w:ascii="宋体" w:hAnsi="宋体" w:eastAsia="宋体" w:cs="宋体"/>
          <w:color w:val="auto"/>
          <w:kern w:val="0"/>
          <w:sz w:val="24"/>
          <w:highlight w:val="none"/>
          <w:u w:val="single"/>
        </w:rPr>
        <w:t>(标的名称）</w:t>
      </w:r>
      <w:r>
        <w:rPr>
          <w:rFonts w:hint="eastAsia" w:ascii="宋体" w:hAnsi="宋体" w:eastAsia="宋体" w:cs="宋体"/>
          <w:color w:val="auto"/>
          <w:kern w:val="0"/>
          <w:sz w:val="24"/>
          <w:highlight w:val="none"/>
        </w:rPr>
        <w:t>，属于</w:t>
      </w:r>
      <w:r>
        <w:rPr>
          <w:rFonts w:hint="eastAsia" w:ascii="宋体" w:hAnsi="宋体" w:eastAsia="宋体" w:cs="宋体"/>
          <w:color w:val="auto"/>
          <w:kern w:val="0"/>
          <w:sz w:val="24"/>
          <w:highlight w:val="none"/>
          <w:u w:val="single"/>
        </w:rPr>
        <w:t>（采购文件中明确的所属行业)</w:t>
      </w:r>
      <w:r>
        <w:rPr>
          <w:rFonts w:hint="eastAsia" w:ascii="宋体" w:hAnsi="宋体" w:eastAsia="宋体" w:cs="宋体"/>
          <w:color w:val="auto"/>
          <w:kern w:val="0"/>
          <w:sz w:val="24"/>
          <w:highlight w:val="none"/>
        </w:rPr>
        <w:t>；承建（承接）企业为</w:t>
      </w:r>
      <w:r>
        <w:rPr>
          <w:rFonts w:hint="eastAsia" w:ascii="宋体" w:hAnsi="宋体" w:eastAsia="宋体" w:cs="宋体"/>
          <w:color w:val="auto"/>
          <w:kern w:val="0"/>
          <w:sz w:val="24"/>
          <w:highlight w:val="none"/>
          <w:u w:val="single"/>
        </w:rPr>
        <w:t>（企业名称）</w:t>
      </w:r>
      <w:r>
        <w:rPr>
          <w:rFonts w:hint="eastAsia" w:ascii="宋体" w:hAnsi="宋体" w:eastAsia="宋体" w:cs="宋体"/>
          <w:color w:val="auto"/>
          <w:kern w:val="0"/>
          <w:sz w:val="24"/>
          <w:highlight w:val="none"/>
        </w:rPr>
        <w:t>，从业人员人，营业收入为万元，资产总额为万元，属于</w:t>
      </w:r>
      <w:r>
        <w:rPr>
          <w:rFonts w:hint="eastAsia" w:ascii="宋体" w:hAnsi="宋体" w:eastAsia="宋体" w:cs="宋体"/>
          <w:color w:val="auto"/>
          <w:kern w:val="0"/>
          <w:sz w:val="24"/>
          <w:highlight w:val="none"/>
          <w:u w:val="single"/>
        </w:rPr>
        <w:t xml:space="preserve">  （ 中型企业</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小型企业</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微型企业</w:t>
      </w:r>
      <w:r>
        <w:rPr>
          <w:rFonts w:hint="eastAsia" w:ascii="宋体" w:hAnsi="宋体" w:eastAsia="宋体" w:cs="宋体"/>
          <w:color w:val="auto"/>
          <w:kern w:val="0"/>
          <w:sz w:val="24"/>
          <w:highlight w:val="none"/>
        </w:rPr>
        <w:t>)。</w:t>
      </w:r>
    </w:p>
    <w:p w14:paraId="5246BCD6">
      <w:pPr>
        <w:widowControl/>
        <w:adjustRightInd w:val="0"/>
        <w:snapToGrid w:val="0"/>
        <w:spacing w:line="3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p w14:paraId="0EBFEC14">
      <w:pPr>
        <w:widowControl/>
        <w:adjustRightInd w:val="0"/>
        <w:snapToGrid w:val="0"/>
        <w:spacing w:line="3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以上企业，不属于大企业的分支机构，不存在控股股东为大企业的情形，也不存在与大企业的负责人为同一人的情形。</w:t>
      </w:r>
    </w:p>
    <w:p w14:paraId="07CCBBDF">
      <w:pPr>
        <w:widowControl/>
        <w:adjustRightInd w:val="0"/>
        <w:snapToGrid w:val="0"/>
        <w:spacing w:line="360" w:lineRule="exact"/>
        <w:ind w:firstLine="504"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6"/>
          <w:kern w:val="0"/>
          <w:sz w:val="24"/>
          <w:highlight w:val="none"/>
        </w:rPr>
        <w:t>本公司对上述声明内容的真实性负责。如有虚假，将依法承担相应责任。</w:t>
      </w:r>
    </w:p>
    <w:bookmarkEnd w:id="105"/>
    <w:p w14:paraId="5458180A">
      <w:pPr>
        <w:widowControl/>
        <w:adjustRightInd w:val="0"/>
        <w:snapToGrid w:val="0"/>
        <w:spacing w:line="420" w:lineRule="exact"/>
        <w:ind w:firstLine="504" w:firstLineChars="200"/>
        <w:jc w:val="center"/>
        <w:rPr>
          <w:rFonts w:hint="eastAsia" w:ascii="宋体" w:hAnsi="宋体" w:eastAsia="宋体" w:cs="宋体"/>
          <w:color w:val="auto"/>
          <w:spacing w:val="6"/>
          <w:kern w:val="0"/>
          <w:sz w:val="24"/>
          <w:highlight w:val="none"/>
        </w:rPr>
      </w:pPr>
    </w:p>
    <w:p w14:paraId="53BAA895">
      <w:pPr>
        <w:spacing w:line="360" w:lineRule="exact"/>
        <w:ind w:firstLine="3600" w:firstLineChars="15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企业名称：</w:t>
      </w:r>
      <w:r>
        <w:rPr>
          <w:rFonts w:hint="eastAsia" w:ascii="宋体" w:hAnsi="宋体" w:eastAsia="宋体" w:cs="宋体"/>
          <w:bCs/>
          <w:color w:val="auto"/>
          <w:sz w:val="24"/>
          <w:highlight w:val="none"/>
          <w:u w:val="single"/>
        </w:rPr>
        <w:t>（全称）</w:t>
      </w:r>
      <w:r>
        <w:rPr>
          <w:rFonts w:hint="eastAsia" w:ascii="宋体" w:hAnsi="宋体" w:eastAsia="宋体" w:cs="宋体"/>
          <w:color w:val="auto"/>
          <w:sz w:val="24"/>
          <w:highlight w:val="none"/>
          <w:u w:val="single"/>
        </w:rPr>
        <w:t>（公章）</w:t>
      </w:r>
    </w:p>
    <w:p w14:paraId="28AE704A">
      <w:pPr>
        <w:pStyle w:val="229"/>
        <w:widowControl w:val="0"/>
        <w:spacing w:line="360" w:lineRule="exact"/>
        <w:ind w:firstLine="3600" w:firstLineChars="15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日期：年月日</w:t>
      </w:r>
    </w:p>
    <w:p w14:paraId="5676E62E">
      <w:pPr>
        <w:spacing w:line="280" w:lineRule="exact"/>
        <w:jc w:val="left"/>
        <w:outlineLvl w:val="0"/>
        <w:rPr>
          <w:rFonts w:hint="eastAsia" w:ascii="宋体" w:hAnsi="宋体" w:eastAsia="宋体" w:cs="宋体"/>
          <w:color w:val="auto"/>
          <w:szCs w:val="21"/>
          <w:highlight w:val="none"/>
        </w:rPr>
      </w:pPr>
    </w:p>
    <w:p w14:paraId="5C218E18">
      <w:pPr>
        <w:widowControl/>
        <w:adjustRightInd w:val="0"/>
        <w:snapToGrid w:val="0"/>
        <w:spacing w:line="300" w:lineRule="exact"/>
        <w:jc w:val="left"/>
        <w:rPr>
          <w:rFonts w:hint="eastAsia" w:ascii="宋体" w:hAnsi="宋体" w:eastAsia="宋体" w:cs="宋体"/>
          <w:color w:val="auto"/>
          <w:w w:val="95"/>
          <w:kern w:val="0"/>
          <w:szCs w:val="21"/>
          <w:highlight w:val="none"/>
        </w:rPr>
      </w:pPr>
      <w:r>
        <w:rPr>
          <w:rFonts w:hint="eastAsia" w:ascii="宋体" w:hAnsi="宋体" w:eastAsia="宋体" w:cs="宋体"/>
          <w:color w:val="auto"/>
          <w:w w:val="95"/>
          <w:kern w:val="0"/>
          <w:szCs w:val="21"/>
          <w:highlight w:val="none"/>
        </w:rPr>
        <w:t>备注：</w:t>
      </w:r>
    </w:p>
    <w:p w14:paraId="09B93D80">
      <w:pPr>
        <w:widowControl/>
        <w:adjustRightInd w:val="0"/>
        <w:snapToGrid w:val="0"/>
        <w:spacing w:line="300" w:lineRule="exact"/>
        <w:jc w:val="left"/>
        <w:rPr>
          <w:rFonts w:hint="eastAsia" w:ascii="宋体" w:hAnsi="宋体" w:eastAsia="宋体" w:cs="宋体"/>
          <w:color w:val="auto"/>
          <w:w w:val="95"/>
          <w:kern w:val="0"/>
          <w:szCs w:val="21"/>
          <w:highlight w:val="none"/>
        </w:rPr>
      </w:pPr>
      <w:r>
        <w:rPr>
          <w:rFonts w:hint="eastAsia" w:ascii="宋体" w:hAnsi="宋体" w:eastAsia="宋体" w:cs="宋体"/>
          <w:color w:val="auto"/>
          <w:w w:val="95"/>
          <w:kern w:val="0"/>
          <w:szCs w:val="21"/>
          <w:highlight w:val="none"/>
        </w:rPr>
        <w:t>1.填写前请认真阅读《中小企业划型标准规定》和《财政部 工业和信息化部关于印发《政府采购促进中小企业发展管理办法》的通知》(财库〔2020〕46号)相关规定。如不符合前述相关规定所确</w:t>
      </w:r>
      <w:r>
        <w:rPr>
          <w:rFonts w:hint="eastAsia" w:ascii="宋体" w:hAnsi="宋体" w:eastAsia="宋体" w:cs="宋体"/>
          <w:b w:val="0"/>
          <w:bCs w:val="0"/>
          <w:color w:val="auto"/>
          <w:w w:val="95"/>
          <w:kern w:val="0"/>
          <w:szCs w:val="21"/>
          <w:highlight w:val="none"/>
        </w:rPr>
        <w:t>定的小型和微型企业，则不需要在响应文件中提供本《中小企业声明函》；若符合前述相关规定所确定的小型和微型企业，在响应文件中没有提供本《中小企业声明函》，视为在本项目中放弃政府采购政策扶持，不进行价格扣除。</w:t>
      </w:r>
    </w:p>
    <w:p w14:paraId="6B644846">
      <w:pPr>
        <w:widowControl/>
        <w:adjustRightInd w:val="0"/>
        <w:snapToGrid w:val="0"/>
        <w:spacing w:line="300" w:lineRule="exact"/>
        <w:jc w:val="left"/>
        <w:rPr>
          <w:rFonts w:hint="eastAsia" w:ascii="宋体" w:hAnsi="宋体" w:eastAsia="宋体" w:cs="宋体"/>
          <w:color w:val="auto"/>
          <w:w w:val="95"/>
          <w:kern w:val="0"/>
          <w:szCs w:val="21"/>
          <w:highlight w:val="none"/>
        </w:rPr>
      </w:pPr>
      <w:r>
        <w:rPr>
          <w:rFonts w:hint="eastAsia" w:ascii="宋体" w:hAnsi="宋体" w:eastAsia="宋体" w:cs="宋体"/>
          <w:color w:val="auto"/>
          <w:w w:val="95"/>
          <w:kern w:val="0"/>
          <w:szCs w:val="21"/>
          <w:highlight w:val="none"/>
        </w:rPr>
        <w:t>2.从业人员、营业收入、资产总额填报上一年度数据，无上一年度数据的新成立企业可不填报。</w:t>
      </w:r>
    </w:p>
    <w:p w14:paraId="42265F00">
      <w:pPr>
        <w:ind w:firstLine="480"/>
        <w:rPr>
          <w:rFonts w:hint="eastAsia" w:ascii="宋体" w:hAnsi="宋体" w:eastAsia="宋体" w:cs="宋体"/>
          <w:color w:val="auto"/>
          <w:sz w:val="22"/>
          <w:szCs w:val="28"/>
          <w:highlight w:val="none"/>
        </w:rPr>
      </w:pPr>
    </w:p>
    <w:p w14:paraId="72E95241">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jc w:val="both"/>
        <w:textAlignment w:val="auto"/>
        <w:rPr>
          <w:rFonts w:hint="eastAsia" w:ascii="宋体" w:hAnsi="宋体" w:eastAsia="宋体" w:cs="宋体"/>
          <w:b/>
          <w:color w:val="auto"/>
          <w:sz w:val="24"/>
          <w:highlight w:val="none"/>
        </w:rPr>
      </w:pPr>
      <w:r>
        <w:rPr>
          <w:rFonts w:hint="eastAsia" w:ascii="宋体" w:hAnsi="宋体" w:eastAsia="宋体" w:cs="宋体"/>
          <w:b/>
          <w:color w:val="auto"/>
          <w:sz w:val="28"/>
          <w:szCs w:val="22"/>
          <w:highlight w:val="none"/>
          <w:lang w:val="en-US" w:eastAsia="zh-CN"/>
        </w:rPr>
        <w:t>本项目所属行业属于：租赁和商务服务业</w:t>
      </w:r>
      <w:r>
        <w:rPr>
          <w:rFonts w:hint="eastAsia" w:ascii="宋体" w:hAnsi="宋体" w:eastAsia="宋体" w:cs="宋体"/>
          <w:b/>
          <w:color w:val="auto"/>
          <w:sz w:val="36"/>
          <w:szCs w:val="28"/>
          <w:highlight w:val="none"/>
        </w:rPr>
        <w:br w:type="page"/>
      </w:r>
      <w:bookmarkStart w:id="106" w:name="_Toc444702747"/>
      <w:bookmarkStart w:id="107" w:name="_Toc14951_WPSOffice_Level1"/>
      <w:bookmarkStart w:id="108" w:name="_Toc503336056"/>
      <w:r>
        <w:rPr>
          <w:rFonts w:hint="eastAsia" w:ascii="宋体" w:hAnsi="宋体" w:eastAsia="宋体" w:cs="宋体"/>
          <w:b/>
          <w:color w:val="auto"/>
          <w:sz w:val="28"/>
          <w:szCs w:val="28"/>
          <w:highlight w:val="none"/>
        </w:rPr>
        <w:t>监狱、戒毒企业声明函</w:t>
      </w:r>
      <w:bookmarkEnd w:id="106"/>
      <w:bookmarkEnd w:id="107"/>
      <w:bookmarkEnd w:id="108"/>
    </w:p>
    <w:p w14:paraId="534A0323">
      <w:pPr>
        <w:pStyle w:val="12"/>
        <w:jc w:val="center"/>
        <w:rPr>
          <w:rFonts w:hint="eastAsia" w:ascii="宋体" w:hAnsi="宋体" w:eastAsia="宋体" w:cs="宋体"/>
          <w:color w:val="auto"/>
          <w:szCs w:val="21"/>
          <w:highlight w:val="none"/>
        </w:rPr>
      </w:pPr>
    </w:p>
    <w:p w14:paraId="365A559D">
      <w:pPr>
        <w:pStyle w:val="12"/>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（如为监狱、戒毒企业，须提供声明函）</w:t>
      </w:r>
    </w:p>
    <w:p w14:paraId="5CC79191">
      <w:pPr>
        <w:spacing w:line="360" w:lineRule="auto"/>
        <w:ind w:firstLine="540" w:firstLineChars="225"/>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本公司郑重声明，根据《关于政府采购支持监狱企业发展有关问题的通知》（财库[2014]68号）的规定，本公司为监狱企业。</w:t>
      </w:r>
    </w:p>
    <w:p w14:paraId="09448787">
      <w:pPr>
        <w:spacing w:line="360" w:lineRule="auto"/>
        <w:ind w:firstLine="540" w:firstLineChars="225"/>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本公司参加______单位的______项目采购活动，采购活动提供本企业（填写制造的货物，由本企业承担工程、提供服务）。</w:t>
      </w:r>
    </w:p>
    <w:p w14:paraId="273096DD">
      <w:pPr>
        <w:spacing w:line="360" w:lineRule="auto"/>
        <w:ind w:firstLine="540" w:firstLineChars="225"/>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本条所称货物不包括使用大型企业注册商标的货物和服务。</w:t>
      </w:r>
    </w:p>
    <w:p w14:paraId="141B5197">
      <w:pPr>
        <w:spacing w:line="360" w:lineRule="auto"/>
        <w:ind w:firstLine="540" w:firstLineChars="225"/>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本公司对上述声明的真实性负责。如有虚假，将依法承担相应责任。</w:t>
      </w:r>
    </w:p>
    <w:p w14:paraId="0CA8A24D">
      <w:pPr>
        <w:spacing w:line="360" w:lineRule="auto"/>
        <w:ind w:firstLine="4860" w:firstLineChars="2025"/>
        <w:rPr>
          <w:rFonts w:hint="eastAsia" w:ascii="宋体" w:hAnsi="宋体" w:eastAsia="宋体" w:cs="宋体"/>
          <w:color w:val="auto"/>
          <w:kern w:val="0"/>
          <w:sz w:val="24"/>
          <w:highlight w:val="none"/>
        </w:rPr>
      </w:pPr>
    </w:p>
    <w:p w14:paraId="42E43376">
      <w:pPr>
        <w:spacing w:line="360" w:lineRule="auto"/>
        <w:ind w:firstLine="4320" w:firstLineChars="18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供应商（盖章）：</w:t>
      </w:r>
    </w:p>
    <w:p w14:paraId="1B096F58">
      <w:pPr>
        <w:spacing w:line="360" w:lineRule="auto"/>
        <w:ind w:firstLine="4320" w:firstLineChars="18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法定代表人或其被授权人</w:t>
      </w:r>
      <w:r>
        <w:rPr>
          <w:rFonts w:hint="eastAsia" w:ascii="宋体" w:hAnsi="宋体" w:eastAsia="宋体" w:cs="宋体"/>
          <w:color w:val="auto"/>
          <w:sz w:val="24"/>
          <w:highlight w:val="none"/>
        </w:rPr>
        <w:t>（签字或盖章）</w:t>
      </w:r>
      <w:r>
        <w:rPr>
          <w:rFonts w:hint="eastAsia" w:ascii="宋体" w:hAnsi="宋体" w:eastAsia="宋体" w:cs="宋体"/>
          <w:color w:val="auto"/>
          <w:kern w:val="0"/>
          <w:sz w:val="24"/>
          <w:highlight w:val="none"/>
        </w:rPr>
        <w:t>：</w:t>
      </w:r>
    </w:p>
    <w:p w14:paraId="18530F46">
      <w:pPr>
        <w:tabs>
          <w:tab w:val="left" w:pos="2880"/>
        </w:tabs>
        <w:spacing w:line="460" w:lineRule="atLeast"/>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rPr>
        <w:t>日期：</w:t>
      </w:r>
    </w:p>
    <w:p w14:paraId="51F8BFD6">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注：后附监狱企业资格证明文件</w:t>
      </w:r>
    </w:p>
    <w:p w14:paraId="63F37509">
      <w:pPr>
        <w:spacing w:line="440" w:lineRule="exact"/>
        <w:rPr>
          <w:rFonts w:hint="eastAsia" w:ascii="宋体" w:hAnsi="宋体" w:eastAsia="宋体" w:cs="宋体"/>
          <w:b w:val="0"/>
          <w:bCs w:val="0"/>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rPr>
        <w:t>省级以上监狱管理局、戒毒管理局（含新疆生产建设兵团）出具的属于监狱企业的证明文件；</w:t>
      </w:r>
    </w:p>
    <w:p w14:paraId="08323D64">
      <w:pPr>
        <w:tabs>
          <w:tab w:val="left" w:pos="2880"/>
        </w:tabs>
        <w:spacing w:line="460" w:lineRule="atLeast"/>
        <w:jc w:val="left"/>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sz w:val="24"/>
          <w:highlight w:val="none"/>
        </w:rPr>
        <w:t>2.证明材料加盖供应商公章。</w:t>
      </w:r>
    </w:p>
    <w:p w14:paraId="5B302403">
      <w:pPr>
        <w:rPr>
          <w:rFonts w:hint="eastAsia" w:ascii="宋体" w:hAnsi="宋体" w:eastAsia="宋体" w:cs="宋体"/>
          <w:b w:val="0"/>
          <w:bCs w:val="0"/>
          <w:color w:val="auto"/>
          <w:sz w:val="24"/>
          <w:highlight w:val="none"/>
        </w:rPr>
      </w:pPr>
      <w:r>
        <w:rPr>
          <w:rFonts w:hint="eastAsia" w:ascii="宋体" w:hAnsi="宋体" w:eastAsia="宋体" w:cs="宋体"/>
          <w:b w:val="0"/>
          <w:bCs w:val="0"/>
          <w:color w:val="auto"/>
          <w:kern w:val="0"/>
          <w:sz w:val="24"/>
          <w:highlight w:val="none"/>
        </w:rPr>
        <w:t>（若响应性文件中无上述证明文件，则在评审时不考虑对该监狱企业的相关优惠。）</w:t>
      </w:r>
    </w:p>
    <w:p w14:paraId="0493EB03">
      <w:pPr>
        <w:ind w:firstLine="482" w:firstLineChars="201"/>
        <w:rPr>
          <w:rFonts w:hint="eastAsia" w:ascii="宋体" w:hAnsi="宋体" w:eastAsia="宋体" w:cs="宋体"/>
          <w:b w:val="0"/>
          <w:bCs w:val="0"/>
          <w:color w:val="auto"/>
          <w:sz w:val="24"/>
          <w:szCs w:val="24"/>
          <w:highlight w:val="none"/>
        </w:rPr>
      </w:pPr>
    </w:p>
    <w:p w14:paraId="2B7E780F">
      <w:pPr>
        <w:jc w:val="center"/>
        <w:rPr>
          <w:rFonts w:hint="eastAsia" w:ascii="宋体" w:hAnsi="宋体" w:eastAsia="宋体" w:cs="宋体"/>
          <w:color w:val="auto"/>
          <w:sz w:val="24"/>
          <w:szCs w:val="24"/>
          <w:highlight w:val="none"/>
        </w:rPr>
      </w:pPr>
    </w:p>
    <w:p w14:paraId="67194C30">
      <w:pPr>
        <w:ind w:firstLine="360" w:firstLineChars="150"/>
        <w:rPr>
          <w:rFonts w:hint="eastAsia" w:ascii="宋体" w:hAnsi="宋体" w:eastAsia="宋体" w:cs="宋体"/>
          <w:color w:val="auto"/>
          <w:sz w:val="24"/>
          <w:szCs w:val="24"/>
          <w:highlight w:val="none"/>
        </w:rPr>
        <w:sectPr>
          <w:footerReference r:id="rId10" w:type="default"/>
          <w:pgSz w:w="11907" w:h="16840"/>
          <w:pgMar w:top="1440" w:right="1080" w:bottom="1440" w:left="1080" w:header="851" w:footer="851" w:gutter="0"/>
          <w:pgBorders>
            <w:top w:val="none" w:sz="0" w:space="0"/>
            <w:left w:val="none" w:sz="0" w:space="0"/>
            <w:bottom w:val="none" w:sz="0" w:space="0"/>
            <w:right w:val="none" w:sz="0" w:space="0"/>
          </w:pgBorders>
          <w:pgNumType w:fmt="decimal"/>
          <w:cols w:space="720" w:num="1"/>
          <w:docGrid w:type="lines" w:linePitch="462" w:charSpace="0"/>
        </w:sectPr>
      </w:pPr>
    </w:p>
    <w:p w14:paraId="1B121937">
      <w:pPr>
        <w:jc w:val="center"/>
        <w:rPr>
          <w:rFonts w:hint="eastAsia" w:ascii="宋体" w:hAnsi="宋体" w:eastAsia="宋体" w:cs="宋体"/>
          <w:b/>
          <w:color w:val="auto"/>
          <w:sz w:val="28"/>
          <w:szCs w:val="28"/>
          <w:highlight w:val="none"/>
        </w:rPr>
      </w:pPr>
      <w:bookmarkStart w:id="109" w:name="_Toc27264_WPSOffice_Level1"/>
      <w:bookmarkStart w:id="110" w:name="_Toc503336057"/>
      <w:r>
        <w:rPr>
          <w:rFonts w:hint="eastAsia" w:ascii="宋体" w:hAnsi="宋体" w:eastAsia="宋体" w:cs="宋体"/>
          <w:b/>
          <w:color w:val="auto"/>
          <w:sz w:val="28"/>
          <w:szCs w:val="28"/>
          <w:highlight w:val="none"/>
        </w:rPr>
        <w:t>残疾人福利性单位声明函</w:t>
      </w:r>
      <w:bookmarkEnd w:id="109"/>
      <w:bookmarkEnd w:id="110"/>
    </w:p>
    <w:p w14:paraId="03DF7B22">
      <w:pPr>
        <w:jc w:val="center"/>
        <w:rPr>
          <w:rFonts w:hint="eastAsia" w:ascii="宋体" w:hAnsi="宋体" w:eastAsia="宋体" w:cs="宋体"/>
          <w:color w:val="auto"/>
          <w:sz w:val="22"/>
          <w:szCs w:val="22"/>
          <w:highlight w:val="none"/>
        </w:rPr>
      </w:pPr>
    </w:p>
    <w:p w14:paraId="1DE584C0">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（如为残疾人福利性单位，须提供声明函）</w:t>
      </w:r>
    </w:p>
    <w:p w14:paraId="00D75DBD">
      <w:pPr>
        <w:spacing w:line="480" w:lineRule="auto"/>
        <w:jc w:val="center"/>
        <w:rPr>
          <w:rFonts w:hint="eastAsia" w:ascii="宋体" w:hAnsi="宋体" w:eastAsia="宋体" w:cs="宋体"/>
          <w:color w:val="auto"/>
          <w:sz w:val="24"/>
          <w:szCs w:val="24"/>
          <w:highlight w:val="none"/>
        </w:rPr>
      </w:pPr>
    </w:p>
    <w:p w14:paraId="1A696703">
      <w:pPr>
        <w:pStyle w:val="230"/>
        <w:widowControl w:val="0"/>
        <w:spacing w:line="480" w:lineRule="auto"/>
        <w:ind w:firstLine="424" w:firstLineChars="177"/>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D5EA5CE">
      <w:pPr>
        <w:pStyle w:val="230"/>
        <w:widowControl w:val="0"/>
        <w:spacing w:line="480" w:lineRule="auto"/>
        <w:ind w:firstLine="424" w:firstLineChars="177"/>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本单位对上述声明的真实性负责。如有虚假，将依法承担相应责任。</w:t>
      </w:r>
    </w:p>
    <w:p w14:paraId="5FF12FCC">
      <w:pPr>
        <w:spacing w:line="480" w:lineRule="auto"/>
        <w:jc w:val="center"/>
        <w:rPr>
          <w:rFonts w:hint="eastAsia" w:ascii="宋体" w:hAnsi="宋体" w:eastAsia="宋体" w:cs="宋体"/>
          <w:color w:val="auto"/>
          <w:sz w:val="24"/>
          <w:szCs w:val="24"/>
          <w:highlight w:val="none"/>
        </w:rPr>
      </w:pPr>
    </w:p>
    <w:p w14:paraId="1B6B74AE">
      <w:pPr>
        <w:pStyle w:val="230"/>
        <w:widowControl w:val="0"/>
        <w:spacing w:line="480" w:lineRule="auto"/>
        <w:ind w:firstLine="424" w:firstLineChars="177"/>
        <w:rPr>
          <w:rFonts w:hint="eastAsia" w:ascii="宋体" w:hAnsi="宋体" w:eastAsia="宋体" w:cs="宋体"/>
          <w:color w:val="auto"/>
          <w:kern w:val="2"/>
          <w:sz w:val="24"/>
          <w:szCs w:val="24"/>
          <w:highlight w:val="none"/>
        </w:rPr>
      </w:pPr>
    </w:p>
    <w:p w14:paraId="0D95A734">
      <w:pPr>
        <w:pStyle w:val="230"/>
        <w:widowControl w:val="0"/>
        <w:spacing w:line="480" w:lineRule="auto"/>
        <w:ind w:firstLine="424" w:firstLineChars="177"/>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 xml:space="preserve">  单位名称（盖章）：</w:t>
      </w:r>
    </w:p>
    <w:p w14:paraId="1196F79C">
      <w:pPr>
        <w:pStyle w:val="230"/>
        <w:widowControl w:val="0"/>
        <w:spacing w:line="480" w:lineRule="auto"/>
        <w:ind w:firstLine="424" w:firstLineChars="177"/>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 xml:space="preserve">                                    日  期：</w:t>
      </w:r>
    </w:p>
    <w:p w14:paraId="3A529BB0">
      <w:pPr>
        <w:spacing w:line="480" w:lineRule="auto"/>
        <w:ind w:firstLine="360" w:firstLineChars="150"/>
        <w:rPr>
          <w:rFonts w:hint="eastAsia" w:ascii="宋体" w:hAnsi="宋体" w:eastAsia="宋体" w:cs="宋体"/>
          <w:b w:val="0"/>
          <w:bCs w:val="0"/>
          <w:color w:val="auto"/>
          <w:sz w:val="24"/>
          <w:szCs w:val="24"/>
          <w:highlight w:val="none"/>
        </w:rPr>
      </w:pPr>
    </w:p>
    <w:p w14:paraId="2A7839BE">
      <w:pPr>
        <w:spacing w:line="480" w:lineRule="auto"/>
        <w:ind w:firstLine="360" w:firstLineChars="150"/>
        <w:rPr>
          <w:rFonts w:hint="eastAsia" w:ascii="宋体" w:hAnsi="宋体" w:eastAsia="宋体" w:cs="宋体"/>
          <w:b w:val="0"/>
          <w:bCs w:val="0"/>
          <w:color w:val="auto"/>
          <w:sz w:val="24"/>
          <w:szCs w:val="24"/>
          <w:highlight w:val="none"/>
        </w:rPr>
      </w:pPr>
    </w:p>
    <w:p w14:paraId="6E0AF3D7">
      <w:pPr>
        <w:pStyle w:val="230"/>
        <w:widowControl w:val="0"/>
        <w:spacing w:line="480" w:lineRule="auto"/>
        <w:ind w:firstLine="424" w:firstLineChars="177"/>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注：不符合上述情形的</w:t>
      </w:r>
      <w:r>
        <w:rPr>
          <w:rFonts w:hint="eastAsia" w:ascii="宋体" w:hAnsi="宋体" w:eastAsia="宋体" w:cs="宋体"/>
          <w:b w:val="0"/>
          <w:bCs w:val="0"/>
          <w:color w:val="auto"/>
          <w:kern w:val="2"/>
          <w:sz w:val="24"/>
          <w:szCs w:val="24"/>
          <w:highlight w:val="none"/>
          <w:lang w:eastAsia="zh-CN"/>
        </w:rPr>
        <w:t>供应商</w:t>
      </w:r>
      <w:r>
        <w:rPr>
          <w:rFonts w:hint="eastAsia" w:ascii="宋体" w:hAnsi="宋体" w:eastAsia="宋体" w:cs="宋体"/>
          <w:b w:val="0"/>
          <w:bCs w:val="0"/>
          <w:color w:val="auto"/>
          <w:kern w:val="2"/>
          <w:sz w:val="24"/>
          <w:szCs w:val="24"/>
          <w:highlight w:val="none"/>
        </w:rPr>
        <w:t>无须提供上述声明函件。</w:t>
      </w:r>
    </w:p>
    <w:p w14:paraId="065FA7AF">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5BA83B10">
      <w:pPr>
        <w:pStyle w:val="76"/>
        <w:spacing w:line="360" w:lineRule="auto"/>
        <w:ind w:right="-88"/>
        <w:jc w:val="right"/>
        <w:rPr>
          <w:rFonts w:hint="eastAsia" w:ascii="宋体" w:hAnsi="宋体" w:eastAsia="宋体" w:cs="宋体"/>
          <w:color w:val="auto"/>
          <w:sz w:val="24"/>
          <w:highlight w:val="none"/>
        </w:rPr>
      </w:pPr>
    </w:p>
    <w:p w14:paraId="60982330">
      <w:pPr>
        <w:pStyle w:val="186"/>
        <w:jc w:val="center"/>
        <w:outlineLvl w:val="1"/>
        <w:rPr>
          <w:rFonts w:hint="eastAsia" w:ascii="宋体" w:hAnsi="宋体" w:eastAsia="宋体" w:cs="宋体"/>
          <w:color w:val="auto"/>
          <w:highlight w:val="none"/>
        </w:rPr>
      </w:pPr>
      <w:bookmarkStart w:id="111" w:name="_Toc256000042"/>
      <w:r>
        <w:rPr>
          <w:rFonts w:hint="eastAsia" w:ascii="宋体" w:hAnsi="宋体" w:eastAsia="宋体" w:cs="宋体"/>
          <w:color w:val="auto"/>
          <w:highlight w:val="none"/>
        </w:rPr>
        <w:t>技术文件</w:t>
      </w:r>
      <w:bookmarkEnd w:id="111"/>
    </w:p>
    <w:p w14:paraId="37DDEB96">
      <w:pPr>
        <w:pStyle w:val="149"/>
        <w:pageBreakBefore w:val="0"/>
        <w:numPr>
          <w:ilvl w:val="0"/>
          <w:numId w:val="0"/>
        </w:numPr>
        <w:kinsoku/>
        <w:overflowPunct/>
        <w:topLinePunct w:val="0"/>
        <w:bidi w:val="0"/>
        <w:outlineLvl w:val="1"/>
        <w:rPr>
          <w:rFonts w:hint="eastAsia" w:ascii="宋体" w:hAnsi="宋体" w:eastAsia="宋体" w:cs="宋体"/>
          <w:b w:val="0"/>
          <w:bCs/>
          <w:color w:val="auto"/>
          <w:sz w:val="24"/>
          <w:szCs w:val="24"/>
          <w:highlight w:val="none"/>
          <w:shd w:val="clear" w:color="auto" w:fill="FFFFFF"/>
          <w:lang w:bidi="ar"/>
        </w:rPr>
      </w:pPr>
      <w:r>
        <w:rPr>
          <w:rFonts w:hint="eastAsia" w:ascii="宋体" w:hAnsi="宋体" w:eastAsia="宋体" w:cs="宋体"/>
          <w:b w:val="0"/>
          <w:bCs/>
          <w:color w:val="auto"/>
          <w:sz w:val="24"/>
          <w:szCs w:val="24"/>
          <w:highlight w:val="none"/>
          <w:shd w:val="clear" w:color="auto" w:fill="FFFFFF"/>
          <w:lang w:bidi="ar"/>
        </w:rPr>
        <w:t>注：</w:t>
      </w:r>
      <w:r>
        <w:rPr>
          <w:rFonts w:hint="eastAsia" w:ascii="宋体" w:hAnsi="宋体" w:eastAsia="宋体" w:cs="宋体"/>
          <w:b w:val="0"/>
          <w:bCs/>
          <w:color w:val="auto"/>
          <w:sz w:val="24"/>
          <w:szCs w:val="24"/>
          <w:highlight w:val="none"/>
          <w:shd w:val="clear" w:color="auto" w:fill="FFFFFF"/>
          <w:lang w:val="en-US" w:eastAsia="zh-CN" w:bidi="ar"/>
        </w:rPr>
        <w:t>如果招标文件内没有提供格式的，格式可以自行编制，</w:t>
      </w:r>
      <w:r>
        <w:rPr>
          <w:rFonts w:hint="eastAsia" w:ascii="宋体" w:hAnsi="宋体" w:eastAsia="宋体" w:cs="宋体"/>
          <w:b w:val="0"/>
          <w:bCs/>
          <w:color w:val="auto"/>
          <w:sz w:val="24"/>
          <w:szCs w:val="24"/>
          <w:highlight w:val="none"/>
          <w:shd w:val="clear" w:color="auto" w:fill="FFFFFF"/>
          <w:lang w:bidi="ar"/>
        </w:rPr>
        <w:t>具体内容请投标人结合评标办法赋分内容</w:t>
      </w:r>
      <w:r>
        <w:rPr>
          <w:rFonts w:hint="eastAsia" w:ascii="宋体" w:hAnsi="宋体" w:eastAsia="宋体" w:cs="宋体"/>
          <w:b w:val="0"/>
          <w:bCs/>
          <w:color w:val="auto"/>
          <w:sz w:val="24"/>
          <w:szCs w:val="24"/>
          <w:highlight w:val="none"/>
          <w:shd w:val="clear" w:color="auto" w:fill="FFFFFF"/>
          <w:lang w:eastAsia="zh-CN" w:bidi="ar"/>
        </w:rPr>
        <w:t>（</w:t>
      </w:r>
      <w:r>
        <w:rPr>
          <w:rFonts w:hint="eastAsia" w:ascii="宋体" w:hAnsi="宋体" w:eastAsia="宋体" w:cs="宋体"/>
          <w:b w:val="0"/>
          <w:bCs/>
          <w:color w:val="auto"/>
          <w:kern w:val="0"/>
          <w:sz w:val="24"/>
          <w:szCs w:val="24"/>
          <w:highlight w:val="none"/>
          <w:lang w:val="en-US" w:eastAsia="zh-CN"/>
        </w:rPr>
        <w:t>《详细评审表》</w:t>
      </w:r>
      <w:r>
        <w:rPr>
          <w:rFonts w:hint="eastAsia" w:ascii="宋体" w:hAnsi="宋体" w:eastAsia="宋体" w:cs="宋体"/>
          <w:b w:val="0"/>
          <w:bCs/>
          <w:color w:val="auto"/>
          <w:sz w:val="24"/>
          <w:szCs w:val="24"/>
          <w:highlight w:val="none"/>
          <w:shd w:val="clear" w:color="auto" w:fill="FFFFFF"/>
          <w:lang w:eastAsia="zh-CN" w:bidi="ar"/>
        </w:rPr>
        <w:t>）</w:t>
      </w:r>
      <w:r>
        <w:rPr>
          <w:rFonts w:hint="eastAsia" w:ascii="宋体" w:hAnsi="宋体" w:eastAsia="宋体" w:cs="宋体"/>
          <w:b w:val="0"/>
          <w:bCs/>
          <w:color w:val="auto"/>
          <w:sz w:val="24"/>
          <w:szCs w:val="24"/>
          <w:highlight w:val="none"/>
          <w:shd w:val="clear" w:color="auto" w:fill="FFFFFF"/>
          <w:lang w:bidi="ar"/>
        </w:rPr>
        <w:t>进行</w:t>
      </w:r>
      <w:r>
        <w:rPr>
          <w:rFonts w:hint="eastAsia" w:ascii="宋体" w:hAnsi="宋体" w:eastAsia="宋体" w:cs="宋体"/>
          <w:b w:val="0"/>
          <w:bCs/>
          <w:color w:val="auto"/>
          <w:sz w:val="24"/>
          <w:szCs w:val="24"/>
          <w:highlight w:val="none"/>
          <w:shd w:val="clear" w:color="auto" w:fill="FFFFFF"/>
          <w:lang w:val="en-US" w:eastAsia="zh-CN" w:bidi="ar"/>
        </w:rPr>
        <w:t>编写</w:t>
      </w:r>
      <w:r>
        <w:rPr>
          <w:rFonts w:hint="eastAsia" w:ascii="宋体" w:hAnsi="宋体" w:eastAsia="宋体" w:cs="宋体"/>
          <w:b w:val="0"/>
          <w:bCs/>
          <w:color w:val="auto"/>
          <w:sz w:val="24"/>
          <w:szCs w:val="24"/>
          <w:highlight w:val="none"/>
          <w:shd w:val="clear" w:color="auto" w:fill="FFFFFF"/>
          <w:lang w:bidi="ar"/>
        </w:rPr>
        <w:t>。</w:t>
      </w:r>
    </w:p>
    <w:p w14:paraId="05C1BE60">
      <w:pPr>
        <w:pStyle w:val="95"/>
        <w:numPr>
          <w:ilvl w:val="0"/>
          <w:numId w:val="0"/>
        </w:numPr>
        <w:spacing w:line="360" w:lineRule="auto"/>
        <w:ind w:leftChars="0"/>
        <w:rPr>
          <w:rFonts w:hint="eastAsia" w:ascii="宋体" w:hAnsi="宋体" w:eastAsia="宋体" w:cs="宋体"/>
          <w:color w:val="auto"/>
          <w:kern w:val="0"/>
          <w:sz w:val="24"/>
          <w:highlight w:val="none"/>
        </w:rPr>
      </w:pPr>
    </w:p>
    <w:p w14:paraId="6B2671CE">
      <w:pPr>
        <w:rPr>
          <w:rFonts w:hint="eastAsia" w:ascii="宋体" w:hAnsi="宋体" w:eastAsia="宋体" w:cs="宋体"/>
          <w:color w:val="auto"/>
          <w:sz w:val="20"/>
          <w:highlight w:val="none"/>
        </w:rPr>
      </w:pPr>
    </w:p>
    <w:p w14:paraId="0153B932">
      <w:pPr>
        <w:rPr>
          <w:color w:val="auto"/>
          <w:highlight w:val="none"/>
        </w:rPr>
      </w:pPr>
    </w:p>
    <w:p w14:paraId="0D43BD22">
      <w:pPr>
        <w:rPr>
          <w:color w:val="auto"/>
          <w:highlight w:val="none"/>
        </w:rPr>
      </w:pPr>
    </w:p>
    <w:p w14:paraId="1D7FBF55">
      <w:pPr>
        <w:rPr>
          <w:color w:val="auto"/>
          <w:highlight w:val="none"/>
        </w:rPr>
      </w:pPr>
    </w:p>
    <w:p w14:paraId="31D78AA1">
      <w:pPr>
        <w:rPr>
          <w:color w:val="auto"/>
          <w:highlight w:val="none"/>
        </w:rPr>
      </w:pPr>
    </w:p>
    <w:p w14:paraId="6E524389">
      <w:pPr>
        <w:rPr>
          <w:color w:val="auto"/>
          <w:highlight w:val="none"/>
        </w:rPr>
      </w:pPr>
    </w:p>
    <w:p w14:paraId="743A4CED">
      <w:pPr>
        <w:rPr>
          <w:color w:val="auto"/>
          <w:highlight w:val="none"/>
        </w:rPr>
      </w:pPr>
    </w:p>
    <w:p w14:paraId="4B10E5F8">
      <w:pPr>
        <w:rPr>
          <w:color w:val="auto"/>
          <w:highlight w:val="none"/>
        </w:rPr>
      </w:pPr>
    </w:p>
    <w:p w14:paraId="38F33056">
      <w:pPr>
        <w:rPr>
          <w:color w:val="auto"/>
          <w:highlight w:val="none"/>
        </w:rPr>
      </w:pPr>
    </w:p>
    <w:p w14:paraId="2357F7A5">
      <w:pPr>
        <w:rPr>
          <w:color w:val="auto"/>
          <w:highlight w:val="none"/>
        </w:rPr>
      </w:pPr>
    </w:p>
    <w:p w14:paraId="6B62DB5D">
      <w:pPr>
        <w:pStyle w:val="157"/>
        <w:jc w:val="center"/>
        <w:outlineLvl w:val="2"/>
        <w:rPr>
          <w:rFonts w:hint="eastAsia" w:ascii="宋体" w:hAnsi="宋体" w:eastAsia="宋体" w:cs="宋体"/>
          <w:color w:val="auto"/>
          <w:highlight w:val="none"/>
        </w:rPr>
      </w:pPr>
      <w:r>
        <w:rPr>
          <w:rFonts w:hint="eastAsia" w:ascii="宋体" w:hAnsi="宋体" w:eastAsia="宋体" w:cs="宋体"/>
          <w:color w:val="auto"/>
          <w:highlight w:val="none"/>
        </w:rPr>
        <w:t>招标文件中要求提交的和供应商认为需要提供的其它说明和资料</w:t>
      </w:r>
    </w:p>
    <w:p w14:paraId="18E1F061">
      <w:pPr>
        <w:pStyle w:val="113"/>
        <w:rPr>
          <w:rFonts w:hint="eastAsia" w:ascii="宋体" w:hAnsi="宋体" w:eastAsia="宋体" w:cs="宋体"/>
          <w:color w:val="auto"/>
          <w:highlight w:val="none"/>
        </w:rPr>
      </w:pPr>
    </w:p>
    <w:p w14:paraId="124EB4C1">
      <w:pPr>
        <w:pStyle w:val="113"/>
        <w:tabs>
          <w:tab w:val="left" w:pos="1134"/>
          <w:tab w:val="left" w:pos="5481"/>
          <w:tab w:val="left" w:pos="5859"/>
          <w:tab w:val="left" w:pos="8786"/>
        </w:tabs>
        <w:rPr>
          <w:rFonts w:hint="eastAsia" w:ascii="宋体" w:hAnsi="宋体" w:eastAsia="宋体" w:cs="宋体"/>
          <w:color w:val="auto"/>
          <w:sz w:val="24"/>
          <w:highlight w:val="none"/>
        </w:rPr>
      </w:pPr>
    </w:p>
    <w:bookmarkEnd w:id="71"/>
    <w:p w14:paraId="14083C8F">
      <w:pPr>
        <w:rPr>
          <w:rFonts w:hint="eastAsia" w:ascii="宋体" w:hAnsi="宋体" w:eastAsia="宋体" w:cs="宋体"/>
          <w:color w:val="auto"/>
          <w:sz w:val="20"/>
          <w:highlight w:val="none"/>
        </w:rPr>
      </w:pPr>
    </w:p>
    <w:sectPr>
      <w:footerReference r:id="rId13" w:type="first"/>
      <w:headerReference r:id="rId11" w:type="default"/>
      <w:footerReference r:id="rId12" w:type="default"/>
      <w:pgSz w:w="11906" w:h="16838"/>
      <w:pgMar w:top="1440" w:right="1797" w:bottom="1440" w:left="1797" w:header="851" w:footer="992" w:gutter="0"/>
      <w:pgNumType w:fmt="decimal"/>
      <w:cols w:space="720"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5DB4B5C-8D45-477F-A7BB-C2216B7A5FD9}"/>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91609F9C-36FD-41E1-8240-DA27765BA5E2}"/>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embedRegular r:id="rId3" w:fontKey="{B2EEB7D9-16C5-466F-979C-DD7178584CEA}"/>
  </w:font>
  <w:font w:name="方正仿宋_GBK">
    <w:panose1 w:val="02000000000000000000"/>
    <w:charset w:val="86"/>
    <w:family w:val="auto"/>
    <w:pitch w:val="default"/>
    <w:sig w:usb0="A00002BF" w:usb1="38CF7CFA" w:usb2="00082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28011">
    <w:pPr>
      <w:pStyle w:val="25"/>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6CB35">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A8C8E">
    <w:pPr>
      <w:spacing w:line="169" w:lineRule="auto"/>
      <w:rPr>
        <w:rFonts w:ascii="宋体" w:hAnsi="宋体" w:eastAsia="宋体" w:cs="宋体"/>
        <w:sz w:val="14"/>
        <w:szCs w:val="14"/>
      </w:rPr>
    </w:pPr>
    <w:r>
      <w:rPr>
        <w:sz w:val="14"/>
      </w:rPr>
      <mc:AlternateContent>
        <mc:Choice Requires="wps">
          <w:drawing>
            <wp:anchor distT="0" distB="0" distL="114300" distR="114300" simplePos="0" relativeHeight="251660288" behindDoc="0" locked="0" layoutInCell="1" allowOverlap="1">
              <wp:simplePos x="0" y="0"/>
              <wp:positionH relativeFrom="margin">
                <wp:posOffset>2526665</wp:posOffset>
              </wp:positionH>
              <wp:positionV relativeFrom="paragraph">
                <wp:posOffset>-546735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7EFDCD">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8.95pt;margin-top:-43.05pt;height:144pt;width:144pt;mso-position-horizontal-relative:margin;mso-wrap-style:none;z-index:251660288;mso-width-relative:page;mso-height-relative:page;" filled="f" stroked="f" coordsize="21600,21600" o:gfxdata="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su2//ZAAAACwEAAA8AAAAAAAAAAQAgAAAAIgAAAGRycy9kb3ducmV2Lnht&#10;bFBLAQIUABQAAAAIAIdO4kAkgka0MQIAAGEEAAAOAAAAAAAAAAEAIAAAACgBAABkcnMvZTJvRG9j&#10;LnhtbFBLBQYAAAAABgAGAFkBAADLBQAAAAA=&#10;">
              <v:fill on="f" focussize="0,0"/>
              <v:stroke on="f" weight="0.5pt"/>
              <v:imagedata o:title=""/>
              <o:lock v:ext="edit" aspectratio="f"/>
              <v:textbox inset="0mm,0mm,0mm,0mm" style="mso-fit-shape-to-text:t;">
                <w:txbxContent>
                  <w:p w14:paraId="307EFDCD">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66C67">
    <w:pPr>
      <w:tabs>
        <w:tab w:val="left" w:pos="5234"/>
      </w:tabs>
      <w:spacing w:line="196" w:lineRule="auto"/>
      <w:ind w:left="422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B863B0">
                          <w:pPr>
                            <w:pStyle w:val="25"/>
                          </w:pPr>
                          <w:r>
                            <w:fldChar w:fldCharType="begin"/>
                          </w:r>
                          <w:r>
                            <w:instrText xml:space="preserve"> PAGE  \* MERGEFORMAT </w:instrText>
                          </w:r>
                          <w:r>
                            <w:fldChar w:fldCharType="separate"/>
                          </w:r>
                          <w:r>
                            <w:t>- 25 -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7DB863B0">
                    <w:pPr>
                      <w:pStyle w:val="25"/>
                    </w:pPr>
                    <w:r>
                      <w:fldChar w:fldCharType="begin"/>
                    </w:r>
                    <w:r>
                      <w:instrText xml:space="preserve"> PAGE  \* MERGEFORMAT </w:instrText>
                    </w:r>
                    <w:r>
                      <w:fldChar w:fldCharType="separate"/>
                    </w:r>
                    <w:r>
                      <w:t>- 25 -</w:t>
                    </w:r>
                    <w:r>
                      <w:fldChar w:fldCharType="end"/>
                    </w:r>
                  </w:p>
                </w:txbxContent>
              </v:textbox>
            </v:shape>
          </w:pict>
        </mc:Fallback>
      </mc:AlternateContent>
    </w:r>
    <w:r>
      <w:rPr>
        <w:rFonts w:hint="eastAsia" w:ascii="Times New Roman" w:hAnsi="Times New Roman" w:eastAsia="宋体" w:cs="Times New Roman"/>
        <w:sz w:val="17"/>
        <w:szCs w:val="17"/>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B457C">
    <w:pPr>
      <w:pStyle w:val="25"/>
      <w:jc w:val="center"/>
      <w:rPr>
        <w:rStyle w:val="53"/>
        <w:rFonts w:ascii="宋体" w:hAnsi="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2BF108">
                          <w:pPr>
                            <w:pStyle w:val="2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82BF108">
                    <w:pPr>
                      <w:pStyle w:val="25"/>
                    </w:pPr>
                    <w:r>
                      <w:fldChar w:fldCharType="begin"/>
                    </w:r>
                    <w:r>
                      <w:instrText xml:space="preserve"> PAGE  \* MERGEFORMAT </w:instrText>
                    </w:r>
                    <w:r>
                      <w:fldChar w:fldCharType="separate"/>
                    </w:r>
                    <w:r>
                      <w:t>4</w:t>
                    </w:r>
                    <w:r>
                      <w:fldChar w:fldCharType="end"/>
                    </w:r>
                  </w:p>
                </w:txbxContent>
              </v:textbox>
            </v:shape>
          </w:pict>
        </mc:Fallback>
      </mc:AlternateContent>
    </w:r>
  </w:p>
  <w:p w14:paraId="39D2C4A9">
    <w:pPr>
      <w:pStyle w:val="25"/>
      <w:rPr>
        <w:rStyle w:val="53"/>
        <w:rFonts w:ascii="宋体" w:hAnsi="宋体"/>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BC34A">
    <w:pPr>
      <w:pStyle w:val="25"/>
      <w:jc w:val="center"/>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00A683">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800A683">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45010">
    <w:pPr>
      <w:pStyle w:val="27"/>
      <w:pBdr>
        <w:bottom w:val="none" w:color="auto" w:sz="0" w:space="0"/>
      </w:pBdr>
      <w:jc w:val="right"/>
      <w:rPr>
        <w:rFonts w:hint="eastAsia" w:eastAsia="宋体"/>
        <w:sz w:val="21"/>
        <w:szCs w:val="21"/>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45B65">
    <w:pPr>
      <w:pStyle w:val="27"/>
      <w:pBdr>
        <w:bottom w:val="none" w:color="auto" w:sz="0" w:space="0"/>
      </w:pBdr>
      <w:jc w:val="both"/>
      <w:rPr>
        <w:rFonts w:ascii="宋体" w:hAnsi="宋体" w:eastAsia="宋体" w:cs="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FABD8">
    <w:pPr>
      <w:pStyle w:val="27"/>
      <w:rPr>
        <w:rFonts w:ascii="宋体" w:hAnsi="宋体" w:eastAsia="宋体" w:cs="宋体"/>
      </w:rPr>
    </w:pPr>
    <w:r>
      <w:pict>
        <v:shape id="PowerPlusWaterMarkObject937549079" o:spid="_x0000_s1025" o:spt="136" type="#_x0000_t136" style="position:absolute;left:0pt;height:34.45pt;width:551.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t" xscale="f" string="新疆生产建设兵团公共资源交易中心"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23110">
    <w:pPr>
      <w:pStyle w:val="17"/>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D930D">
    <w:pPr>
      <w:pStyle w:val="27"/>
      <w:pBdr>
        <w:bottom w:val="none" w:color="auto" w:sz="0" w:space="0"/>
      </w:pBdr>
      <w:rPr>
        <w:rStyle w:val="53"/>
        <w:rFonts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F49B31"/>
    <w:multiLevelType w:val="singleLevel"/>
    <w:tmpl w:val="A2F49B31"/>
    <w:lvl w:ilvl="0" w:tentative="0">
      <w:start w:val="1"/>
      <w:numFmt w:val="decimal"/>
      <w:suff w:val="nothing"/>
      <w:lvlText w:val="（%1）"/>
      <w:lvlJc w:val="left"/>
    </w:lvl>
  </w:abstractNum>
  <w:abstractNum w:abstractNumId="1">
    <w:nsid w:val="08C26C0E"/>
    <w:multiLevelType w:val="singleLevel"/>
    <w:tmpl w:val="08C26C0E"/>
    <w:lvl w:ilvl="0" w:tentative="0">
      <w:start w:val="1"/>
      <w:numFmt w:val="decimal"/>
      <w:suff w:val="nothing"/>
      <w:lvlText w:val="（%1）"/>
      <w:lvlJc w:val="left"/>
    </w:lvl>
  </w:abstractNum>
  <w:abstractNum w:abstractNumId="2">
    <w:nsid w:val="1955EF4F"/>
    <w:multiLevelType w:val="singleLevel"/>
    <w:tmpl w:val="1955EF4F"/>
    <w:lvl w:ilvl="0" w:tentative="0">
      <w:start w:val="3"/>
      <w:numFmt w:val="chineseCounting"/>
      <w:suff w:val="space"/>
      <w:lvlText w:val="第%1部分"/>
      <w:lvlJc w:val="left"/>
      <w:rPr>
        <w:rFonts w:hint="eastAsia"/>
      </w:rPr>
    </w:lvl>
  </w:abstractNum>
  <w:abstractNum w:abstractNumId="3">
    <w:nsid w:val="19E4AA59"/>
    <w:multiLevelType w:val="singleLevel"/>
    <w:tmpl w:val="19E4AA59"/>
    <w:lvl w:ilvl="0" w:tentative="0">
      <w:start w:val="1"/>
      <w:numFmt w:val="decimalEnclosedCircleChinese"/>
      <w:suff w:val="nothing"/>
      <w:lvlText w:val="%1　"/>
      <w:lvlJc w:val="left"/>
      <w:pPr>
        <w:ind w:left="0" w:firstLine="400"/>
      </w:pPr>
      <w:rPr>
        <w:rFonts w:hint="eastAsia"/>
      </w:rPr>
    </w:lvl>
  </w:abstractNum>
  <w:abstractNum w:abstractNumId="4">
    <w:nsid w:val="656D6133"/>
    <w:multiLevelType w:val="multilevel"/>
    <w:tmpl w:val="656D6133"/>
    <w:lvl w:ilvl="0" w:tentative="0">
      <w:start w:val="1"/>
      <w:numFmt w:val="chineseCountingThousand"/>
      <w:pStyle w:val="140"/>
      <w:suff w:val="nothing"/>
      <w:lvlText w:val="第%1部分"/>
      <w:lvlJc w:val="center"/>
      <w:pPr>
        <w:ind w:left="0" w:firstLine="288"/>
      </w:pPr>
      <w:rPr>
        <w:rFonts w:hint="eastAsia"/>
        <w:sz w:val="28"/>
        <w:szCs w:val="28"/>
      </w:rPr>
    </w:lvl>
    <w:lvl w:ilvl="1" w:tentative="0">
      <w:start w:val="1"/>
      <w:numFmt w:val="chineseCountingThousand"/>
      <w:pStyle w:val="3"/>
      <w:suff w:val="nothing"/>
      <w:lvlText w:val="%2、"/>
      <w:lvlJc w:val="left"/>
      <w:pPr>
        <w:ind w:left="240" w:firstLine="0"/>
      </w:pPr>
      <w:rPr>
        <w:rFonts w:hint="eastAsia" w:ascii="宋体" w:hAnsi="宋体" w:eastAsia="宋体"/>
        <w:sz w:val="24"/>
        <w:szCs w:val="24"/>
        <w:lang w:val="en-US"/>
      </w:rPr>
    </w:lvl>
    <w:lvl w:ilvl="2" w:tentative="0">
      <w:start w:val="1"/>
      <w:numFmt w:val="chineseCountingThousand"/>
      <w:pStyle w:val="4"/>
      <w:suff w:val="nothing"/>
      <w:lvlText w:val="(%3)"/>
      <w:lvlJc w:val="left"/>
      <w:pPr>
        <w:ind w:left="42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pStyle w:val="6"/>
      <w:suff w:val="nothing"/>
      <w:lvlText w:val="%5、"/>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hYWFhYjg4Yzc4MDA4ZDg1M2NiNjQyNTc2YmQ2MzIifQ=="/>
  </w:docVars>
  <w:rsids>
    <w:rsidRoot w:val="00587125"/>
    <w:rsid w:val="00001A23"/>
    <w:rsid w:val="0002426E"/>
    <w:rsid w:val="00027469"/>
    <w:rsid w:val="000344C5"/>
    <w:rsid w:val="00036408"/>
    <w:rsid w:val="000421CE"/>
    <w:rsid w:val="00043BB7"/>
    <w:rsid w:val="000840AD"/>
    <w:rsid w:val="000B017A"/>
    <w:rsid w:val="000E09F0"/>
    <w:rsid w:val="000F4A30"/>
    <w:rsid w:val="00106D3A"/>
    <w:rsid w:val="00125466"/>
    <w:rsid w:val="00133387"/>
    <w:rsid w:val="00137AC9"/>
    <w:rsid w:val="0014797A"/>
    <w:rsid w:val="001756A5"/>
    <w:rsid w:val="00180B5B"/>
    <w:rsid w:val="0018379A"/>
    <w:rsid w:val="00197202"/>
    <w:rsid w:val="001A5D99"/>
    <w:rsid w:val="001D39D1"/>
    <w:rsid w:val="00227AC3"/>
    <w:rsid w:val="002744B4"/>
    <w:rsid w:val="00317342"/>
    <w:rsid w:val="00334344"/>
    <w:rsid w:val="00356A5B"/>
    <w:rsid w:val="003577A2"/>
    <w:rsid w:val="003729EB"/>
    <w:rsid w:val="003C66ED"/>
    <w:rsid w:val="00500138"/>
    <w:rsid w:val="00500FFB"/>
    <w:rsid w:val="005262A2"/>
    <w:rsid w:val="00534498"/>
    <w:rsid w:val="005430C8"/>
    <w:rsid w:val="0054325B"/>
    <w:rsid w:val="00557EB9"/>
    <w:rsid w:val="005733C0"/>
    <w:rsid w:val="00584953"/>
    <w:rsid w:val="005A340C"/>
    <w:rsid w:val="005A5A3B"/>
    <w:rsid w:val="005C5A40"/>
    <w:rsid w:val="005D219F"/>
    <w:rsid w:val="006027B4"/>
    <w:rsid w:val="006240FF"/>
    <w:rsid w:val="00653D8E"/>
    <w:rsid w:val="00674980"/>
    <w:rsid w:val="006E5D1A"/>
    <w:rsid w:val="006F2AD8"/>
    <w:rsid w:val="007059BB"/>
    <w:rsid w:val="00712FE5"/>
    <w:rsid w:val="0071799D"/>
    <w:rsid w:val="00724BE6"/>
    <w:rsid w:val="007659C9"/>
    <w:rsid w:val="00767D27"/>
    <w:rsid w:val="00780951"/>
    <w:rsid w:val="0078286F"/>
    <w:rsid w:val="00785CAA"/>
    <w:rsid w:val="00790A57"/>
    <w:rsid w:val="00792ABA"/>
    <w:rsid w:val="00796BD0"/>
    <w:rsid w:val="007A6747"/>
    <w:rsid w:val="007D7D75"/>
    <w:rsid w:val="008474B1"/>
    <w:rsid w:val="008511EE"/>
    <w:rsid w:val="00853F54"/>
    <w:rsid w:val="00870D69"/>
    <w:rsid w:val="008869C9"/>
    <w:rsid w:val="008A73A8"/>
    <w:rsid w:val="009258F5"/>
    <w:rsid w:val="009946D6"/>
    <w:rsid w:val="009A5857"/>
    <w:rsid w:val="009B749B"/>
    <w:rsid w:val="009C427A"/>
    <w:rsid w:val="009E4AC7"/>
    <w:rsid w:val="009F45B9"/>
    <w:rsid w:val="00A02CA7"/>
    <w:rsid w:val="00A07B10"/>
    <w:rsid w:val="00A202F9"/>
    <w:rsid w:val="00A276A4"/>
    <w:rsid w:val="00A4281C"/>
    <w:rsid w:val="00A656C8"/>
    <w:rsid w:val="00A90EDB"/>
    <w:rsid w:val="00AB7C3E"/>
    <w:rsid w:val="00AC66F5"/>
    <w:rsid w:val="00BC73FE"/>
    <w:rsid w:val="00BF4E00"/>
    <w:rsid w:val="00C15D2F"/>
    <w:rsid w:val="00C43239"/>
    <w:rsid w:val="00C84453"/>
    <w:rsid w:val="00C9544B"/>
    <w:rsid w:val="00CA76BD"/>
    <w:rsid w:val="00CB5DFC"/>
    <w:rsid w:val="00CC5261"/>
    <w:rsid w:val="00CE37CB"/>
    <w:rsid w:val="00CE75B1"/>
    <w:rsid w:val="00D62766"/>
    <w:rsid w:val="00D774D3"/>
    <w:rsid w:val="00D85069"/>
    <w:rsid w:val="00D85839"/>
    <w:rsid w:val="00DD272B"/>
    <w:rsid w:val="00DD4A47"/>
    <w:rsid w:val="00E26377"/>
    <w:rsid w:val="00E60417"/>
    <w:rsid w:val="00E62D0C"/>
    <w:rsid w:val="00E84B52"/>
    <w:rsid w:val="00E97976"/>
    <w:rsid w:val="00EB283D"/>
    <w:rsid w:val="00EC0839"/>
    <w:rsid w:val="00ED1811"/>
    <w:rsid w:val="00EF7D9D"/>
    <w:rsid w:val="00F22854"/>
    <w:rsid w:val="00F379CE"/>
    <w:rsid w:val="00F60704"/>
    <w:rsid w:val="00F806FD"/>
    <w:rsid w:val="00F87B3A"/>
    <w:rsid w:val="00F91F90"/>
    <w:rsid w:val="00FC2962"/>
    <w:rsid w:val="00FF7152"/>
    <w:rsid w:val="01154EDD"/>
    <w:rsid w:val="025F1A63"/>
    <w:rsid w:val="02923B48"/>
    <w:rsid w:val="02B97D29"/>
    <w:rsid w:val="02C62933"/>
    <w:rsid w:val="03630182"/>
    <w:rsid w:val="037B196F"/>
    <w:rsid w:val="037F6CAE"/>
    <w:rsid w:val="03A963C0"/>
    <w:rsid w:val="04101C8E"/>
    <w:rsid w:val="042D6557"/>
    <w:rsid w:val="046674A7"/>
    <w:rsid w:val="04CF72D7"/>
    <w:rsid w:val="04D62345"/>
    <w:rsid w:val="04DD695E"/>
    <w:rsid w:val="051D664B"/>
    <w:rsid w:val="05260A16"/>
    <w:rsid w:val="05363B56"/>
    <w:rsid w:val="054F6C10"/>
    <w:rsid w:val="056D353A"/>
    <w:rsid w:val="057B742F"/>
    <w:rsid w:val="05C869C2"/>
    <w:rsid w:val="05D61200"/>
    <w:rsid w:val="05E002CF"/>
    <w:rsid w:val="0655052B"/>
    <w:rsid w:val="06762C74"/>
    <w:rsid w:val="06C13B3D"/>
    <w:rsid w:val="06CD24E2"/>
    <w:rsid w:val="06E15F8D"/>
    <w:rsid w:val="06E87125"/>
    <w:rsid w:val="075C1AB8"/>
    <w:rsid w:val="077A1300"/>
    <w:rsid w:val="07A87F29"/>
    <w:rsid w:val="082973E6"/>
    <w:rsid w:val="08444231"/>
    <w:rsid w:val="08591B53"/>
    <w:rsid w:val="085E13BB"/>
    <w:rsid w:val="08653E7F"/>
    <w:rsid w:val="08AE6343"/>
    <w:rsid w:val="08BA0844"/>
    <w:rsid w:val="09017503"/>
    <w:rsid w:val="093D1475"/>
    <w:rsid w:val="097906FF"/>
    <w:rsid w:val="09AA4D5C"/>
    <w:rsid w:val="09BA4874"/>
    <w:rsid w:val="09BC50DD"/>
    <w:rsid w:val="09D04097"/>
    <w:rsid w:val="0A221C45"/>
    <w:rsid w:val="0A256191"/>
    <w:rsid w:val="0A3D2381"/>
    <w:rsid w:val="0A59408D"/>
    <w:rsid w:val="0A762E91"/>
    <w:rsid w:val="0A882AA0"/>
    <w:rsid w:val="0AA81646"/>
    <w:rsid w:val="0ABD461B"/>
    <w:rsid w:val="0AF65D7F"/>
    <w:rsid w:val="0B6700E1"/>
    <w:rsid w:val="0BB91287"/>
    <w:rsid w:val="0BE3212D"/>
    <w:rsid w:val="0C0F70F9"/>
    <w:rsid w:val="0C300E1D"/>
    <w:rsid w:val="0C782EF0"/>
    <w:rsid w:val="0C8748EC"/>
    <w:rsid w:val="0C8A677F"/>
    <w:rsid w:val="0D0021C5"/>
    <w:rsid w:val="0D0F2745"/>
    <w:rsid w:val="0D523741"/>
    <w:rsid w:val="0D5374B9"/>
    <w:rsid w:val="0E0367E9"/>
    <w:rsid w:val="0E230C39"/>
    <w:rsid w:val="0E463CA3"/>
    <w:rsid w:val="0E7511BE"/>
    <w:rsid w:val="0E8F4521"/>
    <w:rsid w:val="0EAA111E"/>
    <w:rsid w:val="0F1D5B7A"/>
    <w:rsid w:val="0F36499C"/>
    <w:rsid w:val="0F5868BB"/>
    <w:rsid w:val="0F751969"/>
    <w:rsid w:val="0FAE09D7"/>
    <w:rsid w:val="0FBD50BE"/>
    <w:rsid w:val="0FDF3286"/>
    <w:rsid w:val="101A606C"/>
    <w:rsid w:val="1023563C"/>
    <w:rsid w:val="103167F3"/>
    <w:rsid w:val="106E1859"/>
    <w:rsid w:val="10800DCA"/>
    <w:rsid w:val="10AA5104"/>
    <w:rsid w:val="10F845FF"/>
    <w:rsid w:val="11086EBE"/>
    <w:rsid w:val="11164A85"/>
    <w:rsid w:val="11C86131"/>
    <w:rsid w:val="129B1072"/>
    <w:rsid w:val="13313C85"/>
    <w:rsid w:val="13882B0D"/>
    <w:rsid w:val="13B96E45"/>
    <w:rsid w:val="1454148A"/>
    <w:rsid w:val="145947E1"/>
    <w:rsid w:val="146D70B2"/>
    <w:rsid w:val="147A357D"/>
    <w:rsid w:val="14943525"/>
    <w:rsid w:val="14974078"/>
    <w:rsid w:val="14A04638"/>
    <w:rsid w:val="14C904F8"/>
    <w:rsid w:val="14F450DE"/>
    <w:rsid w:val="157D1EDF"/>
    <w:rsid w:val="158A3C94"/>
    <w:rsid w:val="162A7962"/>
    <w:rsid w:val="163C6D3C"/>
    <w:rsid w:val="164B6F7F"/>
    <w:rsid w:val="166116EE"/>
    <w:rsid w:val="167D79B6"/>
    <w:rsid w:val="16872475"/>
    <w:rsid w:val="168F27B4"/>
    <w:rsid w:val="16B66FEE"/>
    <w:rsid w:val="16C60CFC"/>
    <w:rsid w:val="172526E5"/>
    <w:rsid w:val="17555BDC"/>
    <w:rsid w:val="179B5CE4"/>
    <w:rsid w:val="179F5D85"/>
    <w:rsid w:val="17B02937"/>
    <w:rsid w:val="1816180F"/>
    <w:rsid w:val="18267CA4"/>
    <w:rsid w:val="184A3267"/>
    <w:rsid w:val="187F1162"/>
    <w:rsid w:val="19407A22"/>
    <w:rsid w:val="198F1879"/>
    <w:rsid w:val="19A1335A"/>
    <w:rsid w:val="19CC12A5"/>
    <w:rsid w:val="1A89276C"/>
    <w:rsid w:val="1A916BF3"/>
    <w:rsid w:val="1AF562B3"/>
    <w:rsid w:val="1B03607B"/>
    <w:rsid w:val="1B852F33"/>
    <w:rsid w:val="1BBE4794"/>
    <w:rsid w:val="1C7141E1"/>
    <w:rsid w:val="1C744736"/>
    <w:rsid w:val="1CD35F20"/>
    <w:rsid w:val="1D31720B"/>
    <w:rsid w:val="1D48246B"/>
    <w:rsid w:val="1D6F2CE8"/>
    <w:rsid w:val="1DDE69A4"/>
    <w:rsid w:val="1DE43939"/>
    <w:rsid w:val="1E081BFA"/>
    <w:rsid w:val="1E3D4CE3"/>
    <w:rsid w:val="1E432470"/>
    <w:rsid w:val="1E4569AA"/>
    <w:rsid w:val="1E5A160C"/>
    <w:rsid w:val="1E82375A"/>
    <w:rsid w:val="1E8C2FD4"/>
    <w:rsid w:val="1E9D0594"/>
    <w:rsid w:val="1EA61372"/>
    <w:rsid w:val="1EAC07D7"/>
    <w:rsid w:val="1EC45B21"/>
    <w:rsid w:val="1F9C084C"/>
    <w:rsid w:val="1FBA6AEA"/>
    <w:rsid w:val="20136352"/>
    <w:rsid w:val="203E55D3"/>
    <w:rsid w:val="20B61DE1"/>
    <w:rsid w:val="20D52267"/>
    <w:rsid w:val="20E35D25"/>
    <w:rsid w:val="2133507B"/>
    <w:rsid w:val="22195A86"/>
    <w:rsid w:val="228610D7"/>
    <w:rsid w:val="22877591"/>
    <w:rsid w:val="22964E9C"/>
    <w:rsid w:val="22A12607"/>
    <w:rsid w:val="22B67E76"/>
    <w:rsid w:val="22ED1481"/>
    <w:rsid w:val="22F4274D"/>
    <w:rsid w:val="23112F9B"/>
    <w:rsid w:val="237D208A"/>
    <w:rsid w:val="23DE3EE4"/>
    <w:rsid w:val="242111B8"/>
    <w:rsid w:val="24695979"/>
    <w:rsid w:val="246B7F02"/>
    <w:rsid w:val="248144B4"/>
    <w:rsid w:val="249C4E4A"/>
    <w:rsid w:val="249E6619"/>
    <w:rsid w:val="24EB0194"/>
    <w:rsid w:val="24F37160"/>
    <w:rsid w:val="25D9546B"/>
    <w:rsid w:val="25FC0296"/>
    <w:rsid w:val="26037229"/>
    <w:rsid w:val="26502390"/>
    <w:rsid w:val="26560DA5"/>
    <w:rsid w:val="26D62895"/>
    <w:rsid w:val="26DF4937"/>
    <w:rsid w:val="274333BC"/>
    <w:rsid w:val="27436AA7"/>
    <w:rsid w:val="27D2250A"/>
    <w:rsid w:val="27E014F2"/>
    <w:rsid w:val="282A4631"/>
    <w:rsid w:val="282B09BF"/>
    <w:rsid w:val="28416434"/>
    <w:rsid w:val="2861551E"/>
    <w:rsid w:val="28E53263"/>
    <w:rsid w:val="28FE2577"/>
    <w:rsid w:val="291D29FD"/>
    <w:rsid w:val="294A756A"/>
    <w:rsid w:val="29F45AFE"/>
    <w:rsid w:val="2A5304CF"/>
    <w:rsid w:val="2A814430"/>
    <w:rsid w:val="2AC2696F"/>
    <w:rsid w:val="2AF4778E"/>
    <w:rsid w:val="2B545D92"/>
    <w:rsid w:val="2B8B4429"/>
    <w:rsid w:val="2B8E1816"/>
    <w:rsid w:val="2BC5548B"/>
    <w:rsid w:val="2BCB7864"/>
    <w:rsid w:val="2C081775"/>
    <w:rsid w:val="2CF7390C"/>
    <w:rsid w:val="2D1C2FCC"/>
    <w:rsid w:val="2D426ED6"/>
    <w:rsid w:val="2D880661"/>
    <w:rsid w:val="2DA95EDC"/>
    <w:rsid w:val="2DB66F7C"/>
    <w:rsid w:val="2DD0437F"/>
    <w:rsid w:val="2E213F4D"/>
    <w:rsid w:val="2E291E44"/>
    <w:rsid w:val="2E9C43C4"/>
    <w:rsid w:val="2F483B5F"/>
    <w:rsid w:val="2F500A9D"/>
    <w:rsid w:val="2F525C32"/>
    <w:rsid w:val="2F662C24"/>
    <w:rsid w:val="2F762E67"/>
    <w:rsid w:val="2F837332"/>
    <w:rsid w:val="2FC11F56"/>
    <w:rsid w:val="2FF43798"/>
    <w:rsid w:val="2FFF7AE9"/>
    <w:rsid w:val="302D7F4C"/>
    <w:rsid w:val="30801AAC"/>
    <w:rsid w:val="30F32296"/>
    <w:rsid w:val="31111D4C"/>
    <w:rsid w:val="31307046"/>
    <w:rsid w:val="317739B3"/>
    <w:rsid w:val="32371596"/>
    <w:rsid w:val="324234D5"/>
    <w:rsid w:val="32961B0B"/>
    <w:rsid w:val="32A23C73"/>
    <w:rsid w:val="330B38C7"/>
    <w:rsid w:val="335235A6"/>
    <w:rsid w:val="338B0435"/>
    <w:rsid w:val="34334B9C"/>
    <w:rsid w:val="344057F2"/>
    <w:rsid w:val="34510F83"/>
    <w:rsid w:val="34C401D1"/>
    <w:rsid w:val="34D0131F"/>
    <w:rsid w:val="35312B89"/>
    <w:rsid w:val="355C7B4C"/>
    <w:rsid w:val="35951B6D"/>
    <w:rsid w:val="35C92B52"/>
    <w:rsid w:val="35CF507F"/>
    <w:rsid w:val="35E210D6"/>
    <w:rsid w:val="365B3F3F"/>
    <w:rsid w:val="36716136"/>
    <w:rsid w:val="368C2F70"/>
    <w:rsid w:val="36A951E8"/>
    <w:rsid w:val="36E061C9"/>
    <w:rsid w:val="373D426B"/>
    <w:rsid w:val="38151C51"/>
    <w:rsid w:val="38404012"/>
    <w:rsid w:val="386046B4"/>
    <w:rsid w:val="38805AF3"/>
    <w:rsid w:val="392F4087"/>
    <w:rsid w:val="39447B32"/>
    <w:rsid w:val="39546F39"/>
    <w:rsid w:val="396401D4"/>
    <w:rsid w:val="396E4BAF"/>
    <w:rsid w:val="39A6259B"/>
    <w:rsid w:val="3A2D2733"/>
    <w:rsid w:val="3A8B353F"/>
    <w:rsid w:val="3AAB598F"/>
    <w:rsid w:val="3B4007CD"/>
    <w:rsid w:val="3B4E4C98"/>
    <w:rsid w:val="3B7F7CC5"/>
    <w:rsid w:val="3B8108B5"/>
    <w:rsid w:val="3B871F58"/>
    <w:rsid w:val="3BC92571"/>
    <w:rsid w:val="3BDA6648"/>
    <w:rsid w:val="3BDC22A4"/>
    <w:rsid w:val="3C611D6D"/>
    <w:rsid w:val="3C9A5774"/>
    <w:rsid w:val="3CCD2DEC"/>
    <w:rsid w:val="3D0A2E41"/>
    <w:rsid w:val="3D5642D8"/>
    <w:rsid w:val="3D8C45B6"/>
    <w:rsid w:val="3D932E36"/>
    <w:rsid w:val="3DDA40EA"/>
    <w:rsid w:val="3DED640D"/>
    <w:rsid w:val="3E522CF1"/>
    <w:rsid w:val="3E9E1A93"/>
    <w:rsid w:val="3EA11583"/>
    <w:rsid w:val="3EB67051"/>
    <w:rsid w:val="3EEF22EE"/>
    <w:rsid w:val="3F00274D"/>
    <w:rsid w:val="3F1C1A5E"/>
    <w:rsid w:val="3F3B5533"/>
    <w:rsid w:val="3F9E319A"/>
    <w:rsid w:val="3FD95A19"/>
    <w:rsid w:val="4047234E"/>
    <w:rsid w:val="4060397D"/>
    <w:rsid w:val="408965DE"/>
    <w:rsid w:val="4090365D"/>
    <w:rsid w:val="40A27F1D"/>
    <w:rsid w:val="40C31C84"/>
    <w:rsid w:val="41016309"/>
    <w:rsid w:val="41222415"/>
    <w:rsid w:val="41615656"/>
    <w:rsid w:val="41686388"/>
    <w:rsid w:val="419435D4"/>
    <w:rsid w:val="41AF3FB7"/>
    <w:rsid w:val="41C45CB4"/>
    <w:rsid w:val="41C932CA"/>
    <w:rsid w:val="41FE069E"/>
    <w:rsid w:val="424576E8"/>
    <w:rsid w:val="4256183D"/>
    <w:rsid w:val="426C014A"/>
    <w:rsid w:val="42796D1A"/>
    <w:rsid w:val="42A258CA"/>
    <w:rsid w:val="4316634D"/>
    <w:rsid w:val="43486471"/>
    <w:rsid w:val="4379487C"/>
    <w:rsid w:val="437C5851"/>
    <w:rsid w:val="43A86F10"/>
    <w:rsid w:val="43C10488"/>
    <w:rsid w:val="43C45BBD"/>
    <w:rsid w:val="43C875B2"/>
    <w:rsid w:val="43F42155"/>
    <w:rsid w:val="443D77D5"/>
    <w:rsid w:val="443E3A00"/>
    <w:rsid w:val="44A308AB"/>
    <w:rsid w:val="45321187"/>
    <w:rsid w:val="453A628D"/>
    <w:rsid w:val="45486A63"/>
    <w:rsid w:val="456B047B"/>
    <w:rsid w:val="45A100BA"/>
    <w:rsid w:val="45F16F12"/>
    <w:rsid w:val="46406C9A"/>
    <w:rsid w:val="46535859"/>
    <w:rsid w:val="46560C13"/>
    <w:rsid w:val="469F45FA"/>
    <w:rsid w:val="46BD7176"/>
    <w:rsid w:val="47040901"/>
    <w:rsid w:val="473C4DE8"/>
    <w:rsid w:val="47D14C87"/>
    <w:rsid w:val="485F7CC0"/>
    <w:rsid w:val="48E605BA"/>
    <w:rsid w:val="49072152"/>
    <w:rsid w:val="49155047"/>
    <w:rsid w:val="491B63D5"/>
    <w:rsid w:val="49E61221"/>
    <w:rsid w:val="4A7562A1"/>
    <w:rsid w:val="4ABB39CC"/>
    <w:rsid w:val="4B3F0159"/>
    <w:rsid w:val="4B441C14"/>
    <w:rsid w:val="4B4E5A35"/>
    <w:rsid w:val="4B865D88"/>
    <w:rsid w:val="4BB40B47"/>
    <w:rsid w:val="4C2757BD"/>
    <w:rsid w:val="4C4F6AC2"/>
    <w:rsid w:val="4C894D6F"/>
    <w:rsid w:val="4C921712"/>
    <w:rsid w:val="4CC0176E"/>
    <w:rsid w:val="4CF4181D"/>
    <w:rsid w:val="4D2407F9"/>
    <w:rsid w:val="4D697710"/>
    <w:rsid w:val="4DBA7F6B"/>
    <w:rsid w:val="4E286A14"/>
    <w:rsid w:val="4E61186B"/>
    <w:rsid w:val="4EAD35E6"/>
    <w:rsid w:val="4EDA2E67"/>
    <w:rsid w:val="4EE2777A"/>
    <w:rsid w:val="4F245FE4"/>
    <w:rsid w:val="4F581BB1"/>
    <w:rsid w:val="4F6C798B"/>
    <w:rsid w:val="4F6E3703"/>
    <w:rsid w:val="505226DD"/>
    <w:rsid w:val="50FA0B0A"/>
    <w:rsid w:val="525E35BB"/>
    <w:rsid w:val="528736D0"/>
    <w:rsid w:val="53142835"/>
    <w:rsid w:val="53400F13"/>
    <w:rsid w:val="5345477B"/>
    <w:rsid w:val="53530C46"/>
    <w:rsid w:val="53603363"/>
    <w:rsid w:val="537E6ED3"/>
    <w:rsid w:val="538057B3"/>
    <w:rsid w:val="539A0776"/>
    <w:rsid w:val="53A15444"/>
    <w:rsid w:val="542D0726"/>
    <w:rsid w:val="54300F87"/>
    <w:rsid w:val="54DF6509"/>
    <w:rsid w:val="55546888"/>
    <w:rsid w:val="55774994"/>
    <w:rsid w:val="55D73C9B"/>
    <w:rsid w:val="55E464CD"/>
    <w:rsid w:val="56061413"/>
    <w:rsid w:val="56114DE8"/>
    <w:rsid w:val="56272435"/>
    <w:rsid w:val="567D422C"/>
    <w:rsid w:val="56DC71A4"/>
    <w:rsid w:val="56F9543B"/>
    <w:rsid w:val="571674A8"/>
    <w:rsid w:val="573E39BB"/>
    <w:rsid w:val="5784080C"/>
    <w:rsid w:val="57C02622"/>
    <w:rsid w:val="57C32112"/>
    <w:rsid w:val="57DA148C"/>
    <w:rsid w:val="57FF38DC"/>
    <w:rsid w:val="581A7F84"/>
    <w:rsid w:val="583152CE"/>
    <w:rsid w:val="58CE0D6F"/>
    <w:rsid w:val="58D2085F"/>
    <w:rsid w:val="58DE07CA"/>
    <w:rsid w:val="58ED55AD"/>
    <w:rsid w:val="592B4D42"/>
    <w:rsid w:val="5975787B"/>
    <w:rsid w:val="599A1A02"/>
    <w:rsid w:val="5A4D13C1"/>
    <w:rsid w:val="5A740E30"/>
    <w:rsid w:val="5A7F1101"/>
    <w:rsid w:val="5AA15521"/>
    <w:rsid w:val="5B922297"/>
    <w:rsid w:val="5BE52071"/>
    <w:rsid w:val="5BFE5E0F"/>
    <w:rsid w:val="5C2F7D76"/>
    <w:rsid w:val="5C3420BD"/>
    <w:rsid w:val="5C7168E2"/>
    <w:rsid w:val="5CA442C0"/>
    <w:rsid w:val="5CD12411"/>
    <w:rsid w:val="5CED3EB9"/>
    <w:rsid w:val="5D8F7D13"/>
    <w:rsid w:val="5DC50992"/>
    <w:rsid w:val="5DD706C5"/>
    <w:rsid w:val="5DF660F4"/>
    <w:rsid w:val="5E0F1019"/>
    <w:rsid w:val="5E4044BD"/>
    <w:rsid w:val="5E992621"/>
    <w:rsid w:val="5EF157B7"/>
    <w:rsid w:val="5EF84D97"/>
    <w:rsid w:val="5EFB0EFD"/>
    <w:rsid w:val="5F21609C"/>
    <w:rsid w:val="5F2E4B55"/>
    <w:rsid w:val="5F6E1A69"/>
    <w:rsid w:val="5F750196"/>
    <w:rsid w:val="5FD924D3"/>
    <w:rsid w:val="60193217"/>
    <w:rsid w:val="604364E6"/>
    <w:rsid w:val="607D5554"/>
    <w:rsid w:val="60964868"/>
    <w:rsid w:val="60EC5B89"/>
    <w:rsid w:val="61135C9F"/>
    <w:rsid w:val="61245E1A"/>
    <w:rsid w:val="61425A64"/>
    <w:rsid w:val="61502C69"/>
    <w:rsid w:val="618148EE"/>
    <w:rsid w:val="618D2387"/>
    <w:rsid w:val="619A3EE4"/>
    <w:rsid w:val="61B01959"/>
    <w:rsid w:val="620509E3"/>
    <w:rsid w:val="62451E2C"/>
    <w:rsid w:val="624D288F"/>
    <w:rsid w:val="62A80901"/>
    <w:rsid w:val="62E844C4"/>
    <w:rsid w:val="631316D4"/>
    <w:rsid w:val="63353FA9"/>
    <w:rsid w:val="63621CEC"/>
    <w:rsid w:val="63B23B57"/>
    <w:rsid w:val="642B3519"/>
    <w:rsid w:val="64485E79"/>
    <w:rsid w:val="64664AA2"/>
    <w:rsid w:val="647E189B"/>
    <w:rsid w:val="64DF1C48"/>
    <w:rsid w:val="64E15986"/>
    <w:rsid w:val="6501769D"/>
    <w:rsid w:val="652C2D84"/>
    <w:rsid w:val="652D418D"/>
    <w:rsid w:val="657515E5"/>
    <w:rsid w:val="65FD3F7D"/>
    <w:rsid w:val="664B1C51"/>
    <w:rsid w:val="667D4F5C"/>
    <w:rsid w:val="667F358A"/>
    <w:rsid w:val="66F6293A"/>
    <w:rsid w:val="6712276E"/>
    <w:rsid w:val="67136911"/>
    <w:rsid w:val="671A64EB"/>
    <w:rsid w:val="67580AC9"/>
    <w:rsid w:val="67584625"/>
    <w:rsid w:val="6780592A"/>
    <w:rsid w:val="67A54B77"/>
    <w:rsid w:val="67BC2426"/>
    <w:rsid w:val="6808604B"/>
    <w:rsid w:val="686E1C26"/>
    <w:rsid w:val="68E3635D"/>
    <w:rsid w:val="690507DD"/>
    <w:rsid w:val="693B5FAC"/>
    <w:rsid w:val="69BD4C13"/>
    <w:rsid w:val="69D8356D"/>
    <w:rsid w:val="69E93B36"/>
    <w:rsid w:val="6A535578"/>
    <w:rsid w:val="6A7F2164"/>
    <w:rsid w:val="6AFC176B"/>
    <w:rsid w:val="6B143228"/>
    <w:rsid w:val="6CA50CC4"/>
    <w:rsid w:val="6CB53614"/>
    <w:rsid w:val="6CCB3759"/>
    <w:rsid w:val="6CFC3CA5"/>
    <w:rsid w:val="6CFF5543"/>
    <w:rsid w:val="6D0D5EB2"/>
    <w:rsid w:val="6D1159A2"/>
    <w:rsid w:val="6D2F407A"/>
    <w:rsid w:val="6D321548"/>
    <w:rsid w:val="6D7952F5"/>
    <w:rsid w:val="6D9D7EB2"/>
    <w:rsid w:val="6E172CF1"/>
    <w:rsid w:val="6EDA38C2"/>
    <w:rsid w:val="6F4034D9"/>
    <w:rsid w:val="6F525DFE"/>
    <w:rsid w:val="6F5A2B7D"/>
    <w:rsid w:val="6F96218E"/>
    <w:rsid w:val="6F997ED1"/>
    <w:rsid w:val="6FB24A60"/>
    <w:rsid w:val="6FB97C2B"/>
    <w:rsid w:val="6FC62348"/>
    <w:rsid w:val="703F45D4"/>
    <w:rsid w:val="7047792D"/>
    <w:rsid w:val="70BE210A"/>
    <w:rsid w:val="71290DE0"/>
    <w:rsid w:val="71341C5F"/>
    <w:rsid w:val="714F6A99"/>
    <w:rsid w:val="71704C61"/>
    <w:rsid w:val="718F158B"/>
    <w:rsid w:val="71956476"/>
    <w:rsid w:val="71C11019"/>
    <w:rsid w:val="720F447A"/>
    <w:rsid w:val="722F68CA"/>
    <w:rsid w:val="725E5858"/>
    <w:rsid w:val="7275647C"/>
    <w:rsid w:val="72FF629D"/>
    <w:rsid w:val="730A7B52"/>
    <w:rsid w:val="731F20C0"/>
    <w:rsid w:val="73216899"/>
    <w:rsid w:val="73D70FC8"/>
    <w:rsid w:val="73F22B51"/>
    <w:rsid w:val="741234FE"/>
    <w:rsid w:val="741B5358"/>
    <w:rsid w:val="742C30C1"/>
    <w:rsid w:val="742D1D9A"/>
    <w:rsid w:val="753A180E"/>
    <w:rsid w:val="753C37D8"/>
    <w:rsid w:val="755C1784"/>
    <w:rsid w:val="757A60AE"/>
    <w:rsid w:val="759E676D"/>
    <w:rsid w:val="75A924F0"/>
    <w:rsid w:val="75BB660B"/>
    <w:rsid w:val="76096AD2"/>
    <w:rsid w:val="76A809F9"/>
    <w:rsid w:val="76DE5A38"/>
    <w:rsid w:val="773B361B"/>
    <w:rsid w:val="775605EC"/>
    <w:rsid w:val="77CB5CC4"/>
    <w:rsid w:val="77FF4227"/>
    <w:rsid w:val="78146346"/>
    <w:rsid w:val="7826607A"/>
    <w:rsid w:val="785215EA"/>
    <w:rsid w:val="78670B6C"/>
    <w:rsid w:val="78A7540C"/>
    <w:rsid w:val="78AD18CD"/>
    <w:rsid w:val="78C064CE"/>
    <w:rsid w:val="78DB3D0F"/>
    <w:rsid w:val="79004D4D"/>
    <w:rsid w:val="79423E9F"/>
    <w:rsid w:val="7981328D"/>
    <w:rsid w:val="799040F2"/>
    <w:rsid w:val="79CB7BAB"/>
    <w:rsid w:val="79DC10E6"/>
    <w:rsid w:val="7A230AC3"/>
    <w:rsid w:val="7A450F4C"/>
    <w:rsid w:val="7A9543A7"/>
    <w:rsid w:val="7A9866A1"/>
    <w:rsid w:val="7AB636E5"/>
    <w:rsid w:val="7AE76994"/>
    <w:rsid w:val="7AF16D07"/>
    <w:rsid w:val="7B7B66DC"/>
    <w:rsid w:val="7B8732D3"/>
    <w:rsid w:val="7BB0282A"/>
    <w:rsid w:val="7BC55260"/>
    <w:rsid w:val="7BE43305"/>
    <w:rsid w:val="7CF87F76"/>
    <w:rsid w:val="7D621902"/>
    <w:rsid w:val="7D891584"/>
    <w:rsid w:val="7D9A5540"/>
    <w:rsid w:val="7DB52379"/>
    <w:rsid w:val="7DEA1D90"/>
    <w:rsid w:val="7E2B43EA"/>
    <w:rsid w:val="7E3A3B60"/>
    <w:rsid w:val="7E6D055E"/>
    <w:rsid w:val="7E704F7F"/>
    <w:rsid w:val="7E933D3D"/>
    <w:rsid w:val="7EA36676"/>
    <w:rsid w:val="7EBA6D6F"/>
    <w:rsid w:val="7EC448BF"/>
    <w:rsid w:val="7F02655F"/>
    <w:rsid w:val="7F3C6183"/>
    <w:rsid w:val="7FD8234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8"/>
    <w:autoRedefine/>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216"/>
    <w:autoRedefine/>
    <w:qFormat/>
    <w:uiPriority w:val="9"/>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3">
    <w:name w:val="heading 2"/>
    <w:basedOn w:val="4"/>
    <w:next w:val="1"/>
    <w:autoRedefine/>
    <w:qFormat/>
    <w:uiPriority w:val="9"/>
    <w:pPr>
      <w:keepNext/>
      <w:keepLines/>
      <w:numPr>
        <w:ilvl w:val="1"/>
        <w:numId w:val="1"/>
      </w:numPr>
      <w:adjustRightInd w:val="0"/>
      <w:spacing w:before="260" w:after="260" w:line="416" w:lineRule="atLeast"/>
      <w:jc w:val="left"/>
      <w:textAlignment w:val="baseline"/>
      <w:outlineLvl w:val="1"/>
    </w:pPr>
    <w:rPr>
      <w:rFonts w:ascii="Arial" w:hAnsi="Arial" w:eastAsia="黑体"/>
      <w:kern w:val="0"/>
      <w:sz w:val="32"/>
      <w:szCs w:val="32"/>
    </w:rPr>
  </w:style>
  <w:style w:type="paragraph" w:styleId="4">
    <w:name w:val="heading 3"/>
    <w:basedOn w:val="1"/>
    <w:next w:val="1"/>
    <w:autoRedefine/>
    <w:qFormat/>
    <w:uiPriority w:val="9"/>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5">
    <w:name w:val="heading 4"/>
    <w:basedOn w:val="1"/>
    <w:next w:val="1"/>
    <w:autoRedefine/>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6">
    <w:name w:val="heading 5"/>
    <w:basedOn w:val="1"/>
    <w:next w:val="1"/>
    <w:autoRedefine/>
    <w:qFormat/>
    <w:uiPriority w:val="0"/>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autoRedefine/>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autoRedefine/>
    <w:qFormat/>
    <w:uiPriority w:val="0"/>
    <w:pPr>
      <w:keepNext/>
      <w:keepLines/>
      <w:numPr>
        <w:ilvl w:val="6"/>
        <w:numId w:val="1"/>
      </w:numPr>
      <w:adjustRightInd w:val="0"/>
      <w:spacing w:before="240" w:after="64" w:line="320" w:lineRule="atLeast"/>
      <w:jc w:val="left"/>
      <w:textAlignment w:val="baseline"/>
      <w:outlineLvl w:val="6"/>
    </w:pPr>
    <w:rPr>
      <w:b/>
      <w:bCs/>
      <w:kern w:val="0"/>
      <w:sz w:val="24"/>
    </w:rPr>
  </w:style>
  <w:style w:type="paragraph" w:styleId="9">
    <w:name w:val="heading 8"/>
    <w:basedOn w:val="1"/>
    <w:next w:val="1"/>
    <w:autoRedefine/>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autoRedefine/>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Cs w:val="21"/>
    </w:rPr>
  </w:style>
  <w:style w:type="character" w:default="1" w:styleId="47">
    <w:name w:val="Default Paragraph Font"/>
    <w:autoRedefine/>
    <w:unhideWhenUsed/>
    <w:qFormat/>
    <w:uiPriority w:val="1"/>
  </w:style>
  <w:style w:type="table" w:default="1" w:styleId="38">
    <w:name w:val="Normal Table"/>
    <w:autoRedefin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style>
  <w:style w:type="paragraph" w:styleId="12">
    <w:name w:val="Normal Indent"/>
    <w:basedOn w:val="1"/>
    <w:next w:val="1"/>
    <w:autoRedefine/>
    <w:unhideWhenUsed/>
    <w:qFormat/>
    <w:uiPriority w:val="0"/>
    <w:pPr>
      <w:ind w:firstLine="420" w:firstLineChars="200"/>
    </w:pPr>
    <w:rPr>
      <w:rFonts w:ascii="Calibri" w:hAnsi="Calibri"/>
      <w:szCs w:val="22"/>
    </w:rPr>
  </w:style>
  <w:style w:type="paragraph" w:styleId="13">
    <w:name w:val="caption"/>
    <w:basedOn w:val="1"/>
    <w:next w:val="1"/>
    <w:autoRedefine/>
    <w:qFormat/>
    <w:uiPriority w:val="0"/>
    <w:pPr>
      <w:spacing w:before="152" w:after="160"/>
    </w:pPr>
    <w:rPr>
      <w:rFonts w:ascii="Arial" w:hAnsi="Arial" w:eastAsia="黑体" w:cs="Arial"/>
      <w:sz w:val="20"/>
      <w:szCs w:val="20"/>
    </w:rPr>
  </w:style>
  <w:style w:type="paragraph" w:styleId="14">
    <w:name w:val="Document Map"/>
    <w:basedOn w:val="1"/>
    <w:autoRedefine/>
    <w:semiHidden/>
    <w:qFormat/>
    <w:uiPriority w:val="0"/>
    <w:pPr>
      <w:shd w:val="clear" w:color="auto" w:fill="000080"/>
    </w:pPr>
  </w:style>
  <w:style w:type="paragraph" w:styleId="15">
    <w:name w:val="annotation text"/>
    <w:basedOn w:val="1"/>
    <w:link w:val="56"/>
    <w:autoRedefine/>
    <w:semiHidden/>
    <w:qFormat/>
    <w:uiPriority w:val="0"/>
    <w:pPr>
      <w:jc w:val="left"/>
    </w:pPr>
  </w:style>
  <w:style w:type="paragraph" w:styleId="16">
    <w:name w:val="Body Text 3"/>
    <w:basedOn w:val="1"/>
    <w:autoRedefine/>
    <w:qFormat/>
    <w:uiPriority w:val="0"/>
    <w:pPr>
      <w:spacing w:after="120"/>
    </w:pPr>
    <w:rPr>
      <w:sz w:val="16"/>
      <w:szCs w:val="16"/>
    </w:rPr>
  </w:style>
  <w:style w:type="paragraph" w:styleId="17">
    <w:name w:val="Body Text"/>
    <w:basedOn w:val="1"/>
    <w:next w:val="1"/>
    <w:link w:val="65"/>
    <w:autoRedefine/>
    <w:qFormat/>
    <w:uiPriority w:val="0"/>
    <w:pPr>
      <w:spacing w:after="120"/>
    </w:pPr>
  </w:style>
  <w:style w:type="paragraph" w:styleId="18">
    <w:name w:val="Body Text Indent"/>
    <w:basedOn w:val="1"/>
    <w:link w:val="66"/>
    <w:autoRedefine/>
    <w:qFormat/>
    <w:uiPriority w:val="0"/>
    <w:pPr>
      <w:spacing w:line="500" w:lineRule="exact"/>
      <w:ind w:left="1588" w:leftChars="832" w:firstLine="433" w:firstLineChars="196"/>
    </w:pPr>
    <w:rPr>
      <w:sz w:val="24"/>
    </w:rPr>
  </w:style>
  <w:style w:type="paragraph" w:styleId="19">
    <w:name w:val="List 2"/>
    <w:basedOn w:val="1"/>
    <w:autoRedefine/>
    <w:qFormat/>
    <w:uiPriority w:val="0"/>
    <w:pPr>
      <w:ind w:left="100" w:leftChars="200" w:hanging="200" w:hangingChars="200"/>
    </w:pPr>
  </w:style>
  <w:style w:type="paragraph" w:styleId="20">
    <w:name w:val="toc 3"/>
    <w:basedOn w:val="1"/>
    <w:next w:val="1"/>
    <w:autoRedefine/>
    <w:qFormat/>
    <w:uiPriority w:val="39"/>
    <w:pPr>
      <w:ind w:left="840" w:leftChars="400"/>
    </w:pPr>
  </w:style>
  <w:style w:type="paragraph" w:styleId="21">
    <w:name w:val="Plain Text"/>
    <w:basedOn w:val="1"/>
    <w:link w:val="59"/>
    <w:autoRedefine/>
    <w:qFormat/>
    <w:uiPriority w:val="0"/>
    <w:rPr>
      <w:rFonts w:ascii="宋体" w:hAnsi="Courier New"/>
      <w:szCs w:val="21"/>
    </w:rPr>
  </w:style>
  <w:style w:type="paragraph" w:styleId="22">
    <w:name w:val="Date"/>
    <w:basedOn w:val="1"/>
    <w:next w:val="1"/>
    <w:autoRedefine/>
    <w:qFormat/>
    <w:uiPriority w:val="0"/>
    <w:pPr>
      <w:ind w:left="100" w:leftChars="2500"/>
    </w:pPr>
  </w:style>
  <w:style w:type="paragraph" w:styleId="23">
    <w:name w:val="Body Text Indent 2"/>
    <w:basedOn w:val="1"/>
    <w:autoRedefine/>
    <w:qFormat/>
    <w:uiPriority w:val="0"/>
    <w:pPr>
      <w:spacing w:after="120" w:line="480" w:lineRule="auto"/>
      <w:ind w:left="420" w:leftChars="200"/>
    </w:pPr>
  </w:style>
  <w:style w:type="paragraph" w:styleId="24">
    <w:name w:val="Balloon Text"/>
    <w:basedOn w:val="1"/>
    <w:link w:val="60"/>
    <w:autoRedefine/>
    <w:qFormat/>
    <w:uiPriority w:val="99"/>
    <w:rPr>
      <w:sz w:val="18"/>
      <w:szCs w:val="18"/>
    </w:rPr>
  </w:style>
  <w:style w:type="paragraph" w:styleId="25">
    <w:name w:val="footer"/>
    <w:basedOn w:val="1"/>
    <w:link w:val="67"/>
    <w:autoRedefine/>
    <w:qFormat/>
    <w:uiPriority w:val="0"/>
    <w:pPr>
      <w:tabs>
        <w:tab w:val="center" w:pos="4153"/>
        <w:tab w:val="right" w:pos="8306"/>
      </w:tabs>
      <w:snapToGrid w:val="0"/>
      <w:jc w:val="left"/>
    </w:pPr>
    <w:rPr>
      <w:sz w:val="18"/>
      <w:szCs w:val="18"/>
    </w:rPr>
  </w:style>
  <w:style w:type="paragraph" w:styleId="26">
    <w:name w:val="envelope return"/>
    <w:basedOn w:val="1"/>
    <w:autoRedefine/>
    <w:unhideWhenUsed/>
    <w:qFormat/>
    <w:uiPriority w:val="99"/>
    <w:pPr>
      <w:snapToGrid w:val="0"/>
    </w:pPr>
    <w:rPr>
      <w:rFonts w:ascii="Arial" w:hAnsi="Arial"/>
    </w:rPr>
  </w:style>
  <w:style w:type="paragraph" w:styleId="27">
    <w:name w:val="header"/>
    <w:basedOn w:val="1"/>
    <w:link w:val="68"/>
    <w:autoRedefine/>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qFormat/>
    <w:uiPriority w:val="39"/>
    <w:pPr>
      <w:tabs>
        <w:tab w:val="right" w:leader="dot" w:pos="8302"/>
      </w:tabs>
    </w:pPr>
  </w:style>
  <w:style w:type="paragraph" w:styleId="29">
    <w:name w:val="Body Text Indent 3"/>
    <w:basedOn w:val="1"/>
    <w:autoRedefine/>
    <w:qFormat/>
    <w:uiPriority w:val="0"/>
    <w:pPr>
      <w:tabs>
        <w:tab w:val="left" w:pos="1134"/>
        <w:tab w:val="left" w:pos="5481"/>
        <w:tab w:val="left" w:pos="5859"/>
      </w:tabs>
      <w:spacing w:line="500" w:lineRule="exact"/>
      <w:ind w:firstLine="8275" w:firstLineChars="1200"/>
    </w:pPr>
    <w:rPr>
      <w:rFonts w:eastAsia="黑体"/>
      <w:b/>
      <w:bCs/>
      <w:sz w:val="72"/>
    </w:rPr>
  </w:style>
  <w:style w:type="paragraph" w:styleId="30">
    <w:name w:val="toc 2"/>
    <w:basedOn w:val="1"/>
    <w:next w:val="1"/>
    <w:autoRedefine/>
    <w:qFormat/>
    <w:uiPriority w:val="39"/>
    <w:pPr>
      <w:ind w:left="420" w:leftChars="200"/>
    </w:pPr>
  </w:style>
  <w:style w:type="paragraph" w:styleId="31">
    <w:name w:val="HTML Preformatted"/>
    <w:basedOn w:val="1"/>
    <w:autoRedefine/>
    <w:unhideWhenUsed/>
    <w:qFormat/>
    <w:uiPriority w:val="99"/>
    <w:rPr>
      <w:rFonts w:ascii="Courier New" w:hAnsi="Courier New" w:eastAsia="宋体" w:cs="Courier New"/>
      <w:sz w:val="20"/>
      <w:szCs w:val="20"/>
    </w:rPr>
  </w:style>
  <w:style w:type="paragraph" w:styleId="32">
    <w:name w:val="Normal (Web)"/>
    <w:basedOn w:val="1"/>
    <w:next w:val="33"/>
    <w:autoRedefine/>
    <w:qFormat/>
    <w:uiPriority w:val="99"/>
    <w:rPr>
      <w:sz w:val="24"/>
    </w:rPr>
  </w:style>
  <w:style w:type="paragraph" w:customStyle="1" w:styleId="33">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34">
    <w:name w:val="Title"/>
    <w:basedOn w:val="1"/>
    <w:next w:val="1"/>
    <w:link w:val="63"/>
    <w:autoRedefine/>
    <w:qFormat/>
    <w:uiPriority w:val="0"/>
    <w:pPr>
      <w:spacing w:before="240" w:after="60"/>
      <w:jc w:val="center"/>
      <w:outlineLvl w:val="0"/>
    </w:pPr>
    <w:rPr>
      <w:rFonts w:ascii="Cambria" w:hAnsi="Cambria"/>
      <w:b/>
      <w:bCs/>
      <w:szCs w:val="32"/>
    </w:rPr>
  </w:style>
  <w:style w:type="paragraph" w:styleId="35">
    <w:name w:val="annotation subject"/>
    <w:basedOn w:val="15"/>
    <w:next w:val="15"/>
    <w:autoRedefine/>
    <w:semiHidden/>
    <w:qFormat/>
    <w:uiPriority w:val="0"/>
    <w:rPr>
      <w:b/>
      <w:bCs/>
    </w:rPr>
  </w:style>
  <w:style w:type="paragraph" w:styleId="36">
    <w:name w:val="Body Text First Indent"/>
    <w:basedOn w:val="17"/>
    <w:next w:val="1"/>
    <w:link w:val="64"/>
    <w:autoRedefine/>
    <w:qFormat/>
    <w:uiPriority w:val="0"/>
    <w:pPr>
      <w:ind w:firstLine="420" w:firstLineChars="100"/>
    </w:pPr>
  </w:style>
  <w:style w:type="paragraph" w:styleId="37">
    <w:name w:val="Body Text First Indent 2"/>
    <w:basedOn w:val="18"/>
    <w:next w:val="18"/>
    <w:autoRedefine/>
    <w:qFormat/>
    <w:uiPriority w:val="0"/>
    <w:pPr>
      <w:spacing w:line="360" w:lineRule="auto"/>
      <w:ind w:firstLine="420" w:firstLineChars="200"/>
    </w:pPr>
    <w:rPr>
      <w:rFonts w:ascii="宋体" w:hAnsi="宋体" w:eastAsia="宋体"/>
      <w:sz w:val="21"/>
      <w:szCs w:val="20"/>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0">
    <w:name w:val="Medium Grid 3"/>
    <w:basedOn w:val="38"/>
    <w:autoRedefine/>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C0C0C0"/>
    </w:tcPr>
    <w:tblStylePr w:type="firstRow">
      <w:rPr>
        <w:b/>
        <w:bCs/>
        <w:i w:val="0"/>
        <w:iCs w:val="0"/>
        <w:color w:val="CCE8CF"/>
      </w:rPr>
      <w:tblPr/>
      <w:tcPr>
        <w:tcBorders>
          <w:top w:val="single" w:color="CCE8CF" w:sz="8" w:space="0"/>
          <w:left w:val="single" w:color="CCE8CF" w:sz="24" w:space="0"/>
          <w:bottom w:val="single" w:color="CCE8CF" w:sz="8" w:space="0"/>
          <w:right w:val="single" w:color="CCE8CF" w:sz="8" w:space="0"/>
          <w:insideH w:val="nil"/>
          <w:insideV w:val="single" w:sz="8" w:space="0"/>
          <w:tl2br w:val="nil"/>
          <w:tr2bl w:val="nil"/>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000000"/>
      </w:tcPr>
    </w:tblStylePr>
    <w:tblStylePr w:type="firstCol">
      <w:rPr>
        <w:b/>
        <w:bCs/>
        <w:i w:val="0"/>
        <w:iCs w:val="0"/>
        <w:color w:val="CCE8CF"/>
      </w:rPr>
      <w:tblPr/>
      <w:tcPr>
        <w:tcBorders>
          <w:top w:val="nil"/>
          <w:left w:val="nil"/>
          <w:bottom w:val="single" w:color="CCE8CF" w:sz="8" w:space="0"/>
          <w:right w:val="single" w:color="CCE8CF" w:sz="24" w:space="0"/>
          <w:insideH w:val="nil"/>
          <w:insideV w:val="nil"/>
          <w:tl2br w:val="nil"/>
          <w:tr2bl w:val="nil"/>
        </w:tcBorders>
        <w:shd w:val="clear" w:color="auto" w:fill="000000"/>
      </w:tcPr>
    </w:tblStylePr>
    <w:tblStylePr w:type="lastCol">
      <w:rPr>
        <w:b/>
        <w:bCs/>
        <w:i w:val="0"/>
        <w:iCs w:val="0"/>
        <w:color w:val="CCE8CF"/>
      </w:rPr>
      <w:tblPr/>
      <w:tcPr>
        <w:tcBorders>
          <w:top w:val="nil"/>
          <w:left w:val="nil"/>
          <w:bottom w:val="single" w:color="CCE8CF" w:sz="24" w:space="0"/>
          <w:right w:val="nil"/>
          <w:insideH w:val="nil"/>
          <w:insideV w:val="nil"/>
          <w:tl2br w:val="nil"/>
          <w:tr2bl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808080"/>
      </w:tcPr>
    </w:tblStylePr>
  </w:style>
  <w:style w:type="table" w:styleId="41">
    <w:name w:val="Medium Grid 3 Accent 1"/>
    <w:basedOn w:val="38"/>
    <w:autoRedefine/>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3DFEE"/>
    </w:tcPr>
    <w:tblStylePr w:type="firstRow">
      <w:rPr>
        <w:b/>
        <w:bCs/>
        <w:i w:val="0"/>
        <w:iCs w:val="0"/>
        <w:color w:val="CCE8CF"/>
      </w:rPr>
      <w:tblPr/>
      <w:tcPr>
        <w:tcBorders>
          <w:top w:val="single" w:color="CCE8CF" w:sz="8" w:space="0"/>
          <w:left w:val="single" w:color="CCE8CF" w:sz="24" w:space="0"/>
          <w:bottom w:val="single" w:color="CCE8CF" w:sz="8" w:space="0"/>
          <w:right w:val="single" w:color="CCE8CF" w:sz="8" w:space="0"/>
          <w:insideH w:val="nil"/>
          <w:insideV w:val="single" w:sz="8" w:space="0"/>
          <w:tl2br w:val="nil"/>
          <w:tr2bl w:val="nil"/>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F81BD"/>
      </w:tcPr>
    </w:tblStylePr>
    <w:tblStylePr w:type="firstCol">
      <w:rPr>
        <w:b/>
        <w:bCs/>
        <w:i w:val="0"/>
        <w:iCs w:val="0"/>
        <w:color w:val="CCE8CF"/>
      </w:rPr>
      <w:tblPr/>
      <w:tcPr>
        <w:tcBorders>
          <w:top w:val="nil"/>
          <w:left w:val="nil"/>
          <w:bottom w:val="single" w:color="CCE8CF" w:sz="8" w:space="0"/>
          <w:right w:val="single" w:color="CCE8CF" w:sz="24" w:space="0"/>
          <w:insideH w:val="nil"/>
          <w:insideV w:val="nil"/>
          <w:tl2br w:val="nil"/>
          <w:tr2bl w:val="nil"/>
        </w:tcBorders>
        <w:shd w:val="clear" w:color="auto" w:fill="4F81BD"/>
      </w:tcPr>
    </w:tblStylePr>
    <w:tblStylePr w:type="lastCol">
      <w:rPr>
        <w:b/>
        <w:bCs/>
        <w:i w:val="0"/>
        <w:iCs w:val="0"/>
        <w:color w:val="CCE8CF"/>
      </w:rPr>
      <w:tblPr/>
      <w:tcPr>
        <w:tcBorders>
          <w:top w:val="nil"/>
          <w:left w:val="nil"/>
          <w:bottom w:val="single" w:color="CCE8CF" w:sz="24" w:space="0"/>
          <w:right w:val="nil"/>
          <w:insideH w:val="nil"/>
          <w:insideV w:val="nil"/>
          <w:tl2br w:val="nil"/>
          <w:tr2bl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7BFDE"/>
      </w:tcPr>
    </w:tblStylePr>
  </w:style>
  <w:style w:type="table" w:styleId="42">
    <w:name w:val="Medium Grid 3 Accent 2"/>
    <w:basedOn w:val="38"/>
    <w:autoRedefine/>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FD3D2"/>
    </w:tcPr>
    <w:tblStylePr w:type="firstRow">
      <w:rPr>
        <w:b/>
        <w:bCs/>
        <w:i w:val="0"/>
        <w:iCs w:val="0"/>
        <w:color w:val="CCE8CF"/>
      </w:rPr>
      <w:tblPr/>
      <w:tcPr>
        <w:tcBorders>
          <w:top w:val="single" w:color="CCE8CF" w:sz="8" w:space="0"/>
          <w:left w:val="single" w:color="CCE8CF" w:sz="24" w:space="0"/>
          <w:bottom w:val="single" w:color="CCE8CF" w:sz="8" w:space="0"/>
          <w:right w:val="single" w:color="CCE8CF" w:sz="8" w:space="0"/>
          <w:insideH w:val="nil"/>
          <w:insideV w:val="single" w:sz="8" w:space="0"/>
          <w:tl2br w:val="nil"/>
          <w:tr2bl w:val="nil"/>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C0504D"/>
      </w:tcPr>
    </w:tblStylePr>
    <w:tblStylePr w:type="firstCol">
      <w:rPr>
        <w:b/>
        <w:bCs/>
        <w:i w:val="0"/>
        <w:iCs w:val="0"/>
        <w:color w:val="CCE8CF"/>
      </w:rPr>
      <w:tblPr/>
      <w:tcPr>
        <w:tcBorders>
          <w:top w:val="nil"/>
          <w:left w:val="nil"/>
          <w:bottom w:val="single" w:color="CCE8CF" w:sz="8" w:space="0"/>
          <w:right w:val="single" w:color="CCE8CF" w:sz="24" w:space="0"/>
          <w:insideH w:val="nil"/>
          <w:insideV w:val="nil"/>
          <w:tl2br w:val="nil"/>
          <w:tr2bl w:val="nil"/>
        </w:tcBorders>
        <w:shd w:val="clear" w:color="auto" w:fill="C0504D"/>
      </w:tcPr>
    </w:tblStylePr>
    <w:tblStylePr w:type="lastCol">
      <w:rPr>
        <w:b/>
        <w:bCs/>
        <w:i w:val="0"/>
        <w:iCs w:val="0"/>
        <w:color w:val="CCE8CF"/>
      </w:rPr>
      <w:tblPr/>
      <w:tcPr>
        <w:tcBorders>
          <w:top w:val="nil"/>
          <w:left w:val="nil"/>
          <w:bottom w:val="single" w:color="CCE8CF" w:sz="24" w:space="0"/>
          <w:right w:val="nil"/>
          <w:insideH w:val="nil"/>
          <w:insideV w:val="nil"/>
          <w:tl2br w:val="nil"/>
          <w:tr2bl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DFA7A6"/>
      </w:tcPr>
    </w:tblStylePr>
  </w:style>
  <w:style w:type="table" w:styleId="43">
    <w:name w:val="Medium Grid 3 Accent 3"/>
    <w:basedOn w:val="38"/>
    <w:autoRedefine/>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6EED5"/>
    </w:tcPr>
    <w:tblStylePr w:type="firstRow">
      <w:rPr>
        <w:b/>
        <w:bCs/>
        <w:i w:val="0"/>
        <w:iCs w:val="0"/>
        <w:color w:val="CCE8CF"/>
      </w:rPr>
      <w:tblPr/>
      <w:tcPr>
        <w:tcBorders>
          <w:top w:val="single" w:color="CCE8CF" w:sz="8" w:space="0"/>
          <w:left w:val="single" w:color="CCE8CF" w:sz="24" w:space="0"/>
          <w:bottom w:val="single" w:color="CCE8CF" w:sz="8" w:space="0"/>
          <w:right w:val="single" w:color="CCE8CF" w:sz="8" w:space="0"/>
          <w:insideH w:val="nil"/>
          <w:insideV w:val="single" w:sz="8" w:space="0"/>
          <w:tl2br w:val="nil"/>
          <w:tr2bl w:val="nil"/>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9BBB59"/>
      </w:tcPr>
    </w:tblStylePr>
    <w:tblStylePr w:type="firstCol">
      <w:rPr>
        <w:b/>
        <w:bCs/>
        <w:i w:val="0"/>
        <w:iCs w:val="0"/>
        <w:color w:val="CCE8CF"/>
      </w:rPr>
      <w:tblPr/>
      <w:tcPr>
        <w:tcBorders>
          <w:top w:val="nil"/>
          <w:left w:val="nil"/>
          <w:bottom w:val="single" w:color="CCE8CF" w:sz="8" w:space="0"/>
          <w:right w:val="single" w:color="CCE8CF" w:sz="24" w:space="0"/>
          <w:insideH w:val="nil"/>
          <w:insideV w:val="nil"/>
          <w:tl2br w:val="nil"/>
          <w:tr2bl w:val="nil"/>
        </w:tcBorders>
        <w:shd w:val="clear" w:color="auto" w:fill="9BBB59"/>
      </w:tcPr>
    </w:tblStylePr>
    <w:tblStylePr w:type="lastCol">
      <w:rPr>
        <w:b/>
        <w:bCs/>
        <w:i w:val="0"/>
        <w:iCs w:val="0"/>
        <w:color w:val="CCE8CF"/>
      </w:rPr>
      <w:tblPr/>
      <w:tcPr>
        <w:tcBorders>
          <w:top w:val="nil"/>
          <w:left w:val="nil"/>
          <w:bottom w:val="single" w:color="CCE8CF" w:sz="24" w:space="0"/>
          <w:right w:val="nil"/>
          <w:insideH w:val="nil"/>
          <w:insideV w:val="nil"/>
          <w:tl2br w:val="nil"/>
          <w:tr2bl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CDDDAC"/>
      </w:tcPr>
    </w:tblStylePr>
  </w:style>
  <w:style w:type="table" w:styleId="44">
    <w:name w:val="Medium Grid 3 Accent 4"/>
    <w:basedOn w:val="38"/>
    <w:autoRedefine/>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FD8E8"/>
    </w:tcPr>
    <w:tblStylePr w:type="firstRow">
      <w:rPr>
        <w:b/>
        <w:bCs/>
        <w:i w:val="0"/>
        <w:iCs w:val="0"/>
        <w:color w:val="CCE8CF"/>
      </w:rPr>
      <w:tblPr/>
      <w:tcPr>
        <w:tcBorders>
          <w:top w:val="single" w:color="CCE8CF" w:sz="8" w:space="0"/>
          <w:left w:val="single" w:color="CCE8CF" w:sz="24" w:space="0"/>
          <w:bottom w:val="single" w:color="CCE8CF" w:sz="8" w:space="0"/>
          <w:right w:val="single" w:color="CCE8CF" w:sz="8" w:space="0"/>
          <w:insideH w:val="nil"/>
          <w:insideV w:val="single" w:sz="8" w:space="0"/>
          <w:tl2br w:val="nil"/>
          <w:tr2bl w:val="nil"/>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8064A2"/>
      </w:tcPr>
    </w:tblStylePr>
    <w:tblStylePr w:type="firstCol">
      <w:rPr>
        <w:b/>
        <w:bCs/>
        <w:i w:val="0"/>
        <w:iCs w:val="0"/>
        <w:color w:val="CCE8CF"/>
      </w:rPr>
      <w:tblPr/>
      <w:tcPr>
        <w:tcBorders>
          <w:top w:val="nil"/>
          <w:left w:val="nil"/>
          <w:bottom w:val="single" w:color="CCE8CF" w:sz="8" w:space="0"/>
          <w:right w:val="single" w:color="CCE8CF" w:sz="24" w:space="0"/>
          <w:insideH w:val="nil"/>
          <w:insideV w:val="nil"/>
          <w:tl2br w:val="nil"/>
          <w:tr2bl w:val="nil"/>
        </w:tcBorders>
        <w:shd w:val="clear" w:color="auto" w:fill="8064A2"/>
      </w:tcPr>
    </w:tblStylePr>
    <w:tblStylePr w:type="lastCol">
      <w:rPr>
        <w:b/>
        <w:bCs/>
        <w:i w:val="0"/>
        <w:iCs w:val="0"/>
        <w:color w:val="CCE8CF"/>
      </w:rPr>
      <w:tblPr/>
      <w:tcPr>
        <w:tcBorders>
          <w:top w:val="nil"/>
          <w:left w:val="nil"/>
          <w:bottom w:val="single" w:color="CCE8CF" w:sz="24" w:space="0"/>
          <w:right w:val="nil"/>
          <w:insideH w:val="nil"/>
          <w:insideV w:val="nil"/>
          <w:tl2br w:val="nil"/>
          <w:tr2bl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BFB1D0"/>
      </w:tcPr>
    </w:tblStylePr>
  </w:style>
  <w:style w:type="table" w:styleId="45">
    <w:name w:val="Medium Grid 3 Accent 5"/>
    <w:basedOn w:val="38"/>
    <w:autoRedefine/>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2EAF1"/>
    </w:tcPr>
    <w:tblStylePr w:type="firstRow">
      <w:rPr>
        <w:b/>
        <w:bCs/>
        <w:i w:val="0"/>
        <w:iCs w:val="0"/>
        <w:color w:val="CCE8CF"/>
      </w:rPr>
      <w:tblPr/>
      <w:tcPr>
        <w:tcBorders>
          <w:top w:val="single" w:color="CCE8CF" w:sz="8" w:space="0"/>
          <w:left w:val="single" w:color="CCE8CF" w:sz="24" w:space="0"/>
          <w:bottom w:val="single" w:color="CCE8CF" w:sz="8" w:space="0"/>
          <w:right w:val="single" w:color="CCE8CF" w:sz="8" w:space="0"/>
          <w:insideH w:val="nil"/>
          <w:insideV w:val="single" w:sz="8" w:space="0"/>
          <w:tl2br w:val="nil"/>
          <w:tr2bl w:val="nil"/>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BACC6"/>
      </w:tcPr>
    </w:tblStylePr>
    <w:tblStylePr w:type="firstCol">
      <w:rPr>
        <w:b/>
        <w:bCs/>
        <w:i w:val="0"/>
        <w:iCs w:val="0"/>
        <w:color w:val="CCE8CF"/>
      </w:rPr>
      <w:tblPr/>
      <w:tcPr>
        <w:tcBorders>
          <w:top w:val="nil"/>
          <w:left w:val="nil"/>
          <w:bottom w:val="single" w:color="CCE8CF" w:sz="8" w:space="0"/>
          <w:right w:val="single" w:color="CCE8CF" w:sz="24" w:space="0"/>
          <w:insideH w:val="nil"/>
          <w:insideV w:val="nil"/>
          <w:tl2br w:val="nil"/>
          <w:tr2bl w:val="nil"/>
        </w:tcBorders>
        <w:shd w:val="clear" w:color="auto" w:fill="4BACC6"/>
      </w:tcPr>
    </w:tblStylePr>
    <w:tblStylePr w:type="lastCol">
      <w:rPr>
        <w:b/>
        <w:bCs/>
        <w:i w:val="0"/>
        <w:iCs w:val="0"/>
        <w:color w:val="CCE8CF"/>
      </w:rPr>
      <w:tblPr/>
      <w:tcPr>
        <w:tcBorders>
          <w:top w:val="nil"/>
          <w:left w:val="nil"/>
          <w:bottom w:val="single" w:color="CCE8CF" w:sz="24" w:space="0"/>
          <w:right w:val="nil"/>
          <w:insideH w:val="nil"/>
          <w:insideV w:val="nil"/>
          <w:tl2br w:val="nil"/>
          <w:tr2bl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5D5E2"/>
      </w:tcPr>
    </w:tblStylePr>
  </w:style>
  <w:style w:type="table" w:styleId="46">
    <w:name w:val="Medium Grid 3 Accent 6"/>
    <w:basedOn w:val="38"/>
    <w:autoRedefine/>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FDE4D0"/>
    </w:tcPr>
    <w:tblStylePr w:type="firstRow">
      <w:rPr>
        <w:b/>
        <w:bCs/>
        <w:i w:val="0"/>
        <w:iCs w:val="0"/>
        <w:color w:val="CCE8CF"/>
      </w:rPr>
      <w:tblPr/>
      <w:tcPr>
        <w:tcBorders>
          <w:top w:val="single" w:color="CCE8CF" w:sz="8" w:space="0"/>
          <w:left w:val="single" w:color="CCE8CF" w:sz="24" w:space="0"/>
          <w:bottom w:val="single" w:color="CCE8CF" w:sz="8" w:space="0"/>
          <w:right w:val="single" w:color="CCE8CF" w:sz="8" w:space="0"/>
          <w:insideH w:val="nil"/>
          <w:insideV w:val="single" w:sz="8" w:space="0"/>
          <w:tl2br w:val="nil"/>
          <w:tr2bl w:val="nil"/>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F79646"/>
      </w:tcPr>
    </w:tblStylePr>
    <w:tblStylePr w:type="firstCol">
      <w:rPr>
        <w:b/>
        <w:bCs/>
        <w:i w:val="0"/>
        <w:iCs w:val="0"/>
        <w:color w:val="CCE8CF"/>
      </w:rPr>
      <w:tblPr/>
      <w:tcPr>
        <w:tcBorders>
          <w:top w:val="nil"/>
          <w:left w:val="nil"/>
          <w:bottom w:val="single" w:color="CCE8CF" w:sz="8" w:space="0"/>
          <w:right w:val="single" w:color="CCE8CF" w:sz="24" w:space="0"/>
          <w:insideH w:val="nil"/>
          <w:insideV w:val="nil"/>
          <w:tl2br w:val="nil"/>
          <w:tr2bl w:val="nil"/>
        </w:tcBorders>
        <w:shd w:val="clear" w:color="auto" w:fill="F79646"/>
      </w:tcPr>
    </w:tblStylePr>
    <w:tblStylePr w:type="lastCol">
      <w:rPr>
        <w:b/>
        <w:bCs/>
        <w:i w:val="0"/>
        <w:iCs w:val="0"/>
        <w:color w:val="CCE8CF"/>
      </w:rPr>
      <w:tblPr/>
      <w:tcPr>
        <w:tcBorders>
          <w:top w:val="nil"/>
          <w:left w:val="nil"/>
          <w:bottom w:val="single" w:color="CCE8CF" w:sz="24" w:space="0"/>
          <w:right w:val="nil"/>
          <w:insideH w:val="nil"/>
          <w:insideV w:val="nil"/>
          <w:tl2br w:val="nil"/>
          <w:tr2bl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FBCAA2"/>
      </w:tcPr>
    </w:tblStylePr>
  </w:style>
  <w:style w:type="character" w:styleId="48">
    <w:name w:val="Strong"/>
    <w:basedOn w:val="47"/>
    <w:link w:val="1"/>
    <w:autoRedefine/>
    <w:qFormat/>
    <w:uiPriority w:val="0"/>
    <w:rPr>
      <w:rFonts w:ascii="等线" w:hAnsi="等线" w:eastAsia="等线" w:cs="Times New Roman"/>
      <w:kern w:val="2"/>
      <w:sz w:val="21"/>
      <w:szCs w:val="22"/>
      <w:lang w:val="en-US" w:eastAsia="zh-CN" w:bidi="ar-SA"/>
    </w:rPr>
  </w:style>
  <w:style w:type="character" w:styleId="49">
    <w:name w:val="page number"/>
    <w:autoRedefine/>
    <w:qFormat/>
    <w:uiPriority w:val="0"/>
  </w:style>
  <w:style w:type="character" w:styleId="50">
    <w:name w:val="Hyperlink"/>
    <w:autoRedefine/>
    <w:qFormat/>
    <w:uiPriority w:val="99"/>
    <w:rPr>
      <w:color w:val="0000FF"/>
      <w:u w:val="single"/>
    </w:rPr>
  </w:style>
  <w:style w:type="character" w:styleId="51">
    <w:name w:val="annotation reference"/>
    <w:autoRedefine/>
    <w:semiHidden/>
    <w:qFormat/>
    <w:uiPriority w:val="0"/>
    <w:rPr>
      <w:sz w:val="21"/>
      <w:szCs w:val="21"/>
    </w:rPr>
  </w:style>
  <w:style w:type="paragraph" w:customStyle="1" w:styleId="52">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3">
    <w:name w:val="NormalCharacter"/>
    <w:link w:val="54"/>
    <w:autoRedefine/>
    <w:qFormat/>
    <w:uiPriority w:val="0"/>
  </w:style>
  <w:style w:type="paragraph" w:customStyle="1" w:styleId="54">
    <w:name w:val="UserStyle_5"/>
    <w:basedOn w:val="1"/>
    <w:link w:val="53"/>
    <w:autoRedefine/>
    <w:qFormat/>
    <w:uiPriority w:val="0"/>
    <w:pPr>
      <w:widowControl/>
      <w:spacing w:after="160" w:line="240" w:lineRule="exact"/>
      <w:jc w:val="left"/>
      <w:textAlignment w:val="baseline"/>
    </w:pPr>
  </w:style>
  <w:style w:type="paragraph" w:customStyle="1" w:styleId="55">
    <w:name w:val="Heading3"/>
    <w:basedOn w:val="1"/>
    <w:next w:val="1"/>
    <w:autoRedefine/>
    <w:qFormat/>
    <w:uiPriority w:val="0"/>
    <w:pPr>
      <w:widowControl/>
      <w:spacing w:after="50" w:line="360" w:lineRule="auto"/>
      <w:ind w:left="-4"/>
      <w:jc w:val="left"/>
      <w:textAlignment w:val="baseline"/>
    </w:pPr>
    <w:rPr>
      <w:rFonts w:ascii="宋体" w:hAnsi="宋体" w:cs="Times New Roman"/>
      <w:b/>
      <w:color w:val="000000"/>
      <w:kern w:val="0"/>
      <w:sz w:val="30"/>
      <w:lang w:val="en-GB"/>
    </w:rPr>
  </w:style>
  <w:style w:type="character" w:customStyle="1" w:styleId="56">
    <w:name w:val="批注文字 字符"/>
    <w:link w:val="15"/>
    <w:autoRedefine/>
    <w:qFormat/>
    <w:uiPriority w:val="0"/>
    <w:rPr>
      <w:rFonts w:eastAsia="宋体"/>
      <w:kern w:val="2"/>
      <w:sz w:val="21"/>
      <w:szCs w:val="24"/>
      <w:lang w:val="en-US" w:eastAsia="zh-CN" w:bidi="ar-SA"/>
    </w:rPr>
  </w:style>
  <w:style w:type="character" w:customStyle="1" w:styleId="57">
    <w:name w:val="正文文本 Char"/>
    <w:basedOn w:val="47"/>
    <w:link w:val="17"/>
    <w:autoRedefine/>
    <w:qFormat/>
    <w:uiPriority w:val="0"/>
    <w:rPr>
      <w:rFonts w:hint="eastAsia" w:ascii="宋体" w:hAnsi="宋体" w:eastAsia="宋体" w:cs="Times New Roman"/>
      <w:sz w:val="22"/>
      <w:szCs w:val="22"/>
    </w:rPr>
  </w:style>
  <w:style w:type="character" w:customStyle="1" w:styleId="58">
    <w:name w:val="正文文本缩进 字符"/>
    <w:link w:val="18"/>
    <w:autoRedefine/>
    <w:qFormat/>
    <w:uiPriority w:val="0"/>
    <w:rPr>
      <w:rFonts w:eastAsia="宋体"/>
      <w:kern w:val="2"/>
      <w:sz w:val="24"/>
      <w:szCs w:val="24"/>
      <w:lang w:val="en-US" w:eastAsia="zh-CN" w:bidi="ar-SA"/>
    </w:rPr>
  </w:style>
  <w:style w:type="character" w:customStyle="1" w:styleId="59">
    <w:name w:val="纯文本 字符"/>
    <w:link w:val="21"/>
    <w:autoRedefine/>
    <w:qFormat/>
    <w:uiPriority w:val="0"/>
    <w:rPr>
      <w:rFonts w:ascii="宋体" w:hAnsi="Courier New" w:eastAsia="宋体"/>
      <w:kern w:val="2"/>
      <w:sz w:val="21"/>
      <w:szCs w:val="21"/>
      <w:lang w:val="en-US" w:eastAsia="zh-CN" w:bidi="ar-SA"/>
    </w:rPr>
  </w:style>
  <w:style w:type="character" w:customStyle="1" w:styleId="60">
    <w:name w:val="批注框文本 字符"/>
    <w:link w:val="24"/>
    <w:autoRedefine/>
    <w:qFormat/>
    <w:uiPriority w:val="99"/>
    <w:rPr>
      <w:rFonts w:ascii="等线" w:hAnsi="等线" w:eastAsia="等线"/>
      <w:kern w:val="2"/>
      <w:sz w:val="18"/>
      <w:szCs w:val="18"/>
    </w:rPr>
  </w:style>
  <w:style w:type="character" w:customStyle="1" w:styleId="61">
    <w:name w:val="页脚 字符"/>
    <w:link w:val="25"/>
    <w:autoRedefine/>
    <w:qFormat/>
    <w:uiPriority w:val="0"/>
    <w:rPr>
      <w:kern w:val="2"/>
      <w:sz w:val="18"/>
      <w:szCs w:val="18"/>
    </w:rPr>
  </w:style>
  <w:style w:type="character" w:customStyle="1" w:styleId="62">
    <w:name w:val="页眉 字符"/>
    <w:link w:val="27"/>
    <w:autoRedefine/>
    <w:qFormat/>
    <w:uiPriority w:val="99"/>
    <w:rPr>
      <w:rFonts w:ascii="等线" w:hAnsi="等线" w:eastAsia="等线"/>
      <w:kern w:val="2"/>
      <w:sz w:val="18"/>
      <w:szCs w:val="18"/>
    </w:rPr>
  </w:style>
  <w:style w:type="character" w:customStyle="1" w:styleId="63">
    <w:name w:val="标题 字符"/>
    <w:link w:val="34"/>
    <w:autoRedefine/>
    <w:qFormat/>
    <w:uiPriority w:val="0"/>
    <w:rPr>
      <w:rFonts w:ascii="Cambria" w:hAnsi="Cambria" w:eastAsia="等线"/>
      <w:b/>
      <w:bCs/>
      <w:kern w:val="2"/>
      <w:sz w:val="21"/>
      <w:szCs w:val="32"/>
    </w:rPr>
  </w:style>
  <w:style w:type="character" w:customStyle="1" w:styleId="64">
    <w:name w:val="正文首行缩进 Char"/>
    <w:basedOn w:val="57"/>
    <w:link w:val="36"/>
    <w:autoRedefine/>
    <w:qFormat/>
    <w:uiPriority w:val="0"/>
    <w:rPr>
      <w:rFonts w:hint="eastAsia" w:ascii="宋体" w:hAnsi="宋体" w:eastAsia="宋体" w:cs="Times New Roman"/>
      <w:sz w:val="22"/>
      <w:szCs w:val="22"/>
    </w:rPr>
  </w:style>
  <w:style w:type="character" w:customStyle="1" w:styleId="65">
    <w:name w:val="正文文本 字符"/>
    <w:link w:val="17"/>
    <w:autoRedefine/>
    <w:qFormat/>
    <w:uiPriority w:val="0"/>
    <w:rPr>
      <w:rFonts w:eastAsia="宋体"/>
      <w:kern w:val="2"/>
      <w:sz w:val="21"/>
      <w:szCs w:val="24"/>
      <w:lang w:val="en-US" w:eastAsia="zh-CN" w:bidi="ar-SA"/>
    </w:rPr>
  </w:style>
  <w:style w:type="character" w:customStyle="1" w:styleId="66">
    <w:name w:val="正文文本缩进 Char"/>
    <w:basedOn w:val="47"/>
    <w:link w:val="18"/>
    <w:autoRedefine/>
    <w:qFormat/>
    <w:uiPriority w:val="0"/>
    <w:rPr>
      <w:rFonts w:hint="eastAsia" w:ascii="等线" w:hAnsi="等线" w:eastAsia="等线" w:cs="Times New Roman"/>
      <w:kern w:val="2"/>
      <w:sz w:val="24"/>
      <w:szCs w:val="22"/>
    </w:rPr>
  </w:style>
  <w:style w:type="character" w:customStyle="1" w:styleId="67">
    <w:name w:val="页脚 Char"/>
    <w:basedOn w:val="47"/>
    <w:link w:val="25"/>
    <w:autoRedefine/>
    <w:qFormat/>
    <w:uiPriority w:val="0"/>
    <w:rPr>
      <w:rFonts w:hint="eastAsia" w:ascii="等线" w:hAnsi="等线" w:eastAsia="等线" w:cs="Times New Roman"/>
      <w:kern w:val="2"/>
      <w:sz w:val="18"/>
      <w:szCs w:val="18"/>
    </w:rPr>
  </w:style>
  <w:style w:type="character" w:customStyle="1" w:styleId="68">
    <w:name w:val="页眉 Char"/>
    <w:basedOn w:val="47"/>
    <w:link w:val="27"/>
    <w:autoRedefine/>
    <w:qFormat/>
    <w:uiPriority w:val="0"/>
    <w:rPr>
      <w:rFonts w:hint="eastAsia" w:ascii="等线" w:hAnsi="等线" w:eastAsia="等线" w:cs="Times New Roman"/>
      <w:kern w:val="2"/>
      <w:sz w:val="18"/>
      <w:szCs w:val="18"/>
    </w:rPr>
  </w:style>
  <w:style w:type="paragraph" w:customStyle="1" w:styleId="69">
    <w:name w:val="Body Text First Indent 21"/>
    <w:basedOn w:val="1"/>
    <w:autoRedefine/>
    <w:qFormat/>
    <w:uiPriority w:val="0"/>
    <w:pPr>
      <w:spacing w:after="120"/>
      <w:ind w:left="420" w:leftChars="200" w:firstLine="420" w:firstLineChars="200"/>
    </w:pPr>
  </w:style>
  <w:style w:type="paragraph" w:customStyle="1" w:styleId="70">
    <w:name w:val="Style1"/>
    <w:basedOn w:val="1"/>
    <w:autoRedefine/>
    <w:qFormat/>
    <w:uiPriority w:val="0"/>
    <w:pPr>
      <w:widowControl/>
      <w:tabs>
        <w:tab w:val="left" w:pos="-720"/>
      </w:tabs>
      <w:spacing w:after="120" w:line="560" w:lineRule="exact"/>
      <w:ind w:firstLine="200" w:firstLineChars="200"/>
      <w:jc w:val="left"/>
    </w:pPr>
    <w:rPr>
      <w:rFonts w:ascii="Times New Roman" w:hAnsi="Times New Roman" w:eastAsia="宋体"/>
      <w:spacing w:val="-3"/>
      <w:kern w:val="0"/>
      <w:sz w:val="24"/>
      <w:szCs w:val="20"/>
      <w:lang w:val="en-AU" w:eastAsia="en-US"/>
    </w:rPr>
  </w:style>
  <w:style w:type="character" w:customStyle="1" w:styleId="71">
    <w:name w:val="正文文本缩进 Char_0_0"/>
    <w:link w:val="72"/>
    <w:autoRedefine/>
    <w:qFormat/>
    <w:uiPriority w:val="0"/>
    <w:rPr>
      <w:rFonts w:ascii="Times New Roman" w:hAnsi="Times New Roman" w:eastAsia="宋体" w:cs="Times New Roman"/>
      <w:sz w:val="24"/>
      <w:szCs w:val="24"/>
    </w:rPr>
  </w:style>
  <w:style w:type="paragraph" w:customStyle="1" w:styleId="72">
    <w:name w:val="正文文本缩进_0_0"/>
    <w:basedOn w:val="73"/>
    <w:link w:val="71"/>
    <w:autoRedefine/>
    <w:qFormat/>
    <w:uiPriority w:val="0"/>
    <w:pPr>
      <w:spacing w:line="500" w:lineRule="exact"/>
      <w:ind w:left="1588" w:leftChars="832" w:firstLine="433" w:firstLineChars="196"/>
    </w:pPr>
    <w:rPr>
      <w:rFonts w:ascii="Calibri" w:hAnsi="Calibri" w:eastAsia="宋体"/>
      <w:sz w:val="24"/>
    </w:rPr>
  </w:style>
  <w:style w:type="paragraph" w:customStyle="1" w:styleId="73">
    <w:name w:val="正文_4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4">
    <w:name w:val="正文文本缩进 Char_3"/>
    <w:link w:val="75"/>
    <w:autoRedefine/>
    <w:qFormat/>
    <w:uiPriority w:val="0"/>
    <w:rPr>
      <w:rFonts w:ascii="Times New Roman" w:hAnsi="Times New Roman" w:eastAsia="宋体" w:cs="Times New Roman"/>
      <w:sz w:val="24"/>
      <w:szCs w:val="24"/>
    </w:rPr>
  </w:style>
  <w:style w:type="paragraph" w:customStyle="1" w:styleId="75">
    <w:name w:val="正文文本缩进_3"/>
    <w:basedOn w:val="76"/>
    <w:link w:val="74"/>
    <w:autoRedefine/>
    <w:qFormat/>
    <w:uiPriority w:val="0"/>
    <w:pPr>
      <w:spacing w:line="500" w:lineRule="exact"/>
      <w:ind w:left="1588" w:leftChars="832" w:firstLine="433" w:firstLineChars="196"/>
    </w:pPr>
    <w:rPr>
      <w:rFonts w:ascii="Calibri" w:hAnsi="Calibri" w:eastAsia="宋体"/>
      <w:sz w:val="24"/>
    </w:rPr>
  </w:style>
  <w:style w:type="paragraph" w:customStyle="1" w:styleId="76">
    <w:name w:val="正文_13"/>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7">
    <w:name w:val="正文文本缩进 Char_2"/>
    <w:link w:val="78"/>
    <w:autoRedefine/>
    <w:qFormat/>
    <w:uiPriority w:val="0"/>
    <w:rPr>
      <w:rFonts w:ascii="Times New Roman" w:hAnsi="Times New Roman" w:eastAsia="宋体" w:cs="Times New Roman"/>
      <w:sz w:val="24"/>
      <w:szCs w:val="24"/>
    </w:rPr>
  </w:style>
  <w:style w:type="paragraph" w:customStyle="1" w:styleId="78">
    <w:name w:val="正文文本缩进_2"/>
    <w:basedOn w:val="79"/>
    <w:link w:val="77"/>
    <w:autoRedefine/>
    <w:qFormat/>
    <w:uiPriority w:val="0"/>
    <w:pPr>
      <w:spacing w:line="500" w:lineRule="exact"/>
      <w:ind w:left="1588" w:leftChars="832" w:firstLine="433" w:firstLineChars="196"/>
    </w:pPr>
    <w:rPr>
      <w:rFonts w:ascii="Calibri" w:hAnsi="Calibri" w:eastAsia="宋体"/>
      <w:sz w:val="24"/>
    </w:rPr>
  </w:style>
  <w:style w:type="paragraph" w:customStyle="1" w:styleId="79">
    <w:name w:val="正文_1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0">
    <w:name w:val="正文文本 Char1_1"/>
    <w:link w:val="81"/>
    <w:autoRedefine/>
    <w:qFormat/>
    <w:uiPriority w:val="0"/>
    <w:rPr>
      <w:rFonts w:ascii="Times New Roman" w:hAnsi="Times New Roman" w:eastAsia="宋体" w:cs="Times New Roman"/>
      <w:szCs w:val="24"/>
    </w:rPr>
  </w:style>
  <w:style w:type="paragraph" w:customStyle="1" w:styleId="81">
    <w:name w:val="正文文本_1"/>
    <w:basedOn w:val="82"/>
    <w:link w:val="80"/>
    <w:autoRedefine/>
    <w:qFormat/>
    <w:uiPriority w:val="0"/>
    <w:pPr>
      <w:spacing w:after="120"/>
    </w:pPr>
    <w:rPr>
      <w:rFonts w:ascii="Calibri" w:hAnsi="Calibri" w:eastAsia="宋体"/>
    </w:rPr>
  </w:style>
  <w:style w:type="paragraph" w:customStyle="1" w:styleId="82">
    <w:name w:val="正文_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3">
    <w:name w:val="正文文本 Char1_0_0"/>
    <w:link w:val="84"/>
    <w:autoRedefine/>
    <w:qFormat/>
    <w:uiPriority w:val="0"/>
    <w:rPr>
      <w:rFonts w:ascii="Times New Roman" w:hAnsi="Times New Roman" w:eastAsia="宋体" w:cs="Times New Roman"/>
      <w:szCs w:val="24"/>
    </w:rPr>
  </w:style>
  <w:style w:type="paragraph" w:customStyle="1" w:styleId="84">
    <w:name w:val="正文文本_0_2"/>
    <w:basedOn w:val="85"/>
    <w:link w:val="83"/>
    <w:autoRedefine/>
    <w:qFormat/>
    <w:uiPriority w:val="0"/>
    <w:pPr>
      <w:spacing w:after="120"/>
    </w:pPr>
    <w:rPr>
      <w:rFonts w:ascii="Calibri" w:hAnsi="Calibri" w:eastAsia="宋体"/>
    </w:rPr>
  </w:style>
  <w:style w:type="paragraph" w:customStyle="1" w:styleId="85">
    <w:name w:val="正文_9"/>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6">
    <w:name w:val=" Char Char3"/>
    <w:autoRedefine/>
    <w:qFormat/>
    <w:uiPriority w:val="0"/>
    <w:rPr>
      <w:rFonts w:eastAsia="宋体"/>
      <w:kern w:val="2"/>
      <w:sz w:val="21"/>
      <w:szCs w:val="24"/>
      <w:lang w:val="en-US" w:eastAsia="zh-CN" w:bidi="ar-SA"/>
    </w:rPr>
  </w:style>
  <w:style w:type="character" w:customStyle="1" w:styleId="87">
    <w:name w:val="日期 Char"/>
    <w:link w:val="88"/>
    <w:autoRedefine/>
    <w:qFormat/>
    <w:uiPriority w:val="0"/>
    <w:rPr>
      <w:rFonts w:ascii="Times New Roman" w:hAnsi="Times New Roman" w:eastAsia="宋体" w:cs="Times New Roman"/>
      <w:szCs w:val="24"/>
    </w:rPr>
  </w:style>
  <w:style w:type="paragraph" w:customStyle="1" w:styleId="88">
    <w:name w:val="日期_0"/>
    <w:basedOn w:val="89"/>
    <w:next w:val="89"/>
    <w:link w:val="87"/>
    <w:autoRedefine/>
    <w:qFormat/>
    <w:uiPriority w:val="0"/>
    <w:pPr>
      <w:ind w:left="100" w:leftChars="2500"/>
    </w:pPr>
    <w:rPr>
      <w:rFonts w:ascii="Calibri" w:hAnsi="Calibri" w:eastAsia="宋体"/>
    </w:rPr>
  </w:style>
  <w:style w:type="paragraph" w:customStyle="1" w:styleId="89">
    <w:name w:val="正文_6"/>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0">
    <w:name w:val="标题 3 Char_0_0_0"/>
    <w:link w:val="91"/>
    <w:autoRedefine/>
    <w:qFormat/>
    <w:uiPriority w:val="0"/>
    <w:rPr>
      <w:rFonts w:ascii="宋体" w:hAnsi="宋体" w:eastAsia="宋体" w:cs="Times New Roman"/>
      <w:b/>
      <w:sz w:val="28"/>
      <w:szCs w:val="28"/>
    </w:rPr>
  </w:style>
  <w:style w:type="paragraph" w:customStyle="1" w:styleId="91">
    <w:name w:val="标题 3_0_0_0"/>
    <w:basedOn w:val="92"/>
    <w:next w:val="92"/>
    <w:link w:val="90"/>
    <w:autoRedefine/>
    <w:qFormat/>
    <w:uiPriority w:val="0"/>
    <w:pPr>
      <w:autoSpaceDE w:val="0"/>
      <w:autoSpaceDN w:val="0"/>
      <w:adjustRightInd w:val="0"/>
      <w:spacing w:line="500" w:lineRule="exact"/>
      <w:jc w:val="center"/>
      <w:outlineLvl w:val="2"/>
    </w:pPr>
    <w:rPr>
      <w:rFonts w:ascii="宋体" w:hAnsi="宋体" w:eastAsia="宋体"/>
      <w:b/>
      <w:szCs w:val="28"/>
    </w:rPr>
  </w:style>
  <w:style w:type="paragraph" w:customStyle="1" w:styleId="92">
    <w:name w:val="正文_0_0_1"/>
    <w:autoRedefine/>
    <w:qFormat/>
    <w:uiPriority w:val="0"/>
    <w:pPr>
      <w:widowControl w:val="0"/>
      <w:jc w:val="both"/>
    </w:pPr>
    <w:rPr>
      <w:rFonts w:ascii="Calibri" w:hAnsi="Calibri" w:eastAsia="宋体" w:cs="Times New Roman"/>
      <w:kern w:val="2"/>
      <w:sz w:val="28"/>
      <w:szCs w:val="22"/>
      <w:lang w:val="en-US" w:eastAsia="zh-CN" w:bidi="ar-SA"/>
    </w:rPr>
  </w:style>
  <w:style w:type="character" w:customStyle="1" w:styleId="93">
    <w:name w:val="正文文本缩进 Char_4"/>
    <w:link w:val="94"/>
    <w:autoRedefine/>
    <w:qFormat/>
    <w:uiPriority w:val="0"/>
    <w:rPr>
      <w:rFonts w:ascii="Times New Roman" w:hAnsi="Times New Roman" w:eastAsia="宋体" w:cs="Times New Roman"/>
      <w:sz w:val="24"/>
      <w:szCs w:val="24"/>
    </w:rPr>
  </w:style>
  <w:style w:type="paragraph" w:customStyle="1" w:styleId="94">
    <w:name w:val="正文文本缩进_4"/>
    <w:basedOn w:val="95"/>
    <w:link w:val="93"/>
    <w:autoRedefine/>
    <w:qFormat/>
    <w:uiPriority w:val="0"/>
    <w:pPr>
      <w:spacing w:line="500" w:lineRule="exact"/>
      <w:ind w:left="1588" w:leftChars="832" w:firstLine="433" w:firstLineChars="196"/>
    </w:pPr>
    <w:rPr>
      <w:rFonts w:ascii="Calibri" w:hAnsi="Calibri" w:eastAsia="宋体"/>
      <w:sz w:val="24"/>
    </w:rPr>
  </w:style>
  <w:style w:type="paragraph" w:customStyle="1" w:styleId="95">
    <w:name w:val="正文_14"/>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6">
    <w:name w:val="正文文本缩进 Char_1"/>
    <w:link w:val="97"/>
    <w:autoRedefine/>
    <w:qFormat/>
    <w:uiPriority w:val="0"/>
    <w:rPr>
      <w:rFonts w:ascii="Times New Roman" w:hAnsi="Times New Roman" w:eastAsia="宋体" w:cs="Times New Roman"/>
      <w:sz w:val="24"/>
      <w:szCs w:val="24"/>
    </w:rPr>
  </w:style>
  <w:style w:type="paragraph" w:customStyle="1" w:styleId="97">
    <w:name w:val="正文文本缩进_1_0"/>
    <w:basedOn w:val="85"/>
    <w:link w:val="96"/>
    <w:autoRedefine/>
    <w:qFormat/>
    <w:uiPriority w:val="0"/>
    <w:pPr>
      <w:spacing w:line="500" w:lineRule="exact"/>
      <w:ind w:left="1588" w:leftChars="832" w:firstLine="433" w:firstLineChars="196"/>
    </w:pPr>
    <w:rPr>
      <w:rFonts w:ascii="Calibri" w:hAnsi="Calibri" w:eastAsia="宋体"/>
      <w:sz w:val="24"/>
    </w:rPr>
  </w:style>
  <w:style w:type="character" w:customStyle="1" w:styleId="98">
    <w:name w:val="标题 3 Char_0"/>
    <w:link w:val="99"/>
    <w:autoRedefine/>
    <w:qFormat/>
    <w:uiPriority w:val="0"/>
    <w:rPr>
      <w:rFonts w:ascii="宋体" w:hAnsi="宋体"/>
      <w:b/>
      <w:kern w:val="2"/>
      <w:sz w:val="28"/>
      <w:szCs w:val="28"/>
    </w:rPr>
  </w:style>
  <w:style w:type="paragraph" w:customStyle="1" w:styleId="99">
    <w:name w:val="标题 3_0"/>
    <w:basedOn w:val="100"/>
    <w:next w:val="100"/>
    <w:link w:val="98"/>
    <w:autoRedefine/>
    <w:qFormat/>
    <w:uiPriority w:val="0"/>
    <w:pPr>
      <w:autoSpaceDE w:val="0"/>
      <w:autoSpaceDN w:val="0"/>
      <w:adjustRightInd w:val="0"/>
      <w:spacing w:line="500" w:lineRule="exact"/>
      <w:jc w:val="center"/>
      <w:outlineLvl w:val="2"/>
    </w:pPr>
    <w:rPr>
      <w:rFonts w:ascii="宋体" w:hAnsi="宋体"/>
      <w:b/>
      <w:szCs w:val="28"/>
    </w:rPr>
  </w:style>
  <w:style w:type="paragraph" w:customStyle="1" w:styleId="100">
    <w:name w:val="正文_0_0"/>
    <w:autoRedefine/>
    <w:qFormat/>
    <w:uiPriority w:val="0"/>
    <w:pPr>
      <w:widowControl w:val="0"/>
      <w:jc w:val="both"/>
    </w:pPr>
    <w:rPr>
      <w:rFonts w:ascii="Calibri" w:hAnsi="Calibri" w:eastAsia="宋体" w:cs="Times New Roman"/>
      <w:kern w:val="2"/>
      <w:sz w:val="28"/>
      <w:szCs w:val="22"/>
      <w:lang w:val="en-US" w:eastAsia="zh-CN" w:bidi="ar-SA"/>
    </w:rPr>
  </w:style>
  <w:style w:type="character" w:customStyle="1" w:styleId="101">
    <w:name w:val="正文文本 Char1_0"/>
    <w:link w:val="102"/>
    <w:autoRedefine/>
    <w:qFormat/>
    <w:locked/>
    <w:uiPriority w:val="0"/>
    <w:rPr>
      <w:szCs w:val="24"/>
    </w:rPr>
  </w:style>
  <w:style w:type="paragraph" w:customStyle="1" w:styleId="102">
    <w:name w:val="正文文本_0_1"/>
    <w:basedOn w:val="103"/>
    <w:link w:val="101"/>
    <w:autoRedefine/>
    <w:qFormat/>
    <w:uiPriority w:val="0"/>
    <w:pPr>
      <w:spacing w:after="120"/>
    </w:pPr>
    <w:rPr>
      <w:rFonts w:ascii="Calibri" w:hAnsi="Calibri"/>
      <w:kern w:val="0"/>
      <w:sz w:val="20"/>
    </w:rPr>
  </w:style>
  <w:style w:type="paragraph" w:customStyle="1" w:styleId="103">
    <w:name w:val="正文_1_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4">
    <w:name w:val="正文文本缩进 Char_0"/>
    <w:link w:val="105"/>
    <w:autoRedefine/>
    <w:qFormat/>
    <w:uiPriority w:val="0"/>
    <w:rPr>
      <w:rFonts w:ascii="Times New Roman" w:hAnsi="Times New Roman" w:eastAsia="宋体" w:cs="Times New Roman"/>
      <w:sz w:val="24"/>
      <w:szCs w:val="24"/>
    </w:rPr>
  </w:style>
  <w:style w:type="paragraph" w:customStyle="1" w:styleId="105">
    <w:name w:val="正文文本缩进_1"/>
    <w:basedOn w:val="106"/>
    <w:link w:val="104"/>
    <w:autoRedefine/>
    <w:qFormat/>
    <w:uiPriority w:val="0"/>
    <w:pPr>
      <w:spacing w:line="500" w:lineRule="exact"/>
      <w:ind w:left="1588" w:leftChars="832" w:firstLine="433" w:firstLineChars="196"/>
    </w:pPr>
    <w:rPr>
      <w:rFonts w:ascii="Calibri" w:hAnsi="Calibri" w:eastAsia="宋体"/>
      <w:sz w:val="24"/>
    </w:rPr>
  </w:style>
  <w:style w:type="paragraph" w:customStyle="1" w:styleId="106">
    <w:name w:val="正文_7"/>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7">
    <w:name w:val="标题 3 Char_0_0"/>
    <w:link w:val="108"/>
    <w:autoRedefine/>
    <w:qFormat/>
    <w:uiPriority w:val="0"/>
    <w:rPr>
      <w:rFonts w:ascii="宋体" w:hAnsi="宋体" w:eastAsia="宋体" w:cs="Times New Roman"/>
      <w:b/>
      <w:sz w:val="28"/>
      <w:szCs w:val="28"/>
    </w:rPr>
  </w:style>
  <w:style w:type="paragraph" w:customStyle="1" w:styleId="108">
    <w:name w:val="标题 3_0_0"/>
    <w:basedOn w:val="109"/>
    <w:next w:val="109"/>
    <w:link w:val="107"/>
    <w:autoRedefine/>
    <w:qFormat/>
    <w:uiPriority w:val="0"/>
    <w:pPr>
      <w:autoSpaceDE w:val="0"/>
      <w:autoSpaceDN w:val="0"/>
      <w:adjustRightInd w:val="0"/>
      <w:spacing w:line="500" w:lineRule="exact"/>
      <w:jc w:val="center"/>
      <w:outlineLvl w:val="2"/>
    </w:pPr>
    <w:rPr>
      <w:rFonts w:ascii="宋体" w:hAnsi="宋体" w:eastAsia="宋体"/>
      <w:b/>
      <w:szCs w:val="28"/>
    </w:rPr>
  </w:style>
  <w:style w:type="paragraph" w:customStyle="1" w:styleId="109">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character" w:customStyle="1" w:styleId="110">
    <w:name w:val=" Char Char6"/>
    <w:autoRedefine/>
    <w:qFormat/>
    <w:uiPriority w:val="0"/>
    <w:rPr>
      <w:rFonts w:eastAsia="宋体"/>
      <w:kern w:val="2"/>
      <w:sz w:val="21"/>
      <w:szCs w:val="24"/>
      <w:lang w:val="en-US" w:eastAsia="zh-CN" w:bidi="ar-SA"/>
    </w:rPr>
  </w:style>
  <w:style w:type="character" w:customStyle="1" w:styleId="111">
    <w:name w:val="正文文本缩进 Char_5"/>
    <w:link w:val="112"/>
    <w:autoRedefine/>
    <w:qFormat/>
    <w:uiPriority w:val="0"/>
    <w:rPr>
      <w:rFonts w:ascii="Times New Roman" w:hAnsi="Times New Roman" w:eastAsia="宋体" w:cs="Times New Roman"/>
      <w:sz w:val="24"/>
      <w:szCs w:val="24"/>
    </w:rPr>
  </w:style>
  <w:style w:type="paragraph" w:customStyle="1" w:styleId="112">
    <w:name w:val="正文文本缩进_5"/>
    <w:basedOn w:val="113"/>
    <w:link w:val="111"/>
    <w:autoRedefine/>
    <w:qFormat/>
    <w:uiPriority w:val="0"/>
    <w:pPr>
      <w:spacing w:line="500" w:lineRule="exact"/>
      <w:ind w:left="1588" w:leftChars="832" w:firstLine="433" w:firstLineChars="196"/>
    </w:pPr>
    <w:rPr>
      <w:rFonts w:ascii="Calibri" w:hAnsi="Calibri" w:eastAsia="宋体"/>
      <w:sz w:val="24"/>
    </w:rPr>
  </w:style>
  <w:style w:type="paragraph" w:customStyle="1" w:styleId="113">
    <w:name w:val="正文_1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4">
    <w:name w:val="Normal_3"/>
    <w:autoRedefine/>
    <w:qFormat/>
    <w:uiPriority w:val="0"/>
    <w:rPr>
      <w:rFonts w:ascii="黑体" w:hAnsi="黑体" w:eastAsia="黑体" w:cs="Times New Roman"/>
      <w:b/>
      <w:sz w:val="32"/>
      <w:szCs w:val="24"/>
      <w:lang w:bidi="ar-SA"/>
    </w:rPr>
  </w:style>
  <w:style w:type="paragraph" w:customStyle="1" w:styleId="115">
    <w:name w:val="正文_4"/>
    <w:autoRedefine/>
    <w:qFormat/>
    <w:uiPriority w:val="0"/>
    <w:pPr>
      <w:widowControl w:val="0"/>
      <w:jc w:val="both"/>
    </w:pPr>
    <w:rPr>
      <w:rFonts w:ascii="等线" w:hAnsi="等线" w:eastAsia="宋体" w:cs="宋体"/>
      <w:kern w:val="2"/>
      <w:sz w:val="21"/>
      <w:szCs w:val="21"/>
      <w:lang w:val="en-US" w:eastAsia="zh-CN" w:bidi="ar-SA"/>
    </w:rPr>
  </w:style>
  <w:style w:type="paragraph" w:customStyle="1" w:styleId="116">
    <w:name w:val="标题 3_1"/>
    <w:basedOn w:val="117"/>
    <w:next w:val="117"/>
    <w:autoRedefine/>
    <w:qFormat/>
    <w:uiPriority w:val="0"/>
    <w:pPr>
      <w:keepNext/>
      <w:keepLines/>
      <w:adjustRightInd w:val="0"/>
      <w:spacing w:before="260" w:after="260" w:line="416" w:lineRule="atLeast"/>
      <w:jc w:val="left"/>
      <w:textAlignment w:val="baseline"/>
      <w:outlineLvl w:val="2"/>
    </w:pPr>
    <w:rPr>
      <w:rFonts w:ascii="Calibri" w:hAnsi="Calibri" w:cs="宋体"/>
      <w:b/>
      <w:bCs/>
      <w:kern w:val="0"/>
      <w:sz w:val="32"/>
      <w:szCs w:val="32"/>
    </w:rPr>
  </w:style>
  <w:style w:type="paragraph" w:customStyle="1" w:styleId="117">
    <w:name w:val="正文_1_1_0"/>
    <w:basedOn w:val="118"/>
    <w:autoRedefine/>
    <w:qFormat/>
    <w:uiPriority w:val="0"/>
  </w:style>
  <w:style w:type="paragraph" w:customStyle="1" w:styleId="118">
    <w:name w:val="正文_1_1"/>
    <w:basedOn w:val="119"/>
    <w:autoRedefine/>
    <w:qFormat/>
    <w:uiPriority w:val="0"/>
    <w:rPr>
      <w:rFonts w:ascii="Times New Roman" w:hAnsi="Times New Roman" w:cs="Times New Roman"/>
    </w:rPr>
  </w:style>
  <w:style w:type="paragraph" w:customStyle="1" w:styleId="119">
    <w:name w:val="正文_2"/>
    <w:basedOn w:val="115"/>
    <w:autoRedefine/>
    <w:qFormat/>
    <w:uiPriority w:val="0"/>
  </w:style>
  <w:style w:type="paragraph" w:customStyle="1" w:styleId="120">
    <w:name w:val="_Style 111"/>
    <w:basedOn w:val="2"/>
    <w:next w:val="1"/>
    <w:autoRedefine/>
    <w:qFormat/>
    <w:uiPriority w:val="39"/>
    <w:pPr>
      <w:widowControl/>
      <w:adjustRightInd/>
      <w:spacing w:before="480" w:after="0" w:line="276" w:lineRule="auto"/>
      <w:ind w:firstLine="0"/>
      <w:textAlignment w:val="auto"/>
      <w:outlineLvl w:val="9"/>
    </w:pPr>
    <w:rPr>
      <w:rFonts w:ascii="Cambria" w:hAnsi="Cambria" w:eastAsia="宋体" w:cs="Times New Roman"/>
      <w:color w:val="365F91"/>
      <w:kern w:val="0"/>
      <w:sz w:val="28"/>
      <w:szCs w:val="28"/>
    </w:rPr>
  </w:style>
  <w:style w:type="paragraph" w:customStyle="1" w:styleId="121">
    <w:name w:val="正文_1"/>
    <w:basedOn w:val="122"/>
    <w:autoRedefine/>
    <w:qFormat/>
    <w:uiPriority w:val="0"/>
    <w:rPr>
      <w:rFonts w:ascii="Calibri" w:hAnsi="Calibri" w:cs="宋体"/>
      <w:szCs w:val="21"/>
    </w:rPr>
  </w:style>
  <w:style w:type="paragraph" w:customStyle="1" w:styleId="122">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
    <w:name w:val=" Char"/>
    <w:basedOn w:val="1"/>
    <w:autoRedefine/>
    <w:qFormat/>
    <w:uiPriority w:val="0"/>
    <w:pPr>
      <w:tabs>
        <w:tab w:val="left" w:pos="432"/>
      </w:tabs>
      <w:spacing w:before="156" w:beforeLines="50" w:after="156" w:afterLines="50"/>
      <w:ind w:left="432" w:hanging="432"/>
    </w:pPr>
  </w:style>
  <w:style w:type="paragraph" w:customStyle="1" w:styleId="124">
    <w:name w:val="Char"/>
    <w:basedOn w:val="1"/>
    <w:autoRedefine/>
    <w:qFormat/>
    <w:uiPriority w:val="0"/>
    <w:pPr>
      <w:tabs>
        <w:tab w:val="left" w:pos="360"/>
      </w:tabs>
      <w:spacing w:line="360" w:lineRule="auto"/>
      <w:ind w:firstLine="480" w:firstLineChars="200"/>
    </w:pPr>
    <w:rPr>
      <w:rFonts w:ascii="楷体_GB2312" w:eastAsia="楷体_GB2312"/>
      <w:sz w:val="24"/>
    </w:rPr>
  </w:style>
  <w:style w:type="paragraph" w:customStyle="1" w:styleId="125">
    <w:name w:val="附件正文"/>
    <w:basedOn w:val="1"/>
    <w:autoRedefine/>
    <w:qFormat/>
    <w:uiPriority w:val="0"/>
    <w:pPr>
      <w:snapToGrid w:val="0"/>
      <w:spacing w:line="500" w:lineRule="exact"/>
      <w:ind w:firstLine="540" w:firstLineChars="225"/>
    </w:pPr>
    <w:rPr>
      <w:kern w:val="0"/>
      <w:sz w:val="24"/>
    </w:rPr>
  </w:style>
  <w:style w:type="paragraph" w:customStyle="1" w:styleId="126">
    <w:name w:val="Normal_6"/>
    <w:autoRedefine/>
    <w:qFormat/>
    <w:uiPriority w:val="0"/>
    <w:rPr>
      <w:rFonts w:ascii="黑体" w:hAnsi="黑体" w:eastAsia="黑体" w:cs="Times New Roman"/>
      <w:b/>
      <w:sz w:val="32"/>
      <w:szCs w:val="24"/>
      <w:lang w:bidi="ar-SA"/>
    </w:rPr>
  </w:style>
  <w:style w:type="paragraph" w:customStyle="1" w:styleId="127">
    <w:name w:val="正文_0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8">
    <w:name w:val="Char Char Char1 Char8"/>
    <w:basedOn w:val="1"/>
    <w:autoRedefine/>
    <w:semiHidden/>
    <w:qFormat/>
    <w:uiPriority w:val="0"/>
    <w:pPr>
      <w:spacing w:line="360" w:lineRule="auto"/>
      <w:ind w:firstLine="200" w:firstLineChars="200"/>
    </w:pPr>
    <w:rPr>
      <w:rFonts w:ascii="宋体" w:hAnsi="宋体" w:cs="宋体"/>
      <w:sz w:val="24"/>
    </w:rPr>
  </w:style>
  <w:style w:type="paragraph" w:customStyle="1" w:styleId="129">
    <w:name w:val="正文_1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0">
    <w:name w:val="Other|1"/>
    <w:basedOn w:val="1"/>
    <w:autoRedefine/>
    <w:qFormat/>
    <w:uiPriority w:val="0"/>
    <w:pPr>
      <w:widowControl w:val="0"/>
      <w:shd w:val="clear" w:color="auto" w:fill="auto"/>
      <w:spacing w:line="348" w:lineRule="exact"/>
    </w:pPr>
    <w:rPr>
      <w:rFonts w:ascii="宋体" w:hAnsi="宋体" w:eastAsia="宋体" w:cs="宋体"/>
      <w:sz w:val="22"/>
      <w:szCs w:val="22"/>
      <w:u w:val="none"/>
      <w:shd w:val="clear" w:color="auto" w:fill="auto"/>
      <w:lang w:val="zh-TW" w:eastAsia="zh-TW" w:bidi="zh-TW"/>
    </w:rPr>
  </w:style>
  <w:style w:type="paragraph" w:styleId="131">
    <w:name w:val="List Paragraph"/>
    <w:basedOn w:val="1"/>
    <w:link w:val="132"/>
    <w:autoRedefine/>
    <w:qFormat/>
    <w:uiPriority w:val="34"/>
    <w:pPr>
      <w:ind w:firstLine="420" w:firstLineChars="200"/>
    </w:pPr>
    <w:rPr>
      <w:rFonts w:ascii="Calibri" w:hAnsi="Calibri"/>
      <w:szCs w:val="22"/>
    </w:rPr>
  </w:style>
  <w:style w:type="character" w:customStyle="1" w:styleId="132">
    <w:name w:val="列表段落 字符"/>
    <w:link w:val="131"/>
    <w:autoRedefine/>
    <w:qFormat/>
    <w:uiPriority w:val="34"/>
    <w:rPr>
      <w:rFonts w:ascii="Calibri" w:hAnsi="Calibri" w:eastAsia="等线"/>
      <w:kern w:val="2"/>
      <w:sz w:val="21"/>
      <w:szCs w:val="22"/>
    </w:rPr>
  </w:style>
  <w:style w:type="paragraph" w:customStyle="1" w:styleId="133">
    <w:name w:val="Normal_15"/>
    <w:autoRedefine/>
    <w:qFormat/>
    <w:uiPriority w:val="0"/>
    <w:rPr>
      <w:rFonts w:ascii="黑体" w:hAnsi="黑体" w:eastAsia="黑体" w:cs="Times New Roman"/>
      <w:b/>
      <w:sz w:val="32"/>
      <w:szCs w:val="24"/>
      <w:lang w:bidi="ar-SA"/>
    </w:rPr>
  </w:style>
  <w:style w:type="paragraph" w:customStyle="1" w:styleId="134">
    <w:name w:val="正文_2_0"/>
    <w:basedOn w:val="119"/>
    <w:autoRedefine/>
    <w:qFormat/>
    <w:uiPriority w:val="0"/>
    <w:rPr>
      <w:rFonts w:ascii="Times New Roman" w:hAnsi="Times New Roman" w:cs="Times New Roman"/>
    </w:rPr>
  </w:style>
  <w:style w:type="paragraph" w:customStyle="1" w:styleId="135">
    <w:name w:val="正文_4_0"/>
    <w:basedOn w:val="136"/>
    <w:autoRedefine/>
    <w:qFormat/>
    <w:uiPriority w:val="0"/>
    <w:rPr>
      <w:rFonts w:ascii="Calibri" w:hAnsi="Calibri"/>
    </w:rPr>
  </w:style>
  <w:style w:type="paragraph" w:customStyle="1" w:styleId="136">
    <w:name w:val="正文_5"/>
    <w:autoRedefine/>
    <w:qFormat/>
    <w:uiPriority w:val="0"/>
    <w:pPr>
      <w:widowControl w:val="0"/>
      <w:jc w:val="both"/>
    </w:pPr>
    <w:rPr>
      <w:rFonts w:ascii="等线" w:hAnsi="等线" w:eastAsia="宋体" w:cs="宋体"/>
      <w:kern w:val="2"/>
      <w:sz w:val="21"/>
      <w:szCs w:val="21"/>
      <w:lang w:val="en-US" w:eastAsia="zh-CN" w:bidi="ar-SA"/>
    </w:rPr>
  </w:style>
  <w:style w:type="paragraph" w:customStyle="1" w:styleId="137">
    <w:name w:val="Normal_11"/>
    <w:autoRedefine/>
    <w:qFormat/>
    <w:uiPriority w:val="0"/>
    <w:rPr>
      <w:rFonts w:ascii="黑体" w:hAnsi="黑体" w:eastAsia="黑体" w:cs="Times New Roman"/>
      <w:b/>
      <w:sz w:val="32"/>
      <w:szCs w:val="24"/>
      <w:lang w:bidi="ar-SA"/>
    </w:rPr>
  </w:style>
  <w:style w:type="paragraph" w:customStyle="1" w:styleId="138">
    <w:name w:val="正文文本缩进_0"/>
    <w:basedOn w:val="139"/>
    <w:autoRedefine/>
    <w:qFormat/>
    <w:uiPriority w:val="0"/>
    <w:pPr>
      <w:spacing w:before="100" w:beforeAutospacing="1" w:after="100" w:afterAutospacing="1" w:line="500" w:lineRule="exact"/>
      <w:ind w:left="1588" w:leftChars="832" w:firstLine="433" w:firstLineChars="196"/>
    </w:pPr>
    <w:rPr>
      <w:kern w:val="0"/>
      <w:sz w:val="24"/>
      <w:szCs w:val="24"/>
    </w:rPr>
  </w:style>
  <w:style w:type="paragraph" w:customStyle="1" w:styleId="139">
    <w:name w:val="正文_3"/>
    <w:basedOn w:val="119"/>
    <w:autoRedefine/>
    <w:qFormat/>
    <w:uiPriority w:val="0"/>
    <w:rPr>
      <w:rFonts w:ascii="Times New Roman" w:hAnsi="Times New Roman" w:cs="Times New Roman"/>
    </w:rPr>
  </w:style>
  <w:style w:type="paragraph" w:customStyle="1" w:styleId="140">
    <w:name w:val="样式1"/>
    <w:basedOn w:val="1"/>
    <w:autoRedefine/>
    <w:qFormat/>
    <w:uiPriority w:val="0"/>
    <w:pPr>
      <w:numPr>
        <w:ilvl w:val="0"/>
        <w:numId w:val="1"/>
      </w:numPr>
      <w:tabs>
        <w:tab w:val="left" w:pos="1110"/>
      </w:tabs>
      <w:adjustRightInd w:val="0"/>
      <w:textAlignment w:val="baseline"/>
    </w:pPr>
    <w:rPr>
      <w:rFonts w:ascii="宋体" w:hAnsi="宋体"/>
      <w:kern w:val="0"/>
      <w:szCs w:val="21"/>
    </w:rPr>
  </w:style>
  <w:style w:type="paragraph" w:customStyle="1" w:styleId="141">
    <w:name w:val="Normal_2"/>
    <w:autoRedefine/>
    <w:qFormat/>
    <w:uiPriority w:val="0"/>
    <w:rPr>
      <w:rFonts w:ascii="黑体" w:hAnsi="黑体" w:eastAsia="黑体" w:cs="Times New Roman"/>
      <w:b/>
      <w:sz w:val="32"/>
      <w:szCs w:val="24"/>
      <w:lang w:bidi="ar-SA"/>
    </w:rPr>
  </w:style>
  <w:style w:type="paragraph" w:customStyle="1" w:styleId="142">
    <w:name w:val="样式 标题 4 + 段前: 5 磅 段后: 5 磅 行距: 单倍行距"/>
    <w:basedOn w:val="5"/>
    <w:autoRedefine/>
    <w:qFormat/>
    <w:uiPriority w:val="0"/>
    <w:pPr>
      <w:spacing w:before="100" w:after="100" w:line="240" w:lineRule="auto"/>
    </w:pPr>
    <w:rPr>
      <w:rFonts w:cs="宋体"/>
      <w:szCs w:val="20"/>
    </w:rPr>
  </w:style>
  <w:style w:type="paragraph" w:customStyle="1" w:styleId="143">
    <w:name w:val="Normal_19"/>
    <w:autoRedefine/>
    <w:qFormat/>
    <w:uiPriority w:val="0"/>
    <w:rPr>
      <w:rFonts w:ascii="黑体" w:hAnsi="黑体" w:eastAsia="黑体" w:cs="Times New Roman"/>
      <w:b/>
      <w:sz w:val="32"/>
      <w:szCs w:val="24"/>
      <w:lang w:bidi="ar-SA"/>
    </w:rPr>
  </w:style>
  <w:style w:type="paragraph" w:customStyle="1" w:styleId="144">
    <w:name w:val="正文_1_0"/>
    <w:basedOn w:val="119"/>
    <w:autoRedefine/>
    <w:qFormat/>
    <w:uiPriority w:val="0"/>
    <w:rPr>
      <w:rFonts w:ascii="Calibri" w:hAnsi="Calibri"/>
    </w:rPr>
  </w:style>
  <w:style w:type="paragraph" w:customStyle="1" w:styleId="145">
    <w:name w:val="正文_2_1"/>
    <w:basedOn w:val="119"/>
    <w:autoRedefine/>
    <w:qFormat/>
    <w:uiPriority w:val="0"/>
    <w:rPr>
      <w:rFonts w:ascii="Calibri" w:hAnsi="Calibri"/>
    </w:rPr>
  </w:style>
  <w:style w:type="paragraph" w:customStyle="1" w:styleId="146">
    <w:name w:val="Normal"/>
    <w:autoRedefine/>
    <w:qFormat/>
    <w:uiPriority w:val="0"/>
    <w:rPr>
      <w:rFonts w:ascii="Times New Roman" w:hAnsi="Times New Roman" w:eastAsia="Times New Roman" w:cs="Times New Roman"/>
      <w:sz w:val="24"/>
      <w:szCs w:val="24"/>
      <w:lang w:bidi="ar-SA"/>
    </w:rPr>
  </w:style>
  <w:style w:type="paragraph" w:customStyle="1" w:styleId="147">
    <w:name w:val="正文_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8">
    <w:name w:val="列出段落_0"/>
    <w:basedOn w:val="139"/>
    <w:autoRedefine/>
    <w:qFormat/>
    <w:uiPriority w:val="0"/>
    <w:pPr>
      <w:ind w:firstLine="420" w:firstLineChars="200"/>
    </w:pPr>
  </w:style>
  <w:style w:type="paragraph" w:customStyle="1" w:styleId="149">
    <w:name w:val="Normal_9"/>
    <w:autoRedefine/>
    <w:qFormat/>
    <w:uiPriority w:val="0"/>
    <w:rPr>
      <w:rFonts w:ascii="黑体" w:hAnsi="黑体" w:eastAsia="黑体" w:cs="Times New Roman"/>
      <w:b/>
      <w:sz w:val="32"/>
      <w:szCs w:val="24"/>
      <w:lang w:bidi="ar-SA"/>
    </w:rPr>
  </w:style>
  <w:style w:type="paragraph" w:customStyle="1" w:styleId="150">
    <w:name w:val="正文_3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1">
    <w:name w:val="正文文本_0_0"/>
    <w:basedOn w:val="134"/>
    <w:autoRedefine/>
    <w:qFormat/>
    <w:uiPriority w:val="0"/>
    <w:pPr>
      <w:spacing w:before="100" w:beforeAutospacing="1" w:after="120"/>
    </w:pPr>
    <w:rPr>
      <w:rFonts w:ascii="Calibri" w:hAnsi="Calibri"/>
    </w:rPr>
  </w:style>
  <w:style w:type="paragraph" w:customStyle="1" w:styleId="152">
    <w:name w:val="Normal_14"/>
    <w:autoRedefine/>
    <w:qFormat/>
    <w:uiPriority w:val="0"/>
    <w:rPr>
      <w:rFonts w:ascii="黑体" w:hAnsi="黑体" w:eastAsia="黑体" w:cs="Times New Roman"/>
      <w:b/>
      <w:sz w:val="32"/>
      <w:szCs w:val="24"/>
      <w:lang w:bidi="ar-SA"/>
    </w:rPr>
  </w:style>
  <w:style w:type="paragraph" w:customStyle="1" w:styleId="153">
    <w:name w:val="默认段落字体 Para Char Char Char Char Char Char Char Char Char Char Char Char Char Char Char Char"/>
    <w:basedOn w:val="1"/>
    <w:autoRedefine/>
    <w:qFormat/>
    <w:uiPriority w:val="0"/>
    <w:rPr>
      <w:rFonts w:ascii="Tahoma" w:hAnsi="Tahoma"/>
      <w:sz w:val="24"/>
      <w:szCs w:val="20"/>
    </w:rPr>
  </w:style>
  <w:style w:type="paragraph" w:customStyle="1" w:styleId="154">
    <w:name w:val="Normal_1"/>
    <w:autoRedefine/>
    <w:qFormat/>
    <w:uiPriority w:val="0"/>
    <w:rPr>
      <w:rFonts w:ascii="黑体" w:hAnsi="黑体" w:eastAsia="黑体" w:cs="Times New Roman"/>
      <w:b/>
      <w:sz w:val="32"/>
      <w:szCs w:val="24"/>
      <w:lang w:bidi="ar-SA"/>
    </w:rPr>
  </w:style>
  <w:style w:type="paragraph" w:customStyle="1" w:styleId="155">
    <w:name w:val="正文_0_0_0_0"/>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156">
    <w:name w:val="Char Char2"/>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57">
    <w:name w:val="Normal_17"/>
    <w:autoRedefine/>
    <w:qFormat/>
    <w:uiPriority w:val="0"/>
    <w:rPr>
      <w:rFonts w:ascii="黑体" w:hAnsi="黑体" w:eastAsia="黑体" w:cs="Times New Roman"/>
      <w:b/>
      <w:sz w:val="32"/>
      <w:szCs w:val="24"/>
      <w:lang w:bidi="ar-SA"/>
    </w:rPr>
  </w:style>
  <w:style w:type="paragraph" w:customStyle="1" w:styleId="158">
    <w:name w:val="样式 标题 4 + 段前: 5 磅 段后: 5 磅 行距: 单倍行距_0"/>
    <w:basedOn w:val="119"/>
    <w:autoRedefine/>
    <w:qFormat/>
    <w:uiPriority w:val="0"/>
    <w:pPr>
      <w:keepNext/>
      <w:keepLines/>
      <w:adjustRightInd w:val="0"/>
      <w:spacing w:before="100" w:after="100"/>
      <w:jc w:val="left"/>
      <w:textAlignment w:val="baseline"/>
      <w:outlineLvl w:val="3"/>
    </w:pPr>
    <w:rPr>
      <w:rFonts w:ascii="Arial" w:hAnsi="Arial" w:eastAsia="黑体"/>
      <w:b/>
      <w:bCs/>
      <w:kern w:val="0"/>
      <w:sz w:val="28"/>
      <w:szCs w:val="28"/>
    </w:rPr>
  </w:style>
  <w:style w:type="paragraph" w:customStyle="1" w:styleId="159">
    <w:name w:val="Normal_13"/>
    <w:autoRedefine/>
    <w:qFormat/>
    <w:uiPriority w:val="0"/>
    <w:rPr>
      <w:rFonts w:ascii="黑体" w:hAnsi="黑体" w:eastAsia="黑体" w:cs="Times New Roman"/>
      <w:b/>
      <w:sz w:val="32"/>
      <w:szCs w:val="24"/>
      <w:lang w:bidi="ar-SA"/>
    </w:rPr>
  </w:style>
  <w:style w:type="paragraph" w:customStyle="1" w:styleId="160">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1">
    <w:name w:val="正文_7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Normal_21"/>
    <w:autoRedefine/>
    <w:qFormat/>
    <w:uiPriority w:val="0"/>
    <w:rPr>
      <w:rFonts w:ascii="黑体" w:hAnsi="黑体" w:eastAsia="黑体" w:cs="Times New Roman"/>
      <w:b/>
      <w:sz w:val="32"/>
      <w:szCs w:val="24"/>
      <w:lang w:bidi="ar-SA"/>
    </w:rPr>
  </w:style>
  <w:style w:type="paragraph" w:customStyle="1" w:styleId="163">
    <w:name w:val="Char Char Char Char Char Char"/>
    <w:basedOn w:val="14"/>
    <w:autoRedefine/>
    <w:qFormat/>
    <w:uiPriority w:val="0"/>
    <w:rPr>
      <w:rFonts w:ascii="Tahoma" w:hAnsi="Tahoma"/>
      <w:sz w:val="24"/>
    </w:rPr>
  </w:style>
  <w:style w:type="paragraph" w:customStyle="1" w:styleId="164">
    <w:name w:val="Normal_0"/>
    <w:autoRedefine/>
    <w:qFormat/>
    <w:uiPriority w:val="0"/>
    <w:rPr>
      <w:rFonts w:ascii="黑体" w:hAnsi="黑体" w:eastAsia="黑体" w:cs="Times New Roman"/>
      <w:b/>
      <w:sz w:val="32"/>
      <w:szCs w:val="24"/>
      <w:lang w:bidi="ar-SA"/>
    </w:rPr>
  </w:style>
  <w:style w:type="paragraph" w:customStyle="1" w:styleId="165">
    <w:name w:val="Normal_4"/>
    <w:autoRedefine/>
    <w:qFormat/>
    <w:uiPriority w:val="0"/>
    <w:rPr>
      <w:rFonts w:ascii="黑体" w:hAnsi="黑体" w:eastAsia="黑体" w:cs="Times New Roman"/>
      <w:b/>
      <w:sz w:val="32"/>
      <w:szCs w:val="24"/>
      <w:lang w:bidi="ar-SA"/>
    </w:rPr>
  </w:style>
  <w:style w:type="paragraph" w:customStyle="1" w:styleId="166">
    <w:name w:val="Normal_10"/>
    <w:autoRedefine/>
    <w:qFormat/>
    <w:uiPriority w:val="0"/>
    <w:rPr>
      <w:rFonts w:ascii="黑体" w:hAnsi="黑体" w:eastAsia="黑体" w:cs="Times New Roman"/>
      <w:b/>
      <w:sz w:val="32"/>
      <w:szCs w:val="24"/>
      <w:lang w:bidi="ar-SA"/>
    </w:rPr>
  </w:style>
  <w:style w:type="paragraph" w:customStyle="1" w:styleId="167">
    <w:name w:val="题注_0_0"/>
    <w:basedOn w:val="113"/>
    <w:next w:val="113"/>
    <w:autoRedefine/>
    <w:qFormat/>
    <w:uiPriority w:val="0"/>
    <w:pPr>
      <w:spacing w:before="152" w:after="160"/>
    </w:pPr>
    <w:rPr>
      <w:rFonts w:ascii="Arial" w:hAnsi="Arial" w:eastAsia="黑体" w:cs="Arial"/>
      <w:sz w:val="20"/>
      <w:szCs w:val="20"/>
    </w:rPr>
  </w:style>
  <w:style w:type="paragraph" w:customStyle="1" w:styleId="168">
    <w:name w:val="正文_0_3"/>
    <w:autoRedefine/>
    <w:qFormat/>
    <w:uiPriority w:val="0"/>
    <w:pPr>
      <w:widowControl w:val="0"/>
      <w:jc w:val="both"/>
    </w:pPr>
    <w:rPr>
      <w:rFonts w:ascii="Calibri" w:hAnsi="Calibri" w:eastAsia="仿宋_GB2312" w:cs="Times New Roman"/>
      <w:kern w:val="2"/>
      <w:sz w:val="28"/>
      <w:szCs w:val="24"/>
      <w:lang w:val="en-US" w:eastAsia="zh-CN" w:bidi="ar-SA"/>
    </w:rPr>
  </w:style>
  <w:style w:type="paragraph" w:customStyle="1" w:styleId="169">
    <w:name w:val="正文_2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0">
    <w:name w:val="Normal_5"/>
    <w:autoRedefine/>
    <w:qFormat/>
    <w:uiPriority w:val="0"/>
    <w:rPr>
      <w:rFonts w:ascii="黑体" w:hAnsi="黑体" w:eastAsia="黑体" w:cs="Times New Roman"/>
      <w:b/>
      <w:sz w:val="32"/>
      <w:szCs w:val="24"/>
      <w:lang w:bidi="ar-SA"/>
    </w:rPr>
  </w:style>
  <w:style w:type="paragraph" w:customStyle="1" w:styleId="171">
    <w:name w:val="题注_0"/>
    <w:basedOn w:val="95"/>
    <w:next w:val="95"/>
    <w:autoRedefine/>
    <w:qFormat/>
    <w:uiPriority w:val="0"/>
    <w:pPr>
      <w:spacing w:before="152" w:after="160"/>
    </w:pPr>
    <w:rPr>
      <w:rFonts w:ascii="Arial" w:hAnsi="Arial" w:eastAsia="黑体" w:cs="Arial"/>
      <w:sz w:val="20"/>
      <w:szCs w:val="20"/>
    </w:rPr>
  </w:style>
  <w:style w:type="paragraph" w:customStyle="1" w:styleId="172">
    <w:name w:val="正文_1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正文文本_0"/>
    <w:basedOn w:val="139"/>
    <w:autoRedefine/>
    <w:qFormat/>
    <w:uiPriority w:val="0"/>
    <w:pPr>
      <w:spacing w:before="100" w:beforeAutospacing="1" w:after="120"/>
    </w:pPr>
    <w:rPr>
      <w:kern w:val="0"/>
      <w:sz w:val="20"/>
      <w:szCs w:val="20"/>
    </w:rPr>
  </w:style>
  <w:style w:type="paragraph" w:customStyle="1" w:styleId="174">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正文_0_1"/>
    <w:basedOn w:val="122"/>
    <w:autoRedefine/>
    <w:qFormat/>
    <w:uiPriority w:val="0"/>
    <w:rPr>
      <w:rFonts w:ascii="Times New Roman" w:hAnsi="Times New Roman"/>
      <w:szCs w:val="21"/>
    </w:rPr>
  </w:style>
  <w:style w:type="paragraph" w:customStyle="1" w:styleId="176">
    <w:name w:val="Normal_7"/>
    <w:autoRedefine/>
    <w:qFormat/>
    <w:uiPriority w:val="0"/>
    <w:rPr>
      <w:rFonts w:ascii="黑体" w:hAnsi="黑体" w:eastAsia="黑体" w:cs="Times New Roman"/>
      <w:b/>
      <w:sz w:val="32"/>
      <w:szCs w:val="24"/>
      <w:lang w:bidi="ar-SA"/>
    </w:rPr>
  </w:style>
  <w:style w:type="paragraph" w:customStyle="1" w:styleId="177">
    <w:name w:val="Normal_20"/>
    <w:autoRedefine/>
    <w:qFormat/>
    <w:uiPriority w:val="0"/>
    <w:rPr>
      <w:rFonts w:ascii="黑体" w:hAnsi="黑体" w:eastAsia="黑体" w:cs="Times New Roman"/>
      <w:b/>
      <w:sz w:val="32"/>
      <w:szCs w:val="24"/>
      <w:lang w:bidi="ar-SA"/>
    </w:rPr>
  </w:style>
  <w:style w:type="paragraph" w:customStyle="1" w:styleId="178">
    <w:name w:val="Char Char Char"/>
    <w:basedOn w:val="1"/>
    <w:autoRedefine/>
    <w:qFormat/>
    <w:uiPriority w:val="0"/>
    <w:pPr>
      <w:widowControl/>
      <w:spacing w:after="160" w:line="240" w:lineRule="exact"/>
      <w:jc w:val="left"/>
    </w:pPr>
  </w:style>
  <w:style w:type="paragraph" w:styleId="179">
    <w:name w:val="No Spacing"/>
    <w:autoRedefine/>
    <w:qFormat/>
    <w:uiPriority w:val="1"/>
    <w:pPr>
      <w:widowControl w:val="0"/>
      <w:jc w:val="center"/>
    </w:pPr>
    <w:rPr>
      <w:rFonts w:ascii="Times New Roman" w:hAnsi="Times New Roman" w:eastAsia="黑体" w:cs="Times New Roman"/>
      <w:kern w:val="2"/>
      <w:sz w:val="30"/>
      <w:szCs w:val="24"/>
      <w:lang w:val="en-US" w:eastAsia="zh-CN" w:bidi="ar-SA"/>
    </w:rPr>
  </w:style>
  <w:style w:type="paragraph" w:customStyle="1" w:styleId="180">
    <w:name w:val="样式 标题 2 + 宋体 五号 非加粗 黑色"/>
    <w:basedOn w:val="3"/>
    <w:autoRedefine/>
    <w:qFormat/>
    <w:uiPriority w:val="0"/>
    <w:rPr>
      <w:rFonts w:ascii="宋体" w:hAnsi="宋体" w:eastAsia="宋体"/>
      <w:b w:val="0"/>
      <w:bCs w:val="0"/>
      <w:color w:val="000000"/>
      <w:sz w:val="21"/>
    </w:rPr>
  </w:style>
  <w:style w:type="paragraph" w:customStyle="1" w:styleId="181">
    <w:name w:val="正文_1_0_0"/>
    <w:basedOn w:val="144"/>
    <w:autoRedefine/>
    <w:qFormat/>
    <w:uiPriority w:val="0"/>
  </w:style>
  <w:style w:type="paragraph" w:customStyle="1" w:styleId="182">
    <w:name w:val="列表 2_0"/>
    <w:basedOn w:val="117"/>
    <w:autoRedefine/>
    <w:qFormat/>
    <w:uiPriority w:val="0"/>
    <w:pPr>
      <w:spacing w:before="100" w:beforeAutospacing="1" w:after="100" w:afterAutospacing="1"/>
      <w:ind w:left="100" w:leftChars="200" w:hanging="200" w:hangingChars="200"/>
    </w:pPr>
    <w:rPr>
      <w:rFonts w:ascii="Calibri" w:hAnsi="Calibri" w:cs="宋体"/>
    </w:rPr>
  </w:style>
  <w:style w:type="paragraph" w:customStyle="1" w:styleId="183">
    <w:name w:val="Normal_16"/>
    <w:autoRedefine/>
    <w:qFormat/>
    <w:uiPriority w:val="0"/>
    <w:rPr>
      <w:rFonts w:ascii="黑体" w:hAnsi="黑体" w:eastAsia="黑体" w:cs="Times New Roman"/>
      <w:b/>
      <w:sz w:val="32"/>
      <w:szCs w:val="24"/>
      <w:lang w:bidi="ar-SA"/>
    </w:rPr>
  </w:style>
  <w:style w:type="paragraph" w:customStyle="1" w:styleId="184">
    <w:name w:val="Normal_8"/>
    <w:autoRedefine/>
    <w:qFormat/>
    <w:uiPriority w:val="0"/>
    <w:rPr>
      <w:rFonts w:ascii="黑体" w:hAnsi="黑体" w:eastAsia="黑体" w:cs="Times New Roman"/>
      <w:b/>
      <w:sz w:val="32"/>
      <w:szCs w:val="24"/>
      <w:lang w:bidi="ar-SA"/>
    </w:rPr>
  </w:style>
  <w:style w:type="paragraph" w:customStyle="1" w:styleId="185">
    <w:name w:val="Normal_12"/>
    <w:autoRedefine/>
    <w:qFormat/>
    <w:uiPriority w:val="0"/>
    <w:rPr>
      <w:rFonts w:ascii="黑体" w:hAnsi="黑体" w:eastAsia="黑体" w:cs="Times New Roman"/>
      <w:b/>
      <w:sz w:val="32"/>
      <w:szCs w:val="24"/>
      <w:lang w:bidi="ar-SA"/>
    </w:rPr>
  </w:style>
  <w:style w:type="paragraph" w:customStyle="1" w:styleId="186">
    <w:name w:val="Normal_18"/>
    <w:autoRedefine/>
    <w:qFormat/>
    <w:uiPriority w:val="0"/>
    <w:rPr>
      <w:rFonts w:ascii="黑体" w:hAnsi="黑体" w:eastAsia="黑体" w:cs="Times New Roman"/>
      <w:b/>
      <w:sz w:val="32"/>
      <w:szCs w:val="24"/>
      <w:lang w:bidi="ar-SA"/>
    </w:rPr>
  </w:style>
  <w:style w:type="character" w:customStyle="1" w:styleId="187">
    <w:name w:val="font51"/>
    <w:basedOn w:val="47"/>
    <w:autoRedefine/>
    <w:qFormat/>
    <w:uiPriority w:val="0"/>
    <w:rPr>
      <w:rFonts w:hint="eastAsia" w:ascii="宋体" w:hAnsi="宋体" w:eastAsia="宋体" w:cs="宋体"/>
      <w:color w:val="000000"/>
      <w:sz w:val="21"/>
      <w:szCs w:val="21"/>
      <w:u w:val="none"/>
    </w:rPr>
  </w:style>
  <w:style w:type="character" w:customStyle="1" w:styleId="188">
    <w:name w:val="font11"/>
    <w:basedOn w:val="47"/>
    <w:autoRedefine/>
    <w:qFormat/>
    <w:uiPriority w:val="0"/>
    <w:rPr>
      <w:rFonts w:hint="eastAsia" w:ascii="宋体" w:hAnsi="宋体" w:eastAsia="宋体" w:cs="宋体"/>
      <w:color w:val="000000"/>
      <w:sz w:val="22"/>
      <w:szCs w:val="22"/>
      <w:u w:val="none"/>
    </w:rPr>
  </w:style>
  <w:style w:type="character" w:customStyle="1" w:styleId="189">
    <w:name w:val="font121"/>
    <w:autoRedefine/>
    <w:qFormat/>
    <w:uiPriority w:val="0"/>
    <w:rPr>
      <w:rFonts w:ascii="宋体" w:hAnsi="宋体" w:eastAsia="宋体" w:cs="宋体"/>
      <w:color w:val="000000"/>
      <w:sz w:val="22"/>
      <w:szCs w:val="22"/>
      <w:u w:val="none"/>
    </w:rPr>
  </w:style>
  <w:style w:type="character" w:customStyle="1" w:styleId="190">
    <w:name w:val="font131"/>
    <w:autoRedefine/>
    <w:qFormat/>
    <w:uiPriority w:val="0"/>
    <w:rPr>
      <w:rFonts w:hint="eastAsia" w:ascii="宋体" w:hAnsi="宋体" w:eastAsia="宋体" w:cs="宋体"/>
      <w:b/>
      <w:bCs/>
      <w:color w:val="000000"/>
      <w:sz w:val="22"/>
      <w:szCs w:val="22"/>
      <w:u w:val="none"/>
    </w:rPr>
  </w:style>
  <w:style w:type="character" w:customStyle="1" w:styleId="191">
    <w:name w:val="font151"/>
    <w:autoRedefine/>
    <w:qFormat/>
    <w:uiPriority w:val="0"/>
    <w:rPr>
      <w:rFonts w:ascii="微软雅黑" w:hAnsi="微软雅黑" w:eastAsia="微软雅黑" w:cs="微软雅黑"/>
      <w:color w:val="000000"/>
      <w:sz w:val="22"/>
      <w:szCs w:val="22"/>
      <w:u w:val="none"/>
    </w:rPr>
  </w:style>
  <w:style w:type="paragraph" w:customStyle="1" w:styleId="192">
    <w:name w:val="Table Paragraph"/>
    <w:basedOn w:val="1"/>
    <w:autoRedefine/>
    <w:qFormat/>
    <w:uiPriority w:val="1"/>
    <w:pPr>
      <w:autoSpaceDE w:val="0"/>
      <w:autoSpaceDN w:val="0"/>
      <w:spacing w:line="240" w:lineRule="auto"/>
      <w:ind w:firstLine="0" w:firstLineChars="0"/>
    </w:pPr>
    <w:rPr>
      <w:rFonts w:ascii="PMingLiU" w:hAnsi="PMingLiU" w:eastAsia="PMingLiU" w:cs="PMingLiU"/>
      <w:kern w:val="0"/>
      <w:sz w:val="22"/>
    </w:rPr>
  </w:style>
  <w:style w:type="paragraph" w:customStyle="1" w:styleId="193">
    <w:name w:val="二级标题"/>
    <w:basedOn w:val="1"/>
    <w:autoRedefine/>
    <w:qFormat/>
    <w:uiPriority w:val="0"/>
    <w:pPr>
      <w:spacing w:line="560" w:lineRule="exact"/>
      <w:ind w:left="160" w:firstLine="640" w:firstLineChars="200"/>
      <w:jc w:val="left"/>
    </w:pPr>
    <w:rPr>
      <w:rFonts w:ascii="楷体" w:hAnsi="楷体" w:eastAsia="楷体" w:cs="宋体"/>
      <w:bCs/>
      <w:color w:val="000000"/>
      <w:sz w:val="32"/>
      <w:szCs w:val="32"/>
    </w:rPr>
  </w:style>
  <w:style w:type="character" w:customStyle="1" w:styleId="194">
    <w:name w:val="font01"/>
    <w:autoRedefine/>
    <w:qFormat/>
    <w:uiPriority w:val="0"/>
    <w:rPr>
      <w:rFonts w:hint="eastAsia" w:ascii="宋体" w:hAnsi="宋体" w:eastAsia="宋体" w:cs="宋体"/>
      <w:color w:val="000000"/>
      <w:sz w:val="20"/>
      <w:szCs w:val="20"/>
      <w:u w:val="none"/>
    </w:rPr>
  </w:style>
  <w:style w:type="paragraph" w:customStyle="1" w:styleId="195">
    <w:name w:val="1.1"/>
    <w:basedOn w:val="1"/>
    <w:link w:val="196"/>
    <w:autoRedefine/>
    <w:qFormat/>
    <w:uiPriority w:val="0"/>
    <w:pPr>
      <w:spacing w:line="360" w:lineRule="auto"/>
      <w:ind w:left="567" w:hanging="567" w:firstLineChars="200"/>
      <w:jc w:val="left"/>
      <w:outlineLvl w:val="1"/>
    </w:pPr>
    <w:rPr>
      <w:rFonts w:ascii="仿宋" w:hAnsi="仿宋" w:eastAsia="仿宋"/>
      <w:b/>
      <w:sz w:val="24"/>
    </w:rPr>
  </w:style>
  <w:style w:type="character" w:customStyle="1" w:styleId="196">
    <w:name w:val="1.1 Char"/>
    <w:link w:val="195"/>
    <w:autoRedefine/>
    <w:qFormat/>
    <w:uiPriority w:val="0"/>
    <w:rPr>
      <w:rFonts w:ascii="仿宋" w:hAnsi="仿宋" w:eastAsia="仿宋"/>
      <w:b/>
      <w:kern w:val="2"/>
      <w:sz w:val="24"/>
      <w:szCs w:val="22"/>
    </w:rPr>
  </w:style>
  <w:style w:type="character" w:customStyle="1" w:styleId="197">
    <w:name w:val="fontstyle01"/>
    <w:autoRedefine/>
    <w:qFormat/>
    <w:uiPriority w:val="0"/>
    <w:rPr>
      <w:rFonts w:hint="eastAsia" w:ascii="宋体" w:hAnsi="宋体" w:eastAsia="宋体"/>
      <w:color w:val="000000"/>
      <w:sz w:val="24"/>
      <w:szCs w:val="24"/>
    </w:rPr>
  </w:style>
  <w:style w:type="paragraph" w:customStyle="1" w:styleId="198">
    <w:name w:val="正文内容"/>
    <w:basedOn w:val="1"/>
    <w:autoRedefine/>
    <w:qFormat/>
    <w:uiPriority w:val="0"/>
    <w:pPr>
      <w:spacing w:line="560" w:lineRule="exact"/>
      <w:ind w:firstLine="200" w:firstLineChars="200"/>
      <w:jc w:val="left"/>
    </w:pPr>
    <w:rPr>
      <w:rFonts w:ascii="Times New Roman" w:hAnsi="Times New Roman" w:eastAsia="仿宋"/>
      <w:sz w:val="32"/>
      <w:szCs w:val="20"/>
    </w:rPr>
  </w:style>
  <w:style w:type="character" w:customStyle="1" w:styleId="199">
    <w:name w:val="font91"/>
    <w:autoRedefine/>
    <w:qFormat/>
    <w:uiPriority w:val="0"/>
    <w:rPr>
      <w:rFonts w:hint="eastAsia" w:ascii="宋体" w:hAnsi="宋体" w:eastAsia="宋体" w:cs="宋体"/>
      <w:color w:val="000000"/>
      <w:sz w:val="20"/>
      <w:szCs w:val="20"/>
      <w:u w:val="none"/>
    </w:rPr>
  </w:style>
  <w:style w:type="paragraph" w:customStyle="1" w:styleId="200">
    <w:name w:val="Default"/>
    <w:autoRedefine/>
    <w:qFormat/>
    <w:uiPriority w:val="0"/>
    <w:pPr>
      <w:widowControl w:val="0"/>
      <w:autoSpaceDE w:val="0"/>
      <w:autoSpaceDN w:val="0"/>
      <w:adjustRightInd w:val="0"/>
    </w:pPr>
    <w:rPr>
      <w:rFonts w:ascii="宋体" w:hAnsi="Calibri" w:eastAsia="宋体" w:cs="Times New Roman"/>
      <w:color w:val="000000"/>
      <w:sz w:val="24"/>
      <w:szCs w:val="22"/>
      <w:lang w:val="en-US" w:eastAsia="zh-CN" w:bidi="ar-SA"/>
    </w:rPr>
  </w:style>
  <w:style w:type="paragraph" w:customStyle="1" w:styleId="201">
    <w:name w:val="五级标题"/>
    <w:basedOn w:val="1"/>
    <w:next w:val="131"/>
    <w:autoRedefine/>
    <w:qFormat/>
    <w:uiPriority w:val="34"/>
    <w:pPr>
      <w:spacing w:line="560" w:lineRule="exact"/>
      <w:ind w:firstLine="420" w:firstLineChars="200"/>
      <w:jc w:val="left"/>
    </w:pPr>
    <w:rPr>
      <w:rFonts w:ascii="Calibri" w:hAnsi="Calibri" w:eastAsia="仿宋" w:cs="宋体"/>
      <w:sz w:val="32"/>
    </w:rPr>
  </w:style>
  <w:style w:type="paragraph" w:customStyle="1" w:styleId="202">
    <w:name w:val="WPS Plain"/>
    <w:autoRedefine/>
    <w:qFormat/>
    <w:uiPriority w:val="99"/>
    <w:rPr>
      <w:rFonts w:ascii="Times New Roman" w:hAnsi="Times New Roman" w:eastAsia="宋体" w:cs="Times New Roman"/>
      <w:sz w:val="21"/>
      <w:szCs w:val="22"/>
      <w:lang w:val="en-US" w:eastAsia="zh-CN" w:bidi="ar-SA"/>
    </w:rPr>
  </w:style>
  <w:style w:type="paragraph" w:customStyle="1" w:styleId="203">
    <w:name w:val="BodyText"/>
    <w:basedOn w:val="1"/>
    <w:next w:val="1"/>
    <w:link w:val="204"/>
    <w:autoRedefine/>
    <w:qFormat/>
    <w:uiPriority w:val="0"/>
    <w:pPr>
      <w:widowControl/>
      <w:spacing w:after="120"/>
      <w:textAlignment w:val="baseline"/>
    </w:pPr>
    <w:rPr>
      <w:rFonts w:ascii="Times New Roman" w:hAnsi="Times New Roman" w:eastAsia="宋体"/>
      <w:szCs w:val="24"/>
    </w:rPr>
  </w:style>
  <w:style w:type="character" w:customStyle="1" w:styleId="204">
    <w:name w:val="UserStyle_1"/>
    <w:link w:val="203"/>
    <w:autoRedefine/>
    <w:qFormat/>
    <w:uiPriority w:val="0"/>
    <w:rPr>
      <w:kern w:val="2"/>
      <w:sz w:val="21"/>
      <w:szCs w:val="24"/>
    </w:rPr>
  </w:style>
  <w:style w:type="paragraph" w:customStyle="1" w:styleId="205">
    <w:name w:val="BodyTextIndent"/>
    <w:basedOn w:val="1"/>
    <w:link w:val="206"/>
    <w:autoRedefine/>
    <w:qFormat/>
    <w:uiPriority w:val="0"/>
    <w:pPr>
      <w:widowControl/>
      <w:spacing w:line="500" w:lineRule="exact"/>
      <w:ind w:left="1588" w:leftChars="832" w:firstLine="433" w:firstLineChars="196"/>
      <w:textAlignment w:val="baseline"/>
    </w:pPr>
    <w:rPr>
      <w:rFonts w:ascii="Times New Roman" w:hAnsi="Times New Roman" w:eastAsia="宋体"/>
      <w:sz w:val="24"/>
      <w:szCs w:val="24"/>
    </w:rPr>
  </w:style>
  <w:style w:type="character" w:customStyle="1" w:styleId="206">
    <w:name w:val="UserStyle_2"/>
    <w:link w:val="205"/>
    <w:autoRedefine/>
    <w:qFormat/>
    <w:uiPriority w:val="0"/>
    <w:rPr>
      <w:kern w:val="2"/>
      <w:sz w:val="24"/>
      <w:szCs w:val="24"/>
    </w:rPr>
  </w:style>
  <w:style w:type="paragraph" w:customStyle="1" w:styleId="207">
    <w:name w:val="UserStyle_131"/>
    <w:basedOn w:val="1"/>
    <w:autoRedefine/>
    <w:qFormat/>
    <w:uiPriority w:val="0"/>
    <w:pPr>
      <w:widowControl/>
      <w:spacing w:line="400" w:lineRule="exact"/>
      <w:ind w:firstLine="420"/>
      <w:textAlignment w:val="baseline"/>
    </w:pPr>
    <w:rPr>
      <w:rFonts w:ascii="Times New Roman" w:hAnsi="Times New Roman" w:eastAsia="宋体"/>
      <w:szCs w:val="24"/>
    </w:rPr>
  </w:style>
  <w:style w:type="character" w:customStyle="1" w:styleId="208">
    <w:name w:val="正文文本缩进 Char1"/>
    <w:autoRedefine/>
    <w:semiHidden/>
    <w:qFormat/>
    <w:locked/>
    <w:uiPriority w:val="0"/>
    <w:rPr>
      <w:rFonts w:ascii="等线" w:hAnsi="等线" w:eastAsia="等线"/>
      <w:kern w:val="2"/>
      <w:sz w:val="24"/>
      <w:szCs w:val="22"/>
    </w:rPr>
  </w:style>
  <w:style w:type="character" w:customStyle="1" w:styleId="209">
    <w:name w:val="_Style 202"/>
    <w:autoRedefine/>
    <w:unhideWhenUsed/>
    <w:qFormat/>
    <w:uiPriority w:val="99"/>
    <w:rPr>
      <w:color w:val="605E5C"/>
      <w:shd w:val="clear" w:color="auto" w:fill="E1DFDD"/>
    </w:rPr>
  </w:style>
  <w:style w:type="character" w:customStyle="1" w:styleId="210">
    <w:name w:val="font21"/>
    <w:basedOn w:val="47"/>
    <w:autoRedefine/>
    <w:qFormat/>
    <w:uiPriority w:val="0"/>
    <w:rPr>
      <w:rFonts w:hint="default" w:ascii="方正仿宋_GBK" w:hAnsi="方正仿宋_GBK" w:eastAsia="方正仿宋_GBK" w:cs="方正仿宋_GBK"/>
      <w:color w:val="000000"/>
      <w:sz w:val="28"/>
      <w:szCs w:val="28"/>
      <w:u w:val="none"/>
    </w:rPr>
  </w:style>
  <w:style w:type="character" w:customStyle="1" w:styleId="211">
    <w:name w:val="font61"/>
    <w:basedOn w:val="47"/>
    <w:autoRedefine/>
    <w:qFormat/>
    <w:uiPriority w:val="0"/>
    <w:rPr>
      <w:rFonts w:hint="eastAsia" w:ascii="宋体" w:hAnsi="宋体" w:eastAsia="宋体" w:cs="宋体"/>
      <w:color w:val="000000"/>
      <w:sz w:val="28"/>
      <w:szCs w:val="28"/>
      <w:u w:val="none"/>
    </w:rPr>
  </w:style>
  <w:style w:type="character" w:customStyle="1" w:styleId="212">
    <w:name w:val="font31"/>
    <w:basedOn w:val="47"/>
    <w:autoRedefine/>
    <w:qFormat/>
    <w:uiPriority w:val="0"/>
    <w:rPr>
      <w:rFonts w:hint="default" w:ascii="方正仿宋_GBK" w:hAnsi="方正仿宋_GBK" w:eastAsia="方正仿宋_GBK" w:cs="方正仿宋_GBK"/>
      <w:b/>
      <w:bCs/>
      <w:color w:val="000000"/>
      <w:sz w:val="28"/>
      <w:szCs w:val="28"/>
      <w:u w:val="none"/>
    </w:rPr>
  </w:style>
  <w:style w:type="character" w:customStyle="1" w:styleId="213">
    <w:name w:val="font81"/>
    <w:basedOn w:val="47"/>
    <w:autoRedefine/>
    <w:qFormat/>
    <w:uiPriority w:val="0"/>
    <w:rPr>
      <w:rFonts w:hint="eastAsia" w:ascii="宋体" w:hAnsi="宋体" w:eastAsia="宋体" w:cs="宋体"/>
      <w:color w:val="000000"/>
      <w:sz w:val="28"/>
      <w:szCs w:val="28"/>
      <w:u w:val="none"/>
    </w:rPr>
  </w:style>
  <w:style w:type="character" w:customStyle="1" w:styleId="214">
    <w:name w:val="font41"/>
    <w:basedOn w:val="47"/>
    <w:autoRedefine/>
    <w:qFormat/>
    <w:uiPriority w:val="0"/>
    <w:rPr>
      <w:rFonts w:hint="eastAsia" w:ascii="宋体" w:hAnsi="宋体" w:eastAsia="宋体" w:cs="宋体"/>
      <w:color w:val="000000"/>
      <w:sz w:val="22"/>
      <w:szCs w:val="22"/>
      <w:u w:val="none"/>
    </w:rPr>
  </w:style>
  <w:style w:type="paragraph" w:customStyle="1" w:styleId="215">
    <w:name w:val="表格"/>
    <w:basedOn w:val="1"/>
    <w:autoRedefine/>
    <w:qFormat/>
    <w:uiPriority w:val="0"/>
    <w:pPr>
      <w:keepNext w:val="0"/>
      <w:keepLines w:val="0"/>
      <w:widowControl w:val="0"/>
      <w:suppressLineNumbers w:val="0"/>
      <w:spacing w:before="0" w:beforeAutospacing="0" w:after="0" w:afterAutospacing="0"/>
      <w:ind w:left="0" w:right="0" w:firstLine="0" w:firstLineChars="0"/>
      <w:jc w:val="both"/>
    </w:pPr>
    <w:rPr>
      <w:rFonts w:hint="eastAsia" w:ascii="宋体" w:hAnsi="仿宋_GB2312" w:eastAsia="宋体" w:cs="仿宋_GB2312"/>
      <w:kern w:val="2"/>
      <w:sz w:val="24"/>
      <w:szCs w:val="24"/>
      <w:lang w:val="en-US" w:eastAsia="zh-CN" w:bidi="ar"/>
    </w:rPr>
  </w:style>
  <w:style w:type="character" w:customStyle="1" w:styleId="216">
    <w:name w:val="标题 1 字符"/>
    <w:link w:val="2"/>
    <w:autoRedefine/>
    <w:qFormat/>
    <w:uiPriority w:val="0"/>
    <w:rPr>
      <w:b/>
      <w:bCs/>
      <w:kern w:val="44"/>
      <w:sz w:val="44"/>
      <w:szCs w:val="44"/>
    </w:rPr>
  </w:style>
  <w:style w:type="paragraph" w:customStyle="1" w:styleId="217">
    <w:name w:val="ZW 4L P1.5 2W"/>
    <w:basedOn w:val="1"/>
    <w:autoRedefine/>
    <w:qFormat/>
    <w:uiPriority w:val="0"/>
    <w:pPr>
      <w:spacing w:line="360" w:lineRule="auto"/>
      <w:ind w:firstLine="480"/>
    </w:pPr>
    <w:rPr>
      <w:sz w:val="24"/>
      <w:lang w:val="zh-CN"/>
    </w:rPr>
  </w:style>
  <w:style w:type="paragraph" w:customStyle="1" w:styleId="218">
    <w:name w:val="UserStyle_32"/>
    <w:autoRedefine/>
    <w:qFormat/>
    <w:uiPriority w:val="0"/>
    <w:pPr>
      <w:widowControl/>
      <w:textAlignment w:val="baseline"/>
    </w:pPr>
    <w:rPr>
      <w:rFonts w:ascii="黑体" w:hAnsi="黑体" w:eastAsia="黑体" w:cstheme="minorBidi"/>
      <w:b/>
      <w:sz w:val="32"/>
      <w:szCs w:val="24"/>
      <w:lang w:val="en-US" w:bidi="ar-SA"/>
    </w:rPr>
  </w:style>
  <w:style w:type="paragraph" w:customStyle="1" w:styleId="219">
    <w:name w:val="列表段落1"/>
    <w:basedOn w:val="1"/>
    <w:autoRedefine/>
    <w:qFormat/>
    <w:uiPriority w:val="0"/>
    <w:pPr>
      <w:ind w:firstLine="420" w:firstLineChars="200"/>
    </w:pPr>
  </w:style>
  <w:style w:type="paragraph" w:customStyle="1" w:styleId="220">
    <w:name w:val="Body text|1"/>
    <w:basedOn w:val="1"/>
    <w:autoRedefine/>
    <w:qFormat/>
    <w:uiPriority w:val="0"/>
    <w:pPr>
      <w:spacing w:line="389" w:lineRule="auto"/>
      <w:ind w:firstLine="400"/>
      <w:jc w:val="left"/>
    </w:pPr>
    <w:rPr>
      <w:rFonts w:ascii="MingLiU" w:hAnsi="MingLiU" w:eastAsia="MingLiU" w:cs="MingLiU"/>
      <w:sz w:val="19"/>
      <w:szCs w:val="19"/>
      <w:lang w:val="zh-TW" w:eastAsia="zh-TW" w:bidi="zh-TW"/>
    </w:rPr>
  </w:style>
  <w:style w:type="paragraph" w:customStyle="1" w:styleId="221">
    <w:name w:val="UserStyle_43"/>
    <w:qFormat/>
    <w:uiPriority w:val="0"/>
    <w:pPr>
      <w:jc w:val="both"/>
      <w:textAlignment w:val="baseline"/>
    </w:pPr>
    <w:rPr>
      <w:rFonts w:ascii="Calibri" w:hAnsi="Calibri" w:eastAsia="宋体" w:cs="Times New Roman"/>
      <w:kern w:val="2"/>
      <w:sz w:val="28"/>
      <w:szCs w:val="22"/>
      <w:lang w:val="en-US" w:eastAsia="zh-CN" w:bidi="ar-SA"/>
    </w:rPr>
  </w:style>
  <w:style w:type="paragraph" w:customStyle="1" w:styleId="222">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23">
    <w:name w:val="样式 样式 样式 样式 标题 2 + 宋体 五号 非加粗 黑色 + 段前: 6 磅 段后: 0 磅 行距: 单倍行距 + 段前:..."/>
    <w:basedOn w:val="1"/>
    <w:autoRedefine/>
    <w:qFormat/>
    <w:uiPriority w:val="0"/>
    <w:pPr>
      <w:keepNext/>
      <w:keepLines/>
      <w:adjustRightInd w:val="0"/>
      <w:spacing w:before="240"/>
      <w:textAlignment w:val="baseline"/>
      <w:outlineLvl w:val="1"/>
    </w:pPr>
    <w:rPr>
      <w:rFonts w:ascii="宋体" w:hAnsi="宋体"/>
      <w:b/>
      <w:bCs/>
      <w:kern w:val="0"/>
    </w:rPr>
  </w:style>
  <w:style w:type="paragraph" w:customStyle="1" w:styleId="2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table" w:customStyle="1" w:styleId="225">
    <w:name w:val="Table Normal"/>
    <w:semiHidden/>
    <w:unhideWhenUsed/>
    <w:qFormat/>
    <w:uiPriority w:val="0"/>
    <w:tblPr>
      <w:tblCellMar>
        <w:top w:w="0" w:type="dxa"/>
        <w:left w:w="0" w:type="dxa"/>
        <w:bottom w:w="0" w:type="dxa"/>
        <w:right w:w="0" w:type="dxa"/>
      </w:tblCellMar>
    </w:tblPr>
  </w:style>
  <w:style w:type="paragraph" w:customStyle="1" w:styleId="226">
    <w:name w:val="Table Text"/>
    <w:basedOn w:val="1"/>
    <w:semiHidden/>
    <w:qFormat/>
    <w:uiPriority w:val="0"/>
    <w:rPr>
      <w:rFonts w:ascii="宋体" w:hAnsi="宋体" w:eastAsia="宋体" w:cs="宋体"/>
      <w:sz w:val="21"/>
      <w:szCs w:val="21"/>
      <w:lang w:val="en-US" w:eastAsia="en-US" w:bidi="ar-SA"/>
    </w:rPr>
  </w:style>
  <w:style w:type="paragraph" w:customStyle="1" w:styleId="227">
    <w:name w:val="表格文字2"/>
    <w:basedOn w:val="228"/>
    <w:qFormat/>
    <w:uiPriority w:val="99"/>
    <w:pPr>
      <w:spacing w:before="25" w:after="25"/>
      <w:jc w:val="left"/>
    </w:pPr>
    <w:rPr>
      <w:bCs/>
      <w:spacing w:val="10"/>
      <w:kern w:val="0"/>
    </w:rPr>
  </w:style>
  <w:style w:type="paragraph" w:customStyle="1" w:styleId="228">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29">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30">
    <w:name w:val="p0"/>
    <w:basedOn w:val="1"/>
    <w:qFormat/>
    <w:uiPriority w:val="0"/>
    <w:pPr>
      <w:widowControl/>
    </w:pPr>
    <w:rPr>
      <w:kern w:val="0"/>
      <w:szCs w:val="21"/>
    </w:rPr>
  </w:style>
  <w:style w:type="character" w:customStyle="1" w:styleId="231">
    <w:name w:val="font71"/>
    <w:basedOn w:val="47"/>
    <w:qFormat/>
    <w:uiPriority w:val="0"/>
    <w:rPr>
      <w:rFonts w:hint="eastAsia" w:ascii="宋体" w:hAnsi="宋体" w:eastAsia="宋体" w:cs="宋体"/>
      <w:color w:val="000000"/>
      <w:sz w:val="22"/>
      <w:szCs w:val="22"/>
      <w:u w:val="none"/>
      <w:vertAlign w:val="subscript"/>
    </w:rPr>
  </w:style>
  <w:style w:type="paragraph" w:customStyle="1" w:styleId="232">
    <w:name w:val="无间隔1"/>
    <w:qFormat/>
    <w:uiPriority w:val="0"/>
    <w:pPr>
      <w:widowControl w:val="0"/>
      <w:jc w:val="both"/>
    </w:pPr>
    <w:rPr>
      <w:rFonts w:ascii="Calibri" w:hAnsi="Calibri" w:eastAsia="宋体" w:cs="Arial"/>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83</Pages>
  <Words>31650</Words>
  <Characters>34571</Characters>
  <Lines>453</Lines>
  <Paragraphs>127</Paragraphs>
  <TotalTime>33</TotalTime>
  <ScaleCrop>false</ScaleCrop>
  <LinksUpToDate>false</LinksUpToDate>
  <CharactersWithSpaces>34849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2022-08-21T08:49:00Z</dcterms:created>
  <dc:creator>dujiangtao</dc:creator>
  <cp:lastModifiedBy>漾^¤^珞</cp:lastModifiedBy>
  <cp:lastPrinted>2023-11-14T08:31:00Z</cp:lastPrinted>
  <dcterms:modified xsi:type="dcterms:W3CDTF">2025-03-11T03:16:39Z</dcterms:modified>
  <dc:title>滨州市政府采购</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EEC5C33D4178480DB6D26788B2311815_13</vt:lpwstr>
  </property>
  <property fmtid="{D5CDD505-2E9C-101B-9397-08002B2CF9AE}" pid="4" name="commondata">
    <vt:lpwstr>eyJoZGlkIjoiNGYxYWEzM2JjNjgxZDE4ZDNkODZkNzA3NTRkNWExZDEifQ==</vt:lpwstr>
  </property>
  <property fmtid="{D5CDD505-2E9C-101B-9397-08002B2CF9AE}" pid="5" name="KSOTemplateDocerSaveRecord">
    <vt:lpwstr>eyJoZGlkIjoiZGY1ZDRiZWIxOTczMDg5ZTg1NmYzYWZkMzI3NzNiZTciLCJ1c2VySWQiOiIxMDgwNzc0ODExIn0=</vt:lpwstr>
  </property>
</Properties>
</file>